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879A4" w14:textId="77777777" w:rsidR="004B4653" w:rsidRDefault="00D223F7">
      <w:r>
        <w:rPr>
          <w:rFonts w:cs="Arial"/>
          <w:noProof/>
          <w:sz w:val="72"/>
          <w:lang w:eastAsia="en-GB"/>
        </w:rPr>
        <w:drawing>
          <wp:inline distT="0" distB="0" distL="0" distR="0" wp14:anchorId="1964E593" wp14:editId="4EC7F1DF">
            <wp:extent cx="23050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2A9F887B" w14:textId="75FA5845" w:rsidR="00D223F7" w:rsidRDefault="00D223F7" w:rsidP="00D223F7">
      <w:pPr>
        <w:jc w:val="center"/>
        <w:rPr>
          <w:rFonts w:ascii="Garamond" w:hAnsi="Garamond"/>
          <w:b/>
          <w:sz w:val="56"/>
          <w:szCs w:val="56"/>
        </w:rPr>
      </w:pPr>
      <w:r>
        <w:rPr>
          <w:rFonts w:ascii="Garamond" w:hAnsi="Garamond"/>
          <w:b/>
          <w:sz w:val="56"/>
          <w:szCs w:val="56"/>
        </w:rPr>
        <w:br/>
      </w:r>
      <w:r w:rsidR="00316F9E">
        <w:rPr>
          <w:rFonts w:ascii="Garamond" w:hAnsi="Garamond"/>
          <w:b/>
          <w:sz w:val="56"/>
          <w:szCs w:val="56"/>
        </w:rPr>
        <w:t>EUROPEAN UNION</w:t>
      </w:r>
      <w:r>
        <w:rPr>
          <w:rFonts w:ascii="Garamond" w:hAnsi="Garamond"/>
          <w:b/>
          <w:sz w:val="56"/>
          <w:szCs w:val="56"/>
        </w:rPr>
        <w:t xml:space="preserve"> LAW</w:t>
      </w:r>
    </w:p>
    <w:p w14:paraId="4543B2EC" w14:textId="7F43D5F5" w:rsidR="00D223F7" w:rsidRDefault="00A1736A" w:rsidP="00D223F7">
      <w:pPr>
        <w:jc w:val="center"/>
        <w:rPr>
          <w:rFonts w:ascii="Garamond" w:hAnsi="Garamond"/>
          <w:b/>
          <w:sz w:val="56"/>
          <w:szCs w:val="56"/>
        </w:rPr>
      </w:pPr>
      <w:r>
        <w:rPr>
          <w:rFonts w:ascii="Garamond" w:hAnsi="Garamond"/>
          <w:b/>
          <w:sz w:val="56"/>
          <w:szCs w:val="56"/>
        </w:rPr>
        <w:t>202</w:t>
      </w:r>
      <w:r w:rsidR="006356DF">
        <w:rPr>
          <w:rFonts w:ascii="Garamond" w:hAnsi="Garamond"/>
          <w:b/>
          <w:sz w:val="56"/>
          <w:szCs w:val="56"/>
        </w:rPr>
        <w:t>3</w:t>
      </w:r>
      <w:r>
        <w:rPr>
          <w:rFonts w:ascii="Garamond" w:hAnsi="Garamond"/>
          <w:b/>
          <w:sz w:val="56"/>
          <w:szCs w:val="56"/>
        </w:rPr>
        <w:t>-202</w:t>
      </w:r>
      <w:r w:rsidR="006356DF">
        <w:rPr>
          <w:rFonts w:ascii="Garamond" w:hAnsi="Garamond"/>
          <w:b/>
          <w:sz w:val="56"/>
          <w:szCs w:val="56"/>
        </w:rPr>
        <w:t>4</w:t>
      </w:r>
    </w:p>
    <w:p w14:paraId="5133D236" w14:textId="77777777" w:rsidR="00D223F7" w:rsidRPr="00D223F7" w:rsidRDefault="00D223F7" w:rsidP="00D223F7">
      <w:pPr>
        <w:jc w:val="center"/>
        <w:rPr>
          <w:rFonts w:ascii="Garamond" w:hAnsi="Garamond"/>
          <w:b/>
          <w:sz w:val="40"/>
          <w:szCs w:val="40"/>
          <w:u w:val="single"/>
        </w:rPr>
      </w:pPr>
      <w:r>
        <w:rPr>
          <w:rFonts w:ascii="Garamond" w:hAnsi="Garamond"/>
          <w:b/>
          <w:sz w:val="40"/>
          <w:szCs w:val="40"/>
        </w:rPr>
        <w:br/>
      </w:r>
      <w:r w:rsidRPr="00D223F7">
        <w:rPr>
          <w:rFonts w:ascii="Garamond" w:hAnsi="Garamond"/>
          <w:b/>
          <w:sz w:val="40"/>
          <w:szCs w:val="40"/>
          <w:u w:val="single"/>
        </w:rPr>
        <w:t>HANDOUT 2</w:t>
      </w:r>
    </w:p>
    <w:p w14:paraId="4C145096" w14:textId="69E17C5C" w:rsidR="00D223F7" w:rsidRDefault="00D223F7" w:rsidP="00D223F7">
      <w:pPr>
        <w:jc w:val="center"/>
        <w:rPr>
          <w:rFonts w:ascii="Garamond" w:hAnsi="Garamond"/>
          <w:sz w:val="40"/>
          <w:szCs w:val="40"/>
        </w:rPr>
      </w:pPr>
      <w:r>
        <w:rPr>
          <w:rFonts w:ascii="Garamond" w:hAnsi="Garamond"/>
          <w:sz w:val="40"/>
          <w:szCs w:val="40"/>
        </w:rPr>
        <w:t>(Lectures 4-</w:t>
      </w:r>
      <w:r w:rsidR="00B80A0A">
        <w:rPr>
          <w:rFonts w:ascii="Garamond" w:hAnsi="Garamond"/>
          <w:sz w:val="40"/>
          <w:szCs w:val="40"/>
        </w:rPr>
        <w:t>6</w:t>
      </w:r>
      <w:r>
        <w:rPr>
          <w:rFonts w:ascii="Garamond" w:hAnsi="Garamond"/>
          <w:sz w:val="40"/>
          <w:szCs w:val="40"/>
        </w:rPr>
        <w:t>)</w:t>
      </w:r>
    </w:p>
    <w:p w14:paraId="426464B5" w14:textId="77777777" w:rsidR="00D223F7" w:rsidRDefault="00D223F7" w:rsidP="00D223F7">
      <w:pPr>
        <w:rPr>
          <w:rFonts w:ascii="Garamond" w:hAnsi="Garamond"/>
          <w:sz w:val="28"/>
          <w:szCs w:val="28"/>
        </w:rPr>
      </w:pPr>
    </w:p>
    <w:p w14:paraId="207841E8" w14:textId="77777777" w:rsidR="00D223F7" w:rsidRDefault="00D223F7" w:rsidP="00D223F7">
      <w:pPr>
        <w:rPr>
          <w:rFonts w:ascii="Garamond" w:hAnsi="Garamond"/>
          <w:sz w:val="28"/>
          <w:szCs w:val="28"/>
        </w:rPr>
      </w:pPr>
      <w:r>
        <w:rPr>
          <w:rFonts w:ascii="Garamond" w:hAnsi="Garamond"/>
          <w:sz w:val="28"/>
          <w:szCs w:val="28"/>
        </w:rPr>
        <w:t>Barend van Leeuwen</w:t>
      </w:r>
    </w:p>
    <w:p w14:paraId="40852611" w14:textId="77777777" w:rsidR="00D223F7" w:rsidRDefault="00D223F7" w:rsidP="00D223F7">
      <w:pPr>
        <w:rPr>
          <w:rFonts w:ascii="Garamond" w:hAnsi="Garamond"/>
          <w:sz w:val="28"/>
          <w:szCs w:val="28"/>
        </w:rPr>
      </w:pPr>
      <w:r>
        <w:rPr>
          <w:rFonts w:ascii="Garamond" w:hAnsi="Garamond"/>
          <w:sz w:val="28"/>
          <w:szCs w:val="28"/>
        </w:rPr>
        <w:t xml:space="preserve">Durham Law School </w:t>
      </w:r>
    </w:p>
    <w:p w14:paraId="4F122A46" w14:textId="77777777" w:rsidR="00D223F7" w:rsidRDefault="00FF3548" w:rsidP="00D223F7">
      <w:pPr>
        <w:rPr>
          <w:rFonts w:ascii="Garamond" w:hAnsi="Garamond"/>
          <w:sz w:val="28"/>
          <w:szCs w:val="28"/>
        </w:rPr>
      </w:pPr>
      <w:hyperlink r:id="rId9" w:history="1">
        <w:r w:rsidR="00D223F7" w:rsidRPr="00616655">
          <w:rPr>
            <w:rStyle w:val="Hyperlink"/>
            <w:rFonts w:ascii="Garamond" w:hAnsi="Garamond"/>
            <w:sz w:val="28"/>
            <w:szCs w:val="28"/>
          </w:rPr>
          <w:t>barend.j.van-leeuwen@durham.ac.uk</w:t>
        </w:r>
      </w:hyperlink>
      <w:r w:rsidR="00D223F7">
        <w:rPr>
          <w:rFonts w:ascii="Garamond" w:hAnsi="Garamond"/>
          <w:sz w:val="28"/>
          <w:szCs w:val="28"/>
        </w:rPr>
        <w:t xml:space="preserve"> </w:t>
      </w:r>
    </w:p>
    <w:p w14:paraId="06EC9FF1" w14:textId="77777777" w:rsidR="00D223F7" w:rsidRDefault="00D223F7" w:rsidP="00D223F7">
      <w:pPr>
        <w:rPr>
          <w:rFonts w:ascii="Garamond" w:hAnsi="Garamond"/>
          <w:sz w:val="28"/>
          <w:szCs w:val="28"/>
        </w:rPr>
      </w:pPr>
    </w:p>
    <w:p w14:paraId="3EC0923B" w14:textId="77777777" w:rsidR="00D223F7" w:rsidRDefault="00D223F7" w:rsidP="00D223F7">
      <w:pPr>
        <w:rPr>
          <w:rFonts w:ascii="Garamond" w:hAnsi="Garamond"/>
          <w:sz w:val="28"/>
          <w:szCs w:val="28"/>
        </w:rPr>
      </w:pPr>
    </w:p>
    <w:p w14:paraId="7CB6A551" w14:textId="77777777" w:rsidR="00D223F7" w:rsidRDefault="00D223F7" w:rsidP="00D223F7">
      <w:pPr>
        <w:rPr>
          <w:rFonts w:ascii="Garamond" w:hAnsi="Garamond"/>
          <w:sz w:val="28"/>
          <w:szCs w:val="28"/>
        </w:rPr>
      </w:pPr>
    </w:p>
    <w:p w14:paraId="05F103FF" w14:textId="77777777" w:rsidR="00D223F7" w:rsidRDefault="00D223F7" w:rsidP="00D223F7">
      <w:pPr>
        <w:rPr>
          <w:rFonts w:ascii="Garamond" w:hAnsi="Garamond"/>
          <w:sz w:val="28"/>
          <w:szCs w:val="28"/>
        </w:rPr>
      </w:pPr>
    </w:p>
    <w:p w14:paraId="0A3312F3" w14:textId="77777777" w:rsidR="00D223F7" w:rsidRDefault="00D223F7" w:rsidP="00D223F7">
      <w:pPr>
        <w:rPr>
          <w:rFonts w:ascii="Garamond" w:hAnsi="Garamond"/>
          <w:sz w:val="28"/>
          <w:szCs w:val="28"/>
        </w:rPr>
      </w:pPr>
    </w:p>
    <w:p w14:paraId="646AA86D" w14:textId="77777777" w:rsidR="00D223F7" w:rsidRDefault="00D223F7" w:rsidP="00D223F7">
      <w:pPr>
        <w:rPr>
          <w:rFonts w:ascii="Garamond" w:hAnsi="Garamond"/>
          <w:sz w:val="28"/>
          <w:szCs w:val="28"/>
        </w:rPr>
      </w:pPr>
    </w:p>
    <w:p w14:paraId="6ACC479E" w14:textId="77777777" w:rsidR="00D223F7" w:rsidRDefault="00D223F7" w:rsidP="00D223F7">
      <w:pPr>
        <w:rPr>
          <w:rFonts w:ascii="Garamond" w:hAnsi="Garamond"/>
          <w:sz w:val="28"/>
          <w:szCs w:val="28"/>
        </w:rPr>
      </w:pPr>
    </w:p>
    <w:p w14:paraId="39E4796D" w14:textId="77777777" w:rsidR="00D223F7" w:rsidRDefault="00D223F7" w:rsidP="00D223F7">
      <w:pPr>
        <w:rPr>
          <w:rFonts w:ascii="Garamond" w:hAnsi="Garamond"/>
          <w:sz w:val="28"/>
          <w:szCs w:val="28"/>
        </w:rPr>
      </w:pPr>
    </w:p>
    <w:p w14:paraId="0D131C59" w14:textId="77777777" w:rsidR="00D223F7" w:rsidRDefault="00D223F7" w:rsidP="00D223F7">
      <w:pPr>
        <w:rPr>
          <w:rFonts w:ascii="Garamond" w:hAnsi="Garamond"/>
          <w:sz w:val="28"/>
          <w:szCs w:val="28"/>
        </w:rPr>
      </w:pPr>
    </w:p>
    <w:p w14:paraId="31333C54" w14:textId="77777777" w:rsidR="00D223F7" w:rsidRDefault="0022342C" w:rsidP="00D223F7">
      <w:pPr>
        <w:jc w:val="center"/>
        <w:rPr>
          <w:rFonts w:ascii="Garamond" w:hAnsi="Garamond"/>
          <w:b/>
          <w:sz w:val="40"/>
          <w:szCs w:val="40"/>
        </w:rPr>
      </w:pPr>
      <w:r w:rsidRPr="0022342C">
        <w:rPr>
          <w:rFonts w:ascii="Garamond" w:hAnsi="Garamond"/>
          <w:b/>
          <w:noProof/>
          <w:sz w:val="40"/>
          <w:szCs w:val="40"/>
          <w:lang w:eastAsia="en-GB"/>
        </w:rPr>
        <w:lastRenderedPageBreak/>
        <mc:AlternateContent>
          <mc:Choice Requires="wps">
            <w:drawing>
              <wp:anchor distT="0" distB="0" distL="114300" distR="114300" simplePos="0" relativeHeight="251659264" behindDoc="0" locked="0" layoutInCell="1" allowOverlap="1" wp14:anchorId="6796DE10" wp14:editId="21D1F4CA">
                <wp:simplePos x="0" y="0"/>
                <wp:positionH relativeFrom="column">
                  <wp:posOffset>-57150</wp:posOffset>
                </wp:positionH>
                <wp:positionV relativeFrom="paragraph">
                  <wp:posOffset>619125</wp:posOffset>
                </wp:positionV>
                <wp:extent cx="2971800" cy="7334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33425"/>
                        </a:xfrm>
                        <a:prstGeom prst="rect">
                          <a:avLst/>
                        </a:prstGeom>
                        <a:solidFill>
                          <a:srgbClr val="FFFFFF"/>
                        </a:solidFill>
                        <a:ln w="9525">
                          <a:solidFill>
                            <a:srgbClr val="000000"/>
                          </a:solidFill>
                          <a:miter lim="800000"/>
                          <a:headEnd/>
                          <a:tailEnd/>
                        </a:ln>
                      </wps:spPr>
                      <wps:txbx>
                        <w:txbxContent>
                          <w:p w14:paraId="0DD6465A" w14:textId="77777777" w:rsidR="009F5D01" w:rsidRPr="00C31BD2" w:rsidRDefault="009F5D01" w:rsidP="0022342C">
                            <w:pPr>
                              <w:pStyle w:val="ListParagraph"/>
                              <w:numPr>
                                <w:ilvl w:val="0"/>
                                <w:numId w:val="16"/>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Chapter 7</w:t>
                            </w:r>
                            <w:r w:rsidRPr="00C31BD2">
                              <w:rPr>
                                <w:rFonts w:ascii="Garamond" w:hAnsi="Garamond"/>
                                <w:i/>
                                <w:sz w:val="24"/>
                                <w:szCs w:val="24"/>
                              </w:rPr>
                              <w:t>, or</w:t>
                            </w:r>
                          </w:p>
                          <w:p w14:paraId="7055AC2E" w14:textId="376866E7" w:rsidR="009F5D01" w:rsidRPr="00C31BD2" w:rsidRDefault="009F5D01" w:rsidP="0022342C">
                            <w:pPr>
                              <w:pStyle w:val="ListParagraph"/>
                              <w:numPr>
                                <w:ilvl w:val="0"/>
                                <w:numId w:val="16"/>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6356DF">
                              <w:rPr>
                                <w:rFonts w:ascii="Garamond" w:hAnsi="Garamond"/>
                                <w:i/>
                                <w:sz w:val="24"/>
                                <w:szCs w:val="24"/>
                              </w:rPr>
                              <w:t>4</w:t>
                            </w:r>
                            <w:r w:rsidR="00822322">
                              <w:rPr>
                                <w:rFonts w:ascii="Garamond" w:hAnsi="Garamond"/>
                                <w:i/>
                                <w:sz w:val="24"/>
                                <w:szCs w:val="24"/>
                              </w:rPr>
                              <w:t xml:space="preserve">, </w:t>
                            </w:r>
                            <w:r w:rsidR="006356DF">
                              <w:rPr>
                                <w:rFonts w:ascii="Garamond" w:hAnsi="Garamond"/>
                                <w:i/>
                                <w:sz w:val="24"/>
                                <w:szCs w:val="24"/>
                              </w:rPr>
                              <w:t>5</w:t>
                            </w:r>
                            <w:r w:rsidR="00822322">
                              <w:rPr>
                                <w:rFonts w:ascii="Garamond" w:hAnsi="Garamond"/>
                                <w:i/>
                                <w:sz w:val="24"/>
                                <w:szCs w:val="24"/>
                              </w:rPr>
                              <w:t xml:space="preserve"> and </w:t>
                            </w:r>
                            <w:r w:rsidR="006356DF">
                              <w:rPr>
                                <w:rFonts w:ascii="Garamond" w:hAnsi="Garamond"/>
                                <w:i/>
                                <w:sz w:val="24"/>
                                <w:szCs w:val="24"/>
                              </w:rPr>
                              <w:t>6</w:t>
                            </w:r>
                            <w:r>
                              <w:rPr>
                                <w:rFonts w:ascii="Garamond" w:hAnsi="Garamond"/>
                                <w:i/>
                                <w:sz w:val="24"/>
                                <w:szCs w:val="24"/>
                              </w:rPr>
                              <w:t>,</w:t>
                            </w:r>
                            <w:r w:rsidRPr="00C31BD2">
                              <w:rPr>
                                <w:rFonts w:ascii="Garamond" w:hAnsi="Garamond"/>
                                <w:i/>
                                <w:sz w:val="24"/>
                                <w:szCs w:val="24"/>
                              </w:rPr>
                              <w:t xml:space="preserve"> or</w:t>
                            </w:r>
                          </w:p>
                          <w:p w14:paraId="21BB5779" w14:textId="77777777" w:rsidR="009F5D01" w:rsidRPr="00C31BD2" w:rsidRDefault="009F5D01" w:rsidP="0022342C">
                            <w:pPr>
                              <w:pStyle w:val="ListParagraph"/>
                              <w:numPr>
                                <w:ilvl w:val="0"/>
                                <w:numId w:val="16"/>
                              </w:numPr>
                              <w:rPr>
                                <w:rFonts w:ascii="Garamond" w:hAnsi="Garamond"/>
                                <w:i/>
                                <w:sz w:val="24"/>
                                <w:szCs w:val="24"/>
                              </w:rPr>
                            </w:pPr>
                            <w:r>
                              <w:rPr>
                                <w:rFonts w:ascii="Garamond" w:hAnsi="Garamond"/>
                                <w:i/>
                                <w:sz w:val="24"/>
                                <w:szCs w:val="24"/>
                              </w:rPr>
                              <w:t>Barnard and Peers, Chapter 5</w:t>
                            </w:r>
                          </w:p>
                          <w:p w14:paraId="2B17930D" w14:textId="77777777" w:rsidR="009F5D01" w:rsidRDefault="009F5D01" w:rsidP="0022342C">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96DE10" id="_x0000_t202" coordsize="21600,21600" o:spt="202" path="m,l,21600r21600,l21600,xe">
                <v:stroke joinstyle="miter"/>
                <v:path gradientshapeok="t" o:connecttype="rect"/>
              </v:shapetype>
              <v:shape id="Text Box 2" o:spid="_x0000_s1026" type="#_x0000_t202" style="position:absolute;left:0;text-align:left;margin-left:-4.5pt;margin-top:48.75pt;width:234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">
                <v:textbox>
                  <w:txbxContent>
                    <w:p w14:paraId="0DD6465A" w14:textId="77777777" w:rsidR="009F5D01" w:rsidRPr="00C31BD2" w:rsidRDefault="009F5D01" w:rsidP="0022342C">
                      <w:pPr>
                        <w:pStyle w:val="ListParagraph"/>
                        <w:numPr>
                          <w:ilvl w:val="0"/>
                          <w:numId w:val="16"/>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Chapter 7</w:t>
                      </w:r>
                      <w:r w:rsidRPr="00C31BD2">
                        <w:rPr>
                          <w:rFonts w:ascii="Garamond" w:hAnsi="Garamond"/>
                          <w:i/>
                          <w:sz w:val="24"/>
                          <w:szCs w:val="24"/>
                        </w:rPr>
                        <w:t>, or</w:t>
                      </w:r>
                    </w:p>
                    <w:p w14:paraId="7055AC2E" w14:textId="376866E7" w:rsidR="009F5D01" w:rsidRPr="00C31BD2" w:rsidRDefault="009F5D01" w:rsidP="0022342C">
                      <w:pPr>
                        <w:pStyle w:val="ListParagraph"/>
                        <w:numPr>
                          <w:ilvl w:val="0"/>
                          <w:numId w:val="16"/>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w:t>
                      </w:r>
                      <w:r>
                        <w:rPr>
                          <w:rFonts w:ascii="Garamond" w:hAnsi="Garamond"/>
                          <w:i/>
                          <w:sz w:val="24"/>
                          <w:szCs w:val="24"/>
                        </w:rPr>
                        <w:t>ú</w:t>
                      </w:r>
                      <w:r w:rsidRPr="00C31BD2">
                        <w:rPr>
                          <w:rFonts w:ascii="Garamond" w:hAnsi="Garamond"/>
                          <w:i/>
                          <w:sz w:val="24"/>
                          <w:szCs w:val="24"/>
                        </w:rPr>
                        <w:t>rca</w:t>
                      </w:r>
                      <w:proofErr w:type="spellEnd"/>
                      <w:r w:rsidRPr="00C31BD2">
                        <w:rPr>
                          <w:rFonts w:ascii="Garamond" w:hAnsi="Garamond"/>
                          <w:i/>
                          <w:sz w:val="24"/>
                          <w:szCs w:val="24"/>
                        </w:rPr>
                        <w:t>, Chapter</w:t>
                      </w:r>
                      <w:r>
                        <w:rPr>
                          <w:rFonts w:ascii="Garamond" w:hAnsi="Garamond"/>
                          <w:i/>
                          <w:sz w:val="24"/>
                          <w:szCs w:val="24"/>
                        </w:rPr>
                        <w:t xml:space="preserve"> </w:t>
                      </w:r>
                      <w:r w:rsidR="006356DF">
                        <w:rPr>
                          <w:rFonts w:ascii="Garamond" w:hAnsi="Garamond"/>
                          <w:i/>
                          <w:sz w:val="24"/>
                          <w:szCs w:val="24"/>
                        </w:rPr>
                        <w:t>4</w:t>
                      </w:r>
                      <w:r w:rsidR="00822322">
                        <w:rPr>
                          <w:rFonts w:ascii="Garamond" w:hAnsi="Garamond"/>
                          <w:i/>
                          <w:sz w:val="24"/>
                          <w:szCs w:val="24"/>
                        </w:rPr>
                        <w:t xml:space="preserve">, </w:t>
                      </w:r>
                      <w:r w:rsidR="006356DF">
                        <w:rPr>
                          <w:rFonts w:ascii="Garamond" w:hAnsi="Garamond"/>
                          <w:i/>
                          <w:sz w:val="24"/>
                          <w:szCs w:val="24"/>
                        </w:rPr>
                        <w:t>5</w:t>
                      </w:r>
                      <w:r w:rsidR="00822322">
                        <w:rPr>
                          <w:rFonts w:ascii="Garamond" w:hAnsi="Garamond"/>
                          <w:i/>
                          <w:sz w:val="24"/>
                          <w:szCs w:val="24"/>
                        </w:rPr>
                        <w:t xml:space="preserve"> and </w:t>
                      </w:r>
                      <w:r w:rsidR="006356DF">
                        <w:rPr>
                          <w:rFonts w:ascii="Garamond" w:hAnsi="Garamond"/>
                          <w:i/>
                          <w:sz w:val="24"/>
                          <w:szCs w:val="24"/>
                        </w:rPr>
                        <w:t>6</w:t>
                      </w:r>
                      <w:r>
                        <w:rPr>
                          <w:rFonts w:ascii="Garamond" w:hAnsi="Garamond"/>
                          <w:i/>
                          <w:sz w:val="24"/>
                          <w:szCs w:val="24"/>
                        </w:rPr>
                        <w:t>,</w:t>
                      </w:r>
                      <w:r w:rsidRPr="00C31BD2">
                        <w:rPr>
                          <w:rFonts w:ascii="Garamond" w:hAnsi="Garamond"/>
                          <w:i/>
                          <w:sz w:val="24"/>
                          <w:szCs w:val="24"/>
                        </w:rPr>
                        <w:t xml:space="preserve"> or</w:t>
                      </w:r>
                    </w:p>
                    <w:p w14:paraId="21BB5779" w14:textId="77777777" w:rsidR="009F5D01" w:rsidRPr="00C31BD2" w:rsidRDefault="009F5D01" w:rsidP="0022342C">
                      <w:pPr>
                        <w:pStyle w:val="ListParagraph"/>
                        <w:numPr>
                          <w:ilvl w:val="0"/>
                          <w:numId w:val="16"/>
                        </w:numPr>
                        <w:rPr>
                          <w:rFonts w:ascii="Garamond" w:hAnsi="Garamond"/>
                          <w:i/>
                          <w:sz w:val="24"/>
                          <w:szCs w:val="24"/>
                        </w:rPr>
                      </w:pPr>
                      <w:r>
                        <w:rPr>
                          <w:rFonts w:ascii="Garamond" w:hAnsi="Garamond"/>
                          <w:i/>
                          <w:sz w:val="24"/>
                          <w:szCs w:val="24"/>
                        </w:rPr>
                        <w:t>Barnard and Peers, Chapter 5</w:t>
                      </w:r>
                    </w:p>
                    <w:p w14:paraId="2B17930D" w14:textId="77777777" w:rsidR="009F5D01" w:rsidRDefault="009F5D01" w:rsidP="0022342C">
                      <w:pPr>
                        <w:pStyle w:val="ListParagraph"/>
                      </w:pPr>
                    </w:p>
                  </w:txbxContent>
                </v:textbox>
              </v:shape>
            </w:pict>
          </mc:Fallback>
        </mc:AlternateContent>
      </w:r>
      <w:r w:rsidR="00D223F7">
        <w:rPr>
          <w:rFonts w:ascii="Garamond" w:hAnsi="Garamond"/>
          <w:b/>
          <w:sz w:val="40"/>
          <w:szCs w:val="40"/>
        </w:rPr>
        <w:t>EU COMPET</w:t>
      </w:r>
      <w:r w:rsidR="00563F48">
        <w:rPr>
          <w:rFonts w:ascii="Garamond" w:hAnsi="Garamond"/>
          <w:b/>
          <w:sz w:val="40"/>
          <w:szCs w:val="40"/>
        </w:rPr>
        <w:t>ENCES AND THE CONDITIONS FOR EU LAW-</w:t>
      </w:r>
      <w:r w:rsidR="00D223F7">
        <w:rPr>
          <w:rFonts w:ascii="Garamond" w:hAnsi="Garamond"/>
          <w:b/>
          <w:sz w:val="40"/>
          <w:szCs w:val="40"/>
        </w:rPr>
        <w:t>MAKING</w:t>
      </w:r>
    </w:p>
    <w:p w14:paraId="159E2C9F" w14:textId="77777777" w:rsidR="0022342C" w:rsidRDefault="0022342C" w:rsidP="00D223F7">
      <w:pPr>
        <w:jc w:val="center"/>
        <w:rPr>
          <w:rFonts w:ascii="Garamond" w:hAnsi="Garamond"/>
          <w:b/>
          <w:sz w:val="40"/>
          <w:szCs w:val="40"/>
        </w:rPr>
      </w:pPr>
    </w:p>
    <w:p w14:paraId="70229BE3" w14:textId="77777777" w:rsidR="0022342C" w:rsidRDefault="0022342C" w:rsidP="0022342C">
      <w:pPr>
        <w:pStyle w:val="ListParagraph"/>
        <w:rPr>
          <w:rFonts w:ascii="Garamond" w:hAnsi="Garamond"/>
          <w:b/>
          <w:sz w:val="24"/>
          <w:szCs w:val="24"/>
        </w:rPr>
      </w:pPr>
    </w:p>
    <w:p w14:paraId="7AC34248" w14:textId="77777777" w:rsidR="00D223F7" w:rsidRDefault="00D223F7" w:rsidP="00D223F7">
      <w:pPr>
        <w:pStyle w:val="ListParagraph"/>
        <w:numPr>
          <w:ilvl w:val="0"/>
          <w:numId w:val="1"/>
        </w:numPr>
        <w:rPr>
          <w:rFonts w:ascii="Garamond" w:hAnsi="Garamond"/>
          <w:b/>
          <w:sz w:val="24"/>
          <w:szCs w:val="24"/>
        </w:rPr>
      </w:pPr>
      <w:r>
        <w:rPr>
          <w:rFonts w:ascii="Garamond" w:hAnsi="Garamond"/>
          <w:b/>
          <w:sz w:val="24"/>
          <w:szCs w:val="24"/>
        </w:rPr>
        <w:t>EU competences</w:t>
      </w:r>
      <w:r w:rsidR="00FE5F42">
        <w:rPr>
          <w:rFonts w:ascii="Garamond" w:hAnsi="Garamond"/>
          <w:b/>
          <w:sz w:val="24"/>
          <w:szCs w:val="24"/>
        </w:rPr>
        <w:t xml:space="preserve"> and the conditions for EU law-making</w:t>
      </w:r>
    </w:p>
    <w:p w14:paraId="2FD2B6DF" w14:textId="4A98D829" w:rsidR="00D223F7" w:rsidRDefault="00D223F7" w:rsidP="00FE5F42">
      <w:pPr>
        <w:jc w:val="both"/>
        <w:rPr>
          <w:rFonts w:ascii="Garamond" w:hAnsi="Garamond"/>
          <w:sz w:val="24"/>
          <w:szCs w:val="24"/>
        </w:rPr>
      </w:pPr>
      <w:r>
        <w:rPr>
          <w:rFonts w:ascii="Garamond" w:hAnsi="Garamond"/>
          <w:sz w:val="24"/>
          <w:szCs w:val="24"/>
        </w:rPr>
        <w:t>The EU legislature does not have the power to do what</w:t>
      </w:r>
      <w:r w:rsidR="008D4C3F">
        <w:rPr>
          <w:rFonts w:ascii="Garamond" w:hAnsi="Garamond"/>
          <w:sz w:val="24"/>
          <w:szCs w:val="24"/>
        </w:rPr>
        <w:t>ever</w:t>
      </w:r>
      <w:r>
        <w:rPr>
          <w:rFonts w:ascii="Garamond" w:hAnsi="Garamond"/>
          <w:sz w:val="24"/>
          <w:szCs w:val="24"/>
        </w:rPr>
        <w:t xml:space="preserve"> it wants</w:t>
      </w:r>
      <w:r w:rsidR="008D4C3F">
        <w:rPr>
          <w:rFonts w:ascii="Garamond" w:hAnsi="Garamond"/>
          <w:sz w:val="24"/>
          <w:szCs w:val="24"/>
        </w:rPr>
        <w:t xml:space="preserve"> to do</w:t>
      </w:r>
      <w:r>
        <w:rPr>
          <w:rFonts w:ascii="Garamond" w:hAnsi="Garamond"/>
          <w:sz w:val="24"/>
          <w:szCs w:val="24"/>
        </w:rPr>
        <w:t xml:space="preserve"> – it does not enjoy parliamentary sovereignty or what the Germans would call “</w:t>
      </w:r>
      <w:proofErr w:type="spellStart"/>
      <w:r>
        <w:rPr>
          <w:rFonts w:ascii="Garamond" w:hAnsi="Garamond"/>
          <w:sz w:val="24"/>
          <w:szCs w:val="24"/>
        </w:rPr>
        <w:t>Kompetenz-Kompetenz</w:t>
      </w:r>
      <w:proofErr w:type="spellEnd"/>
      <w:r>
        <w:rPr>
          <w:rFonts w:ascii="Garamond" w:hAnsi="Garamond"/>
          <w:sz w:val="24"/>
          <w:szCs w:val="24"/>
        </w:rPr>
        <w:t>”. As a result, if the EU wants to adopt a legislative instrument, it will always have to show that it h</w:t>
      </w:r>
      <w:r w:rsidR="00FE5F42">
        <w:rPr>
          <w:rFonts w:ascii="Garamond" w:hAnsi="Garamond"/>
          <w:sz w:val="24"/>
          <w:szCs w:val="24"/>
        </w:rPr>
        <w:t>as the competence to do so. The EU’s</w:t>
      </w:r>
      <w:r>
        <w:rPr>
          <w:rFonts w:ascii="Garamond" w:hAnsi="Garamond"/>
          <w:sz w:val="24"/>
          <w:szCs w:val="24"/>
        </w:rPr>
        <w:t xml:space="preserve"> competences ha</w:t>
      </w:r>
      <w:r w:rsidR="00FE5F42">
        <w:rPr>
          <w:rFonts w:ascii="Garamond" w:hAnsi="Garamond"/>
          <w:sz w:val="24"/>
          <w:szCs w:val="24"/>
        </w:rPr>
        <w:t xml:space="preserve">ve </w:t>
      </w:r>
      <w:r>
        <w:rPr>
          <w:rFonts w:ascii="Garamond" w:hAnsi="Garamond"/>
          <w:sz w:val="24"/>
          <w:szCs w:val="24"/>
        </w:rPr>
        <w:t>been given to the EU by the M</w:t>
      </w:r>
      <w:r w:rsidR="00FE5F42">
        <w:rPr>
          <w:rFonts w:ascii="Garamond" w:hAnsi="Garamond"/>
          <w:sz w:val="24"/>
          <w:szCs w:val="24"/>
        </w:rPr>
        <w:t xml:space="preserve">ember States. This is what is called the principle of </w:t>
      </w:r>
      <w:r w:rsidR="00B206BC">
        <w:rPr>
          <w:rFonts w:ascii="Garamond" w:hAnsi="Garamond"/>
          <w:sz w:val="24"/>
          <w:szCs w:val="24"/>
        </w:rPr>
        <w:t>“</w:t>
      </w:r>
      <w:r w:rsidR="00FE5F42">
        <w:rPr>
          <w:rFonts w:ascii="Garamond" w:hAnsi="Garamond"/>
          <w:sz w:val="24"/>
          <w:szCs w:val="24"/>
        </w:rPr>
        <w:t>conferral</w:t>
      </w:r>
      <w:r w:rsidR="00B206BC">
        <w:rPr>
          <w:rFonts w:ascii="Garamond" w:hAnsi="Garamond"/>
          <w:sz w:val="24"/>
          <w:szCs w:val="24"/>
        </w:rPr>
        <w:t>”</w:t>
      </w:r>
      <w:r w:rsidR="00FE5F42">
        <w:rPr>
          <w:rFonts w:ascii="Garamond" w:hAnsi="Garamond"/>
          <w:sz w:val="24"/>
          <w:szCs w:val="24"/>
        </w:rPr>
        <w:t xml:space="preserve"> or </w:t>
      </w:r>
      <w:r w:rsidR="00B206BC">
        <w:rPr>
          <w:rFonts w:ascii="Garamond" w:hAnsi="Garamond"/>
          <w:sz w:val="24"/>
          <w:szCs w:val="24"/>
        </w:rPr>
        <w:t>“</w:t>
      </w:r>
      <w:r w:rsidR="00FE5F42">
        <w:rPr>
          <w:rFonts w:ascii="Garamond" w:hAnsi="Garamond"/>
          <w:sz w:val="24"/>
          <w:szCs w:val="24"/>
        </w:rPr>
        <w:t>attribution</w:t>
      </w:r>
      <w:r w:rsidR="00B206BC">
        <w:rPr>
          <w:rFonts w:ascii="Garamond" w:hAnsi="Garamond"/>
          <w:sz w:val="24"/>
          <w:szCs w:val="24"/>
        </w:rPr>
        <w:t>”</w:t>
      </w:r>
      <w:r w:rsidR="00FE5F42">
        <w:rPr>
          <w:rFonts w:ascii="Garamond" w:hAnsi="Garamond"/>
          <w:sz w:val="24"/>
          <w:szCs w:val="24"/>
        </w:rPr>
        <w:t xml:space="preserve"> – the EU only has those powers which have been conferred to it by the Member States. For every piece of legislation that it adopts, the EU will have to show that it is within one of its competences. If the EU adopts an act for which it does not have the competence, the act is legally void.</w:t>
      </w:r>
    </w:p>
    <w:p w14:paraId="41BE6673" w14:textId="5DC4AC42" w:rsidR="00FE5F42" w:rsidRDefault="00FE5F42" w:rsidP="00FE5F42">
      <w:pPr>
        <w:jc w:val="both"/>
        <w:rPr>
          <w:rFonts w:ascii="Garamond" w:hAnsi="Garamond"/>
          <w:sz w:val="24"/>
          <w:szCs w:val="24"/>
        </w:rPr>
      </w:pPr>
      <w:r>
        <w:rPr>
          <w:rFonts w:ascii="Garamond" w:hAnsi="Garamond"/>
          <w:sz w:val="24"/>
          <w:szCs w:val="24"/>
        </w:rPr>
        <w:t xml:space="preserve">Articles 2-6 TFEU explain in which areas the EU has the competence to act, and what type of competences exist. Article 5 TEU </w:t>
      </w:r>
      <w:r w:rsidR="003F4A7B">
        <w:rPr>
          <w:rFonts w:ascii="Garamond" w:hAnsi="Garamond"/>
          <w:sz w:val="24"/>
          <w:szCs w:val="24"/>
        </w:rPr>
        <w:t>sets out the</w:t>
      </w:r>
      <w:r w:rsidR="00C21873">
        <w:rPr>
          <w:rFonts w:ascii="Garamond" w:hAnsi="Garamond"/>
          <w:sz w:val="24"/>
          <w:szCs w:val="24"/>
        </w:rPr>
        <w:t xml:space="preserve"> three</w:t>
      </w:r>
      <w:r>
        <w:rPr>
          <w:rFonts w:ascii="Garamond" w:hAnsi="Garamond"/>
          <w:sz w:val="24"/>
          <w:szCs w:val="24"/>
        </w:rPr>
        <w:t xml:space="preserve"> conditions the EU </w:t>
      </w:r>
      <w:proofErr w:type="gramStart"/>
      <w:r>
        <w:rPr>
          <w:rFonts w:ascii="Garamond" w:hAnsi="Garamond"/>
          <w:sz w:val="24"/>
          <w:szCs w:val="24"/>
        </w:rPr>
        <w:t>has to</w:t>
      </w:r>
      <w:proofErr w:type="gramEnd"/>
      <w:r>
        <w:rPr>
          <w:rFonts w:ascii="Garamond" w:hAnsi="Garamond"/>
          <w:sz w:val="24"/>
          <w:szCs w:val="24"/>
        </w:rPr>
        <w:t xml:space="preserve"> comply</w:t>
      </w:r>
      <w:r w:rsidR="003F4A7B">
        <w:rPr>
          <w:rFonts w:ascii="Garamond" w:hAnsi="Garamond"/>
          <w:sz w:val="24"/>
          <w:szCs w:val="24"/>
        </w:rPr>
        <w:t xml:space="preserve"> with</w:t>
      </w:r>
      <w:r>
        <w:rPr>
          <w:rFonts w:ascii="Garamond" w:hAnsi="Garamond"/>
          <w:sz w:val="24"/>
          <w:szCs w:val="24"/>
        </w:rPr>
        <w:t xml:space="preserve"> if it wants to adopt legislation (</w:t>
      </w:r>
      <w:r w:rsidR="003F4A7B">
        <w:rPr>
          <w:rFonts w:ascii="Garamond" w:hAnsi="Garamond"/>
          <w:sz w:val="24"/>
          <w:szCs w:val="24"/>
        </w:rPr>
        <w:t xml:space="preserve">the principles of </w:t>
      </w:r>
      <w:r>
        <w:rPr>
          <w:rFonts w:ascii="Garamond" w:hAnsi="Garamond"/>
          <w:sz w:val="24"/>
          <w:szCs w:val="24"/>
        </w:rPr>
        <w:t>conferral, subsidiarity and proportionality):</w:t>
      </w:r>
    </w:p>
    <w:p w14:paraId="406D10A9" w14:textId="77777777" w:rsidR="00FE5F42" w:rsidRDefault="00FE5F42" w:rsidP="00FE5F42">
      <w:pPr>
        <w:pStyle w:val="ListParagraph"/>
        <w:numPr>
          <w:ilvl w:val="0"/>
          <w:numId w:val="2"/>
        </w:numPr>
        <w:jc w:val="both"/>
        <w:rPr>
          <w:rFonts w:ascii="Garamond" w:hAnsi="Garamond"/>
          <w:sz w:val="24"/>
          <w:szCs w:val="24"/>
        </w:rPr>
      </w:pPr>
      <w:r>
        <w:rPr>
          <w:rFonts w:ascii="Garamond" w:hAnsi="Garamond"/>
          <w:sz w:val="24"/>
          <w:szCs w:val="24"/>
        </w:rPr>
        <w:t xml:space="preserve">The </w:t>
      </w:r>
      <w:r w:rsidRPr="002369A3">
        <w:rPr>
          <w:rFonts w:ascii="Garamond" w:hAnsi="Garamond"/>
          <w:sz w:val="24"/>
          <w:szCs w:val="24"/>
          <w:u w:val="single"/>
        </w:rPr>
        <w:t>principle of conferral</w:t>
      </w:r>
      <w:r>
        <w:rPr>
          <w:rFonts w:ascii="Garamond" w:hAnsi="Garamond"/>
          <w:sz w:val="24"/>
          <w:szCs w:val="24"/>
        </w:rPr>
        <w:t xml:space="preserve"> (Article 5(2) TEU):</w:t>
      </w:r>
    </w:p>
    <w:p w14:paraId="3324F6CA" w14:textId="77777777" w:rsidR="00FE5F42" w:rsidRPr="00FE5F42" w:rsidRDefault="00FE5F42" w:rsidP="00FE5F42">
      <w:pPr>
        <w:pStyle w:val="ListParagraph"/>
        <w:ind w:left="1080"/>
        <w:jc w:val="both"/>
        <w:rPr>
          <w:rFonts w:ascii="Garamond" w:hAnsi="Garamond"/>
          <w:sz w:val="24"/>
          <w:szCs w:val="24"/>
        </w:rPr>
      </w:pPr>
    </w:p>
    <w:p w14:paraId="2C1C8398" w14:textId="77777777" w:rsidR="00D223F7" w:rsidRPr="005802CA" w:rsidRDefault="00FE5F42" w:rsidP="00FE5F42">
      <w:pPr>
        <w:pStyle w:val="ListParagraph"/>
        <w:numPr>
          <w:ilvl w:val="0"/>
          <w:numId w:val="1"/>
        </w:numPr>
        <w:jc w:val="both"/>
        <w:rPr>
          <w:rFonts w:ascii="Garamond" w:hAnsi="Garamond"/>
          <w:i/>
          <w:sz w:val="24"/>
          <w:szCs w:val="24"/>
        </w:rPr>
      </w:pPr>
      <w:r w:rsidRPr="005802CA">
        <w:rPr>
          <w:rFonts w:ascii="Garamond" w:hAnsi="Garamond"/>
          <w:i/>
          <w:sz w:val="24"/>
          <w:szCs w:val="24"/>
        </w:rPr>
        <w:t>Under the principle of conferral, the Union shall act only within the limits of the competences conferred upon it by the Member States in the Treaties to attain the objectives set out therein. Competences not conferred upon the Union in the Treaties remain with the Member States.</w:t>
      </w:r>
    </w:p>
    <w:p w14:paraId="5CF11A62" w14:textId="77777777" w:rsidR="00FE5F42" w:rsidRDefault="00FE5F42" w:rsidP="00FE5F42">
      <w:pPr>
        <w:pStyle w:val="ListParagraph"/>
        <w:ind w:left="1080"/>
        <w:jc w:val="both"/>
        <w:rPr>
          <w:rFonts w:ascii="Garamond" w:hAnsi="Garamond"/>
          <w:sz w:val="24"/>
          <w:szCs w:val="24"/>
        </w:rPr>
      </w:pPr>
    </w:p>
    <w:p w14:paraId="288E1C56" w14:textId="77777777" w:rsidR="00FE5F42" w:rsidRDefault="00FE5F42" w:rsidP="00FE5F42">
      <w:pPr>
        <w:pStyle w:val="ListParagraph"/>
        <w:numPr>
          <w:ilvl w:val="0"/>
          <w:numId w:val="2"/>
        </w:numPr>
        <w:jc w:val="both"/>
        <w:rPr>
          <w:rFonts w:ascii="Garamond" w:hAnsi="Garamond"/>
          <w:sz w:val="24"/>
          <w:szCs w:val="24"/>
        </w:rPr>
      </w:pPr>
      <w:r>
        <w:rPr>
          <w:rFonts w:ascii="Garamond" w:hAnsi="Garamond"/>
          <w:sz w:val="24"/>
          <w:szCs w:val="24"/>
        </w:rPr>
        <w:t xml:space="preserve">The </w:t>
      </w:r>
      <w:r w:rsidRPr="002369A3">
        <w:rPr>
          <w:rFonts w:ascii="Garamond" w:hAnsi="Garamond"/>
          <w:sz w:val="24"/>
          <w:szCs w:val="24"/>
          <w:u w:val="single"/>
        </w:rPr>
        <w:t>principle of subsidiarity</w:t>
      </w:r>
      <w:r>
        <w:rPr>
          <w:rFonts w:ascii="Garamond" w:hAnsi="Garamond"/>
          <w:sz w:val="24"/>
          <w:szCs w:val="24"/>
        </w:rPr>
        <w:t xml:space="preserve"> (Article 5(3) TEU):</w:t>
      </w:r>
    </w:p>
    <w:p w14:paraId="6EE1D6F2" w14:textId="77777777" w:rsidR="00FE5F42" w:rsidRDefault="00FE5F42" w:rsidP="00FE5F42">
      <w:pPr>
        <w:pStyle w:val="ListParagraph"/>
        <w:ind w:left="1080"/>
        <w:jc w:val="both"/>
        <w:rPr>
          <w:rFonts w:ascii="Garamond" w:hAnsi="Garamond"/>
          <w:sz w:val="24"/>
          <w:szCs w:val="24"/>
        </w:rPr>
      </w:pPr>
    </w:p>
    <w:p w14:paraId="68FFFB98" w14:textId="77777777" w:rsidR="00FE5F42" w:rsidRPr="005802CA" w:rsidRDefault="00FE5F42" w:rsidP="00FE5F42">
      <w:pPr>
        <w:pStyle w:val="ListParagraph"/>
        <w:numPr>
          <w:ilvl w:val="0"/>
          <w:numId w:val="1"/>
        </w:numPr>
        <w:jc w:val="both"/>
        <w:rPr>
          <w:rFonts w:ascii="Garamond" w:hAnsi="Garamond"/>
          <w:i/>
          <w:sz w:val="24"/>
          <w:szCs w:val="24"/>
        </w:rPr>
      </w:pPr>
      <w:r w:rsidRPr="005802CA">
        <w:rPr>
          <w:rFonts w:ascii="Garamond" w:hAnsi="Garamond"/>
          <w:i/>
          <w:sz w:val="24"/>
          <w:szCs w:val="24"/>
        </w:rPr>
        <w:t>Under the principle of subsidiarity, in areas which do not fall within its exclusive competence, the Union shall act only if and in so far as the objectives of the proposed action cannot be sufficiently achieved by the Member States, either at central level or at regional and local level, but can rather, by reason of the scale or effects of the proposed action, be better achieved at Union level.</w:t>
      </w:r>
    </w:p>
    <w:p w14:paraId="3F63F5D2" w14:textId="77777777" w:rsidR="00FE5F42" w:rsidRPr="005802CA" w:rsidRDefault="00FE5F42" w:rsidP="00FE5F42">
      <w:pPr>
        <w:pStyle w:val="ListParagraph"/>
        <w:jc w:val="both"/>
        <w:rPr>
          <w:rFonts w:ascii="Garamond" w:hAnsi="Garamond"/>
          <w:i/>
          <w:sz w:val="24"/>
          <w:szCs w:val="24"/>
        </w:rPr>
      </w:pPr>
      <w:r w:rsidRPr="005802CA">
        <w:rPr>
          <w:rFonts w:ascii="Garamond" w:hAnsi="Garamond"/>
          <w:i/>
          <w:sz w:val="24"/>
          <w:szCs w:val="24"/>
        </w:rPr>
        <w:t>The institutions</w:t>
      </w:r>
      <w:r w:rsidR="005802CA" w:rsidRPr="005802CA">
        <w:rPr>
          <w:rFonts w:ascii="Garamond" w:hAnsi="Garamond"/>
          <w:i/>
          <w:sz w:val="24"/>
          <w:szCs w:val="24"/>
        </w:rPr>
        <w:t xml:space="preserve"> of the Union shall apply the principle of subsidiarity as laid down in the Protection on the application of the principles of subsidiarity and proportionality. National Parliaments ensure compliance with the principle of subsidiarity in accordance with the procedure set out in the protocol.</w:t>
      </w:r>
    </w:p>
    <w:p w14:paraId="78DA5FF0" w14:textId="77777777" w:rsidR="005802CA" w:rsidRDefault="005802CA" w:rsidP="00FE5F42">
      <w:pPr>
        <w:pStyle w:val="ListParagraph"/>
        <w:jc w:val="both"/>
        <w:rPr>
          <w:rFonts w:ascii="Garamond" w:hAnsi="Garamond"/>
          <w:sz w:val="24"/>
          <w:szCs w:val="24"/>
        </w:rPr>
      </w:pPr>
    </w:p>
    <w:p w14:paraId="6C9F748B" w14:textId="77777777" w:rsidR="005802CA" w:rsidRDefault="005802CA" w:rsidP="005802CA">
      <w:pPr>
        <w:pStyle w:val="ListParagraph"/>
        <w:numPr>
          <w:ilvl w:val="0"/>
          <w:numId w:val="2"/>
        </w:numPr>
        <w:jc w:val="both"/>
        <w:rPr>
          <w:rFonts w:ascii="Garamond" w:hAnsi="Garamond"/>
          <w:sz w:val="24"/>
          <w:szCs w:val="24"/>
        </w:rPr>
      </w:pPr>
      <w:r>
        <w:rPr>
          <w:rFonts w:ascii="Garamond" w:hAnsi="Garamond"/>
          <w:sz w:val="24"/>
          <w:szCs w:val="24"/>
        </w:rPr>
        <w:t xml:space="preserve">The </w:t>
      </w:r>
      <w:r w:rsidRPr="002369A3">
        <w:rPr>
          <w:rFonts w:ascii="Garamond" w:hAnsi="Garamond"/>
          <w:sz w:val="24"/>
          <w:szCs w:val="24"/>
          <w:u w:val="single"/>
        </w:rPr>
        <w:t>principle of proportionality</w:t>
      </w:r>
      <w:r>
        <w:rPr>
          <w:rFonts w:ascii="Garamond" w:hAnsi="Garamond"/>
          <w:sz w:val="24"/>
          <w:szCs w:val="24"/>
        </w:rPr>
        <w:t xml:space="preserve"> (Article 5(4) TEU):</w:t>
      </w:r>
    </w:p>
    <w:p w14:paraId="3C46EA2A" w14:textId="77777777" w:rsidR="005802CA" w:rsidRDefault="005802CA" w:rsidP="005802CA">
      <w:pPr>
        <w:pStyle w:val="ListParagraph"/>
        <w:ind w:left="1080"/>
        <w:jc w:val="both"/>
        <w:rPr>
          <w:rFonts w:ascii="Garamond" w:hAnsi="Garamond"/>
          <w:sz w:val="24"/>
          <w:szCs w:val="24"/>
        </w:rPr>
      </w:pPr>
    </w:p>
    <w:p w14:paraId="079215DE" w14:textId="77777777" w:rsidR="005802CA" w:rsidRPr="005802CA" w:rsidRDefault="005802CA" w:rsidP="005802CA">
      <w:pPr>
        <w:pStyle w:val="ListParagraph"/>
        <w:numPr>
          <w:ilvl w:val="0"/>
          <w:numId w:val="1"/>
        </w:numPr>
        <w:jc w:val="both"/>
        <w:rPr>
          <w:rFonts w:ascii="Garamond" w:hAnsi="Garamond"/>
          <w:i/>
          <w:sz w:val="24"/>
          <w:szCs w:val="24"/>
        </w:rPr>
      </w:pPr>
      <w:r w:rsidRPr="005802CA">
        <w:rPr>
          <w:rFonts w:ascii="Garamond" w:hAnsi="Garamond"/>
          <w:i/>
          <w:sz w:val="24"/>
          <w:szCs w:val="24"/>
        </w:rPr>
        <w:t>Under the principle of proportionality, the content and form of Union action shall not exceed what is necessary to achieve the objectives of the Treaties.</w:t>
      </w:r>
    </w:p>
    <w:p w14:paraId="0A5D9981" w14:textId="77777777" w:rsidR="005802CA" w:rsidRPr="005802CA" w:rsidRDefault="005802CA" w:rsidP="005802CA">
      <w:pPr>
        <w:pStyle w:val="ListParagraph"/>
        <w:jc w:val="both"/>
        <w:rPr>
          <w:rFonts w:ascii="Garamond" w:hAnsi="Garamond"/>
          <w:i/>
          <w:sz w:val="24"/>
          <w:szCs w:val="24"/>
        </w:rPr>
      </w:pPr>
      <w:r w:rsidRPr="005802CA">
        <w:rPr>
          <w:rFonts w:ascii="Garamond" w:hAnsi="Garamond"/>
          <w:i/>
          <w:sz w:val="24"/>
          <w:szCs w:val="24"/>
        </w:rPr>
        <w:t>The institutions of the Union shall apply the principle of proportionality as laid down in the Protocol on the application of the principles of subsidiarity and proportionality.</w:t>
      </w:r>
    </w:p>
    <w:p w14:paraId="43D691A6" w14:textId="77777777" w:rsidR="005802CA" w:rsidRDefault="005802CA" w:rsidP="005802CA">
      <w:pPr>
        <w:jc w:val="both"/>
        <w:rPr>
          <w:rFonts w:ascii="Garamond" w:hAnsi="Garamond"/>
          <w:sz w:val="24"/>
          <w:szCs w:val="24"/>
        </w:rPr>
      </w:pPr>
      <w:r>
        <w:rPr>
          <w:rFonts w:ascii="Garamond" w:hAnsi="Garamond"/>
          <w:sz w:val="24"/>
          <w:szCs w:val="24"/>
        </w:rPr>
        <w:lastRenderedPageBreak/>
        <w:t>We are going to look at each of these principles in detail. However, before we can do this, we first</w:t>
      </w:r>
      <w:r w:rsidR="006D2508">
        <w:rPr>
          <w:rFonts w:ascii="Garamond" w:hAnsi="Garamond"/>
          <w:sz w:val="24"/>
          <w:szCs w:val="24"/>
        </w:rPr>
        <w:t xml:space="preserve"> </w:t>
      </w:r>
      <w:proofErr w:type="gramStart"/>
      <w:r w:rsidR="006D2508">
        <w:rPr>
          <w:rFonts w:ascii="Garamond" w:hAnsi="Garamond"/>
          <w:sz w:val="24"/>
          <w:szCs w:val="24"/>
        </w:rPr>
        <w:t>have to</w:t>
      </w:r>
      <w:proofErr w:type="gramEnd"/>
      <w:r w:rsidR="006D2508">
        <w:rPr>
          <w:rFonts w:ascii="Garamond" w:hAnsi="Garamond"/>
          <w:sz w:val="24"/>
          <w:szCs w:val="24"/>
        </w:rPr>
        <w:t xml:space="preserve"> look at the different </w:t>
      </w:r>
      <w:r>
        <w:rPr>
          <w:rFonts w:ascii="Garamond" w:hAnsi="Garamond"/>
          <w:sz w:val="24"/>
          <w:szCs w:val="24"/>
        </w:rPr>
        <w:t>types of competences that the EU has been given by the Member States.</w:t>
      </w:r>
    </w:p>
    <w:p w14:paraId="199E7874" w14:textId="77777777" w:rsidR="005802CA" w:rsidRDefault="005802CA" w:rsidP="005802CA">
      <w:pPr>
        <w:pStyle w:val="ListParagraph"/>
        <w:numPr>
          <w:ilvl w:val="0"/>
          <w:numId w:val="4"/>
        </w:numPr>
        <w:jc w:val="both"/>
        <w:rPr>
          <w:rFonts w:ascii="Garamond" w:hAnsi="Garamond"/>
          <w:b/>
          <w:sz w:val="24"/>
          <w:szCs w:val="24"/>
        </w:rPr>
      </w:pPr>
      <w:r>
        <w:rPr>
          <w:rFonts w:ascii="Garamond" w:hAnsi="Garamond"/>
          <w:b/>
          <w:sz w:val="24"/>
          <w:szCs w:val="24"/>
        </w:rPr>
        <w:t>The different types of EU competences</w:t>
      </w:r>
    </w:p>
    <w:p w14:paraId="6F7FCA3D" w14:textId="77777777" w:rsidR="005802CA" w:rsidRDefault="005802CA" w:rsidP="005802CA">
      <w:pPr>
        <w:pStyle w:val="ListParagraph"/>
        <w:jc w:val="both"/>
        <w:rPr>
          <w:rFonts w:ascii="Garamond" w:hAnsi="Garamond"/>
          <w:b/>
          <w:sz w:val="24"/>
          <w:szCs w:val="24"/>
        </w:rPr>
      </w:pPr>
    </w:p>
    <w:p w14:paraId="147E66AC" w14:textId="1898FCE5" w:rsidR="005802CA" w:rsidRDefault="005802CA" w:rsidP="005802CA">
      <w:pPr>
        <w:pStyle w:val="ListParagraph"/>
        <w:numPr>
          <w:ilvl w:val="0"/>
          <w:numId w:val="5"/>
        </w:numPr>
        <w:jc w:val="both"/>
        <w:rPr>
          <w:rFonts w:ascii="Garamond" w:hAnsi="Garamond"/>
          <w:sz w:val="24"/>
          <w:szCs w:val="24"/>
        </w:rPr>
      </w:pPr>
      <w:r w:rsidRPr="002369A3">
        <w:rPr>
          <w:rFonts w:ascii="Garamond" w:hAnsi="Garamond"/>
          <w:sz w:val="24"/>
          <w:szCs w:val="24"/>
          <w:u w:val="single"/>
        </w:rPr>
        <w:t>Exclusive competences</w:t>
      </w:r>
      <w:r>
        <w:rPr>
          <w:rFonts w:ascii="Garamond" w:hAnsi="Garamond"/>
          <w:sz w:val="24"/>
          <w:szCs w:val="24"/>
        </w:rPr>
        <w:t xml:space="preserve"> (Article 3 TFEU): if a competence is an exclusive competence of the EU, the Member States have given all the power to act to the EU. The Member States are no longer competent to act – the EU is the only one who can adopt legislation in these areas.</w:t>
      </w:r>
      <w:r w:rsidR="00A53DA3">
        <w:rPr>
          <w:rFonts w:ascii="Garamond" w:hAnsi="Garamond"/>
          <w:sz w:val="24"/>
          <w:szCs w:val="24"/>
        </w:rPr>
        <w:t xml:space="preserve"> As a result, the principle of subsidiarity does not apply to the exclusive competences of the EU. After all, the choice </w:t>
      </w:r>
      <w:r w:rsidR="00A53DA3" w:rsidRPr="003F4A7B">
        <w:rPr>
          <w:rFonts w:ascii="Garamond" w:hAnsi="Garamond"/>
          <w:i/>
          <w:iCs/>
          <w:sz w:val="24"/>
          <w:szCs w:val="24"/>
        </w:rPr>
        <w:t>who</w:t>
      </w:r>
      <w:r w:rsidR="00A53DA3">
        <w:rPr>
          <w:rFonts w:ascii="Garamond" w:hAnsi="Garamond"/>
          <w:sz w:val="24"/>
          <w:szCs w:val="24"/>
        </w:rPr>
        <w:t xml:space="preserve"> should act in these fields has already been made by giving the EU the exclusive (</w:t>
      </w:r>
      <w:proofErr w:type="gramStart"/>
      <w:r w:rsidR="00A53DA3">
        <w:rPr>
          <w:rFonts w:ascii="Garamond" w:hAnsi="Garamond"/>
          <w:sz w:val="24"/>
          <w:szCs w:val="24"/>
        </w:rPr>
        <w:t>i.e.</w:t>
      </w:r>
      <w:proofErr w:type="gramEnd"/>
      <w:r w:rsidR="00A53DA3">
        <w:rPr>
          <w:rFonts w:ascii="Garamond" w:hAnsi="Garamond"/>
          <w:sz w:val="24"/>
          <w:szCs w:val="24"/>
        </w:rPr>
        <w:t xml:space="preserve"> the only) power to act.</w:t>
      </w:r>
      <w:r>
        <w:rPr>
          <w:rFonts w:ascii="Garamond" w:hAnsi="Garamond"/>
          <w:sz w:val="24"/>
          <w:szCs w:val="24"/>
        </w:rPr>
        <w:t xml:space="preserve"> </w:t>
      </w:r>
      <w:r w:rsidR="00AF2BC5">
        <w:rPr>
          <w:rFonts w:ascii="Garamond" w:hAnsi="Garamond"/>
          <w:sz w:val="24"/>
          <w:szCs w:val="24"/>
        </w:rPr>
        <w:t>However, the EU will still have to show that the legislation complies with the principle of proportionality.</w:t>
      </w:r>
    </w:p>
    <w:p w14:paraId="50358629" w14:textId="77777777" w:rsidR="00A53DA3" w:rsidRDefault="00A53DA3" w:rsidP="00A53DA3">
      <w:pPr>
        <w:pStyle w:val="ListParagraph"/>
        <w:ind w:left="1080"/>
        <w:jc w:val="both"/>
        <w:rPr>
          <w:rFonts w:ascii="Garamond" w:hAnsi="Garamond"/>
          <w:sz w:val="24"/>
          <w:szCs w:val="24"/>
        </w:rPr>
      </w:pPr>
    </w:p>
    <w:p w14:paraId="3068BD25" w14:textId="77777777" w:rsidR="005802CA" w:rsidRDefault="005802CA" w:rsidP="005802CA">
      <w:pPr>
        <w:pStyle w:val="ListParagraph"/>
        <w:numPr>
          <w:ilvl w:val="0"/>
          <w:numId w:val="5"/>
        </w:numPr>
        <w:jc w:val="both"/>
        <w:rPr>
          <w:rFonts w:ascii="Garamond" w:hAnsi="Garamond"/>
          <w:sz w:val="24"/>
          <w:szCs w:val="24"/>
        </w:rPr>
      </w:pPr>
      <w:r w:rsidRPr="002369A3">
        <w:rPr>
          <w:rFonts w:ascii="Garamond" w:hAnsi="Garamond"/>
          <w:sz w:val="24"/>
          <w:szCs w:val="24"/>
          <w:u w:val="single"/>
        </w:rPr>
        <w:t>Shared competences</w:t>
      </w:r>
      <w:r>
        <w:rPr>
          <w:rFonts w:ascii="Garamond" w:hAnsi="Garamond"/>
          <w:sz w:val="24"/>
          <w:szCs w:val="24"/>
        </w:rPr>
        <w:t xml:space="preserve"> (Article 4 TFEU): if a competence</w:t>
      </w:r>
      <w:r w:rsidR="00A53DA3">
        <w:rPr>
          <w:rFonts w:ascii="Garamond" w:hAnsi="Garamond"/>
          <w:sz w:val="24"/>
          <w:szCs w:val="24"/>
        </w:rPr>
        <w:t xml:space="preserve"> is shared (and this is the case for most EU competences, as you can see from the long and non-exhaustive list in Article 4 TFEU), this means that both the EU and the Member States have the competence to act. However, the EU and the Member States are not entirely at an equal footing: once the EU has acted and has “occupied the field”, Member States no longer have the competence to act. Therefore, the competence is shared </w:t>
      </w:r>
      <w:r w:rsidR="00A53DA3" w:rsidRPr="003F4A7B">
        <w:rPr>
          <w:rFonts w:ascii="Garamond" w:hAnsi="Garamond"/>
          <w:i/>
          <w:iCs/>
          <w:sz w:val="24"/>
          <w:szCs w:val="24"/>
        </w:rPr>
        <w:t>so long as</w:t>
      </w:r>
      <w:r w:rsidR="00A53DA3">
        <w:rPr>
          <w:rFonts w:ascii="Garamond" w:hAnsi="Garamond"/>
          <w:sz w:val="24"/>
          <w:szCs w:val="24"/>
        </w:rPr>
        <w:t xml:space="preserve"> the EU has not acted. </w:t>
      </w:r>
    </w:p>
    <w:p w14:paraId="3D2CFDA6" w14:textId="77777777" w:rsidR="00A53DA3" w:rsidRPr="00A53DA3" w:rsidRDefault="00A53DA3" w:rsidP="00A53DA3">
      <w:pPr>
        <w:pStyle w:val="ListParagraph"/>
        <w:rPr>
          <w:rFonts w:ascii="Garamond" w:hAnsi="Garamond"/>
          <w:sz w:val="24"/>
          <w:szCs w:val="24"/>
        </w:rPr>
      </w:pPr>
    </w:p>
    <w:p w14:paraId="020B8E8B" w14:textId="77777777" w:rsidR="00A53DA3" w:rsidRDefault="00A53DA3" w:rsidP="005802CA">
      <w:pPr>
        <w:pStyle w:val="ListParagraph"/>
        <w:numPr>
          <w:ilvl w:val="0"/>
          <w:numId w:val="5"/>
        </w:numPr>
        <w:jc w:val="both"/>
        <w:rPr>
          <w:rFonts w:ascii="Garamond" w:hAnsi="Garamond"/>
          <w:sz w:val="24"/>
          <w:szCs w:val="24"/>
        </w:rPr>
      </w:pPr>
      <w:r w:rsidRPr="002369A3">
        <w:rPr>
          <w:rFonts w:ascii="Garamond" w:hAnsi="Garamond"/>
          <w:sz w:val="24"/>
          <w:szCs w:val="24"/>
          <w:u w:val="single"/>
        </w:rPr>
        <w:t>Coordinating/supporting competences</w:t>
      </w:r>
      <w:r>
        <w:rPr>
          <w:rFonts w:ascii="Garamond" w:hAnsi="Garamond"/>
          <w:sz w:val="24"/>
          <w:szCs w:val="24"/>
        </w:rPr>
        <w:t xml:space="preserve"> (Articles 5 and 6 TFEU): the concept of coordinating competence is relatively new and suggests a slightly stronger competence than the mere competence to support. In both situations, the EU does not have the power to adopt rules which replace national rules (harmonisation). All the EU can do is to adopt guidelines or policy acts which support the policies of the Member States. This means that the Member States have retained the exclusive competence to act in these areas.</w:t>
      </w:r>
    </w:p>
    <w:p w14:paraId="106817AE" w14:textId="77777777" w:rsidR="00A53DA3" w:rsidRPr="00A53DA3" w:rsidRDefault="00A53DA3" w:rsidP="00A53DA3">
      <w:pPr>
        <w:pStyle w:val="ListParagraph"/>
        <w:rPr>
          <w:rFonts w:ascii="Garamond" w:hAnsi="Garamond"/>
          <w:sz w:val="24"/>
          <w:szCs w:val="24"/>
        </w:rPr>
      </w:pPr>
    </w:p>
    <w:p w14:paraId="04613600" w14:textId="77777777" w:rsidR="00A53DA3" w:rsidRDefault="00A53DA3" w:rsidP="00A53DA3">
      <w:pPr>
        <w:pStyle w:val="ListParagraph"/>
        <w:numPr>
          <w:ilvl w:val="0"/>
          <w:numId w:val="4"/>
        </w:numPr>
        <w:jc w:val="both"/>
        <w:rPr>
          <w:rFonts w:ascii="Garamond" w:hAnsi="Garamond"/>
          <w:b/>
          <w:sz w:val="24"/>
          <w:szCs w:val="24"/>
        </w:rPr>
      </w:pPr>
      <w:r>
        <w:rPr>
          <w:rFonts w:ascii="Garamond" w:hAnsi="Garamond"/>
          <w:b/>
          <w:sz w:val="24"/>
          <w:szCs w:val="24"/>
        </w:rPr>
        <w:t>The principle of conferral</w:t>
      </w:r>
    </w:p>
    <w:p w14:paraId="20614291" w14:textId="77777777" w:rsidR="00A53DA3" w:rsidRDefault="00A53DA3" w:rsidP="00A53DA3">
      <w:pPr>
        <w:pStyle w:val="ListParagraph"/>
        <w:ind w:left="1080"/>
        <w:jc w:val="both"/>
        <w:rPr>
          <w:rFonts w:ascii="Garamond" w:hAnsi="Garamond"/>
          <w:sz w:val="24"/>
          <w:szCs w:val="24"/>
        </w:rPr>
      </w:pPr>
    </w:p>
    <w:p w14:paraId="4E4380BA" w14:textId="7E19D0B6" w:rsidR="00A53DA3" w:rsidRDefault="00A53DA3" w:rsidP="00A53DA3">
      <w:pPr>
        <w:pStyle w:val="ListParagraph"/>
        <w:numPr>
          <w:ilvl w:val="0"/>
          <w:numId w:val="6"/>
        </w:numPr>
        <w:jc w:val="both"/>
        <w:rPr>
          <w:rFonts w:ascii="Garamond" w:hAnsi="Garamond"/>
          <w:sz w:val="24"/>
          <w:szCs w:val="24"/>
        </w:rPr>
      </w:pPr>
      <w:r>
        <w:rPr>
          <w:rFonts w:ascii="Garamond" w:hAnsi="Garamond"/>
          <w:sz w:val="24"/>
          <w:szCs w:val="24"/>
        </w:rPr>
        <w:t xml:space="preserve">The principle of conferral means that the EU can only act when the Member States have conferred a particular competence to the EU in this field. In practice, this means that the EU will have to show that there is </w:t>
      </w:r>
      <w:r w:rsidRPr="00A53DA3">
        <w:rPr>
          <w:rFonts w:ascii="Garamond" w:hAnsi="Garamond"/>
          <w:i/>
          <w:sz w:val="24"/>
          <w:szCs w:val="24"/>
        </w:rPr>
        <w:t>a legal basis</w:t>
      </w:r>
      <w:r>
        <w:rPr>
          <w:rFonts w:ascii="Garamond" w:hAnsi="Garamond"/>
          <w:sz w:val="24"/>
          <w:szCs w:val="24"/>
        </w:rPr>
        <w:t xml:space="preserve"> to act. Most of the time, this legal basis will be an article in the Treaty (usually the TFEU) which gives the EU the power to adopt legislation or to </w:t>
      </w:r>
      <w:proofErr w:type="gramStart"/>
      <w:r>
        <w:rPr>
          <w:rFonts w:ascii="Garamond" w:hAnsi="Garamond"/>
          <w:sz w:val="24"/>
          <w:szCs w:val="24"/>
        </w:rPr>
        <w:t>take action</w:t>
      </w:r>
      <w:proofErr w:type="gramEnd"/>
      <w:r>
        <w:rPr>
          <w:rFonts w:ascii="Garamond" w:hAnsi="Garamond"/>
          <w:sz w:val="24"/>
          <w:szCs w:val="24"/>
        </w:rPr>
        <w:t xml:space="preserve"> in </w:t>
      </w:r>
      <w:r w:rsidR="00AF2BC5">
        <w:rPr>
          <w:rFonts w:ascii="Garamond" w:hAnsi="Garamond"/>
          <w:sz w:val="24"/>
          <w:szCs w:val="24"/>
        </w:rPr>
        <w:t xml:space="preserve">a </w:t>
      </w:r>
      <w:r>
        <w:rPr>
          <w:rFonts w:ascii="Garamond" w:hAnsi="Garamond"/>
          <w:sz w:val="24"/>
          <w:szCs w:val="24"/>
        </w:rPr>
        <w:t>particular field.</w:t>
      </w:r>
      <w:r w:rsidR="000160BE">
        <w:rPr>
          <w:rFonts w:ascii="Garamond" w:hAnsi="Garamond"/>
          <w:sz w:val="24"/>
          <w:szCs w:val="24"/>
        </w:rPr>
        <w:t xml:space="preserve"> The legal basis will always be mentioned just below the title of the EU act. </w:t>
      </w:r>
      <w:r>
        <w:rPr>
          <w:rFonts w:ascii="Garamond" w:hAnsi="Garamond"/>
          <w:sz w:val="24"/>
          <w:szCs w:val="24"/>
        </w:rPr>
        <w:t xml:space="preserve">Examples: Article 114 TFEU (the legal basis to improve the </w:t>
      </w:r>
      <w:r w:rsidR="000160BE">
        <w:rPr>
          <w:rFonts w:ascii="Garamond" w:hAnsi="Garamond"/>
          <w:sz w:val="24"/>
          <w:szCs w:val="24"/>
        </w:rPr>
        <w:t>internal market)</w:t>
      </w:r>
      <w:r w:rsidR="006356DF">
        <w:rPr>
          <w:rFonts w:ascii="Garamond" w:hAnsi="Garamond"/>
          <w:sz w:val="24"/>
          <w:szCs w:val="24"/>
        </w:rPr>
        <w:t xml:space="preserve">, </w:t>
      </w:r>
      <w:r w:rsidR="000160BE">
        <w:rPr>
          <w:rFonts w:ascii="Garamond" w:hAnsi="Garamond"/>
          <w:sz w:val="24"/>
          <w:szCs w:val="24"/>
        </w:rPr>
        <w:t>Article 169</w:t>
      </w:r>
      <w:r>
        <w:rPr>
          <w:rFonts w:ascii="Garamond" w:hAnsi="Garamond"/>
          <w:sz w:val="24"/>
          <w:szCs w:val="24"/>
        </w:rPr>
        <w:t xml:space="preserve"> TFEU </w:t>
      </w:r>
      <w:r w:rsidR="000160BE">
        <w:rPr>
          <w:rFonts w:ascii="Garamond" w:hAnsi="Garamond"/>
          <w:sz w:val="24"/>
          <w:szCs w:val="24"/>
        </w:rPr>
        <w:t xml:space="preserve">(the legal basis to </w:t>
      </w:r>
      <w:r w:rsidR="003F4A7B">
        <w:rPr>
          <w:rFonts w:ascii="Garamond" w:hAnsi="Garamond"/>
          <w:sz w:val="24"/>
          <w:szCs w:val="24"/>
        </w:rPr>
        <w:t>improve consumer protection</w:t>
      </w:r>
      <w:r w:rsidR="000160BE">
        <w:rPr>
          <w:rFonts w:ascii="Garamond" w:hAnsi="Garamond"/>
          <w:sz w:val="24"/>
          <w:szCs w:val="24"/>
        </w:rPr>
        <w:t>)</w:t>
      </w:r>
      <w:r w:rsidR="006356DF">
        <w:rPr>
          <w:rFonts w:ascii="Garamond" w:hAnsi="Garamond"/>
          <w:sz w:val="24"/>
          <w:szCs w:val="24"/>
        </w:rPr>
        <w:t xml:space="preserve"> and Article 192 TFEU (the legal basis to improve environmental protection). </w:t>
      </w:r>
    </w:p>
    <w:p w14:paraId="0EAE476D" w14:textId="77777777" w:rsidR="00A53DA3" w:rsidRDefault="00A53DA3" w:rsidP="00A53DA3">
      <w:pPr>
        <w:pStyle w:val="ListParagraph"/>
        <w:ind w:left="1080"/>
        <w:jc w:val="both"/>
        <w:rPr>
          <w:rFonts w:ascii="Garamond" w:hAnsi="Garamond"/>
          <w:sz w:val="24"/>
          <w:szCs w:val="24"/>
        </w:rPr>
      </w:pPr>
    </w:p>
    <w:p w14:paraId="4EF6CAA2" w14:textId="77777777" w:rsidR="00A53DA3" w:rsidRDefault="000160BE" w:rsidP="00A53DA3">
      <w:pPr>
        <w:pStyle w:val="ListParagraph"/>
        <w:numPr>
          <w:ilvl w:val="0"/>
          <w:numId w:val="6"/>
        </w:numPr>
        <w:jc w:val="both"/>
        <w:rPr>
          <w:rFonts w:ascii="Garamond" w:hAnsi="Garamond"/>
          <w:sz w:val="24"/>
          <w:szCs w:val="24"/>
        </w:rPr>
      </w:pPr>
      <w:r>
        <w:rPr>
          <w:rFonts w:ascii="Garamond" w:hAnsi="Garamond"/>
          <w:sz w:val="24"/>
          <w:szCs w:val="24"/>
        </w:rPr>
        <w:t xml:space="preserve">The legal basis determines the content of the EU act. This means that, if the EU wants to rely on a particular legal basis, it will have to show that the EU act is substantively </w:t>
      </w:r>
      <w:r>
        <w:rPr>
          <w:rFonts w:ascii="Garamond" w:hAnsi="Garamond"/>
          <w:sz w:val="24"/>
          <w:szCs w:val="24"/>
        </w:rPr>
        <w:lastRenderedPageBreak/>
        <w:t xml:space="preserve">in line with the legal basis. In addition to the substance of the act, the legal basis also determines which legislative procedure should be followed in the adoption of the legislation: the ordinary legislative </w:t>
      </w:r>
      <w:r w:rsidR="001A6EFB">
        <w:rPr>
          <w:rFonts w:ascii="Garamond" w:hAnsi="Garamond"/>
          <w:sz w:val="24"/>
          <w:szCs w:val="24"/>
        </w:rPr>
        <w:t xml:space="preserve">procedure </w:t>
      </w:r>
      <w:r>
        <w:rPr>
          <w:rFonts w:ascii="Garamond" w:hAnsi="Garamond"/>
          <w:sz w:val="24"/>
          <w:szCs w:val="24"/>
        </w:rPr>
        <w:t xml:space="preserve">or a special legislative procedure. </w:t>
      </w:r>
    </w:p>
    <w:p w14:paraId="6CC87EDE" w14:textId="77777777" w:rsidR="000160BE" w:rsidRPr="000160BE" w:rsidRDefault="000160BE" w:rsidP="000160BE">
      <w:pPr>
        <w:pStyle w:val="ListParagraph"/>
        <w:rPr>
          <w:rFonts w:ascii="Garamond" w:hAnsi="Garamond"/>
          <w:sz w:val="24"/>
          <w:szCs w:val="24"/>
        </w:rPr>
      </w:pPr>
    </w:p>
    <w:p w14:paraId="62B7F891" w14:textId="77777777" w:rsidR="000160BE" w:rsidRDefault="000160BE" w:rsidP="00A53DA3">
      <w:pPr>
        <w:pStyle w:val="ListParagraph"/>
        <w:numPr>
          <w:ilvl w:val="0"/>
          <w:numId w:val="6"/>
        </w:numPr>
        <w:jc w:val="both"/>
        <w:rPr>
          <w:rFonts w:ascii="Garamond" w:hAnsi="Garamond"/>
          <w:sz w:val="24"/>
          <w:szCs w:val="24"/>
        </w:rPr>
      </w:pPr>
      <w:r>
        <w:rPr>
          <w:rFonts w:ascii="Garamond" w:hAnsi="Garamond"/>
          <w:sz w:val="24"/>
          <w:szCs w:val="24"/>
        </w:rPr>
        <w:t xml:space="preserve">If a measure has a dual aim, it is possible for the EU to adopt it </w:t>
      </w:r>
      <w:proofErr w:type="gramStart"/>
      <w:r>
        <w:rPr>
          <w:rFonts w:ascii="Garamond" w:hAnsi="Garamond"/>
          <w:sz w:val="24"/>
          <w:szCs w:val="24"/>
        </w:rPr>
        <w:t>on the basis of</w:t>
      </w:r>
      <w:proofErr w:type="gramEnd"/>
      <w:r>
        <w:rPr>
          <w:rFonts w:ascii="Garamond" w:hAnsi="Garamond"/>
          <w:sz w:val="24"/>
          <w:szCs w:val="24"/>
        </w:rPr>
        <w:t xml:space="preserve"> two legal bases. However, this is only possible if both legal bases rely on the same legislative procedure. If the legal bases have different legal procedures, the EU will have to make a choice for one legal basis. This is done by determining the </w:t>
      </w:r>
      <w:r w:rsidRPr="001A6EFB">
        <w:rPr>
          <w:rFonts w:ascii="Garamond" w:hAnsi="Garamond"/>
          <w:i/>
          <w:sz w:val="24"/>
          <w:szCs w:val="24"/>
        </w:rPr>
        <w:t>centre of gravity</w:t>
      </w:r>
      <w:r>
        <w:rPr>
          <w:rFonts w:ascii="Garamond" w:hAnsi="Garamond"/>
          <w:sz w:val="24"/>
          <w:szCs w:val="24"/>
        </w:rPr>
        <w:t xml:space="preserve"> of the measure: what is the measure </w:t>
      </w:r>
      <w:proofErr w:type="gramStart"/>
      <w:r>
        <w:rPr>
          <w:rFonts w:ascii="Garamond" w:hAnsi="Garamond"/>
          <w:sz w:val="24"/>
          <w:szCs w:val="24"/>
        </w:rPr>
        <w:t>really about</w:t>
      </w:r>
      <w:proofErr w:type="gramEnd"/>
      <w:r>
        <w:rPr>
          <w:rFonts w:ascii="Garamond" w:hAnsi="Garamond"/>
          <w:sz w:val="24"/>
          <w:szCs w:val="24"/>
        </w:rPr>
        <w:t xml:space="preserve">, what is the primary aim of the measure? If the other aim purely secondary to the main aim? </w:t>
      </w:r>
    </w:p>
    <w:p w14:paraId="46C7BE7F" w14:textId="77777777" w:rsidR="000160BE" w:rsidRPr="000160BE" w:rsidRDefault="000160BE" w:rsidP="000160BE">
      <w:pPr>
        <w:pStyle w:val="ListParagraph"/>
        <w:rPr>
          <w:rFonts w:ascii="Garamond" w:hAnsi="Garamond"/>
          <w:sz w:val="24"/>
          <w:szCs w:val="24"/>
        </w:rPr>
      </w:pPr>
    </w:p>
    <w:p w14:paraId="77E3F695" w14:textId="77777777" w:rsidR="001A6EFB" w:rsidRDefault="000160BE" w:rsidP="001A6EFB">
      <w:pPr>
        <w:pStyle w:val="ListParagraph"/>
        <w:numPr>
          <w:ilvl w:val="0"/>
          <w:numId w:val="6"/>
        </w:numPr>
        <w:jc w:val="both"/>
        <w:rPr>
          <w:rFonts w:ascii="Garamond" w:hAnsi="Garamond"/>
          <w:sz w:val="24"/>
          <w:szCs w:val="24"/>
        </w:rPr>
      </w:pPr>
      <w:r>
        <w:rPr>
          <w:rFonts w:ascii="Garamond" w:hAnsi="Garamond"/>
          <w:sz w:val="24"/>
          <w:szCs w:val="24"/>
        </w:rPr>
        <w:t>The question which legal basis should be selected for an EU act is an objective question. The EU cannot randomly decide that it wants to use a particular legal basis. If one of the EU institutions, or a Member State, or a private party</w:t>
      </w:r>
      <w:r w:rsidR="00F359BA">
        <w:rPr>
          <w:rFonts w:ascii="Garamond" w:hAnsi="Garamond"/>
          <w:sz w:val="24"/>
          <w:szCs w:val="24"/>
        </w:rPr>
        <w:t>,</w:t>
      </w:r>
      <w:r>
        <w:rPr>
          <w:rFonts w:ascii="Garamond" w:hAnsi="Garamond"/>
          <w:sz w:val="24"/>
          <w:szCs w:val="24"/>
        </w:rPr>
        <w:t xml:space="preserve"> is not happy with the legal basis which has been selected, it can ask the Court of Justice to review whether the EU has chosen the correct legal basis. If the Court of Justice reaches the conclusion that the wrong legal basis has been selected, the EU measure is void and will be </w:t>
      </w:r>
      <w:r w:rsidRPr="001A6EFB">
        <w:rPr>
          <w:rFonts w:ascii="Garamond" w:hAnsi="Garamond"/>
          <w:i/>
          <w:sz w:val="24"/>
          <w:szCs w:val="24"/>
        </w:rPr>
        <w:t>annulled</w:t>
      </w:r>
      <w:r>
        <w:rPr>
          <w:rFonts w:ascii="Garamond" w:hAnsi="Garamond"/>
          <w:sz w:val="24"/>
          <w:szCs w:val="24"/>
        </w:rPr>
        <w:t xml:space="preserve"> by the Court.</w:t>
      </w:r>
      <w:r w:rsidR="001A6EFB">
        <w:rPr>
          <w:rFonts w:ascii="Garamond" w:hAnsi="Garamond"/>
          <w:sz w:val="24"/>
          <w:szCs w:val="24"/>
        </w:rPr>
        <w:t xml:space="preserve"> </w:t>
      </w:r>
      <w:r w:rsidR="001A6EFB" w:rsidRPr="001A6EFB">
        <w:rPr>
          <w:rFonts w:ascii="Garamond" w:hAnsi="Garamond"/>
          <w:sz w:val="24"/>
          <w:szCs w:val="24"/>
        </w:rPr>
        <w:t xml:space="preserve">The Court of Justice usually gives the EU legislature a certain margin of discretion in deciding which legal basis should be chosen for a particular EU act. There are only a few examples where the Court has struck down an EU measure because the EU had chosen the incorrect legal basis. </w:t>
      </w:r>
    </w:p>
    <w:p w14:paraId="7F77BA45" w14:textId="77777777" w:rsidR="001A6EFB" w:rsidRPr="001A6EFB" w:rsidRDefault="001A6EFB" w:rsidP="001A6EFB">
      <w:pPr>
        <w:pStyle w:val="ListParagraph"/>
        <w:rPr>
          <w:rFonts w:ascii="Garamond" w:hAnsi="Garamond"/>
          <w:sz w:val="24"/>
          <w:szCs w:val="24"/>
        </w:rPr>
      </w:pPr>
    </w:p>
    <w:p w14:paraId="20973BC9" w14:textId="77777777" w:rsidR="00912AB4" w:rsidRDefault="001A6EFB" w:rsidP="001A6EFB">
      <w:pPr>
        <w:pStyle w:val="ListParagraph"/>
        <w:numPr>
          <w:ilvl w:val="0"/>
          <w:numId w:val="6"/>
        </w:numPr>
        <w:jc w:val="both"/>
        <w:rPr>
          <w:rFonts w:ascii="Garamond" w:hAnsi="Garamond"/>
          <w:sz w:val="24"/>
          <w:szCs w:val="24"/>
        </w:rPr>
      </w:pPr>
      <w:r w:rsidRPr="001A6EFB">
        <w:rPr>
          <w:rFonts w:ascii="Garamond" w:hAnsi="Garamond"/>
          <w:sz w:val="24"/>
          <w:szCs w:val="24"/>
        </w:rPr>
        <w:t xml:space="preserve">The most prominent example is the </w:t>
      </w:r>
      <w:r w:rsidRPr="001A6EFB">
        <w:rPr>
          <w:rFonts w:ascii="Garamond" w:hAnsi="Garamond"/>
          <w:i/>
          <w:sz w:val="24"/>
          <w:szCs w:val="24"/>
        </w:rPr>
        <w:t>Tobacco Advertising</w:t>
      </w:r>
      <w:r w:rsidRPr="001A6EFB">
        <w:rPr>
          <w:rFonts w:ascii="Garamond" w:hAnsi="Garamond"/>
          <w:sz w:val="24"/>
          <w:szCs w:val="24"/>
        </w:rPr>
        <w:t xml:space="preserve"> case (Case C-376/98). The EU had adopted a directive (</w:t>
      </w:r>
      <w:r w:rsidR="003F4A7B">
        <w:rPr>
          <w:rFonts w:ascii="Garamond" w:hAnsi="Garamond"/>
          <w:sz w:val="24"/>
          <w:szCs w:val="24"/>
        </w:rPr>
        <w:t xml:space="preserve">a </w:t>
      </w:r>
      <w:r w:rsidRPr="001A6EFB">
        <w:rPr>
          <w:rFonts w:ascii="Garamond" w:hAnsi="Garamond"/>
          <w:sz w:val="24"/>
          <w:szCs w:val="24"/>
        </w:rPr>
        <w:t xml:space="preserve">legislative instrument) which prohibited all sorts of advertising for tobacco products (for example, on parasols, and on Formula 1 motor cars). The EU had chosen to adopt this directive </w:t>
      </w:r>
      <w:proofErr w:type="gramStart"/>
      <w:r w:rsidRPr="001A6EFB">
        <w:rPr>
          <w:rFonts w:ascii="Garamond" w:hAnsi="Garamond"/>
          <w:sz w:val="24"/>
          <w:szCs w:val="24"/>
        </w:rPr>
        <w:t>on the basis of</w:t>
      </w:r>
      <w:proofErr w:type="gramEnd"/>
      <w:r w:rsidRPr="001A6EFB">
        <w:rPr>
          <w:rFonts w:ascii="Garamond" w:hAnsi="Garamond"/>
          <w:sz w:val="24"/>
          <w:szCs w:val="24"/>
        </w:rPr>
        <w:t xml:space="preserve"> what is now Article 114 TFEU. The argument was that uniform rules on advertising would increase the free movement of goods in tobacco advertisement products. </w:t>
      </w:r>
    </w:p>
    <w:p w14:paraId="64DD51AE" w14:textId="77777777" w:rsidR="00912AB4" w:rsidRPr="00912AB4" w:rsidRDefault="00912AB4" w:rsidP="00912AB4">
      <w:pPr>
        <w:pStyle w:val="ListParagraph"/>
        <w:rPr>
          <w:rFonts w:ascii="Garamond" w:hAnsi="Garamond"/>
          <w:sz w:val="24"/>
          <w:szCs w:val="24"/>
        </w:rPr>
      </w:pPr>
    </w:p>
    <w:p w14:paraId="2F31EAEB" w14:textId="68B71862" w:rsidR="000160BE" w:rsidRDefault="001A6EFB" w:rsidP="001A6EFB">
      <w:pPr>
        <w:pStyle w:val="ListParagraph"/>
        <w:numPr>
          <w:ilvl w:val="0"/>
          <w:numId w:val="6"/>
        </w:numPr>
        <w:jc w:val="both"/>
        <w:rPr>
          <w:rFonts w:ascii="Garamond" w:hAnsi="Garamond"/>
          <w:sz w:val="24"/>
          <w:szCs w:val="24"/>
        </w:rPr>
      </w:pPr>
      <w:r w:rsidRPr="001A6EFB">
        <w:rPr>
          <w:rFonts w:ascii="Garamond" w:hAnsi="Garamond"/>
          <w:sz w:val="24"/>
          <w:szCs w:val="24"/>
        </w:rPr>
        <w:t xml:space="preserve">Germany was not happy with these rules – </w:t>
      </w:r>
      <w:r w:rsidR="003F4A7B">
        <w:rPr>
          <w:rFonts w:ascii="Garamond" w:hAnsi="Garamond"/>
          <w:sz w:val="24"/>
          <w:szCs w:val="24"/>
        </w:rPr>
        <w:t>it</w:t>
      </w:r>
      <w:r w:rsidRPr="001A6EFB">
        <w:rPr>
          <w:rFonts w:ascii="Garamond" w:hAnsi="Garamond"/>
          <w:sz w:val="24"/>
          <w:szCs w:val="24"/>
        </w:rPr>
        <w:t xml:space="preserve"> </w:t>
      </w:r>
      <w:proofErr w:type="gramStart"/>
      <w:r w:rsidRPr="001A6EFB">
        <w:rPr>
          <w:rFonts w:ascii="Garamond" w:hAnsi="Garamond"/>
          <w:sz w:val="24"/>
          <w:szCs w:val="24"/>
        </w:rPr>
        <w:t>actually wanted</w:t>
      </w:r>
      <w:proofErr w:type="gramEnd"/>
      <w:r w:rsidRPr="001A6EFB">
        <w:rPr>
          <w:rFonts w:ascii="Garamond" w:hAnsi="Garamond"/>
          <w:sz w:val="24"/>
          <w:szCs w:val="24"/>
        </w:rPr>
        <w:t xml:space="preserve"> to be able to adopt stricter rules than those which had been adopted by the EU. For that reason, </w:t>
      </w:r>
      <w:r w:rsidR="003F4A7B">
        <w:rPr>
          <w:rFonts w:ascii="Garamond" w:hAnsi="Garamond"/>
          <w:sz w:val="24"/>
          <w:szCs w:val="24"/>
        </w:rPr>
        <w:t>it</w:t>
      </w:r>
      <w:r w:rsidRPr="001A6EFB">
        <w:rPr>
          <w:rFonts w:ascii="Garamond" w:hAnsi="Garamond"/>
          <w:sz w:val="24"/>
          <w:szCs w:val="24"/>
        </w:rPr>
        <w:t xml:space="preserve"> chall</w:t>
      </w:r>
      <w:r>
        <w:rPr>
          <w:rFonts w:ascii="Garamond" w:hAnsi="Garamond"/>
          <w:sz w:val="24"/>
          <w:szCs w:val="24"/>
        </w:rPr>
        <w:t xml:space="preserve">enged the legal basis of the directive. The main argument of Germany was that the centre of gravity of this measure was the protection of public health – not the improvement of the internal market. The problem for the EU was that it did not – and it does not – have the competence to act in the field of public health (see Article 168 TFEU). Therefore, the EU had to show that the directive </w:t>
      </w:r>
      <w:r w:rsidR="00912AB4">
        <w:rPr>
          <w:rFonts w:ascii="Garamond" w:hAnsi="Garamond"/>
          <w:sz w:val="24"/>
          <w:szCs w:val="24"/>
        </w:rPr>
        <w:t>actually and genuinely</w:t>
      </w:r>
      <w:r>
        <w:rPr>
          <w:rFonts w:ascii="Garamond" w:hAnsi="Garamond"/>
          <w:sz w:val="24"/>
          <w:szCs w:val="24"/>
        </w:rPr>
        <w:t xml:space="preserve"> improved the functioning of the internal market.</w:t>
      </w:r>
    </w:p>
    <w:p w14:paraId="290E0AF8" w14:textId="77777777" w:rsidR="001A6EFB" w:rsidRPr="001A6EFB" w:rsidRDefault="001A6EFB" w:rsidP="001A6EFB">
      <w:pPr>
        <w:pStyle w:val="ListParagraph"/>
        <w:rPr>
          <w:rFonts w:ascii="Garamond" w:hAnsi="Garamond"/>
          <w:sz w:val="24"/>
          <w:szCs w:val="24"/>
        </w:rPr>
      </w:pPr>
    </w:p>
    <w:p w14:paraId="00E5FC90" w14:textId="77777777" w:rsidR="00912AB4" w:rsidRDefault="001A6EFB" w:rsidP="001A6EFB">
      <w:pPr>
        <w:pStyle w:val="ListParagraph"/>
        <w:numPr>
          <w:ilvl w:val="0"/>
          <w:numId w:val="6"/>
        </w:numPr>
        <w:jc w:val="both"/>
        <w:rPr>
          <w:rFonts w:ascii="Garamond" w:hAnsi="Garamond"/>
          <w:sz w:val="24"/>
          <w:szCs w:val="24"/>
        </w:rPr>
      </w:pPr>
      <w:r>
        <w:rPr>
          <w:rFonts w:ascii="Garamond" w:hAnsi="Garamond"/>
          <w:sz w:val="24"/>
          <w:szCs w:val="24"/>
        </w:rPr>
        <w:t xml:space="preserve">The Court of Justice agreed with Germany. It held that the main aim of this measure was public health protection. </w:t>
      </w:r>
      <w:r w:rsidR="00912AB4">
        <w:rPr>
          <w:rFonts w:ascii="Garamond" w:hAnsi="Garamond"/>
          <w:sz w:val="24"/>
          <w:szCs w:val="24"/>
        </w:rPr>
        <w:t>The</w:t>
      </w:r>
      <w:r>
        <w:rPr>
          <w:rFonts w:ascii="Garamond" w:hAnsi="Garamond"/>
          <w:sz w:val="24"/>
          <w:szCs w:val="24"/>
        </w:rPr>
        <w:t xml:space="preserve"> Court recognised that some measures that have </w:t>
      </w:r>
      <w:r w:rsidR="000C3672">
        <w:rPr>
          <w:rFonts w:ascii="Garamond" w:hAnsi="Garamond"/>
          <w:sz w:val="24"/>
          <w:szCs w:val="24"/>
        </w:rPr>
        <w:t xml:space="preserve">as their aim to improve the internal market may also have public health as a secondary aim. However, to be able to rely on Article 114 TFEU as a legal basis, the EU will have to show that the improvement of the internal market was the </w:t>
      </w:r>
      <w:r w:rsidR="000C3672" w:rsidRPr="00912AB4">
        <w:rPr>
          <w:rFonts w:ascii="Garamond" w:hAnsi="Garamond"/>
          <w:i/>
          <w:iCs/>
          <w:sz w:val="24"/>
          <w:szCs w:val="24"/>
        </w:rPr>
        <w:t>main</w:t>
      </w:r>
      <w:r w:rsidR="000C3672">
        <w:rPr>
          <w:rFonts w:ascii="Garamond" w:hAnsi="Garamond"/>
          <w:sz w:val="24"/>
          <w:szCs w:val="24"/>
        </w:rPr>
        <w:t xml:space="preserve"> aim of the measure. </w:t>
      </w:r>
    </w:p>
    <w:p w14:paraId="1216C9FA" w14:textId="77777777" w:rsidR="00912AB4" w:rsidRPr="00912AB4" w:rsidRDefault="00912AB4" w:rsidP="00912AB4">
      <w:pPr>
        <w:pStyle w:val="ListParagraph"/>
        <w:rPr>
          <w:rFonts w:ascii="Garamond" w:hAnsi="Garamond"/>
          <w:sz w:val="24"/>
          <w:szCs w:val="24"/>
        </w:rPr>
      </w:pPr>
    </w:p>
    <w:p w14:paraId="1AC79E84" w14:textId="11E45D8F" w:rsidR="001A6EFB" w:rsidRDefault="000C3672" w:rsidP="001A6EFB">
      <w:pPr>
        <w:pStyle w:val="ListParagraph"/>
        <w:numPr>
          <w:ilvl w:val="0"/>
          <w:numId w:val="6"/>
        </w:numPr>
        <w:jc w:val="both"/>
        <w:rPr>
          <w:rFonts w:ascii="Garamond" w:hAnsi="Garamond"/>
          <w:sz w:val="24"/>
          <w:szCs w:val="24"/>
        </w:rPr>
      </w:pPr>
      <w:r>
        <w:rPr>
          <w:rFonts w:ascii="Garamond" w:hAnsi="Garamond"/>
          <w:sz w:val="24"/>
          <w:szCs w:val="24"/>
        </w:rPr>
        <w:lastRenderedPageBreak/>
        <w:t xml:space="preserve">In </w:t>
      </w:r>
      <w:r w:rsidRPr="000C3672">
        <w:rPr>
          <w:rFonts w:ascii="Garamond" w:hAnsi="Garamond"/>
          <w:i/>
          <w:sz w:val="24"/>
          <w:szCs w:val="24"/>
        </w:rPr>
        <w:t>Tobacco Advertising</w:t>
      </w:r>
      <w:r>
        <w:rPr>
          <w:rFonts w:ascii="Garamond" w:hAnsi="Garamond"/>
          <w:sz w:val="24"/>
          <w:szCs w:val="24"/>
        </w:rPr>
        <w:t xml:space="preserve">, the Court found that the EU directive did not actually improve the free movement of goods – there was hardly any cross-border trade in these advertisement products and the EU had banned such advertising products completely. This meant that the internal market was not improved – on the contrary, the internal market was basically eliminated! </w:t>
      </w:r>
    </w:p>
    <w:p w14:paraId="7719004C" w14:textId="77777777" w:rsidR="000C3672" w:rsidRPr="000C3672" w:rsidRDefault="000C3672" w:rsidP="000C3672">
      <w:pPr>
        <w:pStyle w:val="ListParagraph"/>
        <w:rPr>
          <w:rFonts w:ascii="Garamond" w:hAnsi="Garamond"/>
          <w:sz w:val="24"/>
          <w:szCs w:val="24"/>
        </w:rPr>
      </w:pPr>
    </w:p>
    <w:p w14:paraId="152D555A" w14:textId="11A9B10C" w:rsidR="000C3672" w:rsidRDefault="000C3672" w:rsidP="001A6EFB">
      <w:pPr>
        <w:pStyle w:val="ListParagraph"/>
        <w:numPr>
          <w:ilvl w:val="0"/>
          <w:numId w:val="6"/>
        </w:numPr>
        <w:jc w:val="both"/>
        <w:rPr>
          <w:rFonts w:ascii="Garamond" w:hAnsi="Garamond"/>
          <w:sz w:val="24"/>
          <w:szCs w:val="24"/>
        </w:rPr>
      </w:pPr>
      <w:r>
        <w:rPr>
          <w:rFonts w:ascii="Garamond" w:hAnsi="Garamond"/>
          <w:sz w:val="24"/>
          <w:szCs w:val="24"/>
        </w:rPr>
        <w:t xml:space="preserve">After </w:t>
      </w:r>
      <w:r w:rsidRPr="000C3672">
        <w:rPr>
          <w:rFonts w:ascii="Garamond" w:hAnsi="Garamond"/>
          <w:i/>
          <w:sz w:val="24"/>
          <w:szCs w:val="24"/>
        </w:rPr>
        <w:t>Tobacco Advertising</w:t>
      </w:r>
      <w:r>
        <w:rPr>
          <w:rFonts w:ascii="Garamond" w:hAnsi="Garamond"/>
          <w:sz w:val="24"/>
          <w:szCs w:val="24"/>
        </w:rPr>
        <w:t xml:space="preserve">, the EU </w:t>
      </w:r>
      <w:proofErr w:type="gramStart"/>
      <w:r>
        <w:rPr>
          <w:rFonts w:ascii="Garamond" w:hAnsi="Garamond"/>
          <w:sz w:val="24"/>
          <w:szCs w:val="24"/>
        </w:rPr>
        <w:t>has to</w:t>
      </w:r>
      <w:proofErr w:type="gramEnd"/>
      <w:r>
        <w:rPr>
          <w:rFonts w:ascii="Garamond" w:hAnsi="Garamond"/>
          <w:sz w:val="24"/>
          <w:szCs w:val="24"/>
        </w:rPr>
        <w:t xml:space="preserve"> show that an act adopted on the basis of Article 114 TFEU either eliminates actual or likely obstacles to free movement (because there are many different national rules, for example) or removes appreciable distortions of competition. If this is the case, the EU can rely on Article 114 TFEU. Have a look at the recent Tobacco Products Directive 2014/40/EU, which has been adopted </w:t>
      </w:r>
      <w:proofErr w:type="gramStart"/>
      <w:r>
        <w:rPr>
          <w:rFonts w:ascii="Garamond" w:hAnsi="Garamond"/>
          <w:sz w:val="24"/>
          <w:szCs w:val="24"/>
        </w:rPr>
        <w:t>on the basis of</w:t>
      </w:r>
      <w:proofErr w:type="gramEnd"/>
      <w:r>
        <w:rPr>
          <w:rFonts w:ascii="Garamond" w:hAnsi="Garamond"/>
          <w:sz w:val="24"/>
          <w:szCs w:val="24"/>
        </w:rPr>
        <w:t xml:space="preserve"> Article 114 TFEU. </w:t>
      </w:r>
    </w:p>
    <w:p w14:paraId="07302D59" w14:textId="77777777" w:rsidR="000C3672" w:rsidRPr="000C3672" w:rsidRDefault="000C3672" w:rsidP="000C3672">
      <w:pPr>
        <w:pStyle w:val="ListParagraph"/>
        <w:rPr>
          <w:rFonts w:ascii="Garamond" w:hAnsi="Garamond"/>
          <w:b/>
          <w:sz w:val="24"/>
          <w:szCs w:val="24"/>
        </w:rPr>
      </w:pPr>
    </w:p>
    <w:p w14:paraId="5E486607" w14:textId="77777777" w:rsidR="000C3672" w:rsidRDefault="000C3672" w:rsidP="000C3672">
      <w:pPr>
        <w:pStyle w:val="ListParagraph"/>
        <w:numPr>
          <w:ilvl w:val="0"/>
          <w:numId w:val="4"/>
        </w:numPr>
        <w:jc w:val="both"/>
        <w:rPr>
          <w:rFonts w:ascii="Garamond" w:hAnsi="Garamond"/>
          <w:b/>
          <w:sz w:val="24"/>
          <w:szCs w:val="24"/>
        </w:rPr>
      </w:pPr>
      <w:r>
        <w:rPr>
          <w:rFonts w:ascii="Garamond" w:hAnsi="Garamond"/>
          <w:b/>
          <w:sz w:val="24"/>
          <w:szCs w:val="24"/>
        </w:rPr>
        <w:t>The principle of subsidiarity</w:t>
      </w:r>
    </w:p>
    <w:p w14:paraId="1A7F0B50" w14:textId="77777777" w:rsidR="000C3672" w:rsidRDefault="000C3672" w:rsidP="000C3672">
      <w:pPr>
        <w:pStyle w:val="ListParagraph"/>
        <w:ind w:left="1080"/>
        <w:jc w:val="both"/>
        <w:rPr>
          <w:rFonts w:ascii="Garamond" w:hAnsi="Garamond"/>
          <w:sz w:val="24"/>
          <w:szCs w:val="24"/>
        </w:rPr>
      </w:pPr>
    </w:p>
    <w:p w14:paraId="16E1BDB4" w14:textId="77777777" w:rsidR="000C3672" w:rsidRDefault="00DD1EF1" w:rsidP="000C3672">
      <w:pPr>
        <w:pStyle w:val="ListParagraph"/>
        <w:numPr>
          <w:ilvl w:val="0"/>
          <w:numId w:val="7"/>
        </w:numPr>
        <w:jc w:val="both"/>
        <w:rPr>
          <w:rFonts w:ascii="Garamond" w:hAnsi="Garamond"/>
          <w:sz w:val="24"/>
          <w:szCs w:val="24"/>
        </w:rPr>
      </w:pPr>
      <w:r>
        <w:rPr>
          <w:rFonts w:ascii="Garamond" w:hAnsi="Garamond"/>
          <w:sz w:val="24"/>
          <w:szCs w:val="24"/>
        </w:rPr>
        <w:t>If the EU can show that there is a legal basis to act, this is only really a starting point for adopting EU legislation</w:t>
      </w:r>
      <w:r w:rsidR="000C3672">
        <w:rPr>
          <w:rFonts w:ascii="Garamond" w:hAnsi="Garamond"/>
          <w:sz w:val="24"/>
          <w:szCs w:val="24"/>
        </w:rPr>
        <w:t>. In areas where the EU shares the competence with the Member States, it will also have to show that it complies with the principle of subsidiarity. This is not necessary if it is an exclusive competence of the EU.</w:t>
      </w:r>
    </w:p>
    <w:p w14:paraId="6D375A5C" w14:textId="77777777" w:rsidR="000C3672" w:rsidRDefault="000C3672" w:rsidP="000C3672">
      <w:pPr>
        <w:pStyle w:val="ListParagraph"/>
        <w:ind w:left="1080"/>
        <w:jc w:val="both"/>
        <w:rPr>
          <w:rFonts w:ascii="Garamond" w:hAnsi="Garamond"/>
          <w:sz w:val="24"/>
          <w:szCs w:val="24"/>
        </w:rPr>
      </w:pPr>
    </w:p>
    <w:p w14:paraId="7F926F8F" w14:textId="2E636E5E" w:rsidR="000C3672" w:rsidRDefault="000C3672" w:rsidP="000C3672">
      <w:pPr>
        <w:pStyle w:val="ListParagraph"/>
        <w:numPr>
          <w:ilvl w:val="0"/>
          <w:numId w:val="7"/>
        </w:numPr>
        <w:jc w:val="both"/>
        <w:rPr>
          <w:rFonts w:ascii="Garamond" w:hAnsi="Garamond"/>
          <w:sz w:val="24"/>
          <w:szCs w:val="24"/>
        </w:rPr>
      </w:pPr>
      <w:r>
        <w:rPr>
          <w:rFonts w:ascii="Garamond" w:hAnsi="Garamond"/>
          <w:sz w:val="24"/>
          <w:szCs w:val="24"/>
        </w:rPr>
        <w:t xml:space="preserve">The subsidiarity test has two limbs. </w:t>
      </w:r>
      <w:proofErr w:type="gramStart"/>
      <w:r>
        <w:rPr>
          <w:rFonts w:ascii="Garamond" w:hAnsi="Garamond"/>
          <w:sz w:val="24"/>
          <w:szCs w:val="24"/>
        </w:rPr>
        <w:t>First of all</w:t>
      </w:r>
      <w:proofErr w:type="gramEnd"/>
      <w:r>
        <w:rPr>
          <w:rFonts w:ascii="Garamond" w:hAnsi="Garamond"/>
          <w:sz w:val="24"/>
          <w:szCs w:val="24"/>
        </w:rPr>
        <w:t xml:space="preserve">, the EU has to show that there is a problem which cannot be adequately dealt with by individual Member States. This is usually shown by proving that it is a problem which affects more than one Member State, and where action at a higher level is necessary to solve the problem. This test is often called the </w:t>
      </w:r>
      <w:r w:rsidRPr="000C3672">
        <w:rPr>
          <w:rFonts w:ascii="Garamond" w:hAnsi="Garamond"/>
          <w:i/>
          <w:sz w:val="24"/>
          <w:szCs w:val="24"/>
        </w:rPr>
        <w:t>transboundary nature</w:t>
      </w:r>
      <w:r>
        <w:rPr>
          <w:rFonts w:ascii="Garamond" w:hAnsi="Garamond"/>
          <w:sz w:val="24"/>
          <w:szCs w:val="24"/>
        </w:rPr>
        <w:t xml:space="preserve"> test. If a problem only involves </w:t>
      </w:r>
      <w:r w:rsidR="00DD1EF1">
        <w:rPr>
          <w:rFonts w:ascii="Garamond" w:hAnsi="Garamond"/>
          <w:sz w:val="24"/>
          <w:szCs w:val="24"/>
        </w:rPr>
        <w:t>one Member State and does not have a cross-border dimension, it is not necessary for the EU to get involved.</w:t>
      </w:r>
    </w:p>
    <w:p w14:paraId="2FCEAFC5" w14:textId="77777777" w:rsidR="00DD1EF1" w:rsidRPr="00DD1EF1" w:rsidRDefault="00DD1EF1" w:rsidP="00DD1EF1">
      <w:pPr>
        <w:pStyle w:val="ListParagraph"/>
        <w:rPr>
          <w:rFonts w:ascii="Garamond" w:hAnsi="Garamond"/>
          <w:sz w:val="24"/>
          <w:szCs w:val="24"/>
        </w:rPr>
      </w:pPr>
    </w:p>
    <w:p w14:paraId="2739E4EC" w14:textId="77777777" w:rsidR="00DD1EF1" w:rsidRDefault="00DD1EF1" w:rsidP="000C3672">
      <w:pPr>
        <w:pStyle w:val="ListParagraph"/>
        <w:numPr>
          <w:ilvl w:val="0"/>
          <w:numId w:val="7"/>
        </w:numPr>
        <w:jc w:val="both"/>
        <w:rPr>
          <w:rFonts w:ascii="Garamond" w:hAnsi="Garamond"/>
          <w:sz w:val="24"/>
          <w:szCs w:val="24"/>
        </w:rPr>
      </w:pPr>
      <w:r>
        <w:rPr>
          <w:rFonts w:ascii="Garamond" w:hAnsi="Garamond"/>
          <w:sz w:val="24"/>
          <w:szCs w:val="24"/>
        </w:rPr>
        <w:t xml:space="preserve">It is not enough for the EU to show that there is a problem which the Member States cannot deal with individually. In addition to this “negative” test, the EU will also have to positively show that it can </w:t>
      </w:r>
      <w:proofErr w:type="gramStart"/>
      <w:r>
        <w:rPr>
          <w:rFonts w:ascii="Garamond" w:hAnsi="Garamond"/>
          <w:sz w:val="24"/>
          <w:szCs w:val="24"/>
        </w:rPr>
        <w:t>actually do</w:t>
      </w:r>
      <w:proofErr w:type="gramEnd"/>
      <w:r>
        <w:rPr>
          <w:rFonts w:ascii="Garamond" w:hAnsi="Garamond"/>
          <w:sz w:val="24"/>
          <w:szCs w:val="24"/>
        </w:rPr>
        <w:t xml:space="preserve"> it better than the Member States. In other words, there must be an advantage in </w:t>
      </w:r>
      <w:proofErr w:type="gramStart"/>
      <w:r>
        <w:rPr>
          <w:rFonts w:ascii="Garamond" w:hAnsi="Garamond"/>
          <w:sz w:val="24"/>
          <w:szCs w:val="24"/>
        </w:rPr>
        <w:t>taking action</w:t>
      </w:r>
      <w:proofErr w:type="gramEnd"/>
      <w:r>
        <w:rPr>
          <w:rFonts w:ascii="Garamond" w:hAnsi="Garamond"/>
          <w:sz w:val="24"/>
          <w:szCs w:val="24"/>
        </w:rPr>
        <w:t xml:space="preserve"> at the EU level. This is often called the </w:t>
      </w:r>
      <w:r w:rsidRPr="00DD1EF1">
        <w:rPr>
          <w:rFonts w:ascii="Garamond" w:hAnsi="Garamond"/>
          <w:i/>
          <w:sz w:val="24"/>
          <w:szCs w:val="24"/>
        </w:rPr>
        <w:t>economies of scale</w:t>
      </w:r>
      <w:r>
        <w:rPr>
          <w:rFonts w:ascii="Garamond" w:hAnsi="Garamond"/>
          <w:sz w:val="24"/>
          <w:szCs w:val="24"/>
        </w:rPr>
        <w:t xml:space="preserve"> test. It must be more efficient or effective to </w:t>
      </w:r>
      <w:proofErr w:type="gramStart"/>
      <w:r>
        <w:rPr>
          <w:rFonts w:ascii="Garamond" w:hAnsi="Garamond"/>
          <w:sz w:val="24"/>
          <w:szCs w:val="24"/>
        </w:rPr>
        <w:t>take action</w:t>
      </w:r>
      <w:proofErr w:type="gramEnd"/>
      <w:r>
        <w:rPr>
          <w:rFonts w:ascii="Garamond" w:hAnsi="Garamond"/>
          <w:sz w:val="24"/>
          <w:szCs w:val="24"/>
        </w:rPr>
        <w:t xml:space="preserve"> at the EU level. </w:t>
      </w:r>
    </w:p>
    <w:p w14:paraId="730FE8BB" w14:textId="77777777" w:rsidR="00DD1EF1" w:rsidRPr="00DD1EF1" w:rsidRDefault="00DD1EF1" w:rsidP="00DD1EF1">
      <w:pPr>
        <w:pStyle w:val="ListParagraph"/>
        <w:rPr>
          <w:rFonts w:ascii="Garamond" w:hAnsi="Garamond"/>
          <w:sz w:val="24"/>
          <w:szCs w:val="24"/>
        </w:rPr>
      </w:pPr>
    </w:p>
    <w:p w14:paraId="44603436" w14:textId="3F6FC05D" w:rsidR="00D223F7" w:rsidRDefault="00DD1EF1" w:rsidP="00F63F3B">
      <w:pPr>
        <w:pStyle w:val="ListParagraph"/>
        <w:numPr>
          <w:ilvl w:val="0"/>
          <w:numId w:val="7"/>
        </w:numPr>
        <w:jc w:val="both"/>
        <w:rPr>
          <w:rFonts w:ascii="Garamond" w:hAnsi="Garamond"/>
          <w:sz w:val="24"/>
          <w:szCs w:val="24"/>
        </w:rPr>
      </w:pPr>
      <w:r>
        <w:rPr>
          <w:rFonts w:ascii="Garamond" w:hAnsi="Garamond"/>
          <w:sz w:val="24"/>
          <w:szCs w:val="24"/>
        </w:rPr>
        <w:t xml:space="preserve">The subsidiarity test is difficult to apply for courts. It </w:t>
      </w:r>
      <w:r w:rsidR="003F4A7B">
        <w:rPr>
          <w:rFonts w:ascii="Garamond" w:hAnsi="Garamond"/>
          <w:sz w:val="24"/>
          <w:szCs w:val="24"/>
        </w:rPr>
        <w:t>often requires</w:t>
      </w:r>
      <w:r>
        <w:rPr>
          <w:rFonts w:ascii="Garamond" w:hAnsi="Garamond"/>
          <w:sz w:val="24"/>
          <w:szCs w:val="24"/>
        </w:rPr>
        <w:t xml:space="preserve"> a political judg</w:t>
      </w:r>
      <w:r w:rsidR="003F4A7B">
        <w:rPr>
          <w:rFonts w:ascii="Garamond" w:hAnsi="Garamond"/>
          <w:sz w:val="24"/>
          <w:szCs w:val="24"/>
        </w:rPr>
        <w:t>e</w:t>
      </w:r>
      <w:r>
        <w:rPr>
          <w:rFonts w:ascii="Garamond" w:hAnsi="Garamond"/>
          <w:sz w:val="24"/>
          <w:szCs w:val="24"/>
        </w:rPr>
        <w:t xml:space="preserve">ment. Nevertheless, the Court of Justice can review whether an EU act complies with </w:t>
      </w:r>
      <w:r w:rsidR="00F63F3B">
        <w:rPr>
          <w:rFonts w:ascii="Garamond" w:hAnsi="Garamond"/>
          <w:sz w:val="24"/>
          <w:szCs w:val="24"/>
        </w:rPr>
        <w:t>the principle of subsidiarity. However, it is not willing to review the judg</w:t>
      </w:r>
      <w:r w:rsidR="00C21873">
        <w:rPr>
          <w:rFonts w:ascii="Garamond" w:hAnsi="Garamond"/>
          <w:sz w:val="24"/>
          <w:szCs w:val="24"/>
        </w:rPr>
        <w:t>e</w:t>
      </w:r>
      <w:r w:rsidR="00F63F3B">
        <w:rPr>
          <w:rFonts w:ascii="Garamond" w:hAnsi="Garamond"/>
          <w:sz w:val="24"/>
          <w:szCs w:val="24"/>
        </w:rPr>
        <w:t xml:space="preserve">ment of the EU legislature too strictly. This can be seen, for example, in the recent </w:t>
      </w:r>
      <w:r w:rsidR="00F63F3B" w:rsidRPr="00F63F3B">
        <w:rPr>
          <w:rFonts w:ascii="Garamond" w:hAnsi="Garamond"/>
          <w:i/>
          <w:sz w:val="24"/>
          <w:szCs w:val="24"/>
        </w:rPr>
        <w:t>British American Tobacco</w:t>
      </w:r>
      <w:r w:rsidR="00F63F3B">
        <w:rPr>
          <w:rFonts w:ascii="Garamond" w:hAnsi="Garamond"/>
          <w:sz w:val="24"/>
          <w:szCs w:val="24"/>
        </w:rPr>
        <w:t xml:space="preserve"> case (Case C-547/14), where BAT challenged the validity of a new EU directive on tobacco products. BAT argued that the EU rules on cigarettes with a flavour were adopted in breach of the principle of subsidiarity, as the Member States could have adopted their own rules on this topic. If you read paragraphs 220-228 of the judgment, you will see that the Court rejects the subsidiarity challenge. You will also note that the reasoning of the Court remains relatively abstract.</w:t>
      </w:r>
    </w:p>
    <w:p w14:paraId="39BFD336" w14:textId="77777777" w:rsidR="00F63F3B" w:rsidRPr="00F63F3B" w:rsidRDefault="00F63F3B" w:rsidP="00F63F3B">
      <w:pPr>
        <w:pStyle w:val="ListParagraph"/>
        <w:rPr>
          <w:rFonts w:ascii="Garamond" w:hAnsi="Garamond"/>
          <w:sz w:val="24"/>
          <w:szCs w:val="24"/>
        </w:rPr>
      </w:pPr>
    </w:p>
    <w:p w14:paraId="0F167F0F" w14:textId="77777777" w:rsidR="00F63F3B" w:rsidRDefault="00F63F3B" w:rsidP="00F63F3B">
      <w:pPr>
        <w:pStyle w:val="ListParagraph"/>
        <w:numPr>
          <w:ilvl w:val="0"/>
          <w:numId w:val="7"/>
        </w:numPr>
        <w:jc w:val="both"/>
        <w:rPr>
          <w:rFonts w:ascii="Garamond" w:hAnsi="Garamond"/>
          <w:sz w:val="24"/>
          <w:szCs w:val="24"/>
        </w:rPr>
      </w:pPr>
      <w:r>
        <w:rPr>
          <w:rFonts w:ascii="Garamond" w:hAnsi="Garamond"/>
          <w:sz w:val="24"/>
          <w:szCs w:val="24"/>
        </w:rPr>
        <w:t>Because of these difficulties in judicially reviewing compliance with the principle of subsidiarity, the EU has created a different political route to guarantee that EU acts comply with the principle of subsidiarity</w:t>
      </w:r>
      <w:r w:rsidR="002C5F63">
        <w:rPr>
          <w:rFonts w:ascii="Garamond" w:hAnsi="Garamond"/>
          <w:sz w:val="24"/>
          <w:szCs w:val="24"/>
        </w:rPr>
        <w:t>. This procedure can be found in Protocol 2 on the Application of the Principles of Subsidiarity and Proportionality. The main role in reviewing the subsidiarity of an EU act is given to national parliaments.</w:t>
      </w:r>
    </w:p>
    <w:p w14:paraId="6D151E04" w14:textId="77777777" w:rsidR="002C5F63" w:rsidRPr="002C5F63" w:rsidRDefault="002C5F63" w:rsidP="002C5F63">
      <w:pPr>
        <w:pStyle w:val="ListParagraph"/>
        <w:rPr>
          <w:rFonts w:ascii="Garamond" w:hAnsi="Garamond"/>
          <w:sz w:val="24"/>
          <w:szCs w:val="24"/>
        </w:rPr>
      </w:pPr>
    </w:p>
    <w:p w14:paraId="5E2D68CD" w14:textId="77777777" w:rsidR="002C5F63" w:rsidRDefault="002C5F63" w:rsidP="00F63F3B">
      <w:pPr>
        <w:pStyle w:val="ListParagraph"/>
        <w:numPr>
          <w:ilvl w:val="0"/>
          <w:numId w:val="7"/>
        </w:numPr>
        <w:jc w:val="both"/>
        <w:rPr>
          <w:rFonts w:ascii="Garamond" w:hAnsi="Garamond"/>
          <w:sz w:val="24"/>
          <w:szCs w:val="24"/>
        </w:rPr>
      </w:pPr>
      <w:r>
        <w:rPr>
          <w:rFonts w:ascii="Garamond" w:hAnsi="Garamond"/>
          <w:sz w:val="24"/>
          <w:szCs w:val="24"/>
        </w:rPr>
        <w:t xml:space="preserve">Each proposal for EU legislation is sent to all national parliaments in the EU (upper chambers and lower chambers). Each national parliament </w:t>
      </w:r>
      <w:proofErr w:type="gramStart"/>
      <w:r>
        <w:rPr>
          <w:rFonts w:ascii="Garamond" w:hAnsi="Garamond"/>
          <w:sz w:val="24"/>
          <w:szCs w:val="24"/>
        </w:rPr>
        <w:t>has to</w:t>
      </w:r>
      <w:proofErr w:type="gramEnd"/>
      <w:r>
        <w:rPr>
          <w:rFonts w:ascii="Garamond" w:hAnsi="Garamond"/>
          <w:sz w:val="24"/>
          <w:szCs w:val="24"/>
        </w:rPr>
        <w:t xml:space="preserve"> vote on whether the proposal complies with the principle of subsidiarity. There are two votes per Member State (if the Member State has a bicameral system, one vote for the lower chamber and one for the upper chamber). If 1/3 of the votes of the national parliaments conclude that the principle of subsidiarity is not complied with, the Commission </w:t>
      </w:r>
      <w:proofErr w:type="gramStart"/>
      <w:r w:rsidRPr="002C5F63">
        <w:rPr>
          <w:rFonts w:ascii="Garamond" w:hAnsi="Garamond"/>
          <w:i/>
          <w:sz w:val="24"/>
          <w:szCs w:val="24"/>
        </w:rPr>
        <w:t>has</w:t>
      </w:r>
      <w:r>
        <w:rPr>
          <w:rFonts w:ascii="Garamond" w:hAnsi="Garamond"/>
          <w:sz w:val="24"/>
          <w:szCs w:val="24"/>
        </w:rPr>
        <w:t xml:space="preserve"> to</w:t>
      </w:r>
      <w:proofErr w:type="gramEnd"/>
      <w:r>
        <w:rPr>
          <w:rFonts w:ascii="Garamond" w:hAnsi="Garamond"/>
          <w:sz w:val="24"/>
          <w:szCs w:val="24"/>
        </w:rPr>
        <w:t xml:space="preserve"> review the proposal. This is often called the </w:t>
      </w:r>
      <w:r w:rsidR="00007C08">
        <w:rPr>
          <w:rFonts w:ascii="Garamond" w:hAnsi="Garamond"/>
          <w:i/>
          <w:sz w:val="24"/>
          <w:szCs w:val="24"/>
        </w:rPr>
        <w:t>yellow</w:t>
      </w:r>
      <w:r w:rsidRPr="002C5F63">
        <w:rPr>
          <w:rFonts w:ascii="Garamond" w:hAnsi="Garamond"/>
          <w:i/>
          <w:sz w:val="24"/>
          <w:szCs w:val="24"/>
        </w:rPr>
        <w:t>-card procedure</w:t>
      </w:r>
      <w:r>
        <w:rPr>
          <w:rFonts w:ascii="Garamond" w:hAnsi="Garamond"/>
          <w:sz w:val="24"/>
          <w:szCs w:val="24"/>
        </w:rPr>
        <w:t xml:space="preserve">. The Commission can then decide to maintain, </w:t>
      </w:r>
      <w:proofErr w:type="gramStart"/>
      <w:r>
        <w:rPr>
          <w:rFonts w:ascii="Garamond" w:hAnsi="Garamond"/>
          <w:sz w:val="24"/>
          <w:szCs w:val="24"/>
        </w:rPr>
        <w:t>amend</w:t>
      </w:r>
      <w:proofErr w:type="gramEnd"/>
      <w:r>
        <w:rPr>
          <w:rFonts w:ascii="Garamond" w:hAnsi="Garamond"/>
          <w:sz w:val="24"/>
          <w:szCs w:val="24"/>
        </w:rPr>
        <w:t xml:space="preserve"> or withdraw the proposal and has to give reasons for its decision.</w:t>
      </w:r>
    </w:p>
    <w:p w14:paraId="0F1A694D" w14:textId="77777777" w:rsidR="002C5F63" w:rsidRPr="002C5F63" w:rsidRDefault="002C5F63" w:rsidP="002C5F63">
      <w:pPr>
        <w:pStyle w:val="ListParagraph"/>
        <w:rPr>
          <w:rFonts w:ascii="Garamond" w:hAnsi="Garamond"/>
          <w:sz w:val="24"/>
          <w:szCs w:val="24"/>
        </w:rPr>
      </w:pPr>
    </w:p>
    <w:p w14:paraId="034666E0" w14:textId="15BB2D9F" w:rsidR="002C5F63" w:rsidRDefault="002C5F63" w:rsidP="00F63F3B">
      <w:pPr>
        <w:pStyle w:val="ListParagraph"/>
        <w:numPr>
          <w:ilvl w:val="0"/>
          <w:numId w:val="7"/>
        </w:numPr>
        <w:jc w:val="both"/>
        <w:rPr>
          <w:rFonts w:ascii="Garamond" w:hAnsi="Garamond"/>
          <w:sz w:val="24"/>
          <w:szCs w:val="24"/>
        </w:rPr>
      </w:pPr>
      <w:r>
        <w:rPr>
          <w:rFonts w:ascii="Garamond" w:hAnsi="Garamond"/>
          <w:sz w:val="24"/>
          <w:szCs w:val="24"/>
        </w:rPr>
        <w:t>If, under the ordinary legislative, a simple majority (</w:t>
      </w:r>
      <w:proofErr w:type="gramStart"/>
      <w:r>
        <w:rPr>
          <w:rFonts w:ascii="Garamond" w:hAnsi="Garamond"/>
          <w:sz w:val="24"/>
          <w:szCs w:val="24"/>
        </w:rPr>
        <w:t>i.e.</w:t>
      </w:r>
      <w:proofErr w:type="gramEnd"/>
      <w:r>
        <w:rPr>
          <w:rFonts w:ascii="Garamond" w:hAnsi="Garamond"/>
          <w:sz w:val="24"/>
          <w:szCs w:val="24"/>
        </w:rPr>
        <w:t xml:space="preserve"> </w:t>
      </w:r>
      <w:r w:rsidR="003F4A7B">
        <w:rPr>
          <w:rFonts w:ascii="Garamond" w:hAnsi="Garamond"/>
          <w:sz w:val="24"/>
          <w:szCs w:val="24"/>
        </w:rPr>
        <w:t>28</w:t>
      </w:r>
      <w:r>
        <w:rPr>
          <w:rFonts w:ascii="Garamond" w:hAnsi="Garamond"/>
          <w:sz w:val="24"/>
          <w:szCs w:val="24"/>
        </w:rPr>
        <w:t xml:space="preserve"> votes) of the national parliament</w:t>
      </w:r>
      <w:r w:rsidR="003F4A7B">
        <w:rPr>
          <w:rFonts w:ascii="Garamond" w:hAnsi="Garamond"/>
          <w:sz w:val="24"/>
          <w:szCs w:val="24"/>
        </w:rPr>
        <w:t>s</w:t>
      </w:r>
      <w:r>
        <w:rPr>
          <w:rFonts w:ascii="Garamond" w:hAnsi="Garamond"/>
          <w:sz w:val="24"/>
          <w:szCs w:val="24"/>
        </w:rPr>
        <w:t xml:space="preserve"> is of the opinion that the proposal does not comply with the principle of subsidiarity, the Commission has to review the proposal. Moreover, the European Parliament and the Council </w:t>
      </w:r>
      <w:proofErr w:type="gramStart"/>
      <w:r>
        <w:rPr>
          <w:rFonts w:ascii="Garamond" w:hAnsi="Garamond"/>
          <w:sz w:val="24"/>
          <w:szCs w:val="24"/>
        </w:rPr>
        <w:t>have to</w:t>
      </w:r>
      <w:proofErr w:type="gramEnd"/>
      <w:r>
        <w:rPr>
          <w:rFonts w:ascii="Garamond" w:hAnsi="Garamond"/>
          <w:sz w:val="24"/>
          <w:szCs w:val="24"/>
        </w:rPr>
        <w:t xml:space="preserve"> vote on whether it complies with the principle of subsidiarity. If either of the two institutions concludes that the principle of subsidiarity is not complied with, the proposal shall not be given further consideration. This is called the</w:t>
      </w:r>
      <w:r w:rsidR="00F359BA">
        <w:rPr>
          <w:rFonts w:ascii="Garamond" w:hAnsi="Garamond"/>
          <w:sz w:val="24"/>
          <w:szCs w:val="24"/>
        </w:rPr>
        <w:t xml:space="preserve"> </w:t>
      </w:r>
      <w:r w:rsidR="00007C08">
        <w:rPr>
          <w:rFonts w:ascii="Garamond" w:hAnsi="Garamond"/>
          <w:i/>
          <w:sz w:val="24"/>
          <w:szCs w:val="24"/>
        </w:rPr>
        <w:t>orange</w:t>
      </w:r>
      <w:r w:rsidR="00F359BA" w:rsidRPr="00F359BA">
        <w:rPr>
          <w:rFonts w:ascii="Garamond" w:hAnsi="Garamond"/>
          <w:i/>
          <w:sz w:val="24"/>
          <w:szCs w:val="24"/>
        </w:rPr>
        <w:t>-card procedure</w:t>
      </w:r>
      <w:r w:rsidR="00F359BA">
        <w:rPr>
          <w:rFonts w:ascii="Garamond" w:hAnsi="Garamond"/>
          <w:sz w:val="24"/>
          <w:szCs w:val="24"/>
        </w:rPr>
        <w:t>.</w:t>
      </w:r>
    </w:p>
    <w:p w14:paraId="3EE53FD2" w14:textId="77777777" w:rsidR="00F359BA" w:rsidRPr="00F359BA" w:rsidRDefault="00F359BA" w:rsidP="00F359BA">
      <w:pPr>
        <w:pStyle w:val="ListParagraph"/>
        <w:rPr>
          <w:rFonts w:ascii="Garamond" w:hAnsi="Garamond"/>
          <w:sz w:val="24"/>
          <w:szCs w:val="24"/>
        </w:rPr>
      </w:pPr>
    </w:p>
    <w:p w14:paraId="7BCE27B7" w14:textId="77777777" w:rsidR="00F359BA" w:rsidRDefault="00F359BA" w:rsidP="00F63F3B">
      <w:pPr>
        <w:pStyle w:val="ListParagraph"/>
        <w:numPr>
          <w:ilvl w:val="0"/>
          <w:numId w:val="7"/>
        </w:numPr>
        <w:jc w:val="both"/>
        <w:rPr>
          <w:rFonts w:ascii="Garamond" w:hAnsi="Garamond"/>
          <w:sz w:val="24"/>
          <w:szCs w:val="24"/>
        </w:rPr>
      </w:pPr>
      <w:r>
        <w:rPr>
          <w:rFonts w:ascii="Garamond" w:hAnsi="Garamond"/>
          <w:sz w:val="24"/>
          <w:szCs w:val="24"/>
        </w:rPr>
        <w:t xml:space="preserve">It is important to note that there is </w:t>
      </w:r>
      <w:r w:rsidRPr="003F4A7B">
        <w:rPr>
          <w:rFonts w:ascii="Garamond" w:hAnsi="Garamond"/>
          <w:i/>
          <w:iCs/>
          <w:sz w:val="24"/>
          <w:szCs w:val="24"/>
        </w:rPr>
        <w:t>no red-card procedure</w:t>
      </w:r>
      <w:r>
        <w:rPr>
          <w:rFonts w:ascii="Garamond" w:hAnsi="Garamond"/>
          <w:sz w:val="24"/>
          <w:szCs w:val="24"/>
        </w:rPr>
        <w:t xml:space="preserve">. The national parliaments do not have the final </w:t>
      </w:r>
      <w:r w:rsidR="00007C08">
        <w:rPr>
          <w:rFonts w:ascii="Garamond" w:hAnsi="Garamond"/>
          <w:sz w:val="24"/>
          <w:szCs w:val="24"/>
        </w:rPr>
        <w:t xml:space="preserve">say </w:t>
      </w:r>
      <w:r>
        <w:rPr>
          <w:rFonts w:ascii="Garamond" w:hAnsi="Garamond"/>
          <w:sz w:val="24"/>
          <w:szCs w:val="24"/>
        </w:rPr>
        <w:t xml:space="preserve">on whether a proposal </w:t>
      </w:r>
      <w:r w:rsidR="00007C08">
        <w:rPr>
          <w:rFonts w:ascii="Garamond" w:hAnsi="Garamond"/>
          <w:sz w:val="24"/>
          <w:szCs w:val="24"/>
        </w:rPr>
        <w:t>for EU legislation should be withdrawn for non-compliance with the principle of subsidiarity. There is pressure on the EU to introduce such a red-card procedure and it was agreed as part of the pre-Brexit negotiations between the EU and the UK in February 2016 (the “package” of measures, negotiated by David Cameron, which were supposed to convince UK citizens to vote to remain in the EU).</w:t>
      </w:r>
    </w:p>
    <w:p w14:paraId="2ED692D0" w14:textId="77777777" w:rsidR="00007C08" w:rsidRPr="00007C08" w:rsidRDefault="00007C08" w:rsidP="00007C08">
      <w:pPr>
        <w:pStyle w:val="ListParagraph"/>
        <w:rPr>
          <w:rFonts w:ascii="Garamond" w:hAnsi="Garamond"/>
          <w:sz w:val="24"/>
          <w:szCs w:val="24"/>
        </w:rPr>
      </w:pPr>
    </w:p>
    <w:p w14:paraId="78CB0ECD" w14:textId="77777777" w:rsidR="00007C08" w:rsidRDefault="00007C08" w:rsidP="00F63F3B">
      <w:pPr>
        <w:pStyle w:val="ListParagraph"/>
        <w:numPr>
          <w:ilvl w:val="0"/>
          <w:numId w:val="7"/>
        </w:numPr>
        <w:jc w:val="both"/>
        <w:rPr>
          <w:rFonts w:ascii="Garamond" w:hAnsi="Garamond"/>
          <w:sz w:val="24"/>
          <w:szCs w:val="24"/>
        </w:rPr>
      </w:pPr>
      <w:r>
        <w:rPr>
          <w:rFonts w:ascii="Garamond" w:hAnsi="Garamond"/>
          <w:sz w:val="24"/>
          <w:szCs w:val="24"/>
        </w:rPr>
        <w:t xml:space="preserve">Even without such a red-card procedure, the opposition of national parliaments is quite a strong political signal to the EU. There have been three instances where a yellow card was given to the EU by national parliaments. The first instance with the proposal for a regulation on the exercise of the right to take collective action (the so-called Monti II Regulation). Even though the Commission maintained that the proposal did not breach the subsidiarity principle, it decided to withdraw it. The second proposal that received a yellow card was the proposal for a European Public Prosecutor. The Commission decided to maintain the proposal. In 2016, a third yellow card was given to the EU’s proposal for a revision of the Posted Workers Directive. Again, the Commission decided to maintain the proposal. </w:t>
      </w:r>
    </w:p>
    <w:p w14:paraId="2103B520" w14:textId="77777777" w:rsidR="00007C08" w:rsidRDefault="00007C08" w:rsidP="00007C08">
      <w:pPr>
        <w:pStyle w:val="ListParagraph"/>
        <w:jc w:val="both"/>
        <w:rPr>
          <w:rFonts w:ascii="Garamond" w:hAnsi="Garamond"/>
          <w:b/>
          <w:sz w:val="24"/>
          <w:szCs w:val="24"/>
        </w:rPr>
      </w:pPr>
    </w:p>
    <w:p w14:paraId="264860C5" w14:textId="77777777" w:rsidR="00007C08" w:rsidRDefault="00007C08" w:rsidP="00007C08">
      <w:pPr>
        <w:pStyle w:val="ListParagraph"/>
        <w:numPr>
          <w:ilvl w:val="0"/>
          <w:numId w:val="4"/>
        </w:numPr>
        <w:jc w:val="both"/>
        <w:rPr>
          <w:rFonts w:ascii="Garamond" w:hAnsi="Garamond"/>
          <w:b/>
          <w:sz w:val="24"/>
          <w:szCs w:val="24"/>
        </w:rPr>
      </w:pPr>
      <w:r>
        <w:rPr>
          <w:rFonts w:ascii="Garamond" w:hAnsi="Garamond"/>
          <w:b/>
          <w:sz w:val="24"/>
          <w:szCs w:val="24"/>
        </w:rPr>
        <w:t>The principle of proportionality</w:t>
      </w:r>
    </w:p>
    <w:p w14:paraId="41B53EBB" w14:textId="77777777" w:rsidR="00007C08" w:rsidRDefault="00007C08" w:rsidP="00007C08">
      <w:pPr>
        <w:pStyle w:val="ListParagraph"/>
        <w:jc w:val="both"/>
        <w:rPr>
          <w:rFonts w:ascii="Garamond" w:hAnsi="Garamond"/>
          <w:b/>
          <w:sz w:val="24"/>
          <w:szCs w:val="24"/>
        </w:rPr>
      </w:pPr>
    </w:p>
    <w:p w14:paraId="61346B9E" w14:textId="77777777" w:rsidR="00007C08" w:rsidRDefault="00D46519" w:rsidP="00007C08">
      <w:pPr>
        <w:pStyle w:val="ListParagraph"/>
        <w:numPr>
          <w:ilvl w:val="0"/>
          <w:numId w:val="8"/>
        </w:numPr>
        <w:jc w:val="both"/>
        <w:rPr>
          <w:rFonts w:ascii="Garamond" w:hAnsi="Garamond"/>
          <w:sz w:val="24"/>
          <w:szCs w:val="24"/>
        </w:rPr>
      </w:pPr>
      <w:r>
        <w:rPr>
          <w:rFonts w:ascii="Garamond" w:hAnsi="Garamond"/>
          <w:sz w:val="24"/>
          <w:szCs w:val="24"/>
        </w:rPr>
        <w:t xml:space="preserve">The third and final requirement the EU </w:t>
      </w:r>
      <w:proofErr w:type="gramStart"/>
      <w:r>
        <w:rPr>
          <w:rFonts w:ascii="Garamond" w:hAnsi="Garamond"/>
          <w:sz w:val="24"/>
          <w:szCs w:val="24"/>
        </w:rPr>
        <w:t>has to</w:t>
      </w:r>
      <w:proofErr w:type="gramEnd"/>
      <w:r>
        <w:rPr>
          <w:rFonts w:ascii="Garamond" w:hAnsi="Garamond"/>
          <w:sz w:val="24"/>
          <w:szCs w:val="24"/>
        </w:rPr>
        <w:t xml:space="preserve"> comply with in adopting EU legislation is the principle of proportionality. The principle of proportionality is essentially about </w:t>
      </w:r>
      <w:r w:rsidRPr="007D1996">
        <w:rPr>
          <w:rFonts w:ascii="Garamond" w:hAnsi="Garamond"/>
          <w:i/>
          <w:iCs/>
          <w:sz w:val="24"/>
          <w:szCs w:val="24"/>
        </w:rPr>
        <w:t>how</w:t>
      </w:r>
      <w:r>
        <w:rPr>
          <w:rFonts w:ascii="Garamond" w:hAnsi="Garamond"/>
          <w:sz w:val="24"/>
          <w:szCs w:val="24"/>
        </w:rPr>
        <w:t xml:space="preserve"> the EU should act. It is accepted that the EU can and should act – the question is now what form that action should take. Because of the focus on the “how to act” question, the principle of proportionality applies both to exclusive and shared competences of the EU. Even if the competence is an exclusive competence of the EU, it still </w:t>
      </w:r>
      <w:proofErr w:type="gramStart"/>
      <w:r>
        <w:rPr>
          <w:rFonts w:ascii="Garamond" w:hAnsi="Garamond"/>
          <w:sz w:val="24"/>
          <w:szCs w:val="24"/>
        </w:rPr>
        <w:t>has to</w:t>
      </w:r>
      <w:proofErr w:type="gramEnd"/>
      <w:r>
        <w:rPr>
          <w:rFonts w:ascii="Garamond" w:hAnsi="Garamond"/>
          <w:sz w:val="24"/>
          <w:szCs w:val="24"/>
        </w:rPr>
        <w:t xml:space="preserve"> show that EU action would be proportionate. Courts are more comfortable in applying the proportionality test, although there is still the question of how strict the proportionality test should be. There is a risk that the Court of Justice would effectively be taking the role of the EU legislature. </w:t>
      </w:r>
    </w:p>
    <w:p w14:paraId="33116484" w14:textId="77777777" w:rsidR="00D46519" w:rsidRDefault="00D46519" w:rsidP="00D46519">
      <w:pPr>
        <w:pStyle w:val="ListParagraph"/>
        <w:ind w:left="1080"/>
        <w:jc w:val="both"/>
        <w:rPr>
          <w:rFonts w:ascii="Garamond" w:hAnsi="Garamond"/>
          <w:sz w:val="24"/>
          <w:szCs w:val="24"/>
        </w:rPr>
      </w:pPr>
    </w:p>
    <w:p w14:paraId="3D49E6CF" w14:textId="1667AE60" w:rsidR="00D46519" w:rsidRDefault="00D46519" w:rsidP="00007C08">
      <w:pPr>
        <w:pStyle w:val="ListParagraph"/>
        <w:numPr>
          <w:ilvl w:val="0"/>
          <w:numId w:val="8"/>
        </w:numPr>
        <w:jc w:val="both"/>
        <w:rPr>
          <w:rFonts w:ascii="Garamond" w:hAnsi="Garamond"/>
          <w:sz w:val="24"/>
          <w:szCs w:val="24"/>
        </w:rPr>
      </w:pPr>
      <w:r>
        <w:rPr>
          <w:rFonts w:ascii="Garamond" w:hAnsi="Garamond"/>
          <w:sz w:val="24"/>
          <w:szCs w:val="24"/>
        </w:rPr>
        <w:t>The two main limbs of the proportionality test are the suitability test and the necessity test. Occasionally, the Court of Justice uses a third limb</w:t>
      </w:r>
      <w:r w:rsidR="00B1598E">
        <w:rPr>
          <w:rFonts w:ascii="Garamond" w:hAnsi="Garamond"/>
          <w:sz w:val="24"/>
          <w:szCs w:val="24"/>
        </w:rPr>
        <w:t xml:space="preserve"> of the proportionality test</w:t>
      </w:r>
      <w:r>
        <w:rPr>
          <w:rFonts w:ascii="Garamond" w:hAnsi="Garamond"/>
          <w:sz w:val="24"/>
          <w:szCs w:val="24"/>
        </w:rPr>
        <w:t xml:space="preserve">, which is called the proportionality in the strict sense test. </w:t>
      </w:r>
      <w:r w:rsidR="00B1598E">
        <w:rPr>
          <w:rFonts w:ascii="Garamond" w:hAnsi="Garamond"/>
          <w:sz w:val="24"/>
          <w:szCs w:val="24"/>
        </w:rPr>
        <w:t xml:space="preserve">The suitability test focusses on the connection between the aim that the EU wants to achieve, and the tool that it has chosen to achieve this aim. Is the measure suitable to achieve its </w:t>
      </w:r>
      <w:r w:rsidR="00C21873">
        <w:rPr>
          <w:rFonts w:ascii="Garamond" w:hAnsi="Garamond"/>
          <w:sz w:val="24"/>
          <w:szCs w:val="24"/>
        </w:rPr>
        <w:t>aim? To put it simply:</w:t>
      </w:r>
      <w:r w:rsidR="00B1598E">
        <w:rPr>
          <w:rFonts w:ascii="Garamond" w:hAnsi="Garamond"/>
          <w:sz w:val="24"/>
          <w:szCs w:val="24"/>
        </w:rPr>
        <w:t xml:space="preserve"> does it work? The necessity test is more of a comparative test: the question is whether the measure is </w:t>
      </w:r>
      <w:proofErr w:type="gramStart"/>
      <w:r w:rsidR="00B1598E">
        <w:rPr>
          <w:rFonts w:ascii="Garamond" w:hAnsi="Garamond"/>
          <w:sz w:val="24"/>
          <w:szCs w:val="24"/>
        </w:rPr>
        <w:t>really necessary</w:t>
      </w:r>
      <w:proofErr w:type="gramEnd"/>
      <w:r w:rsidR="00B1598E">
        <w:rPr>
          <w:rFonts w:ascii="Garamond" w:hAnsi="Garamond"/>
          <w:sz w:val="24"/>
          <w:szCs w:val="24"/>
        </w:rPr>
        <w:t xml:space="preserve"> and whether the EU could not have chosen a less restrictive (or less far-going) measure as an alternative. This requires the EU to reject less far-going measures because they would not be as effective as the proposed measure. The third and final part of the proportionality (which is not often employed by the Court of Justice) is the proportionality in the strict sense test. This stage is reached when the Court finds that the measure is suitable and necessary. Even if this is the case, the Court can still do a balancing of the interests that are involved. Has the EU struck the right balance between these interests and is the measure not excessively burdensome for those who are affected by it</w:t>
      </w:r>
      <w:r w:rsidR="003E5C1B">
        <w:rPr>
          <w:rFonts w:ascii="Garamond" w:hAnsi="Garamond"/>
          <w:sz w:val="24"/>
          <w:szCs w:val="24"/>
        </w:rPr>
        <w:t>?</w:t>
      </w:r>
    </w:p>
    <w:p w14:paraId="57285848" w14:textId="77777777" w:rsidR="00946C44" w:rsidRDefault="00946C44" w:rsidP="00946C44">
      <w:pPr>
        <w:pStyle w:val="ListParagraph"/>
        <w:ind w:left="1080"/>
        <w:jc w:val="both"/>
        <w:rPr>
          <w:rFonts w:ascii="Garamond" w:hAnsi="Garamond"/>
          <w:sz w:val="24"/>
          <w:szCs w:val="24"/>
        </w:rPr>
      </w:pPr>
    </w:p>
    <w:p w14:paraId="41CFAE21" w14:textId="77777777" w:rsidR="00B54CDA" w:rsidRDefault="00946C44" w:rsidP="00007C08">
      <w:pPr>
        <w:pStyle w:val="ListParagraph"/>
        <w:numPr>
          <w:ilvl w:val="0"/>
          <w:numId w:val="8"/>
        </w:numPr>
        <w:jc w:val="both"/>
        <w:rPr>
          <w:rFonts w:ascii="Garamond" w:hAnsi="Garamond"/>
          <w:sz w:val="24"/>
          <w:szCs w:val="24"/>
        </w:rPr>
      </w:pPr>
      <w:r>
        <w:rPr>
          <w:rFonts w:ascii="Garamond" w:hAnsi="Garamond"/>
          <w:sz w:val="24"/>
          <w:szCs w:val="24"/>
        </w:rPr>
        <w:t xml:space="preserve">A good example of the application of the proportionality test in practice is </w:t>
      </w:r>
      <w:proofErr w:type="spellStart"/>
      <w:r w:rsidRPr="00946C44">
        <w:rPr>
          <w:rFonts w:ascii="Garamond" w:hAnsi="Garamond"/>
          <w:i/>
          <w:sz w:val="24"/>
          <w:szCs w:val="24"/>
        </w:rPr>
        <w:t>Fedesa</w:t>
      </w:r>
      <w:proofErr w:type="spellEnd"/>
      <w:r>
        <w:rPr>
          <w:rFonts w:ascii="Garamond" w:hAnsi="Garamond"/>
          <w:sz w:val="24"/>
          <w:szCs w:val="24"/>
        </w:rPr>
        <w:t xml:space="preserve"> (Case C-331/88). The EU </w:t>
      </w:r>
      <w:r w:rsidR="00B54CDA">
        <w:rPr>
          <w:rFonts w:ascii="Garamond" w:hAnsi="Garamond"/>
          <w:sz w:val="24"/>
          <w:szCs w:val="24"/>
        </w:rPr>
        <w:t xml:space="preserve">had adopted a directive which banned the use of certain substances, which contained a particular kind of hormones, in livestock. </w:t>
      </w:r>
      <w:proofErr w:type="gramStart"/>
      <w:r w:rsidR="00B54CDA">
        <w:rPr>
          <w:rFonts w:ascii="Garamond" w:hAnsi="Garamond"/>
          <w:sz w:val="24"/>
          <w:szCs w:val="24"/>
        </w:rPr>
        <w:t>A number of</w:t>
      </w:r>
      <w:proofErr w:type="gramEnd"/>
      <w:r w:rsidR="00B54CDA">
        <w:rPr>
          <w:rFonts w:ascii="Garamond" w:hAnsi="Garamond"/>
          <w:sz w:val="24"/>
          <w:szCs w:val="24"/>
        </w:rPr>
        <w:t xml:space="preserve"> producers of these substances, as well as an association whose aim was to protect animal health, challenged the validity of the directive. It is a useful example because the claimants argued that the directive failed each of the three limbs of the proportionality test:</w:t>
      </w:r>
    </w:p>
    <w:p w14:paraId="64D264A1"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
          <w:iCs/>
          <w:color w:val="000000"/>
        </w:rPr>
      </w:pPr>
      <w:bookmarkStart w:id="0" w:name="MO"/>
      <w:r>
        <w:rPr>
          <w:rFonts w:ascii="Garamond" w:hAnsi="Garamond" w:cs="Tahoma"/>
          <w:i/>
          <w:iCs/>
          <w:color w:val="000000"/>
        </w:rPr>
        <w:t xml:space="preserve">12 </w:t>
      </w:r>
      <w:r w:rsidRPr="00B54CDA">
        <w:rPr>
          <w:rFonts w:ascii="Garamond" w:hAnsi="Garamond" w:cs="Tahoma"/>
          <w:i/>
          <w:iCs/>
          <w:color w:val="000000"/>
        </w:rPr>
        <w:t xml:space="preserve">It was argued that the directive at issue infringes the principle of proportionality in three </w:t>
      </w:r>
      <w:r>
        <w:rPr>
          <w:rFonts w:ascii="Garamond" w:hAnsi="Garamond" w:cs="Tahoma"/>
          <w:i/>
          <w:iCs/>
          <w:color w:val="000000"/>
        </w:rPr>
        <w:t>respects</w:t>
      </w:r>
      <w:r w:rsidRPr="00B54CDA">
        <w:rPr>
          <w:rFonts w:ascii="Garamond" w:hAnsi="Garamond" w:cs="Tahoma"/>
          <w:i/>
          <w:iCs/>
          <w:color w:val="000000"/>
        </w:rPr>
        <w:t xml:space="preserve">. In the first place, the outright prohibition on the administration of the five hormones in question is inappropriate </w:t>
      </w:r>
      <w:proofErr w:type="gramStart"/>
      <w:r w:rsidRPr="00B54CDA">
        <w:rPr>
          <w:rFonts w:ascii="Garamond" w:hAnsi="Garamond" w:cs="Tahoma"/>
          <w:i/>
          <w:iCs/>
          <w:color w:val="000000"/>
        </w:rPr>
        <w:t>in order to</w:t>
      </w:r>
      <w:proofErr w:type="gramEnd"/>
      <w:r w:rsidRPr="00B54CDA">
        <w:rPr>
          <w:rFonts w:ascii="Garamond" w:hAnsi="Garamond" w:cs="Tahoma"/>
          <w:i/>
          <w:iCs/>
          <w:color w:val="000000"/>
        </w:rPr>
        <w:t xml:space="preserve"> attain the declared objectives, since it is impossible to apply in practice and leads to the creat</w:t>
      </w:r>
      <w:r>
        <w:rPr>
          <w:rFonts w:ascii="Garamond" w:hAnsi="Garamond" w:cs="Tahoma"/>
          <w:i/>
          <w:iCs/>
          <w:color w:val="000000"/>
        </w:rPr>
        <w:t>ion of a dangerous black market</w:t>
      </w:r>
      <w:r w:rsidRPr="00B54CDA">
        <w:rPr>
          <w:rFonts w:ascii="Garamond" w:hAnsi="Garamond" w:cs="Tahoma"/>
          <w:i/>
          <w:iCs/>
          <w:color w:val="000000"/>
        </w:rPr>
        <w:t>. In the second place, outright prohibition is not necessary because consumer anxieties can be allayed simply by the dissemination of information an</w:t>
      </w:r>
      <w:r>
        <w:rPr>
          <w:rFonts w:ascii="Garamond" w:hAnsi="Garamond" w:cs="Tahoma"/>
          <w:i/>
          <w:iCs/>
          <w:color w:val="000000"/>
        </w:rPr>
        <w:t>d advice</w:t>
      </w:r>
      <w:r w:rsidRPr="00B54CDA">
        <w:rPr>
          <w:rFonts w:ascii="Garamond" w:hAnsi="Garamond" w:cs="Tahoma"/>
          <w:i/>
          <w:iCs/>
          <w:color w:val="000000"/>
        </w:rPr>
        <w:t xml:space="preserve">. Finally, the prohibition in question entails excessive disadvantages, </w:t>
      </w:r>
      <w:proofErr w:type="gramStart"/>
      <w:r w:rsidRPr="00B54CDA">
        <w:rPr>
          <w:rFonts w:ascii="Garamond" w:hAnsi="Garamond" w:cs="Tahoma"/>
          <w:i/>
          <w:iCs/>
          <w:color w:val="000000"/>
        </w:rPr>
        <w:t>in particular considerable</w:t>
      </w:r>
      <w:proofErr w:type="gramEnd"/>
      <w:r w:rsidRPr="00B54CDA">
        <w:rPr>
          <w:rFonts w:ascii="Garamond" w:hAnsi="Garamond" w:cs="Tahoma"/>
          <w:i/>
          <w:iCs/>
          <w:color w:val="000000"/>
        </w:rPr>
        <w:t xml:space="preserve"> financial losses on the part of the traders concerned, in relation to the alleged benefits a</w:t>
      </w:r>
      <w:r>
        <w:rPr>
          <w:rFonts w:ascii="Garamond" w:hAnsi="Garamond" w:cs="Tahoma"/>
          <w:i/>
          <w:iCs/>
          <w:color w:val="000000"/>
        </w:rPr>
        <w:t>ccruing to the general interest</w:t>
      </w:r>
      <w:r w:rsidRPr="00B54CDA">
        <w:rPr>
          <w:rFonts w:ascii="Garamond" w:hAnsi="Garamond" w:cs="Tahoma"/>
          <w:i/>
          <w:iCs/>
          <w:color w:val="000000"/>
        </w:rPr>
        <w:t>.</w:t>
      </w:r>
    </w:p>
    <w:p w14:paraId="766B50A6" w14:textId="77777777" w:rsidR="00B54CDA" w:rsidRDefault="00B54CDA" w:rsidP="00B54CDA">
      <w:pPr>
        <w:pStyle w:val="NormalWeb"/>
        <w:numPr>
          <w:ilvl w:val="0"/>
          <w:numId w:val="8"/>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lastRenderedPageBreak/>
        <w:t>The Court of Justice rejected each of these three challenges:</w:t>
      </w:r>
    </w:p>
    <w:p w14:paraId="0E01DA2F" w14:textId="77777777" w:rsidR="00B54CDA" w:rsidRPr="00B54CDA" w:rsidRDefault="00B54CDA" w:rsidP="00B54CDA">
      <w:pPr>
        <w:pStyle w:val="NormalWeb"/>
        <w:spacing w:before="150" w:beforeAutospacing="0" w:after="150" w:afterAutospacing="0" w:line="276" w:lineRule="auto"/>
        <w:ind w:left="1080" w:right="525"/>
        <w:jc w:val="both"/>
        <w:rPr>
          <w:rFonts w:ascii="Garamond" w:hAnsi="Garamond" w:cs="Tahoma"/>
          <w:i/>
          <w:iCs/>
          <w:color w:val="000000"/>
        </w:rPr>
      </w:pPr>
      <w:r w:rsidRPr="00B54CDA">
        <w:rPr>
          <w:rFonts w:ascii="Garamond" w:hAnsi="Garamond" w:cs="Tahoma"/>
          <w:i/>
          <w:iCs/>
          <w:color w:val="000000"/>
        </w:rPr>
        <w:t>15 On the question whether or not the prohibition is appropriate in the present case, it should first be stated that even if the presence of natural hormones in all meat prevents detection of the presence of prohibited hormones by tests on animals or on meat, other control methods may be used and indeed were imposed on the Member States by Council Directive 85/358/EEC of 16 July 1985 suppl</w:t>
      </w:r>
      <w:r>
        <w:rPr>
          <w:rFonts w:ascii="Garamond" w:hAnsi="Garamond" w:cs="Tahoma"/>
          <w:i/>
          <w:iCs/>
          <w:color w:val="000000"/>
        </w:rPr>
        <w:t>ementing Directive 81/602/EEC (Official Journal 1985 L 191, p. 46</w:t>
      </w:r>
      <w:r w:rsidRPr="00B54CDA">
        <w:rPr>
          <w:rFonts w:ascii="Garamond" w:hAnsi="Garamond" w:cs="Tahoma"/>
          <w:i/>
          <w:iCs/>
          <w:color w:val="000000"/>
        </w:rPr>
        <w:t>). It is not obvious that the authorization of only those hormones described as "natural" would be likely to prevent the emergence of a black market for dangero</w:t>
      </w:r>
      <w:r>
        <w:rPr>
          <w:rFonts w:ascii="Garamond" w:hAnsi="Garamond" w:cs="Tahoma"/>
          <w:i/>
          <w:iCs/>
          <w:color w:val="000000"/>
        </w:rPr>
        <w:t>us but less expensive substances</w:t>
      </w:r>
      <w:r w:rsidRPr="00B54CDA">
        <w:rPr>
          <w:rFonts w:ascii="Garamond" w:hAnsi="Garamond" w:cs="Tahoma"/>
          <w:i/>
          <w:iCs/>
          <w:color w:val="000000"/>
        </w:rPr>
        <w:t>. Moreover, according to the Council, which was not contradicted on that point, any system of partial authorization would require costly control measures whose effect</w:t>
      </w:r>
      <w:r>
        <w:rPr>
          <w:rFonts w:ascii="Garamond" w:hAnsi="Garamond" w:cs="Tahoma"/>
          <w:i/>
          <w:iCs/>
          <w:color w:val="000000"/>
        </w:rPr>
        <w:t>iveness would not be guaranteed</w:t>
      </w:r>
      <w:r w:rsidRPr="00B54CDA">
        <w:rPr>
          <w:rFonts w:ascii="Garamond" w:hAnsi="Garamond" w:cs="Tahoma"/>
          <w:i/>
          <w:iCs/>
          <w:color w:val="000000"/>
        </w:rPr>
        <w:t>. It follows that the prohibition at issue cannot be regarded as a m</w:t>
      </w:r>
      <w:r>
        <w:rPr>
          <w:rFonts w:ascii="Garamond" w:hAnsi="Garamond" w:cs="Tahoma"/>
          <w:i/>
          <w:iCs/>
          <w:color w:val="000000"/>
        </w:rPr>
        <w:t>anifestly inappropriate measure</w:t>
      </w:r>
      <w:r w:rsidRPr="00B54CDA">
        <w:rPr>
          <w:rFonts w:ascii="Garamond" w:hAnsi="Garamond" w:cs="Tahoma"/>
          <w:i/>
          <w:iCs/>
          <w:color w:val="000000"/>
        </w:rPr>
        <w:t>.</w:t>
      </w:r>
    </w:p>
    <w:p w14:paraId="781BE382" w14:textId="77777777" w:rsidR="00B54CDA" w:rsidRPr="00B54CDA" w:rsidRDefault="00B54CDA" w:rsidP="00B54CDA">
      <w:pPr>
        <w:pStyle w:val="NormalWeb"/>
        <w:spacing w:before="150" w:beforeAutospacing="0" w:after="150" w:afterAutospacing="0" w:line="276" w:lineRule="auto"/>
        <w:ind w:left="1080" w:right="525"/>
        <w:jc w:val="both"/>
        <w:rPr>
          <w:rFonts w:ascii="Garamond" w:hAnsi="Garamond" w:cs="Tahoma"/>
          <w:i/>
          <w:iCs/>
          <w:color w:val="000000"/>
        </w:rPr>
      </w:pPr>
      <w:r w:rsidRPr="00B54CDA">
        <w:rPr>
          <w:rFonts w:ascii="Garamond" w:hAnsi="Garamond" w:cs="Tahoma"/>
          <w:i/>
          <w:iCs/>
          <w:color w:val="000000"/>
        </w:rPr>
        <w:t xml:space="preserve">16 As regards the arguments which have been advanced in support of the claim that the prohibition in question is not necessary, those arguments are in fact based on the premise that the contested measure is inappropriate for attaining objectives other than that of allaying consumer anxieties which are said to be </w:t>
      </w:r>
      <w:proofErr w:type="gramStart"/>
      <w:r w:rsidRPr="00B54CDA">
        <w:rPr>
          <w:rFonts w:ascii="Garamond" w:hAnsi="Garamond" w:cs="Tahoma"/>
          <w:i/>
          <w:iCs/>
          <w:color w:val="000000"/>
        </w:rPr>
        <w:t>unfounded .</w:t>
      </w:r>
      <w:proofErr w:type="gramEnd"/>
      <w:r w:rsidRPr="00B54CDA">
        <w:rPr>
          <w:rFonts w:ascii="Garamond" w:hAnsi="Garamond" w:cs="Tahoma"/>
          <w:i/>
          <w:iCs/>
          <w:color w:val="000000"/>
        </w:rPr>
        <w:t xml:space="preserve"> Since the Council committed no manifest error in that respect, it was also entitled to take the view that, regard being had to the requirements of health protection, the removal of barriers to trade and distortions of competition could not be achieved by means of less onerous measures such as the dissemination of information to cons</w:t>
      </w:r>
      <w:r>
        <w:rPr>
          <w:rFonts w:ascii="Garamond" w:hAnsi="Garamond" w:cs="Tahoma"/>
          <w:i/>
          <w:iCs/>
          <w:color w:val="000000"/>
        </w:rPr>
        <w:t>umers and the labelling of meat</w:t>
      </w:r>
      <w:r w:rsidRPr="00B54CDA">
        <w:rPr>
          <w:rFonts w:ascii="Garamond" w:hAnsi="Garamond" w:cs="Tahoma"/>
          <w:i/>
          <w:iCs/>
          <w:color w:val="000000"/>
        </w:rPr>
        <w:t>.</w:t>
      </w:r>
    </w:p>
    <w:p w14:paraId="60F3F965"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
          <w:iCs/>
          <w:color w:val="000000"/>
        </w:rPr>
      </w:pPr>
      <w:r w:rsidRPr="00B54CDA">
        <w:rPr>
          <w:rFonts w:ascii="Garamond" w:hAnsi="Garamond" w:cs="Tahoma"/>
          <w:i/>
          <w:iCs/>
          <w:color w:val="000000"/>
        </w:rPr>
        <w:t>17 Finally, it must be stated that the importance of the objectives pursued is such as to justify even substantial negative financial c</w:t>
      </w:r>
      <w:r>
        <w:rPr>
          <w:rFonts w:ascii="Garamond" w:hAnsi="Garamond" w:cs="Tahoma"/>
          <w:i/>
          <w:iCs/>
          <w:color w:val="000000"/>
        </w:rPr>
        <w:t>onsequences for certain traders</w:t>
      </w:r>
      <w:r w:rsidRPr="00B54CDA">
        <w:rPr>
          <w:rFonts w:ascii="Garamond" w:hAnsi="Garamond" w:cs="Tahoma"/>
          <w:i/>
          <w:iCs/>
          <w:color w:val="000000"/>
        </w:rPr>
        <w:t>.</w:t>
      </w:r>
    </w:p>
    <w:p w14:paraId="0AB38B9C" w14:textId="77777777" w:rsidR="00B54CDA" w:rsidRDefault="00B54CDA" w:rsidP="00B54CDA">
      <w:pPr>
        <w:pStyle w:val="NormalWeb"/>
        <w:numPr>
          <w:ilvl w:val="0"/>
          <w:numId w:val="8"/>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The Court of Justice gave a very clear message: it will only conduct </w:t>
      </w:r>
      <w:r w:rsidRPr="00A05AB4">
        <w:rPr>
          <w:rFonts w:ascii="Garamond" w:hAnsi="Garamond" w:cs="Tahoma"/>
          <w:i/>
          <w:color w:val="000000"/>
        </w:rPr>
        <w:t>a marginal review</w:t>
      </w:r>
      <w:r>
        <w:rPr>
          <w:rFonts w:ascii="Garamond" w:hAnsi="Garamond" w:cs="Tahoma"/>
          <w:iCs/>
          <w:color w:val="000000"/>
        </w:rPr>
        <w:t xml:space="preserve"> of the proportionality of EU legislation. As a result, the EU legislature is granted a certain margin of discretion in deciding whether a particular measure is suitable and necessary. This is to be distinguished from a full or strict review of the proportionality. When the Court of Justice assesses the actions of Member States under EU law, it will usually adopt a much stricter approach.</w:t>
      </w:r>
    </w:p>
    <w:p w14:paraId="24FF9313" w14:textId="77777777" w:rsidR="00B54CDA" w:rsidRPr="00B54CDA" w:rsidRDefault="00B54CDA" w:rsidP="00B54CDA">
      <w:pPr>
        <w:pStyle w:val="NormalWeb"/>
        <w:spacing w:before="150" w:beforeAutospacing="0" w:after="150" w:afterAutospacing="0" w:line="276" w:lineRule="auto"/>
        <w:ind w:left="1080" w:right="525"/>
        <w:rPr>
          <w:rFonts w:ascii="Garamond" w:hAnsi="Garamond" w:cs="Tahoma"/>
          <w:i/>
          <w:iCs/>
          <w:color w:val="000000"/>
        </w:rPr>
      </w:pPr>
      <w:r>
        <w:rPr>
          <w:rFonts w:ascii="Garamond" w:hAnsi="Garamond" w:cs="Tahoma"/>
          <w:i/>
          <w:iCs/>
          <w:color w:val="000000"/>
        </w:rPr>
        <w:t xml:space="preserve">14 </w:t>
      </w:r>
      <w:r w:rsidRPr="00B54CDA">
        <w:rPr>
          <w:rFonts w:ascii="Garamond" w:hAnsi="Garamond" w:cs="Tahoma"/>
          <w:i/>
          <w:iCs/>
          <w:color w:val="000000"/>
        </w:rPr>
        <w:t>[W]</w:t>
      </w:r>
      <w:proofErr w:type="spellStart"/>
      <w:r w:rsidRPr="00B54CDA">
        <w:rPr>
          <w:rFonts w:ascii="Garamond" w:hAnsi="Garamond" w:cs="Tahoma"/>
          <w:i/>
          <w:iCs/>
          <w:color w:val="000000"/>
        </w:rPr>
        <w:t>ith</w:t>
      </w:r>
      <w:proofErr w:type="spellEnd"/>
      <w:r w:rsidRPr="00B54CDA">
        <w:rPr>
          <w:rFonts w:ascii="Garamond" w:hAnsi="Garamond" w:cs="Tahoma"/>
          <w:i/>
          <w:iCs/>
          <w:color w:val="000000"/>
        </w:rPr>
        <w:t xml:space="preserve"> regard to judicial review of compliance with those conditions it must be stated that in matters concerning the common agricultural policy the Community legislature has a discretionary power which corresponds to the political responsibilities given to it by Articles 40 and 43 of the Treaty. Consequently, the legality of a measure adopted in that sphere can be affected only if the measure is manifestly inappropriate having regard to the objective which the competent institution is seeking to </w:t>
      </w:r>
      <w:proofErr w:type="gramStart"/>
      <w:r w:rsidRPr="00B54CDA">
        <w:rPr>
          <w:rFonts w:ascii="Garamond" w:hAnsi="Garamond" w:cs="Tahoma"/>
          <w:i/>
          <w:iCs/>
          <w:color w:val="000000"/>
        </w:rPr>
        <w:t>pursue</w:t>
      </w:r>
      <w:proofErr w:type="gramEnd"/>
    </w:p>
    <w:p w14:paraId="7BBA0A9A"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Cs/>
          <w:color w:val="000000"/>
        </w:rPr>
      </w:pPr>
    </w:p>
    <w:p w14:paraId="2B35B9D2"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Cs/>
          <w:color w:val="000000"/>
        </w:rPr>
      </w:pPr>
    </w:p>
    <w:p w14:paraId="47267B24"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Cs/>
          <w:color w:val="000000"/>
        </w:rPr>
      </w:pPr>
    </w:p>
    <w:p w14:paraId="2A4EE35B" w14:textId="77777777" w:rsidR="00B54CDA" w:rsidRDefault="00B54CDA" w:rsidP="00B54CDA">
      <w:pPr>
        <w:pStyle w:val="NormalWeb"/>
        <w:spacing w:before="150" w:beforeAutospacing="0" w:after="150" w:afterAutospacing="0" w:line="276" w:lineRule="auto"/>
        <w:ind w:left="1080" w:right="525"/>
        <w:jc w:val="both"/>
        <w:rPr>
          <w:rFonts w:ascii="Garamond" w:hAnsi="Garamond" w:cs="Tahoma"/>
          <w:iCs/>
          <w:color w:val="000000"/>
        </w:rPr>
      </w:pPr>
    </w:p>
    <w:p w14:paraId="2F74D447" w14:textId="526366F6" w:rsidR="00B54CDA" w:rsidRDefault="00B54CDA" w:rsidP="00B54CDA">
      <w:pPr>
        <w:pStyle w:val="NormalWeb"/>
        <w:spacing w:before="150" w:beforeAutospacing="0" w:after="150" w:afterAutospacing="0" w:line="276" w:lineRule="auto"/>
        <w:ind w:left="1080" w:right="525"/>
        <w:jc w:val="both"/>
        <w:rPr>
          <w:rFonts w:ascii="Garamond" w:hAnsi="Garamond" w:cs="Tahoma"/>
          <w:iCs/>
          <w:color w:val="000000"/>
        </w:rPr>
      </w:pPr>
    </w:p>
    <w:p w14:paraId="4A71D59D" w14:textId="0C1CD79B" w:rsidR="002369A3" w:rsidRDefault="002369A3" w:rsidP="00B54CDA">
      <w:pPr>
        <w:pStyle w:val="NormalWeb"/>
        <w:spacing w:before="150" w:beforeAutospacing="0" w:after="150" w:afterAutospacing="0" w:line="276" w:lineRule="auto"/>
        <w:ind w:left="1080" w:right="525"/>
        <w:jc w:val="both"/>
        <w:rPr>
          <w:rFonts w:ascii="Garamond" w:hAnsi="Garamond" w:cs="Tahoma"/>
          <w:iCs/>
          <w:color w:val="000000"/>
        </w:rPr>
      </w:pPr>
    </w:p>
    <w:p w14:paraId="1F404C9A" w14:textId="77777777" w:rsidR="00B54CDA" w:rsidRDefault="00B54CDA" w:rsidP="00B54CDA">
      <w:pPr>
        <w:pStyle w:val="NormalWeb"/>
        <w:spacing w:before="150" w:beforeAutospacing="0" w:after="150" w:afterAutospacing="0" w:line="276" w:lineRule="auto"/>
        <w:ind w:left="1080" w:right="525"/>
        <w:jc w:val="center"/>
        <w:rPr>
          <w:rFonts w:ascii="Garamond" w:hAnsi="Garamond" w:cs="Tahoma"/>
          <w:b/>
          <w:iCs/>
          <w:color w:val="000000"/>
          <w:sz w:val="40"/>
          <w:szCs w:val="40"/>
        </w:rPr>
      </w:pPr>
      <w:r>
        <w:rPr>
          <w:rFonts w:ascii="Garamond" w:hAnsi="Garamond" w:cs="Tahoma"/>
          <w:b/>
          <w:iCs/>
          <w:color w:val="000000"/>
          <w:sz w:val="40"/>
          <w:szCs w:val="40"/>
        </w:rPr>
        <w:t xml:space="preserve">EU LEGISLATIVE PROCEDURES AND LEGAL </w:t>
      </w:r>
      <w:r w:rsidR="00345B11">
        <w:rPr>
          <w:rFonts w:ascii="Garamond" w:hAnsi="Garamond" w:cs="Tahoma"/>
          <w:b/>
          <w:iCs/>
          <w:color w:val="000000"/>
          <w:sz w:val="40"/>
          <w:szCs w:val="40"/>
        </w:rPr>
        <w:t>ACTS</w:t>
      </w:r>
    </w:p>
    <w:p w14:paraId="00C77987" w14:textId="77777777" w:rsidR="00B54CDA" w:rsidRDefault="00E06502" w:rsidP="00E06502">
      <w:pPr>
        <w:pStyle w:val="NormalWeb"/>
        <w:numPr>
          <w:ilvl w:val="0"/>
          <w:numId w:val="10"/>
        </w:numPr>
        <w:spacing w:before="150" w:beforeAutospacing="0" w:after="150" w:afterAutospacing="0" w:line="276" w:lineRule="auto"/>
        <w:ind w:right="525"/>
        <w:jc w:val="both"/>
        <w:rPr>
          <w:rFonts w:ascii="Garamond" w:hAnsi="Garamond" w:cs="Tahoma"/>
          <w:b/>
          <w:iCs/>
          <w:color w:val="000000"/>
        </w:rPr>
      </w:pPr>
      <w:r>
        <w:rPr>
          <w:rFonts w:ascii="Garamond" w:hAnsi="Garamond" w:cs="Tahoma"/>
          <w:b/>
          <w:iCs/>
          <w:color w:val="000000"/>
        </w:rPr>
        <w:t>EU legislative procedures</w:t>
      </w:r>
    </w:p>
    <w:p w14:paraId="7F8DF1C0" w14:textId="77777777" w:rsidR="00E06502" w:rsidRDefault="00E06502" w:rsidP="00E06502">
      <w:pPr>
        <w:pStyle w:val="NormalWeb"/>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In EU law, a distinction is made between two different types of legislative procedures: the ordinary legislative procedure and special legislative procedures. Although this terminology was only introduced by the Treaty of Lisbon in 2009, the procedures are based on procedures that were previously known under a different name. It is important to note that while there is only one ordinary legislative procedure, there are various types of special legislative procedures. The precise characteristics of the special legislative procedure to be followed will always be set out in the legal basis.</w:t>
      </w:r>
    </w:p>
    <w:p w14:paraId="03805E6C" w14:textId="77777777" w:rsidR="00E06502" w:rsidRDefault="00E06502" w:rsidP="00E06502">
      <w:pPr>
        <w:pStyle w:val="NormalWeb"/>
        <w:numPr>
          <w:ilvl w:val="0"/>
          <w:numId w:val="10"/>
        </w:numPr>
        <w:spacing w:before="150" w:beforeAutospacing="0" w:after="150" w:afterAutospacing="0" w:line="276" w:lineRule="auto"/>
        <w:ind w:right="525"/>
        <w:jc w:val="both"/>
        <w:rPr>
          <w:rFonts w:ascii="Garamond" w:hAnsi="Garamond" w:cs="Tahoma"/>
          <w:b/>
          <w:iCs/>
          <w:color w:val="000000"/>
        </w:rPr>
      </w:pPr>
      <w:r>
        <w:rPr>
          <w:rFonts w:ascii="Garamond" w:hAnsi="Garamond" w:cs="Tahoma"/>
          <w:b/>
          <w:iCs/>
          <w:color w:val="000000"/>
        </w:rPr>
        <w:t>The ordinary legislative procedure</w:t>
      </w:r>
      <w:r w:rsidR="00753154">
        <w:rPr>
          <w:rFonts w:ascii="Garamond" w:hAnsi="Garamond" w:cs="Tahoma"/>
          <w:b/>
          <w:iCs/>
          <w:color w:val="000000"/>
        </w:rPr>
        <w:t xml:space="preserve"> (Article 294 TFEU)</w:t>
      </w:r>
    </w:p>
    <w:p w14:paraId="6EB30410" w14:textId="77777777" w:rsidR="00E06502" w:rsidRDefault="00E06502" w:rsidP="00E06502">
      <w:pPr>
        <w:pStyle w:val="NormalWeb"/>
        <w:numPr>
          <w:ilvl w:val="0"/>
          <w:numId w:val="11"/>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As the name suggests, the ordinary legislative procedure is now the standard legislative procedure of the EU. </w:t>
      </w:r>
      <w:r w:rsidR="00753154">
        <w:rPr>
          <w:rFonts w:ascii="Garamond" w:hAnsi="Garamond" w:cs="Tahoma"/>
          <w:iCs/>
          <w:color w:val="000000"/>
        </w:rPr>
        <w:t xml:space="preserve">Its main characteristic is that the two legislative bodies of the EU, the European </w:t>
      </w:r>
      <w:proofErr w:type="gramStart"/>
      <w:r w:rsidR="00753154">
        <w:rPr>
          <w:rFonts w:ascii="Garamond" w:hAnsi="Garamond" w:cs="Tahoma"/>
          <w:iCs/>
          <w:color w:val="000000"/>
        </w:rPr>
        <w:t>Parliament</w:t>
      </w:r>
      <w:proofErr w:type="gramEnd"/>
      <w:r w:rsidR="00753154">
        <w:rPr>
          <w:rFonts w:ascii="Garamond" w:hAnsi="Garamond" w:cs="Tahoma"/>
          <w:iCs/>
          <w:color w:val="000000"/>
        </w:rPr>
        <w:t xml:space="preserve"> and the Council, have equal powers in the legislative procedure. Both </w:t>
      </w:r>
      <w:proofErr w:type="gramStart"/>
      <w:r w:rsidR="00753154">
        <w:rPr>
          <w:rFonts w:ascii="Garamond" w:hAnsi="Garamond" w:cs="Tahoma"/>
          <w:iCs/>
          <w:color w:val="000000"/>
        </w:rPr>
        <w:t>have to</w:t>
      </w:r>
      <w:proofErr w:type="gramEnd"/>
      <w:r w:rsidR="00753154">
        <w:rPr>
          <w:rFonts w:ascii="Garamond" w:hAnsi="Garamond" w:cs="Tahoma"/>
          <w:iCs/>
          <w:color w:val="000000"/>
        </w:rPr>
        <w:t xml:space="preserve"> agree to the proposal before it can be adopted. </w:t>
      </w:r>
    </w:p>
    <w:p w14:paraId="64AFC7CE" w14:textId="77777777" w:rsidR="00753154" w:rsidRDefault="00753154" w:rsidP="00E06502">
      <w:pPr>
        <w:pStyle w:val="NormalWeb"/>
        <w:numPr>
          <w:ilvl w:val="0"/>
          <w:numId w:val="11"/>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Under the ordinary legislative procedure, the Commission has the sole right of initiative (“monopoly”). Each proposal for EU legislation will have to start with the Commission, which, as the EU institution representing the supranational interest (the EU interest), is best placed to assess whether a particular proposal is in the EU’s best interests. </w:t>
      </w:r>
      <w:r w:rsidR="00C62597">
        <w:rPr>
          <w:rFonts w:ascii="Garamond" w:hAnsi="Garamond" w:cs="Tahoma"/>
          <w:iCs/>
          <w:color w:val="000000"/>
        </w:rPr>
        <w:t>For that reason, the Commission also has the power to withdraw a proposal (for example, because it is not happy with the changes proposed by the Parliament and/or the Council) up to the conciliation stage.</w:t>
      </w:r>
    </w:p>
    <w:p w14:paraId="46911C8D" w14:textId="77777777" w:rsidR="00753154" w:rsidRDefault="00753154" w:rsidP="00753154">
      <w:pPr>
        <w:pStyle w:val="NormalWeb"/>
        <w:numPr>
          <w:ilvl w:val="0"/>
          <w:numId w:val="11"/>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The proposal is then sent to the Parliament and the Council for a first reading. If both institutions immediately agree on the proposal, the proposal is </w:t>
      </w:r>
      <w:r w:rsidR="009E1C30">
        <w:rPr>
          <w:rFonts w:ascii="Garamond" w:hAnsi="Garamond" w:cs="Tahoma"/>
          <w:iCs/>
          <w:color w:val="000000"/>
        </w:rPr>
        <w:t xml:space="preserve">formally </w:t>
      </w:r>
      <w:r>
        <w:rPr>
          <w:rFonts w:ascii="Garamond" w:hAnsi="Garamond" w:cs="Tahoma"/>
          <w:iCs/>
          <w:color w:val="000000"/>
        </w:rPr>
        <w:t xml:space="preserve">adopted. If they suggest changes, there will be a second reading. If the Parliament and Council cannot agree after the second reading, a conciliation committee will be created. This committee exists of </w:t>
      </w:r>
      <w:proofErr w:type="gramStart"/>
      <w:r>
        <w:rPr>
          <w:rFonts w:ascii="Garamond" w:hAnsi="Garamond" w:cs="Tahoma"/>
          <w:iCs/>
          <w:color w:val="000000"/>
        </w:rPr>
        <w:t>a number of</w:t>
      </w:r>
      <w:proofErr w:type="gramEnd"/>
      <w:r>
        <w:rPr>
          <w:rFonts w:ascii="Garamond" w:hAnsi="Garamond" w:cs="Tahoma"/>
          <w:iCs/>
          <w:color w:val="000000"/>
        </w:rPr>
        <w:t xml:space="preserve"> members of both institutions. They are supposed to come up with a compromise which is acceptable to both the Parliament and Council. If they manage to this, the amended proposal will be presented to both institutions for a third reading.</w:t>
      </w:r>
    </w:p>
    <w:p w14:paraId="48012A95" w14:textId="77777777" w:rsidR="00753154" w:rsidRPr="009E1C30" w:rsidRDefault="00753154" w:rsidP="00753154">
      <w:pPr>
        <w:pStyle w:val="NormalWeb"/>
        <w:numPr>
          <w:ilvl w:val="0"/>
          <w:numId w:val="11"/>
        </w:numPr>
        <w:spacing w:before="150" w:beforeAutospacing="0" w:after="150" w:afterAutospacing="0" w:line="276" w:lineRule="auto"/>
        <w:ind w:right="525"/>
        <w:jc w:val="both"/>
        <w:rPr>
          <w:rFonts w:ascii="Garamond" w:hAnsi="Garamond" w:cs="Tahoma"/>
          <w:b/>
          <w:iCs/>
          <w:color w:val="000000"/>
        </w:rPr>
      </w:pPr>
      <w:r>
        <w:rPr>
          <w:rFonts w:ascii="Garamond" w:hAnsi="Garamond" w:cs="Tahoma"/>
          <w:iCs/>
          <w:color w:val="000000"/>
        </w:rPr>
        <w:t xml:space="preserve">Check Article 294 TFEU for the precise ways in which both institutions vote in the ordinary legislative procedure – it is quite technical! </w:t>
      </w:r>
    </w:p>
    <w:p w14:paraId="6FCB7C67" w14:textId="466EF78C" w:rsidR="00753154" w:rsidRDefault="009E1C30" w:rsidP="00753154">
      <w:pPr>
        <w:pStyle w:val="NormalWeb"/>
        <w:numPr>
          <w:ilvl w:val="0"/>
          <w:numId w:val="10"/>
        </w:numPr>
        <w:spacing w:before="150" w:beforeAutospacing="0" w:after="150" w:afterAutospacing="0" w:line="276" w:lineRule="auto"/>
        <w:ind w:right="525"/>
        <w:jc w:val="both"/>
        <w:rPr>
          <w:rFonts w:ascii="Garamond" w:hAnsi="Garamond" w:cs="Tahoma"/>
          <w:b/>
          <w:iCs/>
          <w:color w:val="000000"/>
        </w:rPr>
      </w:pPr>
      <w:r w:rsidRPr="009E1C30">
        <w:rPr>
          <w:rFonts w:ascii="Garamond" w:hAnsi="Garamond" w:cs="Tahoma"/>
          <w:b/>
          <w:iCs/>
          <w:color w:val="000000"/>
        </w:rPr>
        <w:t>The special legislative procedure (Article 289(2)</w:t>
      </w:r>
      <w:r w:rsidR="00394BFA">
        <w:rPr>
          <w:rFonts w:ascii="Garamond" w:hAnsi="Garamond" w:cs="Tahoma"/>
          <w:b/>
          <w:iCs/>
          <w:color w:val="000000"/>
        </w:rPr>
        <w:t xml:space="preserve"> TFEU</w:t>
      </w:r>
      <w:r w:rsidRPr="009E1C30">
        <w:rPr>
          <w:rFonts w:ascii="Garamond" w:hAnsi="Garamond" w:cs="Tahoma"/>
          <w:b/>
          <w:iCs/>
          <w:color w:val="000000"/>
        </w:rPr>
        <w:t>)</w:t>
      </w:r>
    </w:p>
    <w:p w14:paraId="6C70794C" w14:textId="77777777" w:rsidR="009E1C30" w:rsidRDefault="009E1C30" w:rsidP="009E1C30">
      <w:pPr>
        <w:pStyle w:val="NormalWeb"/>
        <w:numPr>
          <w:ilvl w:val="0"/>
          <w:numId w:val="12"/>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As emphasised above, there is not one type of special legislative procedure. The precise procedure to be followed will always be written down in the legal basis. However, all these procedures share one main characteristic: one of the institutions has more power than the other institution. Most of the time, this will be the Council, </w:t>
      </w:r>
      <w:r>
        <w:rPr>
          <w:rFonts w:ascii="Garamond" w:hAnsi="Garamond" w:cs="Tahoma"/>
          <w:iCs/>
          <w:color w:val="000000"/>
        </w:rPr>
        <w:lastRenderedPageBreak/>
        <w:t>but it is also possible for the European Parliament to be the “dominant” institution in a special legislative procedure. This dominant institution will also formally adopt the EU instrument. You will see this in the title of the EU instrument: for example, the Council can adopt a “Council Directive” or a “Council Regulation”.</w:t>
      </w:r>
    </w:p>
    <w:p w14:paraId="31EA3872" w14:textId="77777777" w:rsidR="009E1C30" w:rsidRDefault="009E1C30" w:rsidP="009E1C30">
      <w:pPr>
        <w:pStyle w:val="NormalWeb"/>
        <w:numPr>
          <w:ilvl w:val="0"/>
          <w:numId w:val="12"/>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The two most common types of special legislative procedures are the consent procedure and the consultation procedure. In the consent procedure, the European Parliament will have the right to say “yes” or “no” to a proposal – its consent is required – but it cannot formally propose changes. In the consultation procedure, the European Parliament only </w:t>
      </w:r>
      <w:proofErr w:type="gramStart"/>
      <w:r>
        <w:rPr>
          <w:rFonts w:ascii="Garamond" w:hAnsi="Garamond" w:cs="Tahoma"/>
          <w:iCs/>
          <w:color w:val="000000"/>
        </w:rPr>
        <w:t>has to</w:t>
      </w:r>
      <w:proofErr w:type="gramEnd"/>
      <w:r>
        <w:rPr>
          <w:rFonts w:ascii="Garamond" w:hAnsi="Garamond" w:cs="Tahoma"/>
          <w:iCs/>
          <w:color w:val="000000"/>
        </w:rPr>
        <w:t xml:space="preserve"> be consulted. This means that the Parliament is given the chance to submit its comments on a particular proposal, </w:t>
      </w:r>
      <w:r w:rsidR="00E23534">
        <w:rPr>
          <w:rFonts w:ascii="Garamond" w:hAnsi="Garamond" w:cs="Tahoma"/>
          <w:iCs/>
          <w:color w:val="000000"/>
        </w:rPr>
        <w:t>but that its opinion is not binding on the Council. However, if the Council fails to give Parliament the chance to submit its opinion, this is a serious procedural error which renders the adopted EU legislation void.</w:t>
      </w:r>
    </w:p>
    <w:p w14:paraId="01842D2F" w14:textId="77777777" w:rsidR="00E23534" w:rsidRDefault="00E23534" w:rsidP="00E23534">
      <w:pPr>
        <w:pStyle w:val="NormalWeb"/>
        <w:numPr>
          <w:ilvl w:val="0"/>
          <w:numId w:val="10"/>
        </w:numPr>
        <w:spacing w:before="150" w:beforeAutospacing="0" w:after="150" w:afterAutospacing="0" w:line="276" w:lineRule="auto"/>
        <w:ind w:right="525"/>
        <w:jc w:val="both"/>
        <w:rPr>
          <w:rFonts w:ascii="Garamond" w:hAnsi="Garamond" w:cs="Tahoma"/>
          <w:b/>
          <w:iCs/>
          <w:color w:val="000000"/>
        </w:rPr>
      </w:pPr>
      <w:r>
        <w:rPr>
          <w:rFonts w:ascii="Garamond" w:hAnsi="Garamond" w:cs="Tahoma"/>
          <w:b/>
          <w:iCs/>
          <w:color w:val="000000"/>
        </w:rPr>
        <w:t>Institutional battles about the correct legal basis</w:t>
      </w:r>
      <w:r w:rsidR="00FF5900">
        <w:rPr>
          <w:rFonts w:ascii="Garamond" w:hAnsi="Garamond" w:cs="Tahoma"/>
          <w:b/>
          <w:iCs/>
          <w:color w:val="000000"/>
        </w:rPr>
        <w:t>: the procedural dimension of the principle of conferral</w:t>
      </w:r>
    </w:p>
    <w:p w14:paraId="46C6074A" w14:textId="77777777" w:rsidR="00E23534" w:rsidRDefault="00FF5900" w:rsidP="00FF5900">
      <w:pPr>
        <w:pStyle w:val="NormalWeb"/>
        <w:numPr>
          <w:ilvl w:val="0"/>
          <w:numId w:val="13"/>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If there are two potential legal bases for EU legislation, one EU institution might </w:t>
      </w:r>
      <w:proofErr w:type="gramStart"/>
      <w:r>
        <w:rPr>
          <w:rFonts w:ascii="Garamond" w:hAnsi="Garamond" w:cs="Tahoma"/>
          <w:iCs/>
          <w:color w:val="000000"/>
        </w:rPr>
        <w:t>have a preference for</w:t>
      </w:r>
      <w:proofErr w:type="gramEnd"/>
      <w:r>
        <w:rPr>
          <w:rFonts w:ascii="Garamond" w:hAnsi="Garamond" w:cs="Tahoma"/>
          <w:iCs/>
          <w:color w:val="000000"/>
        </w:rPr>
        <w:t xml:space="preserve"> a certain legal basis because it is given a more prominent role under the applicable legislative procedure. You will understand that the European Parliament always </w:t>
      </w:r>
      <w:proofErr w:type="gramStart"/>
      <w:r>
        <w:rPr>
          <w:rFonts w:ascii="Garamond" w:hAnsi="Garamond" w:cs="Tahoma"/>
          <w:iCs/>
          <w:color w:val="000000"/>
        </w:rPr>
        <w:t>has a preference for</w:t>
      </w:r>
      <w:proofErr w:type="gramEnd"/>
      <w:r>
        <w:rPr>
          <w:rFonts w:ascii="Garamond" w:hAnsi="Garamond" w:cs="Tahoma"/>
          <w:iCs/>
          <w:color w:val="000000"/>
        </w:rPr>
        <w:t xml:space="preserve"> a legal basis which uses the ordinary legislative procedure – it obviously likes to have equal powers to the Council. The Council, on the other hand, may </w:t>
      </w:r>
      <w:proofErr w:type="gramStart"/>
      <w:r>
        <w:rPr>
          <w:rFonts w:ascii="Garamond" w:hAnsi="Garamond" w:cs="Tahoma"/>
          <w:iCs/>
          <w:color w:val="000000"/>
        </w:rPr>
        <w:t>have a preference for</w:t>
      </w:r>
      <w:proofErr w:type="gramEnd"/>
      <w:r>
        <w:rPr>
          <w:rFonts w:ascii="Garamond" w:hAnsi="Garamond" w:cs="Tahoma"/>
          <w:iCs/>
          <w:color w:val="000000"/>
        </w:rPr>
        <w:t xml:space="preserve"> a special legislative procedure under which it only has to consult the European Parliament. </w:t>
      </w:r>
    </w:p>
    <w:p w14:paraId="361289F6" w14:textId="77777777" w:rsidR="00FF5900" w:rsidRDefault="00FF5900" w:rsidP="00FF5900">
      <w:pPr>
        <w:pStyle w:val="NormalWeb"/>
        <w:numPr>
          <w:ilvl w:val="0"/>
          <w:numId w:val="13"/>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There have been a number of these institutional battles where the Court of Justice had to decide on the correct legal basis. As we discussed above, this is an objective </w:t>
      </w:r>
      <w:proofErr w:type="gramStart"/>
      <w:r>
        <w:rPr>
          <w:rFonts w:ascii="Garamond" w:hAnsi="Garamond" w:cs="Tahoma"/>
          <w:iCs/>
          <w:color w:val="000000"/>
        </w:rPr>
        <w:t>test</w:t>
      </w:r>
      <w:proofErr w:type="gramEnd"/>
      <w:r>
        <w:rPr>
          <w:rFonts w:ascii="Garamond" w:hAnsi="Garamond" w:cs="Tahoma"/>
          <w:iCs/>
          <w:color w:val="000000"/>
        </w:rPr>
        <w:t xml:space="preserve"> and the Court has to look at what the centre of gravity of the proposal is. A useful example of such a battle was </w:t>
      </w:r>
      <w:r w:rsidR="00332DFD">
        <w:rPr>
          <w:rFonts w:ascii="Garamond" w:hAnsi="Garamond" w:cs="Tahoma"/>
          <w:i/>
          <w:iCs/>
          <w:color w:val="000000"/>
        </w:rPr>
        <w:t>European P</w:t>
      </w:r>
      <w:r w:rsidRPr="00FF5900">
        <w:rPr>
          <w:rFonts w:ascii="Garamond" w:hAnsi="Garamond" w:cs="Tahoma"/>
          <w:i/>
          <w:iCs/>
          <w:color w:val="000000"/>
        </w:rPr>
        <w:t>arliament v Council (Forest Protection)</w:t>
      </w:r>
      <w:r>
        <w:rPr>
          <w:rFonts w:ascii="Garamond" w:hAnsi="Garamond" w:cs="Tahoma"/>
          <w:iCs/>
          <w:color w:val="000000"/>
        </w:rPr>
        <w:t xml:space="preserve"> (Case C-164/97). </w:t>
      </w:r>
      <w:r w:rsidR="007361C2">
        <w:rPr>
          <w:rFonts w:ascii="Garamond" w:hAnsi="Garamond" w:cs="Tahoma"/>
          <w:iCs/>
          <w:color w:val="000000"/>
        </w:rPr>
        <w:t xml:space="preserve">The Council had adopted a </w:t>
      </w:r>
      <w:r w:rsidR="00332DFD">
        <w:rPr>
          <w:rFonts w:ascii="Garamond" w:hAnsi="Garamond" w:cs="Tahoma"/>
          <w:iCs/>
          <w:color w:val="000000"/>
        </w:rPr>
        <w:t>regulation</w:t>
      </w:r>
      <w:r w:rsidR="007361C2">
        <w:rPr>
          <w:rFonts w:ascii="Garamond" w:hAnsi="Garamond" w:cs="Tahoma"/>
          <w:iCs/>
          <w:color w:val="000000"/>
        </w:rPr>
        <w:t xml:space="preserve"> to protect forests against pollution. It had chosen the legal basis for agriculture. Under this legal basis, it only had to consult the European Parliament.</w:t>
      </w:r>
    </w:p>
    <w:p w14:paraId="00436CC6" w14:textId="77777777" w:rsidR="007361C2" w:rsidRDefault="007361C2" w:rsidP="007361C2">
      <w:pPr>
        <w:pStyle w:val="NormalWeb"/>
        <w:numPr>
          <w:ilvl w:val="0"/>
          <w:numId w:val="13"/>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 xml:space="preserve">The </w:t>
      </w:r>
      <w:r w:rsidR="00332DFD">
        <w:rPr>
          <w:rFonts w:ascii="Garamond" w:hAnsi="Garamond" w:cs="Tahoma"/>
          <w:iCs/>
          <w:color w:val="000000"/>
        </w:rPr>
        <w:t xml:space="preserve">European Parliament was not happy and argued that the correct legal basis </w:t>
      </w:r>
      <w:r w:rsidR="0013657A">
        <w:rPr>
          <w:rFonts w:ascii="Garamond" w:hAnsi="Garamond" w:cs="Tahoma"/>
          <w:iCs/>
          <w:color w:val="000000"/>
        </w:rPr>
        <w:t>should have been the</w:t>
      </w:r>
      <w:r w:rsidR="00332DFD">
        <w:rPr>
          <w:rFonts w:ascii="Garamond" w:hAnsi="Garamond" w:cs="Tahoma"/>
          <w:iCs/>
          <w:color w:val="000000"/>
        </w:rPr>
        <w:t xml:space="preserve"> legal basis for environmental protection. Under that legal basis, the co-operation procedure should have been used (</w:t>
      </w:r>
      <w:proofErr w:type="gramStart"/>
      <w:r w:rsidR="00332DFD">
        <w:rPr>
          <w:rFonts w:ascii="Garamond" w:hAnsi="Garamond" w:cs="Tahoma"/>
          <w:iCs/>
          <w:color w:val="000000"/>
        </w:rPr>
        <w:t>similar to</w:t>
      </w:r>
      <w:proofErr w:type="gramEnd"/>
      <w:r w:rsidR="00332DFD">
        <w:rPr>
          <w:rFonts w:ascii="Garamond" w:hAnsi="Garamond" w:cs="Tahoma"/>
          <w:iCs/>
          <w:color w:val="000000"/>
        </w:rPr>
        <w:t xml:space="preserve"> what is now the ordinary legislative procedure)</w:t>
      </w:r>
      <w:r w:rsidR="0013657A">
        <w:rPr>
          <w:rFonts w:ascii="Garamond" w:hAnsi="Garamond" w:cs="Tahoma"/>
          <w:iCs/>
          <w:color w:val="000000"/>
        </w:rPr>
        <w:t>,</w:t>
      </w:r>
      <w:r w:rsidR="00332DFD">
        <w:rPr>
          <w:rFonts w:ascii="Garamond" w:hAnsi="Garamond" w:cs="Tahoma"/>
          <w:iCs/>
          <w:color w:val="000000"/>
        </w:rPr>
        <w:t xml:space="preserve"> which would have given the Parliament much more of a say in the legislative procedure.</w:t>
      </w:r>
    </w:p>
    <w:p w14:paraId="35B0A991" w14:textId="77777777" w:rsidR="00332DFD" w:rsidRDefault="00332DFD" w:rsidP="007361C2">
      <w:pPr>
        <w:pStyle w:val="NormalWeb"/>
        <w:numPr>
          <w:ilvl w:val="0"/>
          <w:numId w:val="13"/>
        </w:numPr>
        <w:spacing w:before="150" w:beforeAutospacing="0" w:after="150" w:afterAutospacing="0" w:line="276" w:lineRule="auto"/>
        <w:ind w:right="525"/>
        <w:jc w:val="both"/>
        <w:rPr>
          <w:rFonts w:ascii="Garamond" w:hAnsi="Garamond" w:cs="Tahoma"/>
          <w:iCs/>
          <w:color w:val="000000"/>
        </w:rPr>
      </w:pPr>
      <w:r>
        <w:rPr>
          <w:rFonts w:ascii="Garamond" w:hAnsi="Garamond" w:cs="Tahoma"/>
          <w:iCs/>
          <w:color w:val="000000"/>
        </w:rPr>
        <w:t>The Court of Justice agreed with the European Parliament:</w:t>
      </w:r>
    </w:p>
    <w:p w14:paraId="5565FE03" w14:textId="77777777" w:rsidR="00332DFD" w:rsidRPr="00332DFD" w:rsidRDefault="00332DFD" w:rsidP="00332DFD">
      <w:pPr>
        <w:pStyle w:val="NormalWeb"/>
        <w:spacing w:before="150" w:after="150" w:line="276" w:lineRule="auto"/>
        <w:ind w:left="720" w:right="525"/>
        <w:jc w:val="both"/>
        <w:rPr>
          <w:rFonts w:ascii="Garamond" w:hAnsi="Garamond" w:cs="Tahoma"/>
          <w:i/>
          <w:iCs/>
          <w:color w:val="000000"/>
        </w:rPr>
      </w:pPr>
      <w:r w:rsidRPr="00332DFD">
        <w:rPr>
          <w:rFonts w:ascii="Garamond" w:hAnsi="Garamond" w:cs="Tahoma"/>
          <w:i/>
          <w:iCs/>
          <w:color w:val="000000"/>
          <w:lang w:val="en-US"/>
        </w:rPr>
        <w:t xml:space="preserve">It must be borne in mind that in the context of the </w:t>
      </w:r>
      <w:proofErr w:type="spellStart"/>
      <w:r w:rsidRPr="00332DFD">
        <w:rPr>
          <w:rFonts w:ascii="Garamond" w:hAnsi="Garamond" w:cs="Tahoma"/>
          <w:i/>
          <w:iCs/>
          <w:color w:val="000000"/>
          <w:lang w:val="en-US"/>
        </w:rPr>
        <w:t>organisation</w:t>
      </w:r>
      <w:proofErr w:type="spellEnd"/>
      <w:r w:rsidRPr="00332DFD">
        <w:rPr>
          <w:rFonts w:ascii="Garamond" w:hAnsi="Garamond" w:cs="Tahoma"/>
          <w:i/>
          <w:iCs/>
          <w:color w:val="000000"/>
          <w:lang w:val="en-US"/>
        </w:rPr>
        <w:t xml:space="preserve"> of the powers of the Community, the choice of a legal basis for a measure must be based on objective factors which are amenable to judicial review. Those factors include</w:t>
      </w:r>
      <w:proofErr w:type="gramStart"/>
      <w:r w:rsidRPr="00332DFD">
        <w:rPr>
          <w:rFonts w:ascii="Garamond" w:hAnsi="Garamond" w:cs="Tahoma"/>
          <w:i/>
          <w:iCs/>
          <w:color w:val="000000"/>
          <w:lang w:val="en-US"/>
        </w:rPr>
        <w:t>, in particular, the</w:t>
      </w:r>
      <w:proofErr w:type="gramEnd"/>
      <w:r w:rsidRPr="00332DFD">
        <w:rPr>
          <w:rFonts w:ascii="Garamond" w:hAnsi="Garamond" w:cs="Tahoma"/>
          <w:i/>
          <w:iCs/>
          <w:color w:val="000000"/>
          <w:lang w:val="en-US"/>
        </w:rPr>
        <w:t xml:space="preserve"> aim and content of the measure</w:t>
      </w:r>
      <w:r w:rsidR="0013657A">
        <w:rPr>
          <w:rFonts w:ascii="Garamond" w:hAnsi="Garamond" w:cs="Tahoma"/>
          <w:i/>
          <w:iCs/>
          <w:color w:val="000000"/>
          <w:lang w:val="en-US"/>
        </w:rPr>
        <w:t>.</w:t>
      </w:r>
    </w:p>
    <w:p w14:paraId="44CE9540" w14:textId="77777777" w:rsidR="00332DFD" w:rsidRPr="00332DFD" w:rsidRDefault="00332DFD" w:rsidP="00332DFD">
      <w:pPr>
        <w:pStyle w:val="NormalWeb"/>
        <w:spacing w:before="150" w:after="150" w:line="276" w:lineRule="auto"/>
        <w:ind w:left="720" w:right="525"/>
        <w:jc w:val="both"/>
        <w:rPr>
          <w:rFonts w:ascii="Garamond" w:hAnsi="Garamond" w:cs="Tahoma"/>
          <w:i/>
          <w:iCs/>
          <w:color w:val="000000"/>
        </w:rPr>
      </w:pPr>
      <w:r w:rsidRPr="00332DFD">
        <w:rPr>
          <w:rFonts w:ascii="Garamond" w:hAnsi="Garamond" w:cs="Tahoma"/>
          <w:i/>
          <w:iCs/>
          <w:color w:val="000000"/>
          <w:lang w:val="en-US"/>
        </w:rPr>
        <w:lastRenderedPageBreak/>
        <w:t>In this case, although the measures referred to in the regulations may have certain positive repercussions on the functioning of agriculture, those indirect consequences are incidental to the primary aim of the Community schemes for the protection of forests</w:t>
      </w:r>
      <w:r w:rsidR="0013657A">
        <w:rPr>
          <w:rFonts w:ascii="Garamond" w:hAnsi="Garamond" w:cs="Tahoma"/>
          <w:i/>
          <w:iCs/>
          <w:color w:val="000000"/>
          <w:lang w:val="en-US"/>
        </w:rPr>
        <w:t>.</w:t>
      </w:r>
    </w:p>
    <w:p w14:paraId="4440A220" w14:textId="77777777" w:rsidR="00332DFD" w:rsidRPr="0013657A" w:rsidRDefault="0013657A" w:rsidP="0013657A">
      <w:pPr>
        <w:pStyle w:val="NormalWeb"/>
        <w:numPr>
          <w:ilvl w:val="0"/>
          <w:numId w:val="10"/>
        </w:numPr>
        <w:spacing w:before="150" w:beforeAutospacing="0" w:after="150" w:afterAutospacing="0" w:line="276" w:lineRule="auto"/>
        <w:ind w:right="525"/>
        <w:jc w:val="both"/>
        <w:rPr>
          <w:rFonts w:ascii="Garamond" w:hAnsi="Garamond" w:cs="Tahoma"/>
          <w:b/>
          <w:iCs/>
          <w:color w:val="000000"/>
        </w:rPr>
      </w:pPr>
      <w:r>
        <w:rPr>
          <w:rFonts w:ascii="Garamond" w:hAnsi="Garamond" w:cs="Tahoma"/>
          <w:b/>
          <w:iCs/>
          <w:color w:val="000000"/>
        </w:rPr>
        <w:t xml:space="preserve">The hierarchy of EU legal acts </w:t>
      </w:r>
    </w:p>
    <w:bookmarkEnd w:id="0"/>
    <w:p w14:paraId="7E987259" w14:textId="77777777" w:rsidR="00946C44" w:rsidRPr="0013657A" w:rsidRDefault="0013657A" w:rsidP="0013657A">
      <w:pPr>
        <w:jc w:val="both"/>
        <w:rPr>
          <w:rFonts w:ascii="Garamond" w:hAnsi="Garamond"/>
          <w:b/>
          <w:sz w:val="24"/>
          <w:szCs w:val="24"/>
        </w:rPr>
      </w:pPr>
      <w:r>
        <w:rPr>
          <w:noProof/>
          <w:lang w:eastAsia="en-GB"/>
        </w:rPr>
        <w:drawing>
          <wp:inline distT="0" distB="0" distL="0" distR="0" wp14:anchorId="0EA8AF38" wp14:editId="7856B5E8">
            <wp:extent cx="5271715" cy="4850296"/>
            <wp:effectExtent l="0" t="0" r="0" b="2667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967C089" w14:textId="77777777" w:rsidR="00D223F7" w:rsidRDefault="00ED53B5" w:rsidP="0013657A">
      <w:pPr>
        <w:pStyle w:val="ListParagraph"/>
        <w:numPr>
          <w:ilvl w:val="0"/>
          <w:numId w:val="10"/>
        </w:numPr>
        <w:rPr>
          <w:rFonts w:ascii="Garamond" w:hAnsi="Garamond"/>
          <w:b/>
          <w:sz w:val="24"/>
          <w:szCs w:val="24"/>
        </w:rPr>
      </w:pPr>
      <w:r>
        <w:rPr>
          <w:rFonts w:ascii="Garamond" w:hAnsi="Garamond"/>
          <w:b/>
          <w:sz w:val="24"/>
          <w:szCs w:val="24"/>
        </w:rPr>
        <w:t>The different types of EU legal acts (Article 288 TFEU)</w:t>
      </w:r>
    </w:p>
    <w:p w14:paraId="5C521984" w14:textId="77777777" w:rsidR="00ED53B5" w:rsidRDefault="00ED53B5" w:rsidP="00ED53B5">
      <w:pPr>
        <w:jc w:val="both"/>
        <w:rPr>
          <w:rFonts w:ascii="Garamond" w:hAnsi="Garamond"/>
          <w:sz w:val="24"/>
          <w:szCs w:val="24"/>
        </w:rPr>
      </w:pPr>
      <w:r>
        <w:rPr>
          <w:rFonts w:ascii="Garamond" w:hAnsi="Garamond"/>
          <w:sz w:val="24"/>
          <w:szCs w:val="24"/>
        </w:rPr>
        <w:t>Article 288 TFEU provides for five different types of acts that can be adopted by the EU.</w:t>
      </w:r>
    </w:p>
    <w:p w14:paraId="54A9BD4F" w14:textId="77777777" w:rsidR="00ED53B5" w:rsidRDefault="00ED53B5" w:rsidP="00ED53B5">
      <w:pPr>
        <w:pStyle w:val="ListParagraph"/>
        <w:numPr>
          <w:ilvl w:val="0"/>
          <w:numId w:val="15"/>
        </w:numPr>
        <w:jc w:val="both"/>
        <w:rPr>
          <w:rFonts w:ascii="Garamond" w:hAnsi="Garamond"/>
          <w:sz w:val="24"/>
          <w:szCs w:val="24"/>
        </w:rPr>
      </w:pPr>
      <w:r w:rsidRPr="00345B11">
        <w:rPr>
          <w:rFonts w:ascii="Garamond" w:hAnsi="Garamond"/>
          <w:b/>
          <w:sz w:val="24"/>
          <w:szCs w:val="24"/>
        </w:rPr>
        <w:t>Regulations</w:t>
      </w:r>
      <w:r>
        <w:rPr>
          <w:rFonts w:ascii="Garamond" w:hAnsi="Garamond"/>
          <w:sz w:val="24"/>
          <w:szCs w:val="24"/>
        </w:rPr>
        <w:t xml:space="preserve">: regulations shall have general application. They are binding in their entirety and directly applicable in all Member States. This means that, after its adoption, a Regulation automatically and directly becomes part of national law. It is not necessary – and it is not allowed – for the Member State to turn this piece of EU law into a national law act. The Regulation has direct application in the legal systems of the Member States. </w:t>
      </w:r>
      <w:r w:rsidRPr="00345B11">
        <w:rPr>
          <w:rFonts w:ascii="Garamond" w:hAnsi="Garamond"/>
          <w:b/>
          <w:sz w:val="24"/>
          <w:szCs w:val="24"/>
        </w:rPr>
        <w:t>Be careful</w:t>
      </w:r>
      <w:r>
        <w:rPr>
          <w:rFonts w:ascii="Garamond" w:hAnsi="Garamond"/>
          <w:sz w:val="24"/>
          <w:szCs w:val="24"/>
        </w:rPr>
        <w:t xml:space="preserve">: you </w:t>
      </w:r>
      <w:proofErr w:type="gramStart"/>
      <w:r>
        <w:rPr>
          <w:rFonts w:ascii="Garamond" w:hAnsi="Garamond"/>
          <w:sz w:val="24"/>
          <w:szCs w:val="24"/>
        </w:rPr>
        <w:t>have to</w:t>
      </w:r>
      <w:proofErr w:type="gramEnd"/>
      <w:r>
        <w:rPr>
          <w:rFonts w:ascii="Garamond" w:hAnsi="Garamond"/>
          <w:sz w:val="24"/>
          <w:szCs w:val="24"/>
        </w:rPr>
        <w:t xml:space="preserve"> make a distinction between the direct applicability</w:t>
      </w:r>
      <w:r w:rsidR="00345B11">
        <w:rPr>
          <w:rFonts w:ascii="Garamond" w:hAnsi="Garamond"/>
          <w:sz w:val="24"/>
          <w:szCs w:val="24"/>
        </w:rPr>
        <w:t xml:space="preserve"> of a Regulation</w:t>
      </w:r>
      <w:r>
        <w:rPr>
          <w:rFonts w:ascii="Garamond" w:hAnsi="Garamond"/>
          <w:sz w:val="24"/>
          <w:szCs w:val="24"/>
        </w:rPr>
        <w:t xml:space="preserve"> (the question of whether a Member State has to do anything before the EU legal act becomes part of </w:t>
      </w:r>
      <w:r w:rsidR="00345B11">
        <w:rPr>
          <w:rFonts w:ascii="Garamond" w:hAnsi="Garamond"/>
          <w:sz w:val="24"/>
          <w:szCs w:val="24"/>
        </w:rPr>
        <w:t xml:space="preserve">its </w:t>
      </w:r>
      <w:r>
        <w:rPr>
          <w:rFonts w:ascii="Garamond" w:hAnsi="Garamond"/>
          <w:sz w:val="24"/>
          <w:szCs w:val="24"/>
        </w:rPr>
        <w:t>national law)</w:t>
      </w:r>
      <w:r w:rsidR="00345B11">
        <w:rPr>
          <w:rFonts w:ascii="Garamond" w:hAnsi="Garamond"/>
          <w:sz w:val="24"/>
          <w:szCs w:val="24"/>
        </w:rPr>
        <w:t xml:space="preserve"> and the direct effect of a Regulation (the question of whether an individual can rely on the Regulation before the national courts of a Member State). This is something which we will discuss in more detail in the next series of lectures. </w:t>
      </w:r>
      <w:r w:rsidR="00345B11">
        <w:rPr>
          <w:rFonts w:ascii="Garamond" w:hAnsi="Garamond"/>
          <w:sz w:val="24"/>
          <w:szCs w:val="24"/>
        </w:rPr>
        <w:lastRenderedPageBreak/>
        <w:t xml:space="preserve">Regulations can be either a legislative instrument (if adopted under a legislative procedure), or a delegated or implementing act. They would then be called “Delegated Regulation” or “Implementing Regulation”. </w:t>
      </w:r>
    </w:p>
    <w:p w14:paraId="0ED0702B" w14:textId="77777777" w:rsidR="00345B11" w:rsidRDefault="00345B11" w:rsidP="00345B11">
      <w:pPr>
        <w:pStyle w:val="ListParagraph"/>
        <w:jc w:val="both"/>
        <w:rPr>
          <w:rFonts w:ascii="Garamond" w:hAnsi="Garamond"/>
          <w:sz w:val="24"/>
          <w:szCs w:val="24"/>
        </w:rPr>
      </w:pPr>
    </w:p>
    <w:p w14:paraId="6D6BEDBF" w14:textId="77777777" w:rsidR="00345B11" w:rsidRDefault="00345B11" w:rsidP="00ED53B5">
      <w:pPr>
        <w:pStyle w:val="ListParagraph"/>
        <w:numPr>
          <w:ilvl w:val="0"/>
          <w:numId w:val="15"/>
        </w:numPr>
        <w:jc w:val="both"/>
        <w:rPr>
          <w:rFonts w:ascii="Garamond" w:hAnsi="Garamond"/>
          <w:sz w:val="24"/>
          <w:szCs w:val="24"/>
        </w:rPr>
      </w:pPr>
      <w:r>
        <w:rPr>
          <w:rFonts w:ascii="Garamond" w:hAnsi="Garamond"/>
          <w:b/>
          <w:sz w:val="24"/>
          <w:szCs w:val="24"/>
        </w:rPr>
        <w:t>Directives:</w:t>
      </w:r>
      <w:r>
        <w:rPr>
          <w:rFonts w:ascii="Garamond" w:hAnsi="Garamond"/>
          <w:sz w:val="24"/>
          <w:szCs w:val="24"/>
        </w:rPr>
        <w:t xml:space="preserve"> directives shall be binding, as to the result to be achieved, upon each Member State to which it is addressed. They shall leave to the national authorities the choice of form and methods</w:t>
      </w:r>
      <w:r w:rsidR="007C60D5">
        <w:rPr>
          <w:rFonts w:ascii="Garamond" w:hAnsi="Garamond"/>
          <w:sz w:val="24"/>
          <w:szCs w:val="24"/>
        </w:rPr>
        <w:t xml:space="preserve">. This means that, unlike regulations, directives are not generally applicable – they </w:t>
      </w:r>
      <w:proofErr w:type="gramStart"/>
      <w:r w:rsidR="007C60D5">
        <w:rPr>
          <w:rFonts w:ascii="Garamond" w:hAnsi="Garamond"/>
          <w:sz w:val="24"/>
          <w:szCs w:val="24"/>
        </w:rPr>
        <w:t>have to</w:t>
      </w:r>
      <w:proofErr w:type="gramEnd"/>
      <w:r w:rsidR="007C60D5">
        <w:rPr>
          <w:rFonts w:ascii="Garamond" w:hAnsi="Garamond"/>
          <w:sz w:val="24"/>
          <w:szCs w:val="24"/>
        </w:rPr>
        <w:t xml:space="preserve"> be implemented by the Member State. The Member State </w:t>
      </w:r>
      <w:proofErr w:type="gramStart"/>
      <w:r w:rsidR="007C60D5">
        <w:rPr>
          <w:rFonts w:ascii="Garamond" w:hAnsi="Garamond"/>
          <w:sz w:val="24"/>
          <w:szCs w:val="24"/>
        </w:rPr>
        <w:t>has to</w:t>
      </w:r>
      <w:proofErr w:type="gramEnd"/>
      <w:r w:rsidR="007C60D5">
        <w:rPr>
          <w:rFonts w:ascii="Garamond" w:hAnsi="Garamond"/>
          <w:sz w:val="24"/>
          <w:szCs w:val="24"/>
        </w:rPr>
        <w:t xml:space="preserve"> do something to make this piece of EU law into national law. They have the freedom to decide how they do this – they can choose the form and method (for example, whether to adopt legislation or whether an administrative act might be sufficient). As such, directives are less intrusive for Member States than regulations. Most directives have general application, which means that they are applicable to all Member States. The normal implementation period (</w:t>
      </w:r>
      <w:proofErr w:type="gramStart"/>
      <w:r w:rsidR="007C60D5">
        <w:rPr>
          <w:rFonts w:ascii="Garamond" w:hAnsi="Garamond"/>
          <w:sz w:val="24"/>
          <w:szCs w:val="24"/>
        </w:rPr>
        <w:t>i.e.</w:t>
      </w:r>
      <w:proofErr w:type="gramEnd"/>
      <w:r w:rsidR="007C60D5">
        <w:rPr>
          <w:rFonts w:ascii="Garamond" w:hAnsi="Garamond"/>
          <w:sz w:val="24"/>
          <w:szCs w:val="24"/>
        </w:rPr>
        <w:t xml:space="preserve"> the period in which the Member State is given the time to implement or transpose the directive into national law) is two years. </w:t>
      </w:r>
      <w:r w:rsidR="00970773">
        <w:rPr>
          <w:rFonts w:ascii="Garamond" w:hAnsi="Garamond"/>
          <w:sz w:val="24"/>
          <w:szCs w:val="24"/>
        </w:rPr>
        <w:t xml:space="preserve">If a Member State has not implemented the directive after two years, it is acting in breach of EU law. Therefore, the normal scenario is that individuals will be able to rely on rights given by EU law through the national law which has implemented the directive. However, if this has not happened, in certain circumstances, there is still the possibility for directives to have direct effect – </w:t>
      </w:r>
      <w:proofErr w:type="gramStart"/>
      <w:r w:rsidR="00970773">
        <w:rPr>
          <w:rFonts w:ascii="Garamond" w:hAnsi="Garamond"/>
          <w:sz w:val="24"/>
          <w:szCs w:val="24"/>
        </w:rPr>
        <w:t>i.e.</w:t>
      </w:r>
      <w:proofErr w:type="gramEnd"/>
      <w:r w:rsidR="00970773">
        <w:rPr>
          <w:rFonts w:ascii="Garamond" w:hAnsi="Garamond"/>
          <w:sz w:val="24"/>
          <w:szCs w:val="24"/>
        </w:rPr>
        <w:t xml:space="preserve"> for individuals to rely directly on a directive before their national courts. </w:t>
      </w:r>
      <w:proofErr w:type="gramStart"/>
      <w:r w:rsidR="00970773" w:rsidRPr="00970773">
        <w:rPr>
          <w:rFonts w:ascii="Garamond" w:hAnsi="Garamond"/>
          <w:b/>
          <w:sz w:val="24"/>
          <w:szCs w:val="24"/>
        </w:rPr>
        <w:t>So</w:t>
      </w:r>
      <w:proofErr w:type="gramEnd"/>
      <w:r w:rsidR="00970773" w:rsidRPr="00970773">
        <w:rPr>
          <w:rFonts w:ascii="Garamond" w:hAnsi="Garamond"/>
          <w:b/>
          <w:sz w:val="24"/>
          <w:szCs w:val="24"/>
        </w:rPr>
        <w:t xml:space="preserve"> pay attention</w:t>
      </w:r>
      <w:r w:rsidR="00970773">
        <w:rPr>
          <w:rFonts w:ascii="Garamond" w:hAnsi="Garamond"/>
          <w:sz w:val="24"/>
          <w:szCs w:val="24"/>
        </w:rPr>
        <w:t>: directives are not directly applicable (they have to be implemented by the Member States), but they can be directly effective. More on this in the next series of lectures.</w:t>
      </w:r>
    </w:p>
    <w:p w14:paraId="608CA734" w14:textId="77777777" w:rsidR="007C60D5" w:rsidRPr="007C60D5" w:rsidRDefault="007C60D5" w:rsidP="007C60D5">
      <w:pPr>
        <w:pStyle w:val="ListParagraph"/>
        <w:rPr>
          <w:rFonts w:ascii="Garamond" w:hAnsi="Garamond"/>
          <w:sz w:val="24"/>
          <w:szCs w:val="24"/>
        </w:rPr>
      </w:pPr>
    </w:p>
    <w:p w14:paraId="0EF7689C" w14:textId="77777777" w:rsidR="007C60D5" w:rsidRDefault="007C60D5" w:rsidP="00ED53B5">
      <w:pPr>
        <w:pStyle w:val="ListParagraph"/>
        <w:numPr>
          <w:ilvl w:val="0"/>
          <w:numId w:val="15"/>
        </w:numPr>
        <w:jc w:val="both"/>
        <w:rPr>
          <w:rFonts w:ascii="Garamond" w:hAnsi="Garamond"/>
          <w:sz w:val="24"/>
          <w:szCs w:val="24"/>
        </w:rPr>
      </w:pPr>
      <w:r w:rsidRPr="007C60D5">
        <w:rPr>
          <w:rFonts w:ascii="Garamond" w:hAnsi="Garamond"/>
          <w:b/>
          <w:sz w:val="24"/>
          <w:szCs w:val="24"/>
        </w:rPr>
        <w:t>Decisions</w:t>
      </w:r>
      <w:r>
        <w:rPr>
          <w:rFonts w:ascii="Garamond" w:hAnsi="Garamond"/>
          <w:sz w:val="24"/>
          <w:szCs w:val="24"/>
        </w:rPr>
        <w:t>: decisions shall be binding in their entirety. A decision which specifies those to whom it is addressed shall be binding only on them. In fact, most decisions are addressed to in</w:t>
      </w:r>
      <w:r w:rsidR="00970773">
        <w:rPr>
          <w:rFonts w:ascii="Garamond" w:hAnsi="Garamond"/>
          <w:sz w:val="24"/>
          <w:szCs w:val="24"/>
        </w:rPr>
        <w:t xml:space="preserve">dividuals, to companies or to a Member State (or a group of Member States). You will have come across decisions adopted by the European Commission in the field of competition law or state aid law. </w:t>
      </w:r>
    </w:p>
    <w:p w14:paraId="4474DFAB" w14:textId="77777777" w:rsidR="00970773" w:rsidRPr="00970773" w:rsidRDefault="00970773" w:rsidP="00970773">
      <w:pPr>
        <w:pStyle w:val="ListParagraph"/>
        <w:rPr>
          <w:rFonts w:ascii="Garamond" w:hAnsi="Garamond"/>
          <w:sz w:val="24"/>
          <w:szCs w:val="24"/>
        </w:rPr>
      </w:pPr>
    </w:p>
    <w:p w14:paraId="52B58966" w14:textId="77777777" w:rsidR="00970773" w:rsidRPr="00ED53B5" w:rsidRDefault="00970773" w:rsidP="00ED53B5">
      <w:pPr>
        <w:pStyle w:val="ListParagraph"/>
        <w:numPr>
          <w:ilvl w:val="0"/>
          <w:numId w:val="15"/>
        </w:numPr>
        <w:jc w:val="both"/>
        <w:rPr>
          <w:rFonts w:ascii="Garamond" w:hAnsi="Garamond"/>
          <w:sz w:val="24"/>
          <w:szCs w:val="24"/>
        </w:rPr>
      </w:pPr>
      <w:r w:rsidRPr="00970773">
        <w:rPr>
          <w:rFonts w:ascii="Garamond" w:hAnsi="Garamond"/>
          <w:b/>
          <w:sz w:val="24"/>
          <w:szCs w:val="24"/>
        </w:rPr>
        <w:t>Recommendations and opinions</w:t>
      </w:r>
      <w:r>
        <w:rPr>
          <w:rFonts w:ascii="Garamond" w:hAnsi="Garamond"/>
          <w:sz w:val="24"/>
          <w:szCs w:val="24"/>
        </w:rPr>
        <w:t xml:space="preserve">: they shall have no binding force. They are purely advisory/policy documents. </w:t>
      </w:r>
      <w:r w:rsidRPr="00970773">
        <w:rPr>
          <w:rFonts w:ascii="Garamond" w:hAnsi="Garamond"/>
          <w:b/>
          <w:sz w:val="24"/>
          <w:szCs w:val="24"/>
        </w:rPr>
        <w:t>But be careful</w:t>
      </w:r>
      <w:r>
        <w:rPr>
          <w:rFonts w:ascii="Garamond" w:hAnsi="Garamond"/>
          <w:sz w:val="24"/>
          <w:szCs w:val="24"/>
        </w:rPr>
        <w:t>: “Opinions” of the Court of Judgment have the same status as judgments and do have binding force!</w:t>
      </w:r>
    </w:p>
    <w:sectPr w:rsidR="00970773" w:rsidRPr="00ED53B5">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3AEE6" w14:textId="77777777" w:rsidR="00434DE5" w:rsidRDefault="00434DE5" w:rsidP="00D223F7">
      <w:pPr>
        <w:spacing w:after="0" w:line="240" w:lineRule="auto"/>
      </w:pPr>
      <w:r>
        <w:separator/>
      </w:r>
    </w:p>
  </w:endnote>
  <w:endnote w:type="continuationSeparator" w:id="0">
    <w:p w14:paraId="157D7AA7" w14:textId="77777777" w:rsidR="00434DE5" w:rsidRDefault="00434DE5" w:rsidP="00D22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480148"/>
      <w:docPartObj>
        <w:docPartGallery w:val="Page Numbers (Bottom of Page)"/>
        <w:docPartUnique/>
      </w:docPartObj>
    </w:sdtPr>
    <w:sdtEndPr>
      <w:rPr>
        <w:rFonts w:ascii="Garamond" w:hAnsi="Garamond"/>
        <w:noProof/>
      </w:rPr>
    </w:sdtEndPr>
    <w:sdtContent>
      <w:p w14:paraId="4CEA55C3" w14:textId="7BC9BE4C" w:rsidR="009F5D01" w:rsidRPr="00271702" w:rsidRDefault="009F5D01">
        <w:pPr>
          <w:pStyle w:val="Footer"/>
          <w:jc w:val="right"/>
          <w:rPr>
            <w:rFonts w:ascii="Garamond" w:hAnsi="Garamond"/>
          </w:rPr>
        </w:pPr>
        <w:r w:rsidRPr="00271702">
          <w:rPr>
            <w:rFonts w:ascii="Garamond" w:hAnsi="Garamond"/>
          </w:rPr>
          <w:fldChar w:fldCharType="begin"/>
        </w:r>
        <w:r w:rsidRPr="00271702">
          <w:rPr>
            <w:rFonts w:ascii="Garamond" w:hAnsi="Garamond"/>
          </w:rPr>
          <w:instrText xml:space="preserve"> PAGE   \* MERGEFORMAT </w:instrText>
        </w:r>
        <w:r w:rsidRPr="00271702">
          <w:rPr>
            <w:rFonts w:ascii="Garamond" w:hAnsi="Garamond"/>
          </w:rPr>
          <w:fldChar w:fldCharType="separate"/>
        </w:r>
        <w:r w:rsidR="00222EB2">
          <w:rPr>
            <w:rFonts w:ascii="Garamond" w:hAnsi="Garamond"/>
            <w:noProof/>
          </w:rPr>
          <w:t>12</w:t>
        </w:r>
        <w:r w:rsidRPr="00271702">
          <w:rPr>
            <w:rFonts w:ascii="Garamond" w:hAnsi="Garamond"/>
            <w:noProof/>
          </w:rPr>
          <w:fldChar w:fldCharType="end"/>
        </w:r>
      </w:p>
    </w:sdtContent>
  </w:sdt>
  <w:p w14:paraId="54E90297" w14:textId="77777777" w:rsidR="009F5D01" w:rsidRDefault="009F5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D61A2" w14:textId="77777777" w:rsidR="00434DE5" w:rsidRDefault="00434DE5" w:rsidP="00D223F7">
      <w:pPr>
        <w:spacing w:after="0" w:line="240" w:lineRule="auto"/>
      </w:pPr>
      <w:r>
        <w:separator/>
      </w:r>
    </w:p>
  </w:footnote>
  <w:footnote w:type="continuationSeparator" w:id="0">
    <w:p w14:paraId="4FA9AAF8" w14:textId="77777777" w:rsidR="00434DE5" w:rsidRDefault="00434DE5" w:rsidP="00D22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4D4CA" w14:textId="5439A17D" w:rsidR="009F5D01" w:rsidRPr="00D223F7" w:rsidRDefault="009F5D01">
    <w:pPr>
      <w:pStyle w:val="Header"/>
      <w:rPr>
        <w:rFonts w:ascii="Garamond" w:hAnsi="Garamond"/>
        <w:sz w:val="24"/>
        <w:szCs w:val="24"/>
      </w:rPr>
    </w:pPr>
    <w:r w:rsidRPr="00D223F7">
      <w:rPr>
        <w:rFonts w:ascii="Garamond" w:hAnsi="Garamond"/>
        <w:sz w:val="24"/>
        <w:szCs w:val="24"/>
      </w:rPr>
      <w:t>E</w:t>
    </w:r>
    <w:r w:rsidR="00FF3548">
      <w:rPr>
        <w:rFonts w:ascii="Garamond" w:hAnsi="Garamond"/>
        <w:sz w:val="24"/>
        <w:szCs w:val="24"/>
      </w:rPr>
      <w:t>uropean Union</w:t>
    </w:r>
    <w:r w:rsidRPr="00D223F7">
      <w:rPr>
        <w:rFonts w:ascii="Garamond" w:hAnsi="Garamond"/>
        <w:sz w:val="24"/>
        <w:szCs w:val="24"/>
      </w:rPr>
      <w:t xml:space="preserve"> Law </w:t>
    </w:r>
    <w:r w:rsidR="00A1736A">
      <w:rPr>
        <w:rFonts w:ascii="Garamond" w:hAnsi="Garamond"/>
        <w:sz w:val="24"/>
        <w:szCs w:val="24"/>
      </w:rPr>
      <w:t>202</w:t>
    </w:r>
    <w:r w:rsidR="00316F9E">
      <w:rPr>
        <w:rFonts w:ascii="Garamond" w:hAnsi="Garamond"/>
        <w:sz w:val="24"/>
        <w:szCs w:val="24"/>
      </w:rPr>
      <w:t>3</w:t>
    </w:r>
    <w:r w:rsidR="00A1736A">
      <w:rPr>
        <w:rFonts w:ascii="Garamond" w:hAnsi="Garamond"/>
        <w:sz w:val="24"/>
        <w:szCs w:val="24"/>
      </w:rPr>
      <w:t>-202</w:t>
    </w:r>
    <w:r w:rsidR="00316F9E">
      <w:rPr>
        <w:rFonts w:ascii="Garamond" w:hAnsi="Garamond"/>
        <w:sz w:val="24"/>
        <w:szCs w:val="24"/>
      </w:rPr>
      <w:t>4</w:t>
    </w:r>
    <w:r w:rsidRPr="00D223F7">
      <w:rPr>
        <w:rFonts w:ascii="Garamond" w:hAnsi="Garamond"/>
        <w:sz w:val="24"/>
        <w:szCs w:val="24"/>
      </w:rPr>
      <w:tab/>
      <w:t>Handout 2</w:t>
    </w:r>
    <w:r w:rsidRPr="00D223F7">
      <w:rPr>
        <w:rFonts w:ascii="Garamond" w:hAnsi="Garamond"/>
        <w:sz w:val="24"/>
        <w:szCs w:val="24"/>
      </w:rPr>
      <w:ptab w:relativeTo="margin" w:alignment="right" w:leader="none"/>
    </w:r>
    <w:r w:rsidRPr="00D223F7">
      <w:rPr>
        <w:rFonts w:ascii="Garamond" w:hAnsi="Garamond"/>
        <w:sz w:val="24"/>
        <w:szCs w:val="24"/>
      </w:rPr>
      <w:t>Barend van Leeuwen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720F"/>
    <w:multiLevelType w:val="hybridMultilevel"/>
    <w:tmpl w:val="511281BA"/>
    <w:lvl w:ilvl="0" w:tplc="59AC9E9E">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AC7F0F"/>
    <w:multiLevelType w:val="hybridMultilevel"/>
    <w:tmpl w:val="479453A8"/>
    <w:lvl w:ilvl="0" w:tplc="FE6044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606775"/>
    <w:multiLevelType w:val="hybridMultilevel"/>
    <w:tmpl w:val="8310922C"/>
    <w:lvl w:ilvl="0" w:tplc="235A7BBA">
      <w:start w:val="1"/>
      <w:numFmt w:val="lowerLetter"/>
      <w:lvlText w:val="%1."/>
      <w:lvlJc w:val="left"/>
      <w:pPr>
        <w:tabs>
          <w:tab w:val="num" w:pos="720"/>
        </w:tabs>
        <w:ind w:left="720" w:hanging="360"/>
      </w:pPr>
    </w:lvl>
    <w:lvl w:ilvl="1" w:tplc="357C5BFE" w:tentative="1">
      <w:start w:val="1"/>
      <w:numFmt w:val="lowerLetter"/>
      <w:lvlText w:val="%2."/>
      <w:lvlJc w:val="left"/>
      <w:pPr>
        <w:tabs>
          <w:tab w:val="num" w:pos="1440"/>
        </w:tabs>
        <w:ind w:left="1440" w:hanging="360"/>
      </w:pPr>
    </w:lvl>
    <w:lvl w:ilvl="2" w:tplc="8AA41B0C">
      <w:start w:val="1"/>
      <w:numFmt w:val="lowerLetter"/>
      <w:lvlText w:val="%3."/>
      <w:lvlJc w:val="left"/>
      <w:pPr>
        <w:tabs>
          <w:tab w:val="num" w:pos="2160"/>
        </w:tabs>
        <w:ind w:left="2160" w:hanging="360"/>
      </w:pPr>
    </w:lvl>
    <w:lvl w:ilvl="3" w:tplc="08061B5C" w:tentative="1">
      <w:start w:val="1"/>
      <w:numFmt w:val="lowerLetter"/>
      <w:lvlText w:val="%4."/>
      <w:lvlJc w:val="left"/>
      <w:pPr>
        <w:tabs>
          <w:tab w:val="num" w:pos="2880"/>
        </w:tabs>
        <w:ind w:left="2880" w:hanging="360"/>
      </w:pPr>
    </w:lvl>
    <w:lvl w:ilvl="4" w:tplc="F44A67BE" w:tentative="1">
      <w:start w:val="1"/>
      <w:numFmt w:val="lowerLetter"/>
      <w:lvlText w:val="%5."/>
      <w:lvlJc w:val="left"/>
      <w:pPr>
        <w:tabs>
          <w:tab w:val="num" w:pos="3600"/>
        </w:tabs>
        <w:ind w:left="3600" w:hanging="360"/>
      </w:pPr>
    </w:lvl>
    <w:lvl w:ilvl="5" w:tplc="654CA626" w:tentative="1">
      <w:start w:val="1"/>
      <w:numFmt w:val="lowerLetter"/>
      <w:lvlText w:val="%6."/>
      <w:lvlJc w:val="left"/>
      <w:pPr>
        <w:tabs>
          <w:tab w:val="num" w:pos="4320"/>
        </w:tabs>
        <w:ind w:left="4320" w:hanging="360"/>
      </w:pPr>
    </w:lvl>
    <w:lvl w:ilvl="6" w:tplc="9804660A" w:tentative="1">
      <w:start w:val="1"/>
      <w:numFmt w:val="lowerLetter"/>
      <w:lvlText w:val="%7."/>
      <w:lvlJc w:val="left"/>
      <w:pPr>
        <w:tabs>
          <w:tab w:val="num" w:pos="5040"/>
        </w:tabs>
        <w:ind w:left="5040" w:hanging="360"/>
      </w:pPr>
    </w:lvl>
    <w:lvl w:ilvl="7" w:tplc="E558FA5C" w:tentative="1">
      <w:start w:val="1"/>
      <w:numFmt w:val="lowerLetter"/>
      <w:lvlText w:val="%8."/>
      <w:lvlJc w:val="left"/>
      <w:pPr>
        <w:tabs>
          <w:tab w:val="num" w:pos="5760"/>
        </w:tabs>
        <w:ind w:left="5760" w:hanging="360"/>
      </w:pPr>
    </w:lvl>
    <w:lvl w:ilvl="8" w:tplc="63147C12" w:tentative="1">
      <w:start w:val="1"/>
      <w:numFmt w:val="lowerLetter"/>
      <w:lvlText w:val="%9."/>
      <w:lvlJc w:val="left"/>
      <w:pPr>
        <w:tabs>
          <w:tab w:val="num" w:pos="6480"/>
        </w:tabs>
        <w:ind w:left="6480" w:hanging="360"/>
      </w:pPr>
    </w:lvl>
  </w:abstractNum>
  <w:abstractNum w:abstractNumId="3" w15:restartNumberingAfterBreak="0">
    <w:nsid w:val="1D7838BC"/>
    <w:multiLevelType w:val="hybridMultilevel"/>
    <w:tmpl w:val="85FEF178"/>
    <w:lvl w:ilvl="0" w:tplc="9184FF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5751AE"/>
    <w:multiLevelType w:val="hybridMultilevel"/>
    <w:tmpl w:val="36105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C90AAF"/>
    <w:multiLevelType w:val="hybridMultilevel"/>
    <w:tmpl w:val="1CAEA1F8"/>
    <w:lvl w:ilvl="0" w:tplc="1FFA32C6">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D1572F"/>
    <w:multiLevelType w:val="hybridMultilevel"/>
    <w:tmpl w:val="6DC6C1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5518BA"/>
    <w:multiLevelType w:val="hybridMultilevel"/>
    <w:tmpl w:val="2588233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A994EF3"/>
    <w:multiLevelType w:val="hybridMultilevel"/>
    <w:tmpl w:val="2B3E778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3F41745"/>
    <w:multiLevelType w:val="hybridMultilevel"/>
    <w:tmpl w:val="8488F2C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7A272A"/>
    <w:multiLevelType w:val="hybridMultilevel"/>
    <w:tmpl w:val="8286F7BE"/>
    <w:lvl w:ilvl="0" w:tplc="76E4A664">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556D72"/>
    <w:multiLevelType w:val="hybridMultilevel"/>
    <w:tmpl w:val="365A6B40"/>
    <w:lvl w:ilvl="0" w:tplc="85A44BCC">
      <w:start w:val="288"/>
      <w:numFmt w:val="bullet"/>
      <w:lvlText w:val="-"/>
      <w:lvlJc w:val="left"/>
      <w:pPr>
        <w:ind w:left="720" w:hanging="360"/>
      </w:pPr>
      <w:rPr>
        <w:rFonts w:ascii="Garamond" w:eastAsiaTheme="minorHAnsi" w:hAnsi="Garamond" w:cstheme="minorBidi" w:hint="default"/>
        <w:i/>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8402C9"/>
    <w:multiLevelType w:val="hybridMultilevel"/>
    <w:tmpl w:val="64D0E1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190EBD"/>
    <w:multiLevelType w:val="hybridMultilevel"/>
    <w:tmpl w:val="2AB257E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012308D"/>
    <w:multiLevelType w:val="hybridMultilevel"/>
    <w:tmpl w:val="EF76378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E426EE"/>
    <w:multiLevelType w:val="hybridMultilevel"/>
    <w:tmpl w:val="2C0E7E2C"/>
    <w:lvl w:ilvl="0" w:tplc="E7DEBB4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E7D562B"/>
    <w:multiLevelType w:val="hybridMultilevel"/>
    <w:tmpl w:val="89168FF0"/>
    <w:lvl w:ilvl="0" w:tplc="0E5659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09007594">
    <w:abstractNumId w:val="4"/>
  </w:num>
  <w:num w:numId="2" w16cid:durableId="100878627">
    <w:abstractNumId w:val="8"/>
  </w:num>
  <w:num w:numId="3" w16cid:durableId="1299528883">
    <w:abstractNumId w:val="1"/>
  </w:num>
  <w:num w:numId="4" w16cid:durableId="1891647284">
    <w:abstractNumId w:val="5"/>
  </w:num>
  <w:num w:numId="5" w16cid:durableId="83570156">
    <w:abstractNumId w:val="16"/>
  </w:num>
  <w:num w:numId="6" w16cid:durableId="329333000">
    <w:abstractNumId w:val="7"/>
  </w:num>
  <w:num w:numId="7" w16cid:durableId="1115515397">
    <w:abstractNumId w:val="14"/>
  </w:num>
  <w:num w:numId="8" w16cid:durableId="1507355197">
    <w:abstractNumId w:val="13"/>
  </w:num>
  <w:num w:numId="9" w16cid:durableId="338771985">
    <w:abstractNumId w:val="15"/>
  </w:num>
  <w:num w:numId="10" w16cid:durableId="1486169172">
    <w:abstractNumId w:val="3"/>
  </w:num>
  <w:num w:numId="11" w16cid:durableId="188809256">
    <w:abstractNumId w:val="0"/>
  </w:num>
  <w:num w:numId="12" w16cid:durableId="482350833">
    <w:abstractNumId w:val="9"/>
  </w:num>
  <w:num w:numId="13" w16cid:durableId="1635910987">
    <w:abstractNumId w:val="12"/>
  </w:num>
  <w:num w:numId="14" w16cid:durableId="531461265">
    <w:abstractNumId w:val="2"/>
  </w:num>
  <w:num w:numId="15" w16cid:durableId="2030720557">
    <w:abstractNumId w:val="6"/>
  </w:num>
  <w:num w:numId="16" w16cid:durableId="2000571706">
    <w:abstractNumId w:val="11"/>
  </w:num>
  <w:num w:numId="17" w16cid:durableId="623537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06"/>
    <w:rsid w:val="00007C08"/>
    <w:rsid w:val="000160BE"/>
    <w:rsid w:val="000C3672"/>
    <w:rsid w:val="000F1FE0"/>
    <w:rsid w:val="000F6906"/>
    <w:rsid w:val="0013657A"/>
    <w:rsid w:val="001A6EFB"/>
    <w:rsid w:val="00222EB2"/>
    <w:rsid w:val="0022342C"/>
    <w:rsid w:val="002369A3"/>
    <w:rsid w:val="00252781"/>
    <w:rsid w:val="00271702"/>
    <w:rsid w:val="002C5F63"/>
    <w:rsid w:val="00316F9E"/>
    <w:rsid w:val="00332DFD"/>
    <w:rsid w:val="00345B11"/>
    <w:rsid w:val="00394BFA"/>
    <w:rsid w:val="003B6089"/>
    <w:rsid w:val="003C45B6"/>
    <w:rsid w:val="003E5C1B"/>
    <w:rsid w:val="003F4A7B"/>
    <w:rsid w:val="00405D92"/>
    <w:rsid w:val="00434DE5"/>
    <w:rsid w:val="004B4653"/>
    <w:rsid w:val="00563F48"/>
    <w:rsid w:val="005802CA"/>
    <w:rsid w:val="00611A4F"/>
    <w:rsid w:val="006356DF"/>
    <w:rsid w:val="006D2508"/>
    <w:rsid w:val="007361C2"/>
    <w:rsid w:val="00753154"/>
    <w:rsid w:val="007B3746"/>
    <w:rsid w:val="007C60D5"/>
    <w:rsid w:val="007D1996"/>
    <w:rsid w:val="00822322"/>
    <w:rsid w:val="008D4C3F"/>
    <w:rsid w:val="00912AB4"/>
    <w:rsid w:val="00946C44"/>
    <w:rsid w:val="00946D5F"/>
    <w:rsid w:val="00970773"/>
    <w:rsid w:val="009A3A90"/>
    <w:rsid w:val="009E1C30"/>
    <w:rsid w:val="009F5D01"/>
    <w:rsid w:val="00A05AB4"/>
    <w:rsid w:val="00A1736A"/>
    <w:rsid w:val="00A53DA3"/>
    <w:rsid w:val="00AF2BC5"/>
    <w:rsid w:val="00B1598E"/>
    <w:rsid w:val="00B206BC"/>
    <w:rsid w:val="00B54CDA"/>
    <w:rsid w:val="00B65371"/>
    <w:rsid w:val="00B80A0A"/>
    <w:rsid w:val="00C21873"/>
    <w:rsid w:val="00C62597"/>
    <w:rsid w:val="00CB5F84"/>
    <w:rsid w:val="00CB603F"/>
    <w:rsid w:val="00D1456F"/>
    <w:rsid w:val="00D17414"/>
    <w:rsid w:val="00D223F7"/>
    <w:rsid w:val="00D46519"/>
    <w:rsid w:val="00DD1EF1"/>
    <w:rsid w:val="00E06502"/>
    <w:rsid w:val="00E23534"/>
    <w:rsid w:val="00ED53B5"/>
    <w:rsid w:val="00F359BA"/>
    <w:rsid w:val="00F4007E"/>
    <w:rsid w:val="00F61241"/>
    <w:rsid w:val="00F63F3B"/>
    <w:rsid w:val="00FE5F42"/>
    <w:rsid w:val="00FF3548"/>
    <w:rsid w:val="00FF59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4041"/>
  <w15:docId w15:val="{66B13EB4-A584-4A1B-8294-61722A9C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23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23F7"/>
    <w:rPr>
      <w:rFonts w:ascii="Tahoma" w:hAnsi="Tahoma" w:cs="Tahoma"/>
      <w:sz w:val="16"/>
      <w:szCs w:val="16"/>
    </w:rPr>
  </w:style>
  <w:style w:type="paragraph" w:styleId="Header">
    <w:name w:val="header"/>
    <w:basedOn w:val="Normal"/>
    <w:link w:val="HeaderChar"/>
    <w:uiPriority w:val="99"/>
    <w:unhideWhenUsed/>
    <w:rsid w:val="00D22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3F7"/>
  </w:style>
  <w:style w:type="paragraph" w:styleId="Footer">
    <w:name w:val="footer"/>
    <w:basedOn w:val="Normal"/>
    <w:link w:val="FooterChar"/>
    <w:uiPriority w:val="99"/>
    <w:unhideWhenUsed/>
    <w:rsid w:val="00D22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3F7"/>
  </w:style>
  <w:style w:type="character" w:styleId="Hyperlink">
    <w:name w:val="Hyperlink"/>
    <w:basedOn w:val="DefaultParagraphFont"/>
    <w:uiPriority w:val="99"/>
    <w:unhideWhenUsed/>
    <w:rsid w:val="00D223F7"/>
    <w:rPr>
      <w:color w:val="0000FF" w:themeColor="hyperlink"/>
      <w:u w:val="single"/>
    </w:rPr>
  </w:style>
  <w:style w:type="paragraph" w:styleId="ListParagraph">
    <w:name w:val="List Paragraph"/>
    <w:basedOn w:val="Normal"/>
    <w:uiPriority w:val="34"/>
    <w:qFormat/>
    <w:rsid w:val="00D223F7"/>
    <w:pPr>
      <w:ind w:left="720"/>
      <w:contextualSpacing/>
    </w:pPr>
  </w:style>
  <w:style w:type="paragraph" w:customStyle="1" w:styleId="count">
    <w:name w:val="count"/>
    <w:basedOn w:val="Normal"/>
    <w:rsid w:val="00F63F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ormal1">
    <w:name w:val="Normal1"/>
    <w:basedOn w:val="Normal"/>
    <w:rsid w:val="00F63F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B54CD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169417">
      <w:bodyDiv w:val="1"/>
      <w:marLeft w:val="0"/>
      <w:marRight w:val="0"/>
      <w:marTop w:val="0"/>
      <w:marBottom w:val="0"/>
      <w:divBdr>
        <w:top w:val="none" w:sz="0" w:space="0" w:color="auto"/>
        <w:left w:val="none" w:sz="0" w:space="0" w:color="auto"/>
        <w:bottom w:val="none" w:sz="0" w:space="0" w:color="auto"/>
        <w:right w:val="none" w:sz="0" w:space="0" w:color="auto"/>
      </w:divBdr>
    </w:div>
    <w:div w:id="1561860952">
      <w:bodyDiv w:val="1"/>
      <w:marLeft w:val="0"/>
      <w:marRight w:val="0"/>
      <w:marTop w:val="0"/>
      <w:marBottom w:val="0"/>
      <w:divBdr>
        <w:top w:val="none" w:sz="0" w:space="0" w:color="auto"/>
        <w:left w:val="none" w:sz="0" w:space="0" w:color="auto"/>
        <w:bottom w:val="none" w:sz="0" w:space="0" w:color="auto"/>
        <w:right w:val="none" w:sz="0" w:space="0" w:color="auto"/>
      </w:divBdr>
      <w:divsChild>
        <w:div w:id="1520464449">
          <w:marLeft w:val="1498"/>
          <w:marRight w:val="0"/>
          <w:marTop w:val="86"/>
          <w:marBottom w:val="0"/>
          <w:divBdr>
            <w:top w:val="none" w:sz="0" w:space="0" w:color="auto"/>
            <w:left w:val="none" w:sz="0" w:space="0" w:color="auto"/>
            <w:bottom w:val="none" w:sz="0" w:space="0" w:color="auto"/>
            <w:right w:val="none" w:sz="0" w:space="0" w:color="auto"/>
          </w:divBdr>
        </w:div>
        <w:div w:id="1733382022">
          <w:marLeft w:val="1498"/>
          <w:marRight w:val="0"/>
          <w:marTop w:val="86"/>
          <w:marBottom w:val="0"/>
          <w:divBdr>
            <w:top w:val="none" w:sz="0" w:space="0" w:color="auto"/>
            <w:left w:val="none" w:sz="0" w:space="0" w:color="auto"/>
            <w:bottom w:val="none" w:sz="0" w:space="0" w:color="auto"/>
            <w:right w:val="none" w:sz="0" w:space="0" w:color="auto"/>
          </w:divBdr>
        </w:div>
      </w:divsChild>
    </w:div>
    <w:div w:id="1566605183">
      <w:bodyDiv w:val="1"/>
      <w:marLeft w:val="0"/>
      <w:marRight w:val="0"/>
      <w:marTop w:val="0"/>
      <w:marBottom w:val="0"/>
      <w:divBdr>
        <w:top w:val="none" w:sz="0" w:space="0" w:color="auto"/>
        <w:left w:val="none" w:sz="0" w:space="0" w:color="auto"/>
        <w:bottom w:val="none" w:sz="0" w:space="0" w:color="auto"/>
        <w:right w:val="none" w:sz="0" w:space="0" w:color="auto"/>
      </w:divBdr>
    </w:div>
    <w:div w:id="1637368444">
      <w:bodyDiv w:val="1"/>
      <w:marLeft w:val="0"/>
      <w:marRight w:val="0"/>
      <w:marTop w:val="0"/>
      <w:marBottom w:val="0"/>
      <w:divBdr>
        <w:top w:val="none" w:sz="0" w:space="0" w:color="auto"/>
        <w:left w:val="none" w:sz="0" w:space="0" w:color="auto"/>
        <w:bottom w:val="none" w:sz="0" w:space="0" w:color="auto"/>
        <w:right w:val="none" w:sz="0" w:space="0" w:color="auto"/>
      </w:divBdr>
    </w:div>
    <w:div w:id="200234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yperlink" Target="mailto:barend.j.van-leeuwen@durham.ac.uk" TargetMode="Externa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1BF100-AA52-42B7-A75A-602336FC3A9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GB"/>
        </a:p>
      </dgm:t>
    </dgm:pt>
    <dgm:pt modelId="{4C121C97-920F-429F-81D9-B09A49E5FD4A}">
      <dgm:prSet phldrT="[Text]" custT="1"/>
      <dgm:spPr/>
      <dgm:t>
        <a:bodyPr/>
        <a:lstStyle/>
        <a:p>
          <a:r>
            <a:rPr lang="en-GB" sz="900" b="1">
              <a:latin typeface="Garamond" panose="02020404030301010803" pitchFamily="18" charset="0"/>
            </a:rPr>
            <a:t>Treaties</a:t>
          </a:r>
          <a:r>
            <a:rPr lang="en-GB" sz="900">
              <a:latin typeface="Garamond" panose="02020404030301010803" pitchFamily="18" charset="0"/>
            </a:rPr>
            <a:t> (including Protocols), Charter and General Principles  (primary EU law)</a:t>
          </a:r>
        </a:p>
      </dgm:t>
    </dgm:pt>
    <dgm:pt modelId="{251467C8-FD93-4A24-B4D0-2515C3567A41}" type="parTrans" cxnId="{7EADFF5A-9517-41E5-9232-24A8454A136C}">
      <dgm:prSet/>
      <dgm:spPr/>
      <dgm:t>
        <a:bodyPr/>
        <a:lstStyle/>
        <a:p>
          <a:endParaRPr lang="en-GB"/>
        </a:p>
      </dgm:t>
    </dgm:pt>
    <dgm:pt modelId="{336E8398-97AB-4BB7-845A-26FEE1961FA5}" type="sibTrans" cxnId="{7EADFF5A-9517-41E5-9232-24A8454A136C}">
      <dgm:prSet/>
      <dgm:spPr/>
      <dgm:t>
        <a:bodyPr/>
        <a:lstStyle/>
        <a:p>
          <a:endParaRPr lang="en-GB"/>
        </a:p>
      </dgm:t>
    </dgm:pt>
    <dgm:pt modelId="{FE7424EF-4C9C-42B5-B2EB-7859E77B078A}">
      <dgm:prSet phldrT="[Text]" custT="1"/>
      <dgm:spPr/>
      <dgm:t>
        <a:bodyPr/>
        <a:lstStyle/>
        <a:p>
          <a:r>
            <a:rPr lang="en-GB" sz="900" b="1">
              <a:latin typeface="Garamond" panose="02020404030301010803" pitchFamily="18" charset="0"/>
            </a:rPr>
            <a:t>Legislative acts </a:t>
          </a:r>
          <a:r>
            <a:rPr lang="en-GB" sz="900">
              <a:latin typeface="Garamond" panose="02020404030301010803" pitchFamily="18" charset="0"/>
            </a:rPr>
            <a:t>(Regulations, Directives and Decisions if adopted through legislative procedure) (secondary EU law) (Article 289 TFEU)</a:t>
          </a:r>
        </a:p>
      </dgm:t>
    </dgm:pt>
    <dgm:pt modelId="{888128D9-C496-4143-A3D2-8A4207067724}" type="parTrans" cxnId="{8B6F1371-EAB0-4DC1-9A99-52ACCE927476}">
      <dgm:prSet/>
      <dgm:spPr/>
      <dgm:t>
        <a:bodyPr/>
        <a:lstStyle/>
        <a:p>
          <a:endParaRPr lang="en-GB"/>
        </a:p>
      </dgm:t>
    </dgm:pt>
    <dgm:pt modelId="{EFA35994-2D94-4A7D-9C23-91512DBCD5C8}" type="sibTrans" cxnId="{8B6F1371-EAB0-4DC1-9A99-52ACCE927476}">
      <dgm:prSet/>
      <dgm:spPr/>
      <dgm:t>
        <a:bodyPr/>
        <a:lstStyle/>
        <a:p>
          <a:endParaRPr lang="en-GB"/>
        </a:p>
      </dgm:t>
    </dgm:pt>
    <dgm:pt modelId="{F2F2DE6F-448F-4DBC-97EC-C172B46FC111}">
      <dgm:prSet phldrT="[Text]" custT="1"/>
      <dgm:spPr/>
      <dgm:t>
        <a:bodyPr/>
        <a:lstStyle/>
        <a:p>
          <a:r>
            <a:rPr lang="en-GB" sz="900" b="1">
              <a:latin typeface="Garamond" panose="02020404030301010803" pitchFamily="18" charset="0"/>
            </a:rPr>
            <a:t>Delegated acts </a:t>
          </a:r>
          <a:r>
            <a:rPr lang="en-GB" sz="900">
              <a:latin typeface="Garamond" panose="02020404030301010803" pitchFamily="18" charset="0"/>
            </a:rPr>
            <a:t>(Article 290 TFEU)</a:t>
          </a:r>
        </a:p>
      </dgm:t>
    </dgm:pt>
    <dgm:pt modelId="{152E1BA1-1722-42E7-89F6-95F4BBD4CDF5}" type="parTrans" cxnId="{EF0B2258-33DB-4F52-858D-E598A8DB04F5}">
      <dgm:prSet/>
      <dgm:spPr/>
      <dgm:t>
        <a:bodyPr/>
        <a:lstStyle/>
        <a:p>
          <a:endParaRPr lang="en-GB"/>
        </a:p>
      </dgm:t>
    </dgm:pt>
    <dgm:pt modelId="{C5D5FF15-064A-4A51-819F-36B27DC4F3C3}" type="sibTrans" cxnId="{EF0B2258-33DB-4F52-858D-E598A8DB04F5}">
      <dgm:prSet/>
      <dgm:spPr/>
      <dgm:t>
        <a:bodyPr/>
        <a:lstStyle/>
        <a:p>
          <a:endParaRPr lang="en-GB"/>
        </a:p>
      </dgm:t>
    </dgm:pt>
    <dgm:pt modelId="{821B19B8-BB13-4080-8235-6CBB1FC95A03}">
      <dgm:prSet custT="1"/>
      <dgm:spPr/>
      <dgm:t>
        <a:bodyPr/>
        <a:lstStyle/>
        <a:p>
          <a:r>
            <a:rPr lang="en-GB" sz="900" b="1">
              <a:latin typeface="Garamond" panose="02020404030301010803" pitchFamily="18" charset="0"/>
            </a:rPr>
            <a:t>Implementing acts </a:t>
          </a:r>
          <a:r>
            <a:rPr lang="en-GB" sz="900">
              <a:latin typeface="Garamond" panose="02020404030301010803" pitchFamily="18" charset="0"/>
            </a:rPr>
            <a:t>(Article 291 TFEU)</a:t>
          </a:r>
        </a:p>
      </dgm:t>
    </dgm:pt>
    <dgm:pt modelId="{65D26E16-D94F-46C9-B1D9-072456B49A8F}" type="parTrans" cxnId="{666628AA-F09A-4CC9-8097-D358F3F7D411}">
      <dgm:prSet/>
      <dgm:spPr/>
      <dgm:t>
        <a:bodyPr/>
        <a:lstStyle/>
        <a:p>
          <a:endParaRPr lang="en-GB"/>
        </a:p>
      </dgm:t>
    </dgm:pt>
    <dgm:pt modelId="{66E85598-E6F6-4F45-9645-4B2F234FE89D}" type="sibTrans" cxnId="{666628AA-F09A-4CC9-8097-D358F3F7D411}">
      <dgm:prSet/>
      <dgm:spPr/>
      <dgm:t>
        <a:bodyPr/>
        <a:lstStyle/>
        <a:p>
          <a:endParaRPr lang="en-GB"/>
        </a:p>
      </dgm:t>
    </dgm:pt>
    <dgm:pt modelId="{B958A0C2-D150-4FF5-B8ED-E4C20DA150DF}" type="pres">
      <dgm:prSet presAssocID="{B71BF100-AA52-42B7-A75A-602336FC3A9B}" presName="hierChild1" presStyleCnt="0">
        <dgm:presLayoutVars>
          <dgm:chPref val="1"/>
          <dgm:dir/>
          <dgm:animOne val="branch"/>
          <dgm:animLvl val="lvl"/>
          <dgm:resizeHandles/>
        </dgm:presLayoutVars>
      </dgm:prSet>
      <dgm:spPr/>
    </dgm:pt>
    <dgm:pt modelId="{3911A9FE-9422-4AC1-9930-C0EF909A1B20}" type="pres">
      <dgm:prSet presAssocID="{4C121C97-920F-429F-81D9-B09A49E5FD4A}" presName="hierRoot1" presStyleCnt="0"/>
      <dgm:spPr/>
    </dgm:pt>
    <dgm:pt modelId="{AB8D1737-3F57-4C63-99D7-ADDE8A12E519}" type="pres">
      <dgm:prSet presAssocID="{4C121C97-920F-429F-81D9-B09A49E5FD4A}" presName="composite" presStyleCnt="0"/>
      <dgm:spPr/>
    </dgm:pt>
    <dgm:pt modelId="{77DAFAB4-6382-49C1-9989-129345CFA78F}" type="pres">
      <dgm:prSet presAssocID="{4C121C97-920F-429F-81D9-B09A49E5FD4A}" presName="background" presStyleLbl="node0" presStyleIdx="0" presStyleCnt="1"/>
      <dgm:spPr/>
    </dgm:pt>
    <dgm:pt modelId="{13C41A59-7067-4D44-80DB-B16224C33350}" type="pres">
      <dgm:prSet presAssocID="{4C121C97-920F-429F-81D9-B09A49E5FD4A}" presName="text" presStyleLbl="fgAcc0" presStyleIdx="0" presStyleCnt="1">
        <dgm:presLayoutVars>
          <dgm:chPref val="3"/>
        </dgm:presLayoutVars>
      </dgm:prSet>
      <dgm:spPr/>
    </dgm:pt>
    <dgm:pt modelId="{D1F96ACD-E89A-4F11-B75F-998F32138D30}" type="pres">
      <dgm:prSet presAssocID="{4C121C97-920F-429F-81D9-B09A49E5FD4A}" presName="hierChild2" presStyleCnt="0"/>
      <dgm:spPr/>
    </dgm:pt>
    <dgm:pt modelId="{10DFEBBB-9335-4E8D-B976-5ADE27063A0E}" type="pres">
      <dgm:prSet presAssocID="{888128D9-C496-4143-A3D2-8A4207067724}" presName="Name10" presStyleLbl="parChTrans1D2" presStyleIdx="0" presStyleCnt="1"/>
      <dgm:spPr/>
    </dgm:pt>
    <dgm:pt modelId="{6DBC7205-6B65-4D73-8ACA-E0B34FC2EEFF}" type="pres">
      <dgm:prSet presAssocID="{FE7424EF-4C9C-42B5-B2EB-7859E77B078A}" presName="hierRoot2" presStyleCnt="0"/>
      <dgm:spPr/>
    </dgm:pt>
    <dgm:pt modelId="{490C8DA2-C14F-464A-B22D-058BCD2F14CB}" type="pres">
      <dgm:prSet presAssocID="{FE7424EF-4C9C-42B5-B2EB-7859E77B078A}" presName="composite2" presStyleCnt="0"/>
      <dgm:spPr/>
    </dgm:pt>
    <dgm:pt modelId="{E65B2891-4272-4195-88B4-1BC1D833DBA9}" type="pres">
      <dgm:prSet presAssocID="{FE7424EF-4C9C-42B5-B2EB-7859E77B078A}" presName="background2" presStyleLbl="node2" presStyleIdx="0" presStyleCnt="1"/>
      <dgm:spPr/>
    </dgm:pt>
    <dgm:pt modelId="{CDA88DBE-9B47-4C73-B3C7-7707B54A103C}" type="pres">
      <dgm:prSet presAssocID="{FE7424EF-4C9C-42B5-B2EB-7859E77B078A}" presName="text2" presStyleLbl="fgAcc2" presStyleIdx="0" presStyleCnt="1">
        <dgm:presLayoutVars>
          <dgm:chPref val="3"/>
        </dgm:presLayoutVars>
      </dgm:prSet>
      <dgm:spPr/>
    </dgm:pt>
    <dgm:pt modelId="{E727F4C8-96E0-41AB-B441-721E7A49760B}" type="pres">
      <dgm:prSet presAssocID="{FE7424EF-4C9C-42B5-B2EB-7859E77B078A}" presName="hierChild3" presStyleCnt="0"/>
      <dgm:spPr/>
    </dgm:pt>
    <dgm:pt modelId="{2D42B875-58CA-48C9-9160-3966DF870B4A}" type="pres">
      <dgm:prSet presAssocID="{152E1BA1-1722-42E7-89F6-95F4BBD4CDF5}" presName="Name17" presStyleLbl="parChTrans1D3" presStyleIdx="0" presStyleCnt="1"/>
      <dgm:spPr/>
    </dgm:pt>
    <dgm:pt modelId="{93D096B0-C063-48D7-AF7F-9DF5780AA733}" type="pres">
      <dgm:prSet presAssocID="{F2F2DE6F-448F-4DBC-97EC-C172B46FC111}" presName="hierRoot3" presStyleCnt="0"/>
      <dgm:spPr/>
    </dgm:pt>
    <dgm:pt modelId="{632B0F0B-3371-4CFC-A490-4686442E7A1D}" type="pres">
      <dgm:prSet presAssocID="{F2F2DE6F-448F-4DBC-97EC-C172B46FC111}" presName="composite3" presStyleCnt="0"/>
      <dgm:spPr/>
    </dgm:pt>
    <dgm:pt modelId="{C867F024-AD35-48DE-9C62-23873ACFF43F}" type="pres">
      <dgm:prSet presAssocID="{F2F2DE6F-448F-4DBC-97EC-C172B46FC111}" presName="background3" presStyleLbl="node3" presStyleIdx="0" presStyleCnt="1"/>
      <dgm:spPr/>
    </dgm:pt>
    <dgm:pt modelId="{540CD730-A849-4A4C-97CE-680DC3E9D505}" type="pres">
      <dgm:prSet presAssocID="{F2F2DE6F-448F-4DBC-97EC-C172B46FC111}" presName="text3" presStyleLbl="fgAcc3" presStyleIdx="0" presStyleCnt="1">
        <dgm:presLayoutVars>
          <dgm:chPref val="3"/>
        </dgm:presLayoutVars>
      </dgm:prSet>
      <dgm:spPr/>
    </dgm:pt>
    <dgm:pt modelId="{98667BD3-B564-491D-906A-0F0A4E6DC6FA}" type="pres">
      <dgm:prSet presAssocID="{F2F2DE6F-448F-4DBC-97EC-C172B46FC111}" presName="hierChild4" presStyleCnt="0"/>
      <dgm:spPr/>
    </dgm:pt>
    <dgm:pt modelId="{4EF3733D-43C0-404C-9473-9C221E6A98BE}" type="pres">
      <dgm:prSet presAssocID="{65D26E16-D94F-46C9-B1D9-072456B49A8F}" presName="Name23" presStyleLbl="parChTrans1D4" presStyleIdx="0" presStyleCnt="1"/>
      <dgm:spPr/>
    </dgm:pt>
    <dgm:pt modelId="{EB7AE8B1-1E72-49B1-A506-AB518819634F}" type="pres">
      <dgm:prSet presAssocID="{821B19B8-BB13-4080-8235-6CBB1FC95A03}" presName="hierRoot4" presStyleCnt="0"/>
      <dgm:spPr/>
    </dgm:pt>
    <dgm:pt modelId="{7C728C2F-51C8-44D6-9FB2-7BA005764E90}" type="pres">
      <dgm:prSet presAssocID="{821B19B8-BB13-4080-8235-6CBB1FC95A03}" presName="composite4" presStyleCnt="0"/>
      <dgm:spPr/>
    </dgm:pt>
    <dgm:pt modelId="{9A1A2254-4EB2-40E5-8513-6E5A1F05E072}" type="pres">
      <dgm:prSet presAssocID="{821B19B8-BB13-4080-8235-6CBB1FC95A03}" presName="background4" presStyleLbl="node4" presStyleIdx="0" presStyleCnt="1"/>
      <dgm:spPr/>
    </dgm:pt>
    <dgm:pt modelId="{4257CE34-DA6B-46C7-8B0A-410CD969315E}" type="pres">
      <dgm:prSet presAssocID="{821B19B8-BB13-4080-8235-6CBB1FC95A03}" presName="text4" presStyleLbl="fgAcc4" presStyleIdx="0" presStyleCnt="1">
        <dgm:presLayoutVars>
          <dgm:chPref val="3"/>
        </dgm:presLayoutVars>
      </dgm:prSet>
      <dgm:spPr/>
    </dgm:pt>
    <dgm:pt modelId="{9EDE9910-1831-4D60-AFEE-A38128CD486B}" type="pres">
      <dgm:prSet presAssocID="{821B19B8-BB13-4080-8235-6CBB1FC95A03}" presName="hierChild5" presStyleCnt="0"/>
      <dgm:spPr/>
    </dgm:pt>
  </dgm:ptLst>
  <dgm:cxnLst>
    <dgm:cxn modelId="{E41E701F-E6CE-4DFD-8637-1891221FE076}" type="presOf" srcId="{821B19B8-BB13-4080-8235-6CBB1FC95A03}" destId="{4257CE34-DA6B-46C7-8B0A-410CD969315E}" srcOrd="0" destOrd="0" presId="urn:microsoft.com/office/officeart/2005/8/layout/hierarchy1"/>
    <dgm:cxn modelId="{C4C21547-9329-4004-B98C-4B6B76D8FFEE}" type="presOf" srcId="{65D26E16-D94F-46C9-B1D9-072456B49A8F}" destId="{4EF3733D-43C0-404C-9473-9C221E6A98BE}" srcOrd="0" destOrd="0" presId="urn:microsoft.com/office/officeart/2005/8/layout/hierarchy1"/>
    <dgm:cxn modelId="{9B07D24D-6834-46AB-9123-1692D3748964}" type="presOf" srcId="{B71BF100-AA52-42B7-A75A-602336FC3A9B}" destId="{B958A0C2-D150-4FF5-B8ED-E4C20DA150DF}" srcOrd="0" destOrd="0" presId="urn:microsoft.com/office/officeart/2005/8/layout/hierarchy1"/>
    <dgm:cxn modelId="{8B6F1371-EAB0-4DC1-9A99-52ACCE927476}" srcId="{4C121C97-920F-429F-81D9-B09A49E5FD4A}" destId="{FE7424EF-4C9C-42B5-B2EB-7859E77B078A}" srcOrd="0" destOrd="0" parTransId="{888128D9-C496-4143-A3D2-8A4207067724}" sibTransId="{EFA35994-2D94-4A7D-9C23-91512DBCD5C8}"/>
    <dgm:cxn modelId="{50F95075-2317-4FFE-A7EB-F45163FD277F}" type="presOf" srcId="{152E1BA1-1722-42E7-89F6-95F4BBD4CDF5}" destId="{2D42B875-58CA-48C9-9160-3966DF870B4A}" srcOrd="0" destOrd="0" presId="urn:microsoft.com/office/officeart/2005/8/layout/hierarchy1"/>
    <dgm:cxn modelId="{79BBCD56-39B9-4C28-87D7-3FA1A705CE8A}" type="presOf" srcId="{FE7424EF-4C9C-42B5-B2EB-7859E77B078A}" destId="{CDA88DBE-9B47-4C73-B3C7-7707B54A103C}" srcOrd="0" destOrd="0" presId="urn:microsoft.com/office/officeart/2005/8/layout/hierarchy1"/>
    <dgm:cxn modelId="{EF0B2258-33DB-4F52-858D-E598A8DB04F5}" srcId="{FE7424EF-4C9C-42B5-B2EB-7859E77B078A}" destId="{F2F2DE6F-448F-4DBC-97EC-C172B46FC111}" srcOrd="0" destOrd="0" parTransId="{152E1BA1-1722-42E7-89F6-95F4BBD4CDF5}" sibTransId="{C5D5FF15-064A-4A51-819F-36B27DC4F3C3}"/>
    <dgm:cxn modelId="{7EADFF5A-9517-41E5-9232-24A8454A136C}" srcId="{B71BF100-AA52-42B7-A75A-602336FC3A9B}" destId="{4C121C97-920F-429F-81D9-B09A49E5FD4A}" srcOrd="0" destOrd="0" parTransId="{251467C8-FD93-4A24-B4D0-2515C3567A41}" sibTransId="{336E8398-97AB-4BB7-845A-26FEE1961FA5}"/>
    <dgm:cxn modelId="{57E96E90-1CF0-4DC4-9218-2C3711CC9A1B}" type="presOf" srcId="{F2F2DE6F-448F-4DBC-97EC-C172B46FC111}" destId="{540CD730-A849-4A4C-97CE-680DC3E9D505}" srcOrd="0" destOrd="0" presId="urn:microsoft.com/office/officeart/2005/8/layout/hierarchy1"/>
    <dgm:cxn modelId="{666628AA-F09A-4CC9-8097-D358F3F7D411}" srcId="{F2F2DE6F-448F-4DBC-97EC-C172B46FC111}" destId="{821B19B8-BB13-4080-8235-6CBB1FC95A03}" srcOrd="0" destOrd="0" parTransId="{65D26E16-D94F-46C9-B1D9-072456B49A8F}" sibTransId="{66E85598-E6F6-4F45-9645-4B2F234FE89D}"/>
    <dgm:cxn modelId="{2092A7DF-6E1B-42CB-A75C-BC579C5BB45C}" type="presOf" srcId="{4C121C97-920F-429F-81D9-B09A49E5FD4A}" destId="{13C41A59-7067-4D44-80DB-B16224C33350}" srcOrd="0" destOrd="0" presId="urn:microsoft.com/office/officeart/2005/8/layout/hierarchy1"/>
    <dgm:cxn modelId="{591151FD-8A2B-4950-8610-976E855125AD}" type="presOf" srcId="{888128D9-C496-4143-A3D2-8A4207067724}" destId="{10DFEBBB-9335-4E8D-B976-5ADE27063A0E}" srcOrd="0" destOrd="0" presId="urn:microsoft.com/office/officeart/2005/8/layout/hierarchy1"/>
    <dgm:cxn modelId="{FD2A2BC5-4198-4EDD-8B44-56778945BD5C}" type="presParOf" srcId="{B958A0C2-D150-4FF5-B8ED-E4C20DA150DF}" destId="{3911A9FE-9422-4AC1-9930-C0EF909A1B20}" srcOrd="0" destOrd="0" presId="urn:microsoft.com/office/officeart/2005/8/layout/hierarchy1"/>
    <dgm:cxn modelId="{4D83ABD3-D33F-44D0-838B-A5D016865BF8}" type="presParOf" srcId="{3911A9FE-9422-4AC1-9930-C0EF909A1B20}" destId="{AB8D1737-3F57-4C63-99D7-ADDE8A12E519}" srcOrd="0" destOrd="0" presId="urn:microsoft.com/office/officeart/2005/8/layout/hierarchy1"/>
    <dgm:cxn modelId="{AB5118F7-BE8D-4F01-BA86-5DFB90BA3F57}" type="presParOf" srcId="{AB8D1737-3F57-4C63-99D7-ADDE8A12E519}" destId="{77DAFAB4-6382-49C1-9989-129345CFA78F}" srcOrd="0" destOrd="0" presId="urn:microsoft.com/office/officeart/2005/8/layout/hierarchy1"/>
    <dgm:cxn modelId="{A0B7D283-D3AA-4E90-8DCD-2AF5AC101E3F}" type="presParOf" srcId="{AB8D1737-3F57-4C63-99D7-ADDE8A12E519}" destId="{13C41A59-7067-4D44-80DB-B16224C33350}" srcOrd="1" destOrd="0" presId="urn:microsoft.com/office/officeart/2005/8/layout/hierarchy1"/>
    <dgm:cxn modelId="{C8A37C3B-EFC3-475D-B1A9-79EC96922CB1}" type="presParOf" srcId="{3911A9FE-9422-4AC1-9930-C0EF909A1B20}" destId="{D1F96ACD-E89A-4F11-B75F-998F32138D30}" srcOrd="1" destOrd="0" presId="urn:microsoft.com/office/officeart/2005/8/layout/hierarchy1"/>
    <dgm:cxn modelId="{14812E19-6EC8-4ECD-AAE9-F153E176C11F}" type="presParOf" srcId="{D1F96ACD-E89A-4F11-B75F-998F32138D30}" destId="{10DFEBBB-9335-4E8D-B976-5ADE27063A0E}" srcOrd="0" destOrd="0" presId="urn:microsoft.com/office/officeart/2005/8/layout/hierarchy1"/>
    <dgm:cxn modelId="{1B22C1C3-3FAF-4B89-AEBC-C36EE3A34965}" type="presParOf" srcId="{D1F96ACD-E89A-4F11-B75F-998F32138D30}" destId="{6DBC7205-6B65-4D73-8ACA-E0B34FC2EEFF}" srcOrd="1" destOrd="0" presId="urn:microsoft.com/office/officeart/2005/8/layout/hierarchy1"/>
    <dgm:cxn modelId="{02B43275-8968-476B-938C-E84A0D7A7E26}" type="presParOf" srcId="{6DBC7205-6B65-4D73-8ACA-E0B34FC2EEFF}" destId="{490C8DA2-C14F-464A-B22D-058BCD2F14CB}" srcOrd="0" destOrd="0" presId="urn:microsoft.com/office/officeart/2005/8/layout/hierarchy1"/>
    <dgm:cxn modelId="{81B0A502-BD96-4C62-8768-2E72EC201C28}" type="presParOf" srcId="{490C8DA2-C14F-464A-B22D-058BCD2F14CB}" destId="{E65B2891-4272-4195-88B4-1BC1D833DBA9}" srcOrd="0" destOrd="0" presId="urn:microsoft.com/office/officeart/2005/8/layout/hierarchy1"/>
    <dgm:cxn modelId="{EFD341A5-1EA6-48F2-B123-ABD1D1525829}" type="presParOf" srcId="{490C8DA2-C14F-464A-B22D-058BCD2F14CB}" destId="{CDA88DBE-9B47-4C73-B3C7-7707B54A103C}" srcOrd="1" destOrd="0" presId="urn:microsoft.com/office/officeart/2005/8/layout/hierarchy1"/>
    <dgm:cxn modelId="{3BA4A509-7BE9-4D7F-AE3A-546216213989}" type="presParOf" srcId="{6DBC7205-6B65-4D73-8ACA-E0B34FC2EEFF}" destId="{E727F4C8-96E0-41AB-B441-721E7A49760B}" srcOrd="1" destOrd="0" presId="urn:microsoft.com/office/officeart/2005/8/layout/hierarchy1"/>
    <dgm:cxn modelId="{7660348C-2E10-487E-B4A1-8AD4D9D7EB2E}" type="presParOf" srcId="{E727F4C8-96E0-41AB-B441-721E7A49760B}" destId="{2D42B875-58CA-48C9-9160-3966DF870B4A}" srcOrd="0" destOrd="0" presId="urn:microsoft.com/office/officeart/2005/8/layout/hierarchy1"/>
    <dgm:cxn modelId="{FF45D533-2D12-4F81-9AB5-41671684B62B}" type="presParOf" srcId="{E727F4C8-96E0-41AB-B441-721E7A49760B}" destId="{93D096B0-C063-48D7-AF7F-9DF5780AA733}" srcOrd="1" destOrd="0" presId="urn:microsoft.com/office/officeart/2005/8/layout/hierarchy1"/>
    <dgm:cxn modelId="{8E1F3E37-124D-4CFF-A9F2-C27E087E57FD}" type="presParOf" srcId="{93D096B0-C063-48D7-AF7F-9DF5780AA733}" destId="{632B0F0B-3371-4CFC-A490-4686442E7A1D}" srcOrd="0" destOrd="0" presId="urn:microsoft.com/office/officeart/2005/8/layout/hierarchy1"/>
    <dgm:cxn modelId="{6CD478F7-75CE-4995-9C0B-B4671452D703}" type="presParOf" srcId="{632B0F0B-3371-4CFC-A490-4686442E7A1D}" destId="{C867F024-AD35-48DE-9C62-23873ACFF43F}" srcOrd="0" destOrd="0" presId="urn:microsoft.com/office/officeart/2005/8/layout/hierarchy1"/>
    <dgm:cxn modelId="{F3BC3D03-3778-4496-90F4-801B2754BDD0}" type="presParOf" srcId="{632B0F0B-3371-4CFC-A490-4686442E7A1D}" destId="{540CD730-A849-4A4C-97CE-680DC3E9D505}" srcOrd="1" destOrd="0" presId="urn:microsoft.com/office/officeart/2005/8/layout/hierarchy1"/>
    <dgm:cxn modelId="{4C117FB6-142A-4CD0-93AF-247661026A0E}" type="presParOf" srcId="{93D096B0-C063-48D7-AF7F-9DF5780AA733}" destId="{98667BD3-B564-491D-906A-0F0A4E6DC6FA}" srcOrd="1" destOrd="0" presId="urn:microsoft.com/office/officeart/2005/8/layout/hierarchy1"/>
    <dgm:cxn modelId="{4C2DEF04-B2D3-4DFE-A6D6-B6D38E3D7066}" type="presParOf" srcId="{98667BD3-B564-491D-906A-0F0A4E6DC6FA}" destId="{4EF3733D-43C0-404C-9473-9C221E6A98BE}" srcOrd="0" destOrd="0" presId="urn:microsoft.com/office/officeart/2005/8/layout/hierarchy1"/>
    <dgm:cxn modelId="{854F56C9-3E43-4DC7-890E-6354583CC2B5}" type="presParOf" srcId="{98667BD3-B564-491D-906A-0F0A4E6DC6FA}" destId="{EB7AE8B1-1E72-49B1-A506-AB518819634F}" srcOrd="1" destOrd="0" presId="urn:microsoft.com/office/officeart/2005/8/layout/hierarchy1"/>
    <dgm:cxn modelId="{DCAA6103-07F0-4764-87B3-82498F1D6516}" type="presParOf" srcId="{EB7AE8B1-1E72-49B1-A506-AB518819634F}" destId="{7C728C2F-51C8-44D6-9FB2-7BA005764E90}" srcOrd="0" destOrd="0" presId="urn:microsoft.com/office/officeart/2005/8/layout/hierarchy1"/>
    <dgm:cxn modelId="{F085D209-1292-4610-A8D0-5C53610DA0A4}" type="presParOf" srcId="{7C728C2F-51C8-44D6-9FB2-7BA005764E90}" destId="{9A1A2254-4EB2-40E5-8513-6E5A1F05E072}" srcOrd="0" destOrd="0" presId="urn:microsoft.com/office/officeart/2005/8/layout/hierarchy1"/>
    <dgm:cxn modelId="{5AE4C19C-B9A8-406F-9E98-5600D11EF8FD}" type="presParOf" srcId="{7C728C2F-51C8-44D6-9FB2-7BA005764E90}" destId="{4257CE34-DA6B-46C7-8B0A-410CD969315E}" srcOrd="1" destOrd="0" presId="urn:microsoft.com/office/officeart/2005/8/layout/hierarchy1"/>
    <dgm:cxn modelId="{77FDCA36-B4D3-40B5-BA83-4C84B088F31F}" type="presParOf" srcId="{EB7AE8B1-1E72-49B1-A506-AB518819634F}" destId="{9EDE9910-1831-4D60-AFEE-A38128CD486B}"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F3733D-43C0-404C-9473-9C221E6A98BE}">
      <dsp:nvSpPr>
        <dsp:cNvPr id="0" name=""/>
        <dsp:cNvSpPr/>
      </dsp:nvSpPr>
      <dsp:spPr>
        <a:xfrm>
          <a:off x="2513558" y="3428139"/>
          <a:ext cx="91440" cy="400890"/>
        </a:xfrm>
        <a:custGeom>
          <a:avLst/>
          <a:gdLst/>
          <a:ahLst/>
          <a:cxnLst/>
          <a:rect l="0" t="0" r="0" b="0"/>
          <a:pathLst>
            <a:path>
              <a:moveTo>
                <a:pt x="45720" y="0"/>
              </a:moveTo>
              <a:lnTo>
                <a:pt x="45720" y="4008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42B875-58CA-48C9-9160-3966DF870B4A}">
      <dsp:nvSpPr>
        <dsp:cNvPr id="0" name=""/>
        <dsp:cNvSpPr/>
      </dsp:nvSpPr>
      <dsp:spPr>
        <a:xfrm>
          <a:off x="2513558" y="2151952"/>
          <a:ext cx="91440" cy="400890"/>
        </a:xfrm>
        <a:custGeom>
          <a:avLst/>
          <a:gdLst/>
          <a:ahLst/>
          <a:cxnLst/>
          <a:rect l="0" t="0" r="0" b="0"/>
          <a:pathLst>
            <a:path>
              <a:moveTo>
                <a:pt x="45720" y="0"/>
              </a:moveTo>
              <a:lnTo>
                <a:pt x="45720" y="4008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DFEBBB-9335-4E8D-B976-5ADE27063A0E}">
      <dsp:nvSpPr>
        <dsp:cNvPr id="0" name=""/>
        <dsp:cNvSpPr/>
      </dsp:nvSpPr>
      <dsp:spPr>
        <a:xfrm>
          <a:off x="2513558" y="875766"/>
          <a:ext cx="91440" cy="400890"/>
        </a:xfrm>
        <a:custGeom>
          <a:avLst/>
          <a:gdLst/>
          <a:ahLst/>
          <a:cxnLst/>
          <a:rect l="0" t="0" r="0" b="0"/>
          <a:pathLst>
            <a:path>
              <a:moveTo>
                <a:pt x="45720" y="0"/>
              </a:moveTo>
              <a:lnTo>
                <a:pt x="45720" y="4008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DAFAB4-6382-49C1-9989-129345CFA78F}">
      <dsp:nvSpPr>
        <dsp:cNvPr id="0" name=""/>
        <dsp:cNvSpPr/>
      </dsp:nvSpPr>
      <dsp:spPr>
        <a:xfrm>
          <a:off x="1870068" y="469"/>
          <a:ext cx="1378419" cy="8752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3C41A59-7067-4D44-80DB-B16224C33350}">
      <dsp:nvSpPr>
        <dsp:cNvPr id="0" name=""/>
        <dsp:cNvSpPr/>
      </dsp:nvSpPr>
      <dsp:spPr>
        <a:xfrm>
          <a:off x="2023226" y="145969"/>
          <a:ext cx="1378419" cy="87529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latin typeface="Garamond" panose="02020404030301010803" pitchFamily="18" charset="0"/>
            </a:rPr>
            <a:t>Treaties</a:t>
          </a:r>
          <a:r>
            <a:rPr lang="en-GB" sz="900" kern="1200">
              <a:latin typeface="Garamond" panose="02020404030301010803" pitchFamily="18" charset="0"/>
            </a:rPr>
            <a:t> (including Protocols), Charter and General Principles  (primary EU law)</a:t>
          </a:r>
        </a:p>
      </dsp:txBody>
      <dsp:txXfrm>
        <a:off x="2048863" y="171606"/>
        <a:ext cx="1327145" cy="824022"/>
      </dsp:txXfrm>
    </dsp:sp>
    <dsp:sp modelId="{E65B2891-4272-4195-88B4-1BC1D833DBA9}">
      <dsp:nvSpPr>
        <dsp:cNvPr id="0" name=""/>
        <dsp:cNvSpPr/>
      </dsp:nvSpPr>
      <dsp:spPr>
        <a:xfrm>
          <a:off x="1870068" y="1276656"/>
          <a:ext cx="1378419" cy="8752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DA88DBE-9B47-4C73-B3C7-7707B54A103C}">
      <dsp:nvSpPr>
        <dsp:cNvPr id="0" name=""/>
        <dsp:cNvSpPr/>
      </dsp:nvSpPr>
      <dsp:spPr>
        <a:xfrm>
          <a:off x="2023226" y="1422156"/>
          <a:ext cx="1378419" cy="87529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latin typeface="Garamond" panose="02020404030301010803" pitchFamily="18" charset="0"/>
            </a:rPr>
            <a:t>Legislative acts </a:t>
          </a:r>
          <a:r>
            <a:rPr lang="en-GB" sz="900" kern="1200">
              <a:latin typeface="Garamond" panose="02020404030301010803" pitchFamily="18" charset="0"/>
            </a:rPr>
            <a:t>(Regulations, Directives and Decisions if adopted through legislative procedure) (secondary EU law) (Article 289 TFEU)</a:t>
          </a:r>
        </a:p>
      </dsp:txBody>
      <dsp:txXfrm>
        <a:off x="2048863" y="1447793"/>
        <a:ext cx="1327145" cy="824022"/>
      </dsp:txXfrm>
    </dsp:sp>
    <dsp:sp modelId="{C867F024-AD35-48DE-9C62-23873ACFF43F}">
      <dsp:nvSpPr>
        <dsp:cNvPr id="0" name=""/>
        <dsp:cNvSpPr/>
      </dsp:nvSpPr>
      <dsp:spPr>
        <a:xfrm>
          <a:off x="1870068" y="2552843"/>
          <a:ext cx="1378419" cy="8752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40CD730-A849-4A4C-97CE-680DC3E9D505}">
      <dsp:nvSpPr>
        <dsp:cNvPr id="0" name=""/>
        <dsp:cNvSpPr/>
      </dsp:nvSpPr>
      <dsp:spPr>
        <a:xfrm>
          <a:off x="2023226" y="2698343"/>
          <a:ext cx="1378419" cy="87529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latin typeface="Garamond" panose="02020404030301010803" pitchFamily="18" charset="0"/>
            </a:rPr>
            <a:t>Delegated acts </a:t>
          </a:r>
          <a:r>
            <a:rPr lang="en-GB" sz="900" kern="1200">
              <a:latin typeface="Garamond" panose="02020404030301010803" pitchFamily="18" charset="0"/>
            </a:rPr>
            <a:t>(Article 290 TFEU)</a:t>
          </a:r>
        </a:p>
      </dsp:txBody>
      <dsp:txXfrm>
        <a:off x="2048863" y="2723980"/>
        <a:ext cx="1327145" cy="824022"/>
      </dsp:txXfrm>
    </dsp:sp>
    <dsp:sp modelId="{9A1A2254-4EB2-40E5-8513-6E5A1F05E072}">
      <dsp:nvSpPr>
        <dsp:cNvPr id="0" name=""/>
        <dsp:cNvSpPr/>
      </dsp:nvSpPr>
      <dsp:spPr>
        <a:xfrm>
          <a:off x="1870068" y="3829030"/>
          <a:ext cx="1378419" cy="8752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57CE34-DA6B-46C7-8B0A-410CD969315E}">
      <dsp:nvSpPr>
        <dsp:cNvPr id="0" name=""/>
        <dsp:cNvSpPr/>
      </dsp:nvSpPr>
      <dsp:spPr>
        <a:xfrm>
          <a:off x="2023226" y="3974529"/>
          <a:ext cx="1378419" cy="87529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latin typeface="Garamond" panose="02020404030301010803" pitchFamily="18" charset="0"/>
            </a:rPr>
            <a:t>Implementing acts </a:t>
          </a:r>
          <a:r>
            <a:rPr lang="en-GB" sz="900" kern="1200">
              <a:latin typeface="Garamond" panose="02020404030301010803" pitchFamily="18" charset="0"/>
            </a:rPr>
            <a:t>(Article 291 TFEU)</a:t>
          </a:r>
        </a:p>
      </dsp:txBody>
      <dsp:txXfrm>
        <a:off x="2048863" y="4000166"/>
        <a:ext cx="1327145" cy="82402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3D080-7138-43E2-990E-EC2D971D1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4538</Words>
  <Characters>25869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30347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LEEUWEN, BAREND J.</dc:creator>
  <cp:lastModifiedBy>VAN-LEEUWEN, BAREND J.</cp:lastModifiedBy>
  <cp:revision>6</cp:revision>
  <dcterms:created xsi:type="dcterms:W3CDTF">2023-08-30T13:21:00Z</dcterms:created>
  <dcterms:modified xsi:type="dcterms:W3CDTF">2023-10-03T08:05:00Z</dcterms:modified>
</cp:coreProperties>
</file>