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48DA7" w14:textId="77777777" w:rsidR="000510FD" w:rsidRDefault="000510FD"/>
    <w:p w14:paraId="5B8B0713" w14:textId="77777777" w:rsidR="00EA4B50" w:rsidRDefault="005E1DB9">
      <w:r>
        <w:rPr>
          <w:noProof/>
          <w:lang w:eastAsia="en-GB"/>
        </w:rPr>
        <w:drawing>
          <wp:inline distT="0" distB="0" distL="0" distR="0" wp14:anchorId="0FC63CF3" wp14:editId="431CE99A">
            <wp:extent cx="2305050" cy="1038225"/>
            <wp:effectExtent l="0" t="0" r="0" b="9525"/>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7F9B41B6" w14:textId="77777777" w:rsidR="00EA4B50" w:rsidRDefault="00EA4B50"/>
    <w:p w14:paraId="0234CCD8" w14:textId="77777777" w:rsidR="00EA4B50" w:rsidRDefault="00EA4B50"/>
    <w:p w14:paraId="3EA33956" w14:textId="3C9201C8" w:rsidR="00EA4B50" w:rsidRPr="00124B3F" w:rsidRDefault="007F3746" w:rsidP="00EA4B50">
      <w:pPr>
        <w:jc w:val="center"/>
        <w:rPr>
          <w:rFonts w:ascii="Garamond" w:hAnsi="Garamond"/>
          <w:b/>
          <w:sz w:val="56"/>
          <w:szCs w:val="56"/>
          <w:lang w:val="fr-FR"/>
        </w:rPr>
      </w:pPr>
      <w:r w:rsidRPr="00124B3F">
        <w:rPr>
          <w:rFonts w:ascii="Garamond" w:hAnsi="Garamond"/>
          <w:b/>
          <w:sz w:val="56"/>
          <w:szCs w:val="56"/>
          <w:lang w:val="fr-FR"/>
        </w:rPr>
        <w:t>EU</w:t>
      </w:r>
      <w:r w:rsidR="00CC34DC">
        <w:rPr>
          <w:rFonts w:ascii="Garamond" w:hAnsi="Garamond"/>
          <w:b/>
          <w:sz w:val="56"/>
          <w:szCs w:val="56"/>
          <w:lang w:val="fr-FR"/>
        </w:rPr>
        <w:t xml:space="preserve"> </w:t>
      </w:r>
      <w:r w:rsidRPr="00124B3F">
        <w:rPr>
          <w:rFonts w:ascii="Garamond" w:hAnsi="Garamond"/>
          <w:b/>
          <w:sz w:val="56"/>
          <w:szCs w:val="56"/>
          <w:lang w:val="fr-FR"/>
        </w:rPr>
        <w:t>LAW</w:t>
      </w:r>
      <w:r w:rsidR="00416C19" w:rsidRPr="00124B3F">
        <w:rPr>
          <w:rFonts w:ascii="Garamond" w:hAnsi="Garamond"/>
          <w:b/>
          <w:sz w:val="56"/>
          <w:szCs w:val="56"/>
          <w:lang w:val="fr-FR"/>
        </w:rPr>
        <w:t xml:space="preserve"> </w:t>
      </w:r>
      <w:r w:rsidR="00416C19" w:rsidRPr="00124B3F">
        <w:rPr>
          <w:rFonts w:ascii="Garamond" w:hAnsi="Garamond"/>
          <w:b/>
          <w:sz w:val="56"/>
          <w:szCs w:val="56"/>
          <w:lang w:val="fr-FR"/>
        </w:rPr>
        <w:br/>
      </w:r>
      <w:r w:rsidR="00FC715C">
        <w:rPr>
          <w:rFonts w:ascii="Garamond" w:hAnsi="Garamond"/>
          <w:b/>
          <w:sz w:val="56"/>
          <w:szCs w:val="56"/>
          <w:lang w:val="fr-FR"/>
        </w:rPr>
        <w:t>202</w:t>
      </w:r>
      <w:r w:rsidR="00CC34DC">
        <w:rPr>
          <w:rFonts w:ascii="Garamond" w:hAnsi="Garamond"/>
          <w:b/>
          <w:sz w:val="56"/>
          <w:szCs w:val="56"/>
          <w:lang w:val="fr-FR"/>
        </w:rPr>
        <w:t>3</w:t>
      </w:r>
      <w:r w:rsidR="00FC715C">
        <w:rPr>
          <w:rFonts w:ascii="Garamond" w:hAnsi="Garamond"/>
          <w:b/>
          <w:sz w:val="56"/>
          <w:szCs w:val="56"/>
          <w:lang w:val="fr-FR"/>
        </w:rPr>
        <w:t>-202</w:t>
      </w:r>
      <w:r w:rsidR="00CC34DC">
        <w:rPr>
          <w:rFonts w:ascii="Garamond" w:hAnsi="Garamond"/>
          <w:b/>
          <w:sz w:val="56"/>
          <w:szCs w:val="56"/>
          <w:lang w:val="fr-FR"/>
        </w:rPr>
        <w:t>4</w:t>
      </w:r>
    </w:p>
    <w:p w14:paraId="16DB5AEF" w14:textId="77777777" w:rsidR="00EA4B50" w:rsidRPr="00124B3F" w:rsidRDefault="00EA4B50" w:rsidP="00EA4B50">
      <w:pPr>
        <w:jc w:val="center"/>
        <w:rPr>
          <w:rFonts w:ascii="Garamond" w:hAnsi="Garamond"/>
          <w:b/>
          <w:sz w:val="40"/>
          <w:szCs w:val="40"/>
          <w:lang w:val="fr-FR"/>
        </w:rPr>
      </w:pPr>
    </w:p>
    <w:p w14:paraId="783C4043" w14:textId="280FC3B2" w:rsidR="00EA4B50" w:rsidRPr="00124B3F" w:rsidRDefault="00FC715C" w:rsidP="00EA4B50">
      <w:pPr>
        <w:jc w:val="center"/>
        <w:rPr>
          <w:rFonts w:ascii="Garamond" w:hAnsi="Garamond"/>
          <w:b/>
          <w:sz w:val="40"/>
          <w:szCs w:val="40"/>
          <w:u w:val="single"/>
          <w:lang w:val="fr-FR"/>
        </w:rPr>
      </w:pPr>
      <w:r>
        <w:rPr>
          <w:rFonts w:ascii="Garamond" w:hAnsi="Garamond"/>
          <w:b/>
          <w:sz w:val="40"/>
          <w:szCs w:val="40"/>
          <w:u w:val="single"/>
          <w:lang w:val="fr-FR"/>
        </w:rPr>
        <w:t xml:space="preserve">HANDOUT </w:t>
      </w:r>
      <w:r w:rsidR="00BC7C75">
        <w:rPr>
          <w:rFonts w:ascii="Garamond" w:hAnsi="Garamond"/>
          <w:b/>
          <w:sz w:val="40"/>
          <w:szCs w:val="40"/>
          <w:u w:val="single"/>
          <w:lang w:val="fr-FR"/>
        </w:rPr>
        <w:t>4</w:t>
      </w:r>
    </w:p>
    <w:p w14:paraId="3A7A4872" w14:textId="1D2ADBB5" w:rsidR="00EA4B50" w:rsidRPr="00124B3F" w:rsidRDefault="002426AA" w:rsidP="00EA4B50">
      <w:pPr>
        <w:jc w:val="center"/>
        <w:rPr>
          <w:rFonts w:ascii="Garamond" w:hAnsi="Garamond"/>
          <w:b/>
          <w:sz w:val="40"/>
          <w:szCs w:val="40"/>
          <w:u w:val="single"/>
          <w:lang w:val="fr-FR"/>
        </w:rPr>
      </w:pPr>
      <w:r w:rsidRPr="00124B3F">
        <w:rPr>
          <w:rFonts w:ascii="Garamond" w:hAnsi="Garamond"/>
          <w:b/>
          <w:sz w:val="40"/>
          <w:szCs w:val="40"/>
          <w:u w:val="single"/>
          <w:lang w:val="fr-FR"/>
        </w:rPr>
        <w:t>(</w:t>
      </w:r>
      <w:r w:rsidR="007F3746" w:rsidRPr="00124B3F">
        <w:rPr>
          <w:rFonts w:ascii="Garamond" w:hAnsi="Garamond"/>
          <w:b/>
          <w:sz w:val="40"/>
          <w:szCs w:val="40"/>
          <w:u w:val="single"/>
          <w:lang w:val="fr-FR"/>
        </w:rPr>
        <w:t>Lectures 1</w:t>
      </w:r>
      <w:r w:rsidR="00BC7C75">
        <w:rPr>
          <w:rFonts w:ascii="Garamond" w:hAnsi="Garamond"/>
          <w:b/>
          <w:sz w:val="40"/>
          <w:szCs w:val="40"/>
          <w:u w:val="single"/>
          <w:lang w:val="fr-FR"/>
        </w:rPr>
        <w:t>1</w:t>
      </w:r>
      <w:r w:rsidR="00FC715C">
        <w:rPr>
          <w:rFonts w:ascii="Garamond" w:hAnsi="Garamond"/>
          <w:b/>
          <w:sz w:val="40"/>
          <w:szCs w:val="40"/>
          <w:u w:val="single"/>
          <w:lang w:val="fr-FR"/>
        </w:rPr>
        <w:t>-14</w:t>
      </w:r>
      <w:r w:rsidR="00EA4B50" w:rsidRPr="00124B3F">
        <w:rPr>
          <w:rFonts w:ascii="Garamond" w:hAnsi="Garamond"/>
          <w:b/>
          <w:sz w:val="40"/>
          <w:szCs w:val="40"/>
          <w:u w:val="single"/>
          <w:lang w:val="fr-FR"/>
        </w:rPr>
        <w:t>)</w:t>
      </w:r>
    </w:p>
    <w:p w14:paraId="003A0BDE" w14:textId="77777777" w:rsidR="00EA4B50" w:rsidRPr="00124B3F" w:rsidRDefault="00EA4B50" w:rsidP="00EA4B50">
      <w:pPr>
        <w:rPr>
          <w:rFonts w:ascii="Garamond" w:hAnsi="Garamond"/>
          <w:sz w:val="28"/>
          <w:szCs w:val="28"/>
          <w:lang w:val="fr-FR"/>
        </w:rPr>
      </w:pPr>
    </w:p>
    <w:p w14:paraId="4DE5FDF1" w14:textId="77777777" w:rsidR="007F3746" w:rsidRPr="00124B3F" w:rsidRDefault="007F3746" w:rsidP="00EA4B50">
      <w:pPr>
        <w:rPr>
          <w:rFonts w:ascii="Garamond" w:hAnsi="Garamond"/>
          <w:sz w:val="28"/>
          <w:szCs w:val="28"/>
          <w:lang w:val="fr-FR"/>
        </w:rPr>
      </w:pPr>
    </w:p>
    <w:p w14:paraId="0B4BEC88" w14:textId="77777777" w:rsidR="00EA4B50" w:rsidRPr="00EA4B50" w:rsidRDefault="00EA4B50" w:rsidP="00EA4B50">
      <w:pPr>
        <w:rPr>
          <w:rFonts w:ascii="Garamond" w:hAnsi="Garamond"/>
          <w:sz w:val="28"/>
          <w:szCs w:val="28"/>
          <w:lang w:val="nl-NL"/>
        </w:rPr>
      </w:pPr>
      <w:r w:rsidRPr="00EA4B50">
        <w:rPr>
          <w:rFonts w:ascii="Garamond" w:hAnsi="Garamond"/>
          <w:sz w:val="28"/>
          <w:szCs w:val="28"/>
          <w:lang w:val="nl-NL"/>
        </w:rPr>
        <w:t>Barend van Leeuwen</w:t>
      </w:r>
    </w:p>
    <w:p w14:paraId="7ABDE76F" w14:textId="77777777" w:rsidR="00EA4B50" w:rsidRPr="00EA4B50" w:rsidRDefault="00EA4B50" w:rsidP="00EA4B50">
      <w:pPr>
        <w:rPr>
          <w:rFonts w:ascii="Garamond" w:hAnsi="Garamond"/>
          <w:sz w:val="28"/>
          <w:szCs w:val="28"/>
          <w:lang w:val="nl-NL"/>
        </w:rPr>
      </w:pPr>
      <w:r w:rsidRPr="00EA4B50">
        <w:rPr>
          <w:rFonts w:ascii="Garamond" w:hAnsi="Garamond"/>
          <w:sz w:val="28"/>
          <w:szCs w:val="28"/>
          <w:lang w:val="nl-NL"/>
        </w:rPr>
        <w:t>Durham Law School</w:t>
      </w:r>
    </w:p>
    <w:p w14:paraId="626478D8" w14:textId="77777777" w:rsidR="00EA4B50" w:rsidRDefault="00000000" w:rsidP="00EA4B50">
      <w:pPr>
        <w:rPr>
          <w:rFonts w:ascii="Garamond" w:hAnsi="Garamond"/>
          <w:sz w:val="28"/>
          <w:szCs w:val="28"/>
          <w:lang w:val="nl-NL"/>
        </w:rPr>
      </w:pPr>
      <w:hyperlink r:id="rId9" w:history="1">
        <w:r w:rsidR="00EA4B50" w:rsidRPr="00FE623F">
          <w:rPr>
            <w:rStyle w:val="Hyperlink"/>
            <w:rFonts w:ascii="Garamond" w:hAnsi="Garamond"/>
            <w:sz w:val="28"/>
            <w:szCs w:val="28"/>
            <w:lang w:val="nl-NL"/>
          </w:rPr>
          <w:t>barend.j.van-leeuwen@durham.ac.uk</w:t>
        </w:r>
      </w:hyperlink>
      <w:r w:rsidR="00EA4B50">
        <w:rPr>
          <w:rFonts w:ascii="Garamond" w:hAnsi="Garamond"/>
          <w:sz w:val="28"/>
          <w:szCs w:val="28"/>
          <w:lang w:val="nl-NL"/>
        </w:rPr>
        <w:t xml:space="preserve"> </w:t>
      </w:r>
    </w:p>
    <w:p w14:paraId="437CE97C" w14:textId="77777777" w:rsidR="00EA4B50" w:rsidRDefault="00EA4B50" w:rsidP="00EA4B50">
      <w:pPr>
        <w:rPr>
          <w:rFonts w:ascii="Garamond" w:hAnsi="Garamond"/>
          <w:sz w:val="28"/>
          <w:szCs w:val="28"/>
          <w:lang w:val="nl-NL"/>
        </w:rPr>
      </w:pPr>
    </w:p>
    <w:p w14:paraId="2A160CEB" w14:textId="77777777" w:rsidR="00EA4B50" w:rsidRDefault="00EA4B50" w:rsidP="00EA4B50">
      <w:pPr>
        <w:rPr>
          <w:rFonts w:ascii="Garamond" w:hAnsi="Garamond"/>
          <w:sz w:val="28"/>
          <w:szCs w:val="28"/>
          <w:lang w:val="nl-NL"/>
        </w:rPr>
      </w:pPr>
    </w:p>
    <w:p w14:paraId="2AFA692A" w14:textId="77777777" w:rsidR="00EA4B50" w:rsidRDefault="00EA4B50" w:rsidP="00EA4B50">
      <w:pPr>
        <w:rPr>
          <w:rFonts w:ascii="Garamond" w:hAnsi="Garamond"/>
          <w:sz w:val="28"/>
          <w:szCs w:val="28"/>
          <w:lang w:val="nl-NL"/>
        </w:rPr>
      </w:pPr>
    </w:p>
    <w:p w14:paraId="63A14945" w14:textId="77777777" w:rsidR="00EA4B50" w:rsidRDefault="00EA048C" w:rsidP="00EA048C">
      <w:pPr>
        <w:tabs>
          <w:tab w:val="left" w:pos="5760"/>
        </w:tabs>
        <w:rPr>
          <w:rFonts w:ascii="Garamond" w:hAnsi="Garamond"/>
          <w:sz w:val="28"/>
          <w:szCs w:val="28"/>
          <w:lang w:val="nl-NL"/>
        </w:rPr>
      </w:pPr>
      <w:r>
        <w:rPr>
          <w:rFonts w:ascii="Garamond" w:hAnsi="Garamond"/>
          <w:sz w:val="28"/>
          <w:szCs w:val="28"/>
          <w:lang w:val="nl-NL"/>
        </w:rPr>
        <w:tab/>
      </w:r>
    </w:p>
    <w:p w14:paraId="3D84D42D" w14:textId="77777777" w:rsidR="00EA4B50" w:rsidRDefault="00EA4B50" w:rsidP="00EA4B50">
      <w:pPr>
        <w:rPr>
          <w:rFonts w:ascii="Garamond" w:hAnsi="Garamond"/>
          <w:sz w:val="28"/>
          <w:szCs w:val="28"/>
          <w:lang w:val="nl-NL"/>
        </w:rPr>
      </w:pPr>
    </w:p>
    <w:p w14:paraId="2BCCA2B5" w14:textId="77777777" w:rsidR="00EA4B50" w:rsidRDefault="00EA4B50" w:rsidP="00EA4B50">
      <w:pPr>
        <w:rPr>
          <w:rFonts w:ascii="Garamond" w:hAnsi="Garamond"/>
          <w:sz w:val="28"/>
          <w:szCs w:val="28"/>
          <w:lang w:val="nl-NL"/>
        </w:rPr>
      </w:pPr>
    </w:p>
    <w:p w14:paraId="648AC3DB" w14:textId="77777777" w:rsidR="00EA4B50" w:rsidRDefault="00EA4B50" w:rsidP="00EA4B50">
      <w:pPr>
        <w:rPr>
          <w:rFonts w:ascii="Garamond" w:hAnsi="Garamond"/>
          <w:sz w:val="28"/>
          <w:szCs w:val="28"/>
          <w:lang w:val="nl-NL"/>
        </w:rPr>
      </w:pPr>
    </w:p>
    <w:p w14:paraId="3A889B0D" w14:textId="77777777" w:rsidR="00EA4B50" w:rsidRDefault="00EA4B50" w:rsidP="00EA4B50">
      <w:pPr>
        <w:rPr>
          <w:rFonts w:ascii="Garamond" w:hAnsi="Garamond"/>
          <w:sz w:val="28"/>
          <w:szCs w:val="28"/>
          <w:lang w:val="nl-NL"/>
        </w:rPr>
      </w:pPr>
    </w:p>
    <w:p w14:paraId="25B10A2E" w14:textId="77777777" w:rsidR="00EC27AA" w:rsidRPr="006E7AFF" w:rsidRDefault="00EC27AA" w:rsidP="00EC27AA">
      <w:pPr>
        <w:jc w:val="both"/>
        <w:rPr>
          <w:rFonts w:ascii="Garamond" w:hAnsi="Garamond"/>
          <w:sz w:val="24"/>
          <w:szCs w:val="24"/>
          <w:lang w:val="nl-NL"/>
        </w:rPr>
      </w:pPr>
    </w:p>
    <w:p w14:paraId="7D770E33" w14:textId="77777777" w:rsidR="005C33E5" w:rsidRDefault="005C33E5" w:rsidP="005C33E5">
      <w:pPr>
        <w:jc w:val="both"/>
        <w:rPr>
          <w:rFonts w:ascii="Garamond" w:hAnsi="Garamond"/>
          <w:sz w:val="24"/>
          <w:szCs w:val="24"/>
        </w:rPr>
      </w:pPr>
    </w:p>
    <w:p w14:paraId="5FE977DC" w14:textId="77777777" w:rsidR="00BC7C75" w:rsidRDefault="00BC7C75" w:rsidP="00BC7C75">
      <w:pPr>
        <w:jc w:val="center"/>
        <w:rPr>
          <w:rFonts w:ascii="Garamond" w:hAnsi="Garamond"/>
          <w:b/>
          <w:sz w:val="40"/>
          <w:szCs w:val="40"/>
        </w:rPr>
      </w:pPr>
      <w:r w:rsidRPr="00EA4B50">
        <w:rPr>
          <w:rFonts w:ascii="Garamond" w:hAnsi="Garamond"/>
          <w:b/>
          <w:sz w:val="40"/>
          <w:szCs w:val="40"/>
        </w:rPr>
        <w:lastRenderedPageBreak/>
        <w:t xml:space="preserve">ARTICLE 258 TFEU: </w:t>
      </w:r>
      <w:r w:rsidRPr="00EA4B50">
        <w:rPr>
          <w:rFonts w:ascii="Garamond" w:hAnsi="Garamond"/>
          <w:b/>
          <w:sz w:val="40"/>
          <w:szCs w:val="40"/>
        </w:rPr>
        <w:br/>
        <w:t>THE INFRINGEMENT PROCEDURE</w:t>
      </w:r>
    </w:p>
    <w:p w14:paraId="1AA82471" w14:textId="77777777" w:rsidR="00BC7C75" w:rsidRPr="00C904DA" w:rsidRDefault="00BC7C75" w:rsidP="00BC7C75">
      <w:pPr>
        <w:jc w:val="center"/>
        <w:rPr>
          <w:rFonts w:ascii="Garamond" w:hAnsi="Garamond"/>
          <w:b/>
          <w:sz w:val="28"/>
          <w:szCs w:val="28"/>
        </w:rPr>
      </w:pPr>
      <w:r w:rsidRPr="00C904DA">
        <w:rPr>
          <w:rFonts w:ascii="Garamond" w:hAnsi="Garamond"/>
          <w:b/>
          <w:sz w:val="28"/>
          <w:szCs w:val="28"/>
        </w:rPr>
        <w:t>(</w:t>
      </w:r>
      <w:r w:rsidRPr="00C904DA">
        <w:rPr>
          <w:rFonts w:ascii="Garamond" w:hAnsi="Garamond"/>
          <w:b/>
          <w:sz w:val="28"/>
          <w:szCs w:val="28"/>
          <w:u w:val="single"/>
        </w:rPr>
        <w:t>IN OUTLINE ONLY</w:t>
      </w:r>
      <w:r w:rsidRPr="00C904DA">
        <w:rPr>
          <w:rFonts w:ascii="Garamond" w:hAnsi="Garamond"/>
          <w:b/>
          <w:sz w:val="28"/>
          <w:szCs w:val="28"/>
        </w:rPr>
        <w:t>)</w:t>
      </w:r>
    </w:p>
    <w:p w14:paraId="3F8ABDA5" w14:textId="77777777" w:rsidR="00BC7C75" w:rsidRDefault="00BC7C75" w:rsidP="00BC7C75">
      <w:pPr>
        <w:jc w:val="center"/>
        <w:rPr>
          <w:rFonts w:ascii="Garamond" w:hAnsi="Garamond"/>
          <w:b/>
          <w:sz w:val="40"/>
          <w:szCs w:val="40"/>
        </w:rPr>
      </w:pPr>
      <w:r>
        <w:rPr>
          <w:rFonts w:ascii="Times New Roman" w:hAnsi="Times New Roman" w:cs="Times New Roman"/>
          <w:noProof/>
          <w:sz w:val="24"/>
          <w:szCs w:val="24"/>
          <w:lang w:eastAsia="en-GB"/>
        </w:rPr>
        <mc:AlternateContent>
          <mc:Choice Requires="wps">
            <w:drawing>
              <wp:anchor distT="0" distB="0" distL="114300" distR="114300" simplePos="0" relativeHeight="251666432" behindDoc="0" locked="0" layoutInCell="1" allowOverlap="1" wp14:anchorId="77E3B0BF" wp14:editId="75008F36">
                <wp:simplePos x="0" y="0"/>
                <wp:positionH relativeFrom="column">
                  <wp:posOffset>266065</wp:posOffset>
                </wp:positionH>
                <wp:positionV relativeFrom="paragraph">
                  <wp:posOffset>8255</wp:posOffset>
                </wp:positionV>
                <wp:extent cx="3133725" cy="733425"/>
                <wp:effectExtent l="0" t="0" r="28575" b="28575"/>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733425"/>
                        </a:xfrm>
                        <a:prstGeom prst="rect">
                          <a:avLst/>
                        </a:prstGeom>
                        <a:solidFill>
                          <a:srgbClr val="FFFFFF"/>
                        </a:solidFill>
                        <a:ln w="9525">
                          <a:solidFill>
                            <a:srgbClr val="000000"/>
                          </a:solidFill>
                          <a:miter lim="800000"/>
                          <a:headEnd/>
                          <a:tailEnd/>
                        </a:ln>
                      </wps:spPr>
                      <wps:txbx>
                        <w:txbxContent>
                          <w:p w14:paraId="2D694076" w14:textId="6209A91D"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Schütze, Chapter 10 (p.3</w:t>
                            </w:r>
                            <w:r w:rsidR="0043487A">
                              <w:rPr>
                                <w:rFonts w:ascii="Garamond" w:hAnsi="Garamond"/>
                                <w:i/>
                                <w:sz w:val="24"/>
                                <w:szCs w:val="24"/>
                              </w:rPr>
                              <w:t>84</w:t>
                            </w:r>
                            <w:r>
                              <w:rPr>
                                <w:rFonts w:ascii="Garamond" w:hAnsi="Garamond"/>
                                <w:i/>
                                <w:sz w:val="24"/>
                                <w:szCs w:val="24"/>
                              </w:rPr>
                              <w:t>-38</w:t>
                            </w:r>
                            <w:r w:rsidR="0043487A">
                              <w:rPr>
                                <w:rFonts w:ascii="Garamond" w:hAnsi="Garamond"/>
                                <w:i/>
                                <w:sz w:val="24"/>
                                <w:szCs w:val="24"/>
                              </w:rPr>
                              <w:t>9</w:t>
                            </w:r>
                            <w:r>
                              <w:rPr>
                                <w:rFonts w:ascii="Garamond" w:hAnsi="Garamond"/>
                                <w:i/>
                                <w:sz w:val="24"/>
                                <w:szCs w:val="24"/>
                              </w:rPr>
                              <w:t>), or</w:t>
                            </w:r>
                          </w:p>
                          <w:p w14:paraId="39DAB4A0" w14:textId="37A243CF"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 xml:space="preserve">Craig and de </w:t>
                            </w:r>
                            <w:proofErr w:type="spellStart"/>
                            <w:r>
                              <w:rPr>
                                <w:rFonts w:ascii="Garamond" w:hAnsi="Garamond"/>
                                <w:i/>
                                <w:sz w:val="24"/>
                                <w:szCs w:val="24"/>
                              </w:rPr>
                              <w:t>Búrca</w:t>
                            </w:r>
                            <w:proofErr w:type="spellEnd"/>
                            <w:r>
                              <w:rPr>
                                <w:rFonts w:ascii="Garamond" w:hAnsi="Garamond"/>
                                <w:i/>
                                <w:sz w:val="24"/>
                                <w:szCs w:val="24"/>
                              </w:rPr>
                              <w:t>, Chapter 1</w:t>
                            </w:r>
                            <w:r w:rsidR="009D60A5">
                              <w:rPr>
                                <w:rFonts w:ascii="Garamond" w:hAnsi="Garamond"/>
                                <w:i/>
                                <w:sz w:val="24"/>
                                <w:szCs w:val="24"/>
                              </w:rPr>
                              <w:t>3</w:t>
                            </w:r>
                            <w:r>
                              <w:rPr>
                                <w:rFonts w:ascii="Garamond" w:hAnsi="Garamond"/>
                                <w:i/>
                                <w:sz w:val="24"/>
                                <w:szCs w:val="24"/>
                              </w:rPr>
                              <w:t>, or</w:t>
                            </w:r>
                          </w:p>
                          <w:p w14:paraId="16503C17" w14:textId="1CC4E6C8"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Barnard and Peers, Chapter 10 (p. 2</w:t>
                            </w:r>
                            <w:r w:rsidR="00D55C6F">
                              <w:rPr>
                                <w:rFonts w:ascii="Garamond" w:hAnsi="Garamond"/>
                                <w:i/>
                                <w:sz w:val="24"/>
                                <w:szCs w:val="24"/>
                              </w:rPr>
                              <w:t>89</w:t>
                            </w:r>
                            <w:r>
                              <w:rPr>
                                <w:rFonts w:ascii="Garamond" w:hAnsi="Garamond"/>
                                <w:i/>
                                <w:sz w:val="24"/>
                                <w:szCs w:val="24"/>
                              </w:rPr>
                              <w:t>-2</w:t>
                            </w:r>
                            <w:r w:rsidR="00D55C6F">
                              <w:rPr>
                                <w:rFonts w:ascii="Garamond" w:hAnsi="Garamond"/>
                                <w:i/>
                                <w:sz w:val="24"/>
                                <w:szCs w:val="24"/>
                              </w:rPr>
                              <w:t>93</w:t>
                            </w:r>
                            <w:r>
                              <w:rPr>
                                <w:rFonts w:ascii="Garamond" w:hAnsi="Garamond"/>
                                <w:i/>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3B0BF" id="_x0000_t202" coordsize="21600,21600" o:spt="202" path="m,l,21600r21600,l21600,xe">
                <v:stroke joinstyle="miter"/>
                <v:path gradientshapeok="t" o:connecttype="rect"/>
              </v:shapetype>
              <v:shape id="Text Box 307" o:spid="_x0000_s1026" type="#_x0000_t202" style="position:absolute;left:0;text-align:left;margin-left:20.95pt;margin-top:.65pt;width:246.75pt;height:5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">
                <v:textbox>
                  <w:txbxContent>
                    <w:p w14:paraId="2D694076" w14:textId="6209A91D"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Schütze, Chapter 10 (p.3</w:t>
                      </w:r>
                      <w:r w:rsidR="0043487A">
                        <w:rPr>
                          <w:rFonts w:ascii="Garamond" w:hAnsi="Garamond"/>
                          <w:i/>
                          <w:sz w:val="24"/>
                          <w:szCs w:val="24"/>
                        </w:rPr>
                        <w:t>84</w:t>
                      </w:r>
                      <w:r>
                        <w:rPr>
                          <w:rFonts w:ascii="Garamond" w:hAnsi="Garamond"/>
                          <w:i/>
                          <w:sz w:val="24"/>
                          <w:szCs w:val="24"/>
                        </w:rPr>
                        <w:t>-38</w:t>
                      </w:r>
                      <w:r w:rsidR="0043487A">
                        <w:rPr>
                          <w:rFonts w:ascii="Garamond" w:hAnsi="Garamond"/>
                          <w:i/>
                          <w:sz w:val="24"/>
                          <w:szCs w:val="24"/>
                        </w:rPr>
                        <w:t>9</w:t>
                      </w:r>
                      <w:r>
                        <w:rPr>
                          <w:rFonts w:ascii="Garamond" w:hAnsi="Garamond"/>
                          <w:i/>
                          <w:sz w:val="24"/>
                          <w:szCs w:val="24"/>
                        </w:rPr>
                        <w:t>), or</w:t>
                      </w:r>
                    </w:p>
                    <w:p w14:paraId="39DAB4A0" w14:textId="37A243CF"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Craig and de Búrca, Chapter 1</w:t>
                      </w:r>
                      <w:r w:rsidR="009D60A5">
                        <w:rPr>
                          <w:rFonts w:ascii="Garamond" w:hAnsi="Garamond"/>
                          <w:i/>
                          <w:sz w:val="24"/>
                          <w:szCs w:val="24"/>
                        </w:rPr>
                        <w:t>3</w:t>
                      </w:r>
                      <w:r>
                        <w:rPr>
                          <w:rFonts w:ascii="Garamond" w:hAnsi="Garamond"/>
                          <w:i/>
                          <w:sz w:val="24"/>
                          <w:szCs w:val="24"/>
                        </w:rPr>
                        <w:t>, or</w:t>
                      </w:r>
                    </w:p>
                    <w:p w14:paraId="16503C17" w14:textId="1CC4E6C8"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Barnard and Peers, Chapter 10 (p. 2</w:t>
                      </w:r>
                      <w:r w:rsidR="00D55C6F">
                        <w:rPr>
                          <w:rFonts w:ascii="Garamond" w:hAnsi="Garamond"/>
                          <w:i/>
                          <w:sz w:val="24"/>
                          <w:szCs w:val="24"/>
                        </w:rPr>
                        <w:t>89</w:t>
                      </w:r>
                      <w:r>
                        <w:rPr>
                          <w:rFonts w:ascii="Garamond" w:hAnsi="Garamond"/>
                          <w:i/>
                          <w:sz w:val="24"/>
                          <w:szCs w:val="24"/>
                        </w:rPr>
                        <w:t>-2</w:t>
                      </w:r>
                      <w:r w:rsidR="00D55C6F">
                        <w:rPr>
                          <w:rFonts w:ascii="Garamond" w:hAnsi="Garamond"/>
                          <w:i/>
                          <w:sz w:val="24"/>
                          <w:szCs w:val="24"/>
                        </w:rPr>
                        <w:t>93</w:t>
                      </w:r>
                      <w:r>
                        <w:rPr>
                          <w:rFonts w:ascii="Garamond" w:hAnsi="Garamond"/>
                          <w:i/>
                          <w:sz w:val="24"/>
                          <w:szCs w:val="24"/>
                        </w:rPr>
                        <w:t>)</w:t>
                      </w:r>
                    </w:p>
                  </w:txbxContent>
                </v:textbox>
              </v:shape>
            </w:pict>
          </mc:Fallback>
        </mc:AlternateContent>
      </w:r>
    </w:p>
    <w:p w14:paraId="489A3E6E" w14:textId="77777777" w:rsidR="00BC7C75" w:rsidRDefault="00BC7C75" w:rsidP="00BC7C75">
      <w:pPr>
        <w:pStyle w:val="ListParagraph"/>
        <w:rPr>
          <w:rFonts w:ascii="Garamond" w:hAnsi="Garamond"/>
          <w:b/>
          <w:sz w:val="24"/>
          <w:szCs w:val="24"/>
        </w:rPr>
      </w:pPr>
    </w:p>
    <w:p w14:paraId="6059D37B" w14:textId="77777777" w:rsidR="00BC7C75" w:rsidRDefault="00BC7C75" w:rsidP="00BC7C75">
      <w:pPr>
        <w:pStyle w:val="ListParagraph"/>
        <w:rPr>
          <w:rFonts w:ascii="Garamond" w:hAnsi="Garamond"/>
          <w:b/>
          <w:sz w:val="24"/>
          <w:szCs w:val="24"/>
        </w:rPr>
      </w:pPr>
    </w:p>
    <w:p w14:paraId="7113077F" w14:textId="77777777" w:rsidR="00BC7C75" w:rsidRDefault="00BC7C75" w:rsidP="00BC7C75">
      <w:pPr>
        <w:pStyle w:val="ListParagraph"/>
        <w:numPr>
          <w:ilvl w:val="0"/>
          <w:numId w:val="1"/>
        </w:numPr>
        <w:rPr>
          <w:rFonts w:ascii="Garamond" w:hAnsi="Garamond"/>
          <w:b/>
          <w:sz w:val="24"/>
          <w:szCs w:val="24"/>
        </w:rPr>
      </w:pPr>
      <w:r>
        <w:rPr>
          <w:rFonts w:ascii="Garamond" w:hAnsi="Garamond"/>
          <w:b/>
          <w:sz w:val="24"/>
          <w:szCs w:val="24"/>
        </w:rPr>
        <w:t>Article 258 TFEU</w:t>
      </w:r>
    </w:p>
    <w:p w14:paraId="02138FF9" w14:textId="77777777" w:rsidR="00BC7C75" w:rsidRDefault="00BC7C75" w:rsidP="00BC7C75">
      <w:pPr>
        <w:ind w:left="360"/>
        <w:jc w:val="both"/>
        <w:rPr>
          <w:rFonts w:ascii="Garamond" w:hAnsi="Garamond"/>
          <w:i/>
          <w:sz w:val="24"/>
          <w:szCs w:val="24"/>
        </w:rPr>
      </w:pPr>
      <w:r>
        <w:rPr>
          <w:rFonts w:ascii="Garamond" w:hAnsi="Garamond"/>
          <w:i/>
          <w:sz w:val="24"/>
          <w:szCs w:val="24"/>
        </w:rPr>
        <w:t xml:space="preserve">If the Commission considers that a Member State has failed to fulfil an obligation under the Treaties, it shall deliver a reasoned opinion on the matter after giving the State concerned the opportunity to submit its observations. </w:t>
      </w:r>
    </w:p>
    <w:p w14:paraId="4386E83F" w14:textId="77777777" w:rsidR="00BC7C75" w:rsidRDefault="00BC7C75" w:rsidP="00BC7C75">
      <w:pPr>
        <w:ind w:left="360"/>
        <w:jc w:val="both"/>
        <w:rPr>
          <w:rFonts w:ascii="Garamond" w:hAnsi="Garamond"/>
          <w:i/>
          <w:sz w:val="24"/>
          <w:szCs w:val="24"/>
        </w:rPr>
      </w:pPr>
      <w:r>
        <w:rPr>
          <w:rFonts w:ascii="Garamond" w:hAnsi="Garamond"/>
          <w:i/>
          <w:sz w:val="24"/>
          <w:szCs w:val="24"/>
        </w:rPr>
        <w:t>If the State concerned does not comply with the opinion within the period laid down by the Commission, the latter may bring the matter before the Court of Justice of the European Union.</w:t>
      </w:r>
    </w:p>
    <w:p w14:paraId="298899D9" w14:textId="77777777" w:rsidR="00BC7C75" w:rsidRDefault="00BC7C75" w:rsidP="00BC7C75">
      <w:pPr>
        <w:pStyle w:val="ListParagraph"/>
        <w:numPr>
          <w:ilvl w:val="0"/>
          <w:numId w:val="1"/>
        </w:numPr>
        <w:rPr>
          <w:rFonts w:ascii="Garamond" w:hAnsi="Garamond"/>
          <w:b/>
          <w:sz w:val="24"/>
          <w:szCs w:val="24"/>
        </w:rPr>
      </w:pPr>
      <w:r>
        <w:rPr>
          <w:rFonts w:ascii="Garamond" w:hAnsi="Garamond"/>
          <w:b/>
          <w:sz w:val="24"/>
          <w:szCs w:val="24"/>
        </w:rPr>
        <w:t>The Commission as the “police force” of EU law</w:t>
      </w:r>
    </w:p>
    <w:p w14:paraId="7882E5F5" w14:textId="77777777" w:rsidR="00BC7C75" w:rsidRDefault="00BC7C75" w:rsidP="00BC7C75">
      <w:pPr>
        <w:pStyle w:val="ListParagraph"/>
        <w:rPr>
          <w:rFonts w:ascii="Garamond" w:hAnsi="Garamond"/>
          <w:b/>
          <w:sz w:val="24"/>
          <w:szCs w:val="24"/>
        </w:rPr>
      </w:pPr>
    </w:p>
    <w:p w14:paraId="50BCD6D2" w14:textId="043A2395" w:rsidR="00BC7C75" w:rsidRDefault="00BC7C75" w:rsidP="00BC7C75">
      <w:pPr>
        <w:pStyle w:val="ListParagraph"/>
        <w:numPr>
          <w:ilvl w:val="0"/>
          <w:numId w:val="2"/>
        </w:numPr>
        <w:jc w:val="both"/>
        <w:rPr>
          <w:rFonts w:ascii="Garamond" w:hAnsi="Garamond"/>
          <w:sz w:val="24"/>
          <w:szCs w:val="24"/>
        </w:rPr>
      </w:pPr>
      <w:r>
        <w:rPr>
          <w:rFonts w:ascii="Garamond" w:hAnsi="Garamond"/>
          <w:sz w:val="24"/>
          <w:szCs w:val="24"/>
        </w:rPr>
        <w:t>Article 258 TFEU gives the Commission the power to bring Member States before the Court of Justice if it believes that a Member State is acting in breach of EU law. As such, the Commission has been given a central role in the enforcement of EU law. The Commission acts as the “public prosecutor” against Member States that do not comply with their obligations</w:t>
      </w:r>
      <w:r w:rsidR="00F032B4">
        <w:rPr>
          <w:rFonts w:ascii="Garamond" w:hAnsi="Garamond"/>
          <w:sz w:val="24"/>
          <w:szCs w:val="24"/>
        </w:rPr>
        <w:t xml:space="preserve"> under EU law</w:t>
      </w:r>
      <w:r>
        <w:rPr>
          <w:rFonts w:ascii="Garamond" w:hAnsi="Garamond"/>
          <w:sz w:val="24"/>
          <w:szCs w:val="24"/>
        </w:rPr>
        <w:t xml:space="preserve">. However, the Commission apparatus is relatively small. It mainly monitors compliance by Member States. </w:t>
      </w:r>
      <w:proofErr w:type="gramStart"/>
      <w:r>
        <w:rPr>
          <w:rFonts w:ascii="Garamond" w:hAnsi="Garamond"/>
          <w:sz w:val="24"/>
          <w:szCs w:val="24"/>
        </w:rPr>
        <w:t>To a large extent, the Commission is</w:t>
      </w:r>
      <w:proofErr w:type="gramEnd"/>
      <w:r>
        <w:rPr>
          <w:rFonts w:ascii="Garamond" w:hAnsi="Garamond"/>
          <w:sz w:val="24"/>
          <w:szCs w:val="24"/>
        </w:rPr>
        <w:t xml:space="preserve"> relying on and dependent on individual complaints submitted to it. </w:t>
      </w:r>
    </w:p>
    <w:p w14:paraId="778A2900" w14:textId="77777777" w:rsidR="00BC7C75" w:rsidRDefault="00BC7C75" w:rsidP="00BC7C75">
      <w:pPr>
        <w:pStyle w:val="ListParagraph"/>
        <w:ind w:left="1080"/>
        <w:jc w:val="both"/>
        <w:rPr>
          <w:rFonts w:ascii="Garamond" w:hAnsi="Garamond"/>
          <w:sz w:val="24"/>
          <w:szCs w:val="24"/>
        </w:rPr>
      </w:pPr>
    </w:p>
    <w:p w14:paraId="0A53E8BA" w14:textId="3CB06E76" w:rsidR="00BC7C75" w:rsidRDefault="00BC7C75" w:rsidP="00BC7C75">
      <w:pPr>
        <w:pStyle w:val="ListParagraph"/>
        <w:numPr>
          <w:ilvl w:val="0"/>
          <w:numId w:val="2"/>
        </w:numPr>
        <w:jc w:val="both"/>
        <w:rPr>
          <w:rFonts w:ascii="Garamond" w:hAnsi="Garamond"/>
          <w:sz w:val="24"/>
          <w:szCs w:val="24"/>
        </w:rPr>
      </w:pPr>
      <w:r>
        <w:rPr>
          <w:rFonts w:ascii="Garamond" w:hAnsi="Garamond"/>
          <w:sz w:val="24"/>
          <w:szCs w:val="24"/>
        </w:rPr>
        <w:t xml:space="preserve">Every citizen can complain to the Commission about a breach of EU law allegedly committed by a Member State. The Commission will then investigate the matter. The position of the Commission is that its function is </w:t>
      </w:r>
      <w:r w:rsidRPr="00975E66">
        <w:rPr>
          <w:rFonts w:ascii="Garamond" w:hAnsi="Garamond"/>
          <w:i/>
          <w:sz w:val="24"/>
          <w:szCs w:val="24"/>
        </w:rPr>
        <w:t>not</w:t>
      </w:r>
      <w:r>
        <w:rPr>
          <w:rFonts w:ascii="Garamond" w:hAnsi="Garamond"/>
          <w:sz w:val="24"/>
          <w:szCs w:val="24"/>
        </w:rPr>
        <w:t xml:space="preserve"> to protect the interests of individuals – rather, the Commission </w:t>
      </w:r>
      <w:proofErr w:type="gramStart"/>
      <w:r>
        <w:rPr>
          <w:rFonts w:ascii="Garamond" w:hAnsi="Garamond"/>
          <w:sz w:val="24"/>
          <w:szCs w:val="24"/>
        </w:rPr>
        <w:t>has to</w:t>
      </w:r>
      <w:proofErr w:type="gramEnd"/>
      <w:r>
        <w:rPr>
          <w:rFonts w:ascii="Garamond" w:hAnsi="Garamond"/>
          <w:sz w:val="24"/>
          <w:szCs w:val="24"/>
        </w:rPr>
        <w:t xml:space="preserve"> decide whether bringing an infringement procedure would be in the public (EU) interest.</w:t>
      </w:r>
    </w:p>
    <w:p w14:paraId="5013E7A2" w14:textId="77777777" w:rsidR="00BC7C75" w:rsidRPr="000436A9" w:rsidRDefault="00BC7C75" w:rsidP="00BC7C75">
      <w:pPr>
        <w:pStyle w:val="ListParagraph"/>
        <w:rPr>
          <w:rFonts w:ascii="Garamond" w:hAnsi="Garamond"/>
          <w:sz w:val="24"/>
          <w:szCs w:val="24"/>
        </w:rPr>
      </w:pPr>
    </w:p>
    <w:p w14:paraId="26AA174E" w14:textId="77777777" w:rsidR="00BC7C75" w:rsidRDefault="00BC7C75" w:rsidP="00BC7C75">
      <w:pPr>
        <w:pStyle w:val="ListParagraph"/>
        <w:numPr>
          <w:ilvl w:val="0"/>
          <w:numId w:val="1"/>
        </w:numPr>
        <w:jc w:val="both"/>
        <w:rPr>
          <w:rFonts w:ascii="Garamond" w:hAnsi="Garamond"/>
          <w:b/>
          <w:sz w:val="24"/>
          <w:szCs w:val="24"/>
        </w:rPr>
      </w:pPr>
      <w:r>
        <w:rPr>
          <w:rFonts w:ascii="Garamond" w:hAnsi="Garamond"/>
          <w:b/>
          <w:sz w:val="24"/>
          <w:szCs w:val="24"/>
        </w:rPr>
        <w:t>The three stages of the Article 258 TFEU procedure</w:t>
      </w:r>
    </w:p>
    <w:p w14:paraId="664CE2ED" w14:textId="77777777" w:rsidR="00BC7C75" w:rsidRDefault="00BC7C75" w:rsidP="00BC7C75">
      <w:pPr>
        <w:pStyle w:val="ListParagraph"/>
        <w:jc w:val="both"/>
        <w:rPr>
          <w:rFonts w:ascii="Garamond" w:hAnsi="Garamond"/>
          <w:b/>
          <w:sz w:val="24"/>
          <w:szCs w:val="24"/>
        </w:rPr>
      </w:pPr>
    </w:p>
    <w:p w14:paraId="2EAA84E7" w14:textId="77777777" w:rsidR="00BC7C75" w:rsidRDefault="00BC7C75" w:rsidP="00BC7C75">
      <w:pPr>
        <w:pStyle w:val="ListParagraph"/>
        <w:numPr>
          <w:ilvl w:val="0"/>
          <w:numId w:val="3"/>
        </w:numPr>
        <w:jc w:val="both"/>
        <w:rPr>
          <w:rFonts w:ascii="Garamond" w:hAnsi="Garamond"/>
          <w:sz w:val="24"/>
          <w:szCs w:val="24"/>
        </w:rPr>
      </w:pPr>
      <w:r>
        <w:rPr>
          <w:rFonts w:ascii="Garamond" w:hAnsi="Garamond"/>
          <w:sz w:val="24"/>
          <w:szCs w:val="24"/>
        </w:rPr>
        <w:t xml:space="preserve">Essentially, the infringement procedure has three stages. The first stage </w:t>
      </w:r>
      <w:r w:rsidRPr="00592AA8">
        <w:rPr>
          <w:rFonts w:ascii="Garamond" w:hAnsi="Garamond"/>
          <w:sz w:val="24"/>
          <w:szCs w:val="24"/>
        </w:rPr>
        <w:t>is</w:t>
      </w:r>
      <w:r w:rsidRPr="00592AA8">
        <w:rPr>
          <w:rFonts w:ascii="Garamond" w:hAnsi="Garamond"/>
          <w:b/>
          <w:sz w:val="24"/>
          <w:szCs w:val="24"/>
        </w:rPr>
        <w:t xml:space="preserve"> the informal stage</w:t>
      </w:r>
      <w:r>
        <w:rPr>
          <w:rFonts w:ascii="Garamond" w:hAnsi="Garamond"/>
          <w:sz w:val="24"/>
          <w:szCs w:val="24"/>
        </w:rPr>
        <w:t>. This is where the Commission will contact the Member State and explain why it believes that the Member State is acting in breach of EU law. The Member State is then given the chance to respond to the allegations and to propose a solution.</w:t>
      </w:r>
    </w:p>
    <w:p w14:paraId="5EB94D7C" w14:textId="77777777" w:rsidR="00BC7C75" w:rsidRDefault="00BC7C75" w:rsidP="00BC7C75">
      <w:pPr>
        <w:pStyle w:val="ListParagraph"/>
        <w:ind w:left="1080"/>
        <w:jc w:val="both"/>
        <w:rPr>
          <w:rFonts w:ascii="Garamond" w:hAnsi="Garamond"/>
          <w:sz w:val="24"/>
          <w:szCs w:val="24"/>
        </w:rPr>
      </w:pPr>
    </w:p>
    <w:p w14:paraId="05DE7766" w14:textId="77777777" w:rsidR="00BC7C75" w:rsidRDefault="00BC7C75" w:rsidP="00BC7C75">
      <w:pPr>
        <w:pStyle w:val="ListParagraph"/>
        <w:numPr>
          <w:ilvl w:val="0"/>
          <w:numId w:val="3"/>
        </w:numPr>
        <w:jc w:val="both"/>
        <w:rPr>
          <w:rFonts w:ascii="Garamond" w:hAnsi="Garamond"/>
          <w:sz w:val="24"/>
          <w:szCs w:val="24"/>
        </w:rPr>
      </w:pPr>
      <w:r>
        <w:rPr>
          <w:rFonts w:ascii="Garamond" w:hAnsi="Garamond"/>
          <w:sz w:val="24"/>
          <w:szCs w:val="24"/>
        </w:rPr>
        <w:t xml:space="preserve">If the Commission is not pleased with the outcome of the informal stage, the second stage becomes more serious. This is often called </w:t>
      </w:r>
      <w:r w:rsidRPr="00E32858">
        <w:rPr>
          <w:rFonts w:ascii="Garamond" w:hAnsi="Garamond"/>
          <w:b/>
          <w:sz w:val="24"/>
          <w:szCs w:val="24"/>
        </w:rPr>
        <w:t>the administrative stage</w:t>
      </w:r>
      <w:r>
        <w:rPr>
          <w:rFonts w:ascii="Garamond" w:hAnsi="Garamond"/>
          <w:sz w:val="24"/>
          <w:szCs w:val="24"/>
        </w:rPr>
        <w:t xml:space="preserve">. It will start with the Commission sending a </w:t>
      </w:r>
      <w:r w:rsidRPr="008704A3">
        <w:rPr>
          <w:rFonts w:ascii="Garamond" w:hAnsi="Garamond"/>
          <w:b/>
          <w:bCs/>
          <w:sz w:val="24"/>
          <w:szCs w:val="24"/>
        </w:rPr>
        <w:t>formal letter of notification</w:t>
      </w:r>
      <w:r>
        <w:rPr>
          <w:rFonts w:ascii="Garamond" w:hAnsi="Garamond"/>
          <w:sz w:val="24"/>
          <w:szCs w:val="24"/>
        </w:rPr>
        <w:t xml:space="preserve"> to the Member State. This letter will contain detailed information about the alleged breach of EU law. The Member State is then given a certain </w:t>
      </w:r>
      <w:proofErr w:type="gramStart"/>
      <w:r>
        <w:rPr>
          <w:rFonts w:ascii="Garamond" w:hAnsi="Garamond"/>
          <w:sz w:val="24"/>
          <w:szCs w:val="24"/>
        </w:rPr>
        <w:t>period of time</w:t>
      </w:r>
      <w:proofErr w:type="gramEnd"/>
      <w:r>
        <w:rPr>
          <w:rFonts w:ascii="Garamond" w:hAnsi="Garamond"/>
          <w:sz w:val="24"/>
          <w:szCs w:val="24"/>
        </w:rPr>
        <w:t xml:space="preserve"> to respond. If the Commission is unhappy with the response, it will deliver </w:t>
      </w:r>
      <w:r w:rsidRPr="0008606B">
        <w:rPr>
          <w:rFonts w:ascii="Garamond" w:hAnsi="Garamond"/>
          <w:b/>
          <w:sz w:val="24"/>
          <w:szCs w:val="24"/>
        </w:rPr>
        <w:t>a reasoned opinion</w:t>
      </w:r>
      <w:r>
        <w:rPr>
          <w:rFonts w:ascii="Garamond" w:hAnsi="Garamond"/>
          <w:sz w:val="24"/>
          <w:szCs w:val="24"/>
        </w:rPr>
        <w:t xml:space="preserve"> in which the alleged breaches of EU law are clearly set out. Occasionally, you will see that a distinction is </w:t>
      </w:r>
      <w:r>
        <w:rPr>
          <w:rFonts w:ascii="Garamond" w:hAnsi="Garamond"/>
          <w:sz w:val="24"/>
          <w:szCs w:val="24"/>
        </w:rPr>
        <w:lastRenderedPageBreak/>
        <w:t>made between two phases: the formal notification and the reasoned opinion. However, both can be seen as part of the administrative stage of the procedure.</w:t>
      </w:r>
    </w:p>
    <w:p w14:paraId="4297465E" w14:textId="77777777" w:rsidR="00BC7C75" w:rsidRPr="000436A9" w:rsidRDefault="00BC7C75" w:rsidP="00BC7C75">
      <w:pPr>
        <w:pStyle w:val="ListParagraph"/>
        <w:rPr>
          <w:rFonts w:ascii="Garamond" w:hAnsi="Garamond"/>
          <w:sz w:val="24"/>
          <w:szCs w:val="24"/>
        </w:rPr>
      </w:pPr>
    </w:p>
    <w:p w14:paraId="40735479" w14:textId="77777777" w:rsidR="00BC7C75" w:rsidRDefault="00BC7C75" w:rsidP="00BC7C75">
      <w:pPr>
        <w:pStyle w:val="ListParagraph"/>
        <w:numPr>
          <w:ilvl w:val="0"/>
          <w:numId w:val="3"/>
        </w:numPr>
        <w:jc w:val="both"/>
        <w:rPr>
          <w:rFonts w:ascii="Garamond" w:hAnsi="Garamond"/>
          <w:sz w:val="24"/>
          <w:szCs w:val="24"/>
        </w:rPr>
      </w:pPr>
      <w:r>
        <w:rPr>
          <w:rFonts w:ascii="Garamond" w:hAnsi="Garamond"/>
          <w:sz w:val="24"/>
          <w:szCs w:val="24"/>
        </w:rPr>
        <w:t xml:space="preserve">If the Member State does not react to the reasoned opinion, the Commission can refer the case to the Court of Justice. This is the final and </w:t>
      </w:r>
      <w:r w:rsidRPr="00E32858">
        <w:rPr>
          <w:rFonts w:ascii="Garamond" w:hAnsi="Garamond"/>
          <w:b/>
          <w:sz w:val="24"/>
          <w:szCs w:val="24"/>
        </w:rPr>
        <w:t>judicial stage</w:t>
      </w:r>
      <w:r>
        <w:rPr>
          <w:rFonts w:ascii="Garamond" w:hAnsi="Garamond"/>
          <w:sz w:val="24"/>
          <w:szCs w:val="24"/>
        </w:rPr>
        <w:t xml:space="preserve"> of the procedure. The Court will then have to rule on whether the Member State has acted or is acting in breach of EU law.</w:t>
      </w:r>
    </w:p>
    <w:p w14:paraId="237C7502" w14:textId="77777777" w:rsidR="00BC7C75" w:rsidRPr="005140C3" w:rsidRDefault="00BC7C75" w:rsidP="00BC7C75">
      <w:pPr>
        <w:pStyle w:val="ListParagraph"/>
        <w:rPr>
          <w:rFonts w:ascii="Garamond" w:hAnsi="Garamond"/>
          <w:sz w:val="24"/>
          <w:szCs w:val="24"/>
        </w:rPr>
      </w:pPr>
    </w:p>
    <w:p w14:paraId="78A19967" w14:textId="77777777" w:rsidR="00BC7C75" w:rsidRDefault="00BC7C75" w:rsidP="00BC7C75">
      <w:pPr>
        <w:pStyle w:val="ListParagraph"/>
        <w:numPr>
          <w:ilvl w:val="0"/>
          <w:numId w:val="1"/>
        </w:numPr>
        <w:jc w:val="both"/>
        <w:rPr>
          <w:rFonts w:ascii="Garamond" w:hAnsi="Garamond"/>
          <w:b/>
          <w:sz w:val="24"/>
          <w:szCs w:val="24"/>
        </w:rPr>
      </w:pPr>
      <w:r>
        <w:rPr>
          <w:rFonts w:ascii="Garamond" w:hAnsi="Garamond"/>
          <w:b/>
          <w:sz w:val="24"/>
          <w:szCs w:val="24"/>
        </w:rPr>
        <w:t xml:space="preserve">The Commission’s discretion to start an </w:t>
      </w:r>
      <w:proofErr w:type="gramStart"/>
      <w:r>
        <w:rPr>
          <w:rFonts w:ascii="Garamond" w:hAnsi="Garamond"/>
          <w:b/>
          <w:sz w:val="24"/>
          <w:szCs w:val="24"/>
        </w:rPr>
        <w:t>Article</w:t>
      </w:r>
      <w:proofErr w:type="gramEnd"/>
      <w:r>
        <w:rPr>
          <w:rFonts w:ascii="Garamond" w:hAnsi="Garamond"/>
          <w:b/>
          <w:sz w:val="24"/>
          <w:szCs w:val="24"/>
        </w:rPr>
        <w:t xml:space="preserve"> 258 TFEU procedure</w:t>
      </w:r>
    </w:p>
    <w:p w14:paraId="6A86EFCA" w14:textId="77777777" w:rsidR="00BC7C75" w:rsidRDefault="00BC7C75" w:rsidP="00BC7C75">
      <w:pPr>
        <w:pStyle w:val="ListParagraph"/>
        <w:jc w:val="both"/>
        <w:rPr>
          <w:rFonts w:ascii="Garamond" w:hAnsi="Garamond"/>
          <w:b/>
          <w:sz w:val="24"/>
          <w:szCs w:val="24"/>
        </w:rPr>
      </w:pPr>
    </w:p>
    <w:p w14:paraId="55A9FD76" w14:textId="2482ADDC" w:rsidR="00BC7C75" w:rsidRPr="005140C3" w:rsidRDefault="00BC7C75" w:rsidP="00BC7C75">
      <w:pPr>
        <w:pStyle w:val="ListParagraph"/>
        <w:numPr>
          <w:ilvl w:val="0"/>
          <w:numId w:val="4"/>
        </w:numPr>
        <w:jc w:val="both"/>
        <w:rPr>
          <w:rFonts w:ascii="Garamond" w:hAnsi="Garamond"/>
          <w:b/>
          <w:sz w:val="24"/>
          <w:szCs w:val="24"/>
        </w:rPr>
      </w:pPr>
      <w:r>
        <w:rPr>
          <w:rFonts w:ascii="Garamond" w:hAnsi="Garamond"/>
          <w:sz w:val="24"/>
          <w:szCs w:val="24"/>
        </w:rPr>
        <w:t xml:space="preserve">The Commission has discretion to decide </w:t>
      </w:r>
      <w:r w:rsidR="008704A3">
        <w:rPr>
          <w:rFonts w:ascii="Garamond" w:hAnsi="Garamond"/>
          <w:sz w:val="24"/>
          <w:szCs w:val="24"/>
        </w:rPr>
        <w:t>whether</w:t>
      </w:r>
      <w:r>
        <w:rPr>
          <w:rFonts w:ascii="Garamond" w:hAnsi="Garamond"/>
          <w:sz w:val="24"/>
          <w:szCs w:val="24"/>
        </w:rPr>
        <w:t xml:space="preserve"> to bring an infringement procedure. It can decide autonomously whether it wants to start the procedure. This applies to all stages of the procedure. As a result, it is not possible for an individual to claim that the Commission should bring an infringement procedure against a Member State – see </w:t>
      </w:r>
      <w:r w:rsidRPr="005140C3">
        <w:rPr>
          <w:rFonts w:ascii="Garamond" w:hAnsi="Garamond"/>
          <w:i/>
          <w:sz w:val="24"/>
          <w:szCs w:val="24"/>
        </w:rPr>
        <w:t>Star Fruit</w:t>
      </w:r>
      <w:r>
        <w:rPr>
          <w:rFonts w:ascii="Garamond" w:hAnsi="Garamond"/>
          <w:sz w:val="24"/>
          <w:szCs w:val="24"/>
        </w:rPr>
        <w:t xml:space="preserve"> (Case C-247/87). In such cases, the individual will have to start their own case before the national court. The Commission is free to weigh the various interests involved in a case and to decide that it is not in the general interest to spend time and resources on a particular infringement procedure.</w:t>
      </w:r>
    </w:p>
    <w:p w14:paraId="756D72FA" w14:textId="77777777" w:rsidR="00BC7C75" w:rsidRPr="005140C3" w:rsidRDefault="00BC7C75" w:rsidP="00BC7C75">
      <w:pPr>
        <w:pStyle w:val="ListParagraph"/>
        <w:ind w:left="1080"/>
        <w:jc w:val="both"/>
        <w:rPr>
          <w:rFonts w:ascii="Garamond" w:hAnsi="Garamond"/>
          <w:b/>
          <w:sz w:val="24"/>
          <w:szCs w:val="24"/>
        </w:rPr>
      </w:pPr>
    </w:p>
    <w:p w14:paraId="02E0DC3B" w14:textId="77777777" w:rsidR="00BC7C75" w:rsidRPr="0059627A" w:rsidRDefault="00BC7C75" w:rsidP="00BC7C75">
      <w:pPr>
        <w:pStyle w:val="ListParagraph"/>
        <w:numPr>
          <w:ilvl w:val="0"/>
          <w:numId w:val="4"/>
        </w:numPr>
        <w:jc w:val="both"/>
        <w:rPr>
          <w:rFonts w:ascii="Garamond" w:hAnsi="Garamond"/>
          <w:b/>
          <w:sz w:val="24"/>
          <w:szCs w:val="24"/>
        </w:rPr>
      </w:pPr>
      <w:r>
        <w:rPr>
          <w:rFonts w:ascii="Garamond" w:hAnsi="Garamond"/>
          <w:sz w:val="24"/>
          <w:szCs w:val="24"/>
        </w:rPr>
        <w:t xml:space="preserve">Note that the Commission can still bring an infringement procedure even if the Member State has already remedied the breach and the breach is no longer continuing. This is based on the deterrent function of the infringement procedure. Moreover, a finding by the Court of Justice can be used by individuals to claim State liability from the Member State which has acted in breach of EU law. However, if the Member State has remedied the breach before the deadline set in the reasoned opinion had expired, the Commission is no longer allowed to bring the case before the Court of Justice. </w:t>
      </w:r>
    </w:p>
    <w:p w14:paraId="076D7D35" w14:textId="77777777" w:rsidR="00BC7C75" w:rsidRPr="0059627A" w:rsidRDefault="00BC7C75" w:rsidP="00BC7C75">
      <w:pPr>
        <w:pStyle w:val="ListParagraph"/>
        <w:rPr>
          <w:rFonts w:ascii="Garamond" w:hAnsi="Garamond"/>
          <w:b/>
          <w:sz w:val="24"/>
          <w:szCs w:val="24"/>
        </w:rPr>
      </w:pPr>
    </w:p>
    <w:p w14:paraId="0E690F75" w14:textId="77777777" w:rsidR="00BC7C75" w:rsidRPr="0059627A" w:rsidRDefault="00BC7C75" w:rsidP="00BC7C75">
      <w:pPr>
        <w:pStyle w:val="ListParagraph"/>
        <w:numPr>
          <w:ilvl w:val="0"/>
          <w:numId w:val="4"/>
        </w:numPr>
        <w:jc w:val="both"/>
        <w:rPr>
          <w:rFonts w:ascii="Garamond" w:hAnsi="Garamond"/>
          <w:b/>
          <w:sz w:val="24"/>
          <w:szCs w:val="24"/>
        </w:rPr>
      </w:pPr>
      <w:r>
        <w:rPr>
          <w:rFonts w:ascii="Garamond" w:hAnsi="Garamond"/>
          <w:sz w:val="24"/>
          <w:szCs w:val="24"/>
        </w:rPr>
        <w:t>The most common types of breaches committed by Member States are the non-implementation or erroneous implementation of EU directives, and a breach of one of the Treaty provisions (for example, the free movement provisions).</w:t>
      </w:r>
    </w:p>
    <w:p w14:paraId="6F82C49F" w14:textId="77777777" w:rsidR="00BC7C75" w:rsidRPr="0059627A" w:rsidRDefault="00BC7C75" w:rsidP="00BC7C75">
      <w:pPr>
        <w:pStyle w:val="ListParagraph"/>
        <w:rPr>
          <w:rFonts w:ascii="Garamond" w:hAnsi="Garamond"/>
          <w:b/>
          <w:sz w:val="24"/>
          <w:szCs w:val="24"/>
        </w:rPr>
      </w:pPr>
    </w:p>
    <w:p w14:paraId="06BE0382" w14:textId="77777777" w:rsidR="00BC7C75" w:rsidRDefault="00BC7C75" w:rsidP="00BC7C75">
      <w:pPr>
        <w:pStyle w:val="ListParagraph"/>
        <w:numPr>
          <w:ilvl w:val="0"/>
          <w:numId w:val="1"/>
        </w:numPr>
        <w:jc w:val="both"/>
        <w:rPr>
          <w:rFonts w:ascii="Garamond" w:hAnsi="Garamond"/>
          <w:b/>
          <w:sz w:val="24"/>
          <w:szCs w:val="24"/>
        </w:rPr>
      </w:pPr>
      <w:r>
        <w:rPr>
          <w:rFonts w:ascii="Garamond" w:hAnsi="Garamond"/>
          <w:b/>
          <w:sz w:val="24"/>
          <w:szCs w:val="24"/>
        </w:rPr>
        <w:t>The consequences of a finding of a breach by the Court of Justice</w:t>
      </w:r>
    </w:p>
    <w:p w14:paraId="42995823" w14:textId="77777777" w:rsidR="00BC7C75" w:rsidRDefault="00BC7C75" w:rsidP="00BC7C75">
      <w:pPr>
        <w:pStyle w:val="ListParagraph"/>
        <w:jc w:val="both"/>
        <w:rPr>
          <w:rFonts w:ascii="Garamond" w:hAnsi="Garamond"/>
          <w:b/>
          <w:sz w:val="24"/>
          <w:szCs w:val="24"/>
        </w:rPr>
      </w:pPr>
    </w:p>
    <w:p w14:paraId="0FD6FC40" w14:textId="18BDF5C2" w:rsidR="00BC7C75" w:rsidRDefault="00BC7C75" w:rsidP="00BC7C75">
      <w:pPr>
        <w:pStyle w:val="ListParagraph"/>
        <w:numPr>
          <w:ilvl w:val="0"/>
          <w:numId w:val="5"/>
        </w:numPr>
        <w:jc w:val="both"/>
        <w:rPr>
          <w:rFonts w:ascii="Garamond" w:hAnsi="Garamond"/>
          <w:sz w:val="24"/>
          <w:szCs w:val="24"/>
        </w:rPr>
      </w:pPr>
      <w:r>
        <w:rPr>
          <w:rFonts w:ascii="Garamond" w:hAnsi="Garamond"/>
          <w:sz w:val="24"/>
          <w:szCs w:val="24"/>
        </w:rPr>
        <w:t>What happens when the Court of Justice has found that a Member State has acted in breach of EU law – or</w:t>
      </w:r>
      <w:r w:rsidR="00844F90">
        <w:rPr>
          <w:rFonts w:ascii="Garamond" w:hAnsi="Garamond"/>
          <w:sz w:val="24"/>
          <w:szCs w:val="24"/>
        </w:rPr>
        <w:t>,</w:t>
      </w:r>
      <w:r>
        <w:rPr>
          <w:rFonts w:ascii="Garamond" w:hAnsi="Garamond"/>
          <w:sz w:val="24"/>
          <w:szCs w:val="24"/>
        </w:rPr>
        <w:t xml:space="preserve"> to put it more formally, has failed to fulfil its obligations? There is not some sort of standard list of sanctions that the Court can impose. The standard end of an infringement procedure is simply a finding of the Court that the Member State has acted – or has not acted – in breach of EU law.</w:t>
      </w:r>
    </w:p>
    <w:p w14:paraId="4597EC4E" w14:textId="77777777" w:rsidR="00BC7C75" w:rsidRDefault="00BC7C75" w:rsidP="00BC7C75">
      <w:pPr>
        <w:pStyle w:val="ListParagraph"/>
        <w:ind w:left="1080"/>
        <w:jc w:val="both"/>
        <w:rPr>
          <w:rFonts w:ascii="Garamond" w:hAnsi="Garamond"/>
          <w:sz w:val="24"/>
          <w:szCs w:val="24"/>
        </w:rPr>
      </w:pPr>
    </w:p>
    <w:p w14:paraId="705149FE" w14:textId="0524B243" w:rsidR="00BC7C75" w:rsidRDefault="00BC7C75" w:rsidP="00BC7C75">
      <w:pPr>
        <w:pStyle w:val="ListParagraph"/>
        <w:numPr>
          <w:ilvl w:val="0"/>
          <w:numId w:val="5"/>
        </w:numPr>
        <w:jc w:val="both"/>
        <w:rPr>
          <w:rFonts w:ascii="Garamond" w:hAnsi="Garamond"/>
          <w:sz w:val="24"/>
          <w:szCs w:val="24"/>
        </w:rPr>
      </w:pPr>
      <w:r>
        <w:rPr>
          <w:rFonts w:ascii="Garamond" w:hAnsi="Garamond"/>
          <w:sz w:val="24"/>
          <w:szCs w:val="24"/>
        </w:rPr>
        <w:t xml:space="preserve">The sole finding of an infringement by the Court did not always contribute to the effective enforcement of EU law, since Member States could simply decide to ignore it. The “shame” of a judgment given against them was not always sufficient to </w:t>
      </w:r>
      <w:r w:rsidR="00CD32BE">
        <w:rPr>
          <w:rFonts w:ascii="Garamond" w:hAnsi="Garamond"/>
          <w:sz w:val="24"/>
          <w:szCs w:val="24"/>
        </w:rPr>
        <w:t>make</w:t>
      </w:r>
      <w:r>
        <w:rPr>
          <w:rFonts w:ascii="Garamond" w:hAnsi="Garamond"/>
          <w:sz w:val="24"/>
          <w:szCs w:val="24"/>
        </w:rPr>
        <w:t xml:space="preserve"> them act differently. For that reason, Article 260 TFEU was introduced by the Treaty of Maastricht. There are two different types of sanctions provided for in Article 260 TFEU. </w:t>
      </w:r>
    </w:p>
    <w:p w14:paraId="7990976C" w14:textId="77777777" w:rsidR="00BC7C75" w:rsidRPr="00AB0FF9" w:rsidRDefault="00BC7C75" w:rsidP="00BC7C75">
      <w:pPr>
        <w:pStyle w:val="ListParagraph"/>
        <w:rPr>
          <w:rFonts w:ascii="Garamond" w:hAnsi="Garamond"/>
          <w:sz w:val="24"/>
          <w:szCs w:val="24"/>
        </w:rPr>
      </w:pPr>
    </w:p>
    <w:p w14:paraId="3B0DF7B5" w14:textId="64601BA9" w:rsidR="00BC7C75" w:rsidRDefault="00BC7C75" w:rsidP="00BC7C75">
      <w:pPr>
        <w:pStyle w:val="ListParagraph"/>
        <w:numPr>
          <w:ilvl w:val="0"/>
          <w:numId w:val="5"/>
        </w:numPr>
        <w:jc w:val="both"/>
        <w:rPr>
          <w:rFonts w:ascii="Garamond" w:hAnsi="Garamond"/>
          <w:sz w:val="24"/>
          <w:szCs w:val="24"/>
        </w:rPr>
      </w:pPr>
      <w:r>
        <w:rPr>
          <w:rFonts w:ascii="Garamond" w:hAnsi="Garamond"/>
          <w:sz w:val="24"/>
          <w:szCs w:val="24"/>
        </w:rPr>
        <w:lastRenderedPageBreak/>
        <w:t>The first penalty is a lump sum or penalty payment for non-compliance with a judgment of the Court of Justice</w:t>
      </w:r>
      <w:r w:rsidR="00CD32BE">
        <w:rPr>
          <w:rFonts w:ascii="Garamond" w:hAnsi="Garamond"/>
          <w:sz w:val="24"/>
          <w:szCs w:val="24"/>
        </w:rPr>
        <w:t xml:space="preserve"> (Article 260(2) TFEU)</w:t>
      </w:r>
      <w:r>
        <w:rPr>
          <w:rFonts w:ascii="Garamond" w:hAnsi="Garamond"/>
          <w:sz w:val="24"/>
          <w:szCs w:val="24"/>
        </w:rPr>
        <w:t>. In other words, this procedure is based on a previous judgment of the Court, in which it had found that the Member State had acted in breach of EU law. If the Member State does not remedy the breach after the judgment, the Commission can bring the Member State before the Court of Justice for a second time and claim a lump sum or a penalty payment. The Court is then free to impose any lump sum or penalty payment it finds appropriate.</w:t>
      </w:r>
    </w:p>
    <w:p w14:paraId="21E49CC5" w14:textId="77777777" w:rsidR="00BC7C75" w:rsidRPr="00B11BCD" w:rsidRDefault="00BC7C75" w:rsidP="00BC7C75">
      <w:pPr>
        <w:pStyle w:val="ListParagraph"/>
        <w:rPr>
          <w:rFonts w:ascii="Garamond" w:hAnsi="Garamond"/>
          <w:sz w:val="24"/>
          <w:szCs w:val="24"/>
        </w:rPr>
      </w:pPr>
    </w:p>
    <w:p w14:paraId="5A5EE604" w14:textId="2743A7DD" w:rsidR="00BC7C75" w:rsidRDefault="00BC7C75" w:rsidP="00BC7C75">
      <w:pPr>
        <w:pStyle w:val="ListParagraph"/>
        <w:numPr>
          <w:ilvl w:val="0"/>
          <w:numId w:val="5"/>
        </w:numPr>
        <w:jc w:val="both"/>
        <w:rPr>
          <w:rFonts w:ascii="Garamond" w:hAnsi="Garamond"/>
          <w:sz w:val="24"/>
          <w:szCs w:val="24"/>
        </w:rPr>
      </w:pPr>
      <w:r>
        <w:rPr>
          <w:rFonts w:ascii="Garamond" w:hAnsi="Garamond"/>
          <w:sz w:val="24"/>
          <w:szCs w:val="24"/>
        </w:rPr>
        <w:t>There is only one possibility where the Commission can immediately ask for a lump sum or a penalty payment in the first infringement procedure</w:t>
      </w:r>
      <w:r w:rsidR="00CD32BE">
        <w:rPr>
          <w:rFonts w:ascii="Garamond" w:hAnsi="Garamond"/>
          <w:sz w:val="24"/>
          <w:szCs w:val="24"/>
        </w:rPr>
        <w:t xml:space="preserve"> (Article 260(3) TFEU)</w:t>
      </w:r>
      <w:r>
        <w:rPr>
          <w:rFonts w:ascii="Garamond" w:hAnsi="Garamond"/>
          <w:sz w:val="24"/>
          <w:szCs w:val="24"/>
        </w:rPr>
        <w:t>. This is where a Member State has failed to implement a directive. If the Commission starts an infringement procedure for non-implementation of a directive, it can immediately claim this lump sum or penalty payment. The discretion of the Court of Justice is then more limited: it cannot impose a higher lump sum or penalty payment than what the Commission has asked for. This is different from the procedure for non-compliance with a previous judgment.</w:t>
      </w:r>
    </w:p>
    <w:p w14:paraId="05AB06FE" w14:textId="77777777" w:rsidR="00BC7C75" w:rsidRPr="00B11BCD" w:rsidRDefault="00BC7C75" w:rsidP="00BC7C75">
      <w:pPr>
        <w:pStyle w:val="ListParagraph"/>
        <w:rPr>
          <w:rFonts w:ascii="Garamond" w:hAnsi="Garamond"/>
          <w:sz w:val="24"/>
          <w:szCs w:val="24"/>
        </w:rPr>
      </w:pPr>
    </w:p>
    <w:p w14:paraId="0D37E218" w14:textId="77777777" w:rsidR="00BC7C75" w:rsidRDefault="00BC7C75" w:rsidP="00BC7C75">
      <w:pPr>
        <w:jc w:val="both"/>
        <w:rPr>
          <w:rFonts w:ascii="Garamond" w:hAnsi="Garamond"/>
          <w:b/>
          <w:sz w:val="24"/>
          <w:szCs w:val="24"/>
          <w:u w:val="single"/>
        </w:rPr>
      </w:pPr>
      <w:r>
        <w:rPr>
          <w:rFonts w:ascii="Garamond" w:hAnsi="Garamond"/>
          <w:b/>
          <w:sz w:val="24"/>
          <w:szCs w:val="24"/>
          <w:u w:val="single"/>
        </w:rPr>
        <w:t>ADDITIONAL READING</w:t>
      </w:r>
    </w:p>
    <w:p w14:paraId="4A5A7D0B" w14:textId="38100ECB" w:rsidR="00C174B4" w:rsidRDefault="00C174B4" w:rsidP="00BC7C75">
      <w:pPr>
        <w:pStyle w:val="ListParagraph"/>
        <w:numPr>
          <w:ilvl w:val="0"/>
          <w:numId w:val="33"/>
        </w:numPr>
        <w:jc w:val="both"/>
        <w:rPr>
          <w:rFonts w:ascii="Garamond" w:hAnsi="Garamond"/>
          <w:sz w:val="24"/>
          <w:szCs w:val="24"/>
        </w:rPr>
      </w:pPr>
      <w:r>
        <w:rPr>
          <w:rFonts w:ascii="Garamond" w:hAnsi="Garamond"/>
          <w:sz w:val="24"/>
          <w:szCs w:val="24"/>
        </w:rPr>
        <w:t xml:space="preserve">S. Peers, </w:t>
      </w:r>
      <w:r w:rsidR="000F3875">
        <w:rPr>
          <w:rFonts w:ascii="Garamond" w:hAnsi="Garamond"/>
          <w:sz w:val="24"/>
          <w:szCs w:val="24"/>
        </w:rPr>
        <w:t xml:space="preserve">‘The old dog learns new tricks: reinvigorating infringement proceedings to enhance the effectiveness of EU law’ (2021) 46 </w:t>
      </w:r>
      <w:r w:rsidR="000F3875" w:rsidRPr="000F3875">
        <w:rPr>
          <w:rFonts w:ascii="Garamond" w:hAnsi="Garamond"/>
          <w:i/>
          <w:iCs/>
          <w:sz w:val="24"/>
          <w:szCs w:val="24"/>
        </w:rPr>
        <w:t>EL Rev</w:t>
      </w:r>
      <w:r w:rsidR="000F3875">
        <w:rPr>
          <w:rFonts w:ascii="Garamond" w:hAnsi="Garamond"/>
          <w:sz w:val="24"/>
          <w:szCs w:val="24"/>
        </w:rPr>
        <w:t xml:space="preserve"> 226</w:t>
      </w:r>
    </w:p>
    <w:p w14:paraId="33E95F74" w14:textId="3B0F05B3" w:rsidR="00BC7C75" w:rsidRDefault="00BC7C75" w:rsidP="00BC7C75">
      <w:pPr>
        <w:pStyle w:val="ListParagraph"/>
        <w:numPr>
          <w:ilvl w:val="0"/>
          <w:numId w:val="33"/>
        </w:numPr>
        <w:jc w:val="both"/>
        <w:rPr>
          <w:rFonts w:ascii="Garamond" w:hAnsi="Garamond"/>
          <w:sz w:val="24"/>
          <w:szCs w:val="24"/>
        </w:rPr>
      </w:pPr>
      <w:r>
        <w:rPr>
          <w:rFonts w:ascii="Garamond" w:hAnsi="Garamond"/>
          <w:sz w:val="24"/>
          <w:szCs w:val="24"/>
        </w:rPr>
        <w:t xml:space="preserve">L. Prete and B. Smulders, ‘The Coming of Age of Infringement Proceedings’ (2010) 47 </w:t>
      </w:r>
      <w:r w:rsidRPr="00FF4CC8">
        <w:rPr>
          <w:rFonts w:ascii="Garamond" w:hAnsi="Garamond"/>
          <w:i/>
          <w:sz w:val="24"/>
          <w:szCs w:val="24"/>
        </w:rPr>
        <w:t>CML Rev</w:t>
      </w:r>
      <w:r>
        <w:rPr>
          <w:rFonts w:ascii="Garamond" w:hAnsi="Garamond"/>
          <w:sz w:val="24"/>
          <w:szCs w:val="24"/>
        </w:rPr>
        <w:t xml:space="preserve"> 9</w:t>
      </w:r>
    </w:p>
    <w:p w14:paraId="2B26D171" w14:textId="585B2108" w:rsidR="00C174B4" w:rsidRDefault="00C174B4" w:rsidP="00BC7C75">
      <w:pPr>
        <w:pStyle w:val="ListParagraph"/>
        <w:numPr>
          <w:ilvl w:val="0"/>
          <w:numId w:val="33"/>
        </w:numPr>
        <w:jc w:val="both"/>
        <w:rPr>
          <w:rFonts w:ascii="Garamond" w:hAnsi="Garamond"/>
          <w:sz w:val="24"/>
          <w:szCs w:val="24"/>
        </w:rPr>
      </w:pPr>
      <w:r>
        <w:rPr>
          <w:rFonts w:ascii="Garamond" w:hAnsi="Garamond"/>
          <w:sz w:val="24"/>
          <w:szCs w:val="24"/>
        </w:rPr>
        <w:t xml:space="preserve">L. Prete and B. Smulders, ‘The Age of Maturity of Infringement Proceedings’ (2021) 58 </w:t>
      </w:r>
      <w:r w:rsidRPr="00C174B4">
        <w:rPr>
          <w:rFonts w:ascii="Garamond" w:hAnsi="Garamond"/>
          <w:i/>
          <w:iCs/>
          <w:sz w:val="24"/>
          <w:szCs w:val="24"/>
        </w:rPr>
        <w:t>CML Rev</w:t>
      </w:r>
      <w:r>
        <w:rPr>
          <w:rFonts w:ascii="Garamond" w:hAnsi="Garamond"/>
          <w:sz w:val="24"/>
          <w:szCs w:val="24"/>
        </w:rPr>
        <w:t xml:space="preserve"> 285</w:t>
      </w:r>
    </w:p>
    <w:p w14:paraId="1AFFA97A" w14:textId="77777777" w:rsidR="00BC7C75" w:rsidRPr="004F7BDD" w:rsidRDefault="00BC7C75" w:rsidP="00BC7C75">
      <w:pPr>
        <w:pStyle w:val="ListParagraph"/>
        <w:numPr>
          <w:ilvl w:val="0"/>
          <w:numId w:val="33"/>
        </w:numPr>
        <w:jc w:val="both"/>
        <w:rPr>
          <w:rFonts w:ascii="Garamond" w:hAnsi="Garamond"/>
          <w:sz w:val="24"/>
          <w:szCs w:val="24"/>
        </w:rPr>
      </w:pPr>
      <w:r>
        <w:rPr>
          <w:rFonts w:ascii="Garamond" w:hAnsi="Garamond"/>
          <w:sz w:val="24"/>
          <w:szCs w:val="24"/>
        </w:rPr>
        <w:t xml:space="preserve">P. </w:t>
      </w:r>
      <w:proofErr w:type="spellStart"/>
      <w:r>
        <w:rPr>
          <w:rFonts w:ascii="Garamond" w:hAnsi="Garamond"/>
          <w:sz w:val="24"/>
          <w:szCs w:val="24"/>
        </w:rPr>
        <w:t>Wenneras</w:t>
      </w:r>
      <w:proofErr w:type="spellEnd"/>
      <w:r>
        <w:rPr>
          <w:rFonts w:ascii="Garamond" w:hAnsi="Garamond"/>
          <w:sz w:val="24"/>
          <w:szCs w:val="24"/>
        </w:rPr>
        <w:t xml:space="preserve">, ‘Sanctions Against Member States under Article 260 TFEU: Alive, But Not Kicking?’ (2012) 49 </w:t>
      </w:r>
      <w:r w:rsidRPr="00FF4CC8">
        <w:rPr>
          <w:rFonts w:ascii="Garamond" w:hAnsi="Garamond"/>
          <w:i/>
          <w:sz w:val="24"/>
          <w:szCs w:val="24"/>
        </w:rPr>
        <w:t>CML Rev</w:t>
      </w:r>
      <w:r>
        <w:rPr>
          <w:rFonts w:ascii="Garamond" w:hAnsi="Garamond"/>
          <w:sz w:val="24"/>
          <w:szCs w:val="24"/>
        </w:rPr>
        <w:t xml:space="preserve"> 145</w:t>
      </w:r>
    </w:p>
    <w:p w14:paraId="5D1579F8" w14:textId="77777777" w:rsidR="00BC7C75" w:rsidRDefault="00BC7C75" w:rsidP="00BC7C75">
      <w:pPr>
        <w:jc w:val="center"/>
        <w:rPr>
          <w:rFonts w:ascii="Garamond" w:hAnsi="Garamond"/>
          <w:b/>
          <w:sz w:val="40"/>
          <w:szCs w:val="40"/>
        </w:rPr>
      </w:pPr>
    </w:p>
    <w:p w14:paraId="1BF51855" w14:textId="77777777" w:rsidR="00BC7C75" w:rsidRDefault="00BC7C75" w:rsidP="00BC7C75">
      <w:pPr>
        <w:jc w:val="center"/>
        <w:rPr>
          <w:rFonts w:ascii="Garamond" w:hAnsi="Garamond"/>
          <w:b/>
          <w:sz w:val="40"/>
          <w:szCs w:val="40"/>
        </w:rPr>
      </w:pPr>
    </w:p>
    <w:p w14:paraId="24B3244F" w14:textId="77777777" w:rsidR="00BC7C75" w:rsidRDefault="00BC7C75" w:rsidP="00BC7C75">
      <w:pPr>
        <w:jc w:val="center"/>
        <w:rPr>
          <w:rFonts w:ascii="Garamond" w:hAnsi="Garamond"/>
          <w:b/>
          <w:sz w:val="40"/>
          <w:szCs w:val="40"/>
        </w:rPr>
      </w:pPr>
    </w:p>
    <w:p w14:paraId="0784C3B8" w14:textId="77777777" w:rsidR="00BC7C75" w:rsidRDefault="00BC7C75" w:rsidP="00BC7C75">
      <w:pPr>
        <w:jc w:val="center"/>
        <w:rPr>
          <w:rFonts w:ascii="Garamond" w:hAnsi="Garamond"/>
          <w:b/>
          <w:sz w:val="40"/>
          <w:szCs w:val="40"/>
        </w:rPr>
      </w:pPr>
    </w:p>
    <w:p w14:paraId="0B55153B" w14:textId="77777777" w:rsidR="00BC7C75" w:rsidRDefault="00BC7C75" w:rsidP="00BC7C75">
      <w:pPr>
        <w:jc w:val="center"/>
        <w:rPr>
          <w:rFonts w:ascii="Garamond" w:hAnsi="Garamond"/>
          <w:b/>
          <w:sz w:val="40"/>
          <w:szCs w:val="40"/>
        </w:rPr>
      </w:pPr>
    </w:p>
    <w:p w14:paraId="5A1C326D" w14:textId="77777777" w:rsidR="00BC7C75" w:rsidRDefault="00BC7C75" w:rsidP="00BC7C75">
      <w:pPr>
        <w:jc w:val="center"/>
        <w:rPr>
          <w:rFonts w:ascii="Garamond" w:hAnsi="Garamond"/>
          <w:b/>
          <w:sz w:val="40"/>
          <w:szCs w:val="40"/>
        </w:rPr>
      </w:pPr>
    </w:p>
    <w:p w14:paraId="06C77012" w14:textId="77777777" w:rsidR="00BC7C75" w:rsidRDefault="00BC7C75" w:rsidP="00BC7C75">
      <w:pPr>
        <w:jc w:val="center"/>
        <w:rPr>
          <w:rFonts w:ascii="Garamond" w:hAnsi="Garamond"/>
          <w:b/>
          <w:sz w:val="40"/>
          <w:szCs w:val="40"/>
        </w:rPr>
      </w:pPr>
    </w:p>
    <w:p w14:paraId="2C23084E" w14:textId="77777777" w:rsidR="00BC7C75" w:rsidRDefault="00BC7C75" w:rsidP="00BC7C75">
      <w:pPr>
        <w:jc w:val="center"/>
        <w:rPr>
          <w:rFonts w:ascii="Garamond" w:hAnsi="Garamond"/>
          <w:b/>
          <w:sz w:val="40"/>
          <w:szCs w:val="40"/>
        </w:rPr>
      </w:pPr>
    </w:p>
    <w:p w14:paraId="570260CA" w14:textId="77777777" w:rsidR="00BC7C75" w:rsidRDefault="00BC7C75" w:rsidP="00BC7C75">
      <w:pPr>
        <w:jc w:val="center"/>
        <w:rPr>
          <w:rFonts w:ascii="Garamond" w:hAnsi="Garamond"/>
          <w:b/>
          <w:sz w:val="40"/>
          <w:szCs w:val="40"/>
        </w:rPr>
      </w:pPr>
    </w:p>
    <w:p w14:paraId="15CE7493" w14:textId="3D7F117D" w:rsidR="00BC7C75" w:rsidRDefault="00BC7C75" w:rsidP="00BC7C75">
      <w:pPr>
        <w:jc w:val="center"/>
        <w:rPr>
          <w:rFonts w:ascii="Garamond" w:hAnsi="Garamond"/>
          <w:b/>
          <w:sz w:val="40"/>
          <w:szCs w:val="40"/>
        </w:rPr>
      </w:pPr>
      <w:r>
        <w:rPr>
          <w:rFonts w:ascii="Times New Roman" w:hAnsi="Times New Roman" w:cs="Times New Roman"/>
          <w:noProof/>
          <w:sz w:val="24"/>
          <w:szCs w:val="24"/>
          <w:lang w:eastAsia="en-GB"/>
        </w:rPr>
        <w:lastRenderedPageBreak/>
        <mc:AlternateContent>
          <mc:Choice Requires="wps">
            <w:drawing>
              <wp:anchor distT="0" distB="0" distL="114300" distR="114300" simplePos="0" relativeHeight="251665408" behindDoc="0" locked="0" layoutInCell="1" allowOverlap="1" wp14:anchorId="31830653" wp14:editId="0A9673CD">
                <wp:simplePos x="0" y="0"/>
                <wp:positionH relativeFrom="column">
                  <wp:posOffset>333375</wp:posOffset>
                </wp:positionH>
                <wp:positionV relativeFrom="paragraph">
                  <wp:posOffset>619125</wp:posOffset>
                </wp:positionV>
                <wp:extent cx="3019425" cy="733425"/>
                <wp:effectExtent l="0" t="0" r="28575" b="285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733425"/>
                        </a:xfrm>
                        <a:prstGeom prst="rect">
                          <a:avLst/>
                        </a:prstGeom>
                        <a:solidFill>
                          <a:srgbClr val="FFFFFF"/>
                        </a:solidFill>
                        <a:ln w="9525">
                          <a:solidFill>
                            <a:srgbClr val="000000"/>
                          </a:solidFill>
                          <a:miter lim="800000"/>
                          <a:headEnd/>
                          <a:tailEnd/>
                        </a:ln>
                      </wps:spPr>
                      <wps:txbx>
                        <w:txbxContent>
                          <w:p w14:paraId="598B98CB" w14:textId="7FB85896"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Schütze, Chapter 10 (p. 35</w:t>
                            </w:r>
                            <w:r w:rsidR="0043487A">
                              <w:rPr>
                                <w:rFonts w:ascii="Garamond" w:hAnsi="Garamond"/>
                                <w:i/>
                                <w:sz w:val="24"/>
                                <w:szCs w:val="24"/>
                              </w:rPr>
                              <w:t>8</w:t>
                            </w:r>
                            <w:r>
                              <w:rPr>
                                <w:rFonts w:ascii="Garamond" w:hAnsi="Garamond"/>
                                <w:i/>
                                <w:sz w:val="24"/>
                                <w:szCs w:val="24"/>
                              </w:rPr>
                              <w:t>-37</w:t>
                            </w:r>
                            <w:r w:rsidR="0043487A">
                              <w:rPr>
                                <w:rFonts w:ascii="Garamond" w:hAnsi="Garamond"/>
                                <w:i/>
                                <w:sz w:val="24"/>
                                <w:szCs w:val="24"/>
                              </w:rPr>
                              <w:t>9</w:t>
                            </w:r>
                            <w:r>
                              <w:rPr>
                                <w:rFonts w:ascii="Garamond" w:hAnsi="Garamond"/>
                                <w:i/>
                                <w:sz w:val="24"/>
                                <w:szCs w:val="24"/>
                              </w:rPr>
                              <w:t>), or</w:t>
                            </w:r>
                          </w:p>
                          <w:p w14:paraId="5B718693" w14:textId="699E779E"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 xml:space="preserve">Craig and de </w:t>
                            </w:r>
                            <w:proofErr w:type="spellStart"/>
                            <w:r>
                              <w:rPr>
                                <w:rFonts w:ascii="Garamond" w:hAnsi="Garamond"/>
                                <w:i/>
                                <w:sz w:val="24"/>
                                <w:szCs w:val="24"/>
                              </w:rPr>
                              <w:t>Búrca</w:t>
                            </w:r>
                            <w:proofErr w:type="spellEnd"/>
                            <w:r>
                              <w:rPr>
                                <w:rFonts w:ascii="Garamond" w:hAnsi="Garamond"/>
                                <w:i/>
                                <w:sz w:val="24"/>
                                <w:szCs w:val="24"/>
                              </w:rPr>
                              <w:t>, Chapter</w:t>
                            </w:r>
                            <w:r w:rsidR="00D55C6F">
                              <w:rPr>
                                <w:rFonts w:ascii="Garamond" w:hAnsi="Garamond"/>
                                <w:i/>
                                <w:sz w:val="24"/>
                                <w:szCs w:val="24"/>
                              </w:rPr>
                              <w:t>s 15-16</w:t>
                            </w:r>
                            <w:r>
                              <w:rPr>
                                <w:rFonts w:ascii="Garamond" w:hAnsi="Garamond"/>
                                <w:i/>
                                <w:sz w:val="24"/>
                                <w:szCs w:val="24"/>
                              </w:rPr>
                              <w:t>, or</w:t>
                            </w:r>
                          </w:p>
                          <w:p w14:paraId="2D44A5A5" w14:textId="69FA9792"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Barnard and Peers, Chapter 10 (p. 2</w:t>
                            </w:r>
                            <w:r w:rsidR="00D55C6F">
                              <w:rPr>
                                <w:rFonts w:ascii="Garamond" w:hAnsi="Garamond"/>
                                <w:i/>
                                <w:sz w:val="24"/>
                                <w:szCs w:val="24"/>
                              </w:rPr>
                              <w:t>93</w:t>
                            </w:r>
                            <w:r>
                              <w:rPr>
                                <w:rFonts w:ascii="Garamond" w:hAnsi="Garamond"/>
                                <w:i/>
                                <w:sz w:val="24"/>
                                <w:szCs w:val="24"/>
                              </w:rPr>
                              <w:t>-</w:t>
                            </w:r>
                            <w:r w:rsidR="00D55C6F">
                              <w:rPr>
                                <w:rFonts w:ascii="Garamond" w:hAnsi="Garamond"/>
                                <w:i/>
                                <w:sz w:val="24"/>
                                <w:szCs w:val="24"/>
                              </w:rPr>
                              <w:t>312</w:t>
                            </w:r>
                            <w:r>
                              <w:rPr>
                                <w:rFonts w:ascii="Garamond" w:hAnsi="Garamond"/>
                                <w:i/>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830653" id="Text Box 1" o:spid="_x0000_s1027" type="#_x0000_t202" style="position:absolute;left:0;text-align:left;margin-left:26.25pt;margin-top:48.75pt;width:237.75pt;height:5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">
                <v:textbox>
                  <w:txbxContent>
                    <w:p w14:paraId="598B98CB" w14:textId="7FB85896"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Schütze, Chapter 10 (p. 35</w:t>
                      </w:r>
                      <w:r w:rsidR="0043487A">
                        <w:rPr>
                          <w:rFonts w:ascii="Garamond" w:hAnsi="Garamond"/>
                          <w:i/>
                          <w:sz w:val="24"/>
                          <w:szCs w:val="24"/>
                        </w:rPr>
                        <w:t>8</w:t>
                      </w:r>
                      <w:r>
                        <w:rPr>
                          <w:rFonts w:ascii="Garamond" w:hAnsi="Garamond"/>
                          <w:i/>
                          <w:sz w:val="24"/>
                          <w:szCs w:val="24"/>
                        </w:rPr>
                        <w:t>-37</w:t>
                      </w:r>
                      <w:r w:rsidR="0043487A">
                        <w:rPr>
                          <w:rFonts w:ascii="Garamond" w:hAnsi="Garamond"/>
                          <w:i/>
                          <w:sz w:val="24"/>
                          <w:szCs w:val="24"/>
                        </w:rPr>
                        <w:t>9</w:t>
                      </w:r>
                      <w:r>
                        <w:rPr>
                          <w:rFonts w:ascii="Garamond" w:hAnsi="Garamond"/>
                          <w:i/>
                          <w:sz w:val="24"/>
                          <w:szCs w:val="24"/>
                        </w:rPr>
                        <w:t>), or</w:t>
                      </w:r>
                    </w:p>
                    <w:p w14:paraId="5B718693" w14:textId="699E779E"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Craig and de Búrca, Chapter</w:t>
                      </w:r>
                      <w:r w:rsidR="00D55C6F">
                        <w:rPr>
                          <w:rFonts w:ascii="Garamond" w:hAnsi="Garamond"/>
                          <w:i/>
                          <w:sz w:val="24"/>
                          <w:szCs w:val="24"/>
                        </w:rPr>
                        <w:t>s 15-16</w:t>
                      </w:r>
                      <w:r>
                        <w:rPr>
                          <w:rFonts w:ascii="Garamond" w:hAnsi="Garamond"/>
                          <w:i/>
                          <w:sz w:val="24"/>
                          <w:szCs w:val="24"/>
                        </w:rPr>
                        <w:t>, or</w:t>
                      </w:r>
                    </w:p>
                    <w:p w14:paraId="2D44A5A5" w14:textId="69FA9792" w:rsidR="00BC7C75" w:rsidRDefault="00BC7C75" w:rsidP="00BC7C75">
                      <w:pPr>
                        <w:pStyle w:val="ListParagraph"/>
                        <w:numPr>
                          <w:ilvl w:val="0"/>
                          <w:numId w:val="32"/>
                        </w:numPr>
                        <w:spacing w:after="200" w:line="276" w:lineRule="auto"/>
                        <w:rPr>
                          <w:rFonts w:ascii="Garamond" w:hAnsi="Garamond"/>
                          <w:i/>
                          <w:sz w:val="24"/>
                          <w:szCs w:val="24"/>
                        </w:rPr>
                      </w:pPr>
                      <w:r>
                        <w:rPr>
                          <w:rFonts w:ascii="Garamond" w:hAnsi="Garamond"/>
                          <w:i/>
                          <w:sz w:val="24"/>
                          <w:szCs w:val="24"/>
                        </w:rPr>
                        <w:t>Barnard and Peers, Chapter 10 (p. 2</w:t>
                      </w:r>
                      <w:r w:rsidR="00D55C6F">
                        <w:rPr>
                          <w:rFonts w:ascii="Garamond" w:hAnsi="Garamond"/>
                          <w:i/>
                          <w:sz w:val="24"/>
                          <w:szCs w:val="24"/>
                        </w:rPr>
                        <w:t>93</w:t>
                      </w:r>
                      <w:r>
                        <w:rPr>
                          <w:rFonts w:ascii="Garamond" w:hAnsi="Garamond"/>
                          <w:i/>
                          <w:sz w:val="24"/>
                          <w:szCs w:val="24"/>
                        </w:rPr>
                        <w:t>-</w:t>
                      </w:r>
                      <w:r w:rsidR="00D55C6F">
                        <w:rPr>
                          <w:rFonts w:ascii="Garamond" w:hAnsi="Garamond"/>
                          <w:i/>
                          <w:sz w:val="24"/>
                          <w:szCs w:val="24"/>
                        </w:rPr>
                        <w:t>312</w:t>
                      </w:r>
                      <w:r>
                        <w:rPr>
                          <w:rFonts w:ascii="Garamond" w:hAnsi="Garamond"/>
                          <w:i/>
                          <w:sz w:val="24"/>
                          <w:szCs w:val="24"/>
                        </w:rPr>
                        <w:t>)</w:t>
                      </w:r>
                    </w:p>
                  </w:txbxContent>
                </v:textbox>
              </v:shape>
            </w:pict>
          </mc:Fallback>
        </mc:AlternateContent>
      </w:r>
      <w:r>
        <w:rPr>
          <w:rFonts w:ascii="Garamond" w:hAnsi="Garamond"/>
          <w:b/>
          <w:sz w:val="40"/>
          <w:szCs w:val="40"/>
        </w:rPr>
        <w:t>ARTICLE 263 TFEU:</w:t>
      </w:r>
      <w:r>
        <w:rPr>
          <w:rFonts w:ascii="Garamond" w:hAnsi="Garamond"/>
          <w:b/>
          <w:sz w:val="40"/>
          <w:szCs w:val="40"/>
        </w:rPr>
        <w:br/>
        <w:t xml:space="preserve">THE </w:t>
      </w:r>
      <w:r w:rsidR="000F3875">
        <w:rPr>
          <w:rFonts w:ascii="Garamond" w:hAnsi="Garamond"/>
          <w:b/>
          <w:sz w:val="40"/>
          <w:szCs w:val="40"/>
        </w:rPr>
        <w:t>ACTION FOR ANNULMENT</w:t>
      </w:r>
    </w:p>
    <w:p w14:paraId="2C5AEF70" w14:textId="77777777" w:rsidR="00BC7C75" w:rsidRDefault="00BC7C75" w:rsidP="00BC7C75">
      <w:pPr>
        <w:jc w:val="center"/>
        <w:rPr>
          <w:rFonts w:ascii="Garamond" w:hAnsi="Garamond"/>
          <w:b/>
          <w:sz w:val="40"/>
          <w:szCs w:val="40"/>
        </w:rPr>
      </w:pPr>
    </w:p>
    <w:p w14:paraId="37A072D4" w14:textId="77777777" w:rsidR="00BC7C75" w:rsidRDefault="00BC7C75" w:rsidP="00BC7C75">
      <w:pPr>
        <w:jc w:val="center"/>
        <w:rPr>
          <w:rFonts w:ascii="Garamond" w:hAnsi="Garamond"/>
          <w:b/>
          <w:sz w:val="40"/>
          <w:szCs w:val="40"/>
        </w:rPr>
      </w:pPr>
    </w:p>
    <w:p w14:paraId="2162125F" w14:textId="77777777" w:rsidR="00BC7C75" w:rsidRDefault="00BC7C75" w:rsidP="00BC7C75">
      <w:pPr>
        <w:pStyle w:val="ListParagraph"/>
        <w:numPr>
          <w:ilvl w:val="0"/>
          <w:numId w:val="8"/>
        </w:numPr>
        <w:rPr>
          <w:rFonts w:ascii="Garamond" w:hAnsi="Garamond"/>
          <w:b/>
          <w:sz w:val="24"/>
          <w:szCs w:val="24"/>
        </w:rPr>
      </w:pPr>
      <w:r>
        <w:rPr>
          <w:rFonts w:ascii="Garamond" w:hAnsi="Garamond"/>
          <w:b/>
          <w:sz w:val="24"/>
          <w:szCs w:val="24"/>
        </w:rPr>
        <w:t>Article 263 TFEU</w:t>
      </w:r>
    </w:p>
    <w:p w14:paraId="4A679ACE" w14:textId="77777777" w:rsidR="00BC7C75" w:rsidRDefault="00BC7C75" w:rsidP="00BC7C75">
      <w:pPr>
        <w:pStyle w:val="ListParagraph"/>
        <w:rPr>
          <w:rFonts w:ascii="Garamond" w:hAnsi="Garamond"/>
          <w:b/>
          <w:sz w:val="24"/>
          <w:szCs w:val="24"/>
        </w:rPr>
      </w:pPr>
    </w:p>
    <w:p w14:paraId="03AAB7F1" w14:textId="77777777" w:rsidR="00BC7C75" w:rsidRPr="00B537CC" w:rsidRDefault="00BC7C75" w:rsidP="00BC7C75">
      <w:pPr>
        <w:pStyle w:val="ListParagraph"/>
        <w:numPr>
          <w:ilvl w:val="0"/>
          <w:numId w:val="9"/>
        </w:numPr>
        <w:jc w:val="both"/>
        <w:rPr>
          <w:rFonts w:ascii="Garamond" w:hAnsi="Garamond"/>
          <w:b/>
          <w:i/>
          <w:sz w:val="24"/>
          <w:szCs w:val="24"/>
        </w:rPr>
      </w:pPr>
      <w:r w:rsidRPr="00B537CC">
        <w:rPr>
          <w:rFonts w:ascii="Garamond" w:hAnsi="Garamond"/>
          <w:i/>
          <w:sz w:val="24"/>
          <w:szCs w:val="24"/>
        </w:rPr>
        <w:t xml:space="preserve">The Court of Justice of the European Union shall review the legality of legislative acts, of acts of the Council, of the Commission and of the European Central Bank, other than recommendations and opinions, and of acts of the European Parliament and of the European Council intended to produce legal effects vis-à-vis third parties. It shall also review the legality of acts of bodies, offices or agencies of the Union intended to produce legal effects vis-à-vis third parties. </w:t>
      </w:r>
    </w:p>
    <w:p w14:paraId="475F49A1" w14:textId="77777777" w:rsidR="00BC7C75" w:rsidRPr="00B537CC" w:rsidRDefault="00BC7C75" w:rsidP="00BC7C75">
      <w:pPr>
        <w:pStyle w:val="ListParagraph"/>
        <w:ind w:left="1080"/>
        <w:jc w:val="both"/>
        <w:rPr>
          <w:rFonts w:ascii="Garamond" w:hAnsi="Garamond"/>
          <w:b/>
          <w:i/>
          <w:sz w:val="24"/>
          <w:szCs w:val="24"/>
        </w:rPr>
      </w:pPr>
    </w:p>
    <w:p w14:paraId="2D987E5B" w14:textId="77777777" w:rsidR="00BC7C75" w:rsidRPr="00B537CC" w:rsidRDefault="00BC7C75" w:rsidP="00BC7C75">
      <w:pPr>
        <w:pStyle w:val="ListParagraph"/>
        <w:numPr>
          <w:ilvl w:val="0"/>
          <w:numId w:val="9"/>
        </w:numPr>
        <w:jc w:val="both"/>
        <w:rPr>
          <w:rFonts w:ascii="Garamond" w:hAnsi="Garamond"/>
          <w:b/>
          <w:i/>
          <w:sz w:val="24"/>
          <w:szCs w:val="24"/>
        </w:rPr>
      </w:pPr>
      <w:r w:rsidRPr="00B537CC">
        <w:rPr>
          <w:rFonts w:ascii="Garamond" w:hAnsi="Garamond"/>
          <w:i/>
          <w:sz w:val="24"/>
          <w:szCs w:val="24"/>
        </w:rPr>
        <w:t xml:space="preserve">It shall for this purpose have jurisdiction in actions brought by a Member State, the European Parliament, the </w:t>
      </w:r>
      <w:proofErr w:type="gramStart"/>
      <w:r w:rsidRPr="00B537CC">
        <w:rPr>
          <w:rFonts w:ascii="Garamond" w:hAnsi="Garamond"/>
          <w:i/>
          <w:sz w:val="24"/>
          <w:szCs w:val="24"/>
        </w:rPr>
        <w:t>Council</w:t>
      </w:r>
      <w:proofErr w:type="gramEnd"/>
      <w:r w:rsidRPr="00B537CC">
        <w:rPr>
          <w:rFonts w:ascii="Garamond" w:hAnsi="Garamond"/>
          <w:i/>
          <w:sz w:val="24"/>
          <w:szCs w:val="24"/>
        </w:rPr>
        <w:t xml:space="preserve"> or the Commission on grounds of lack of competence, infringement of an essential procedural requirement, infringement of the Treaties or of any rule of law relating to their application, or misuse of powers. </w:t>
      </w:r>
    </w:p>
    <w:p w14:paraId="4E342CDE" w14:textId="77777777" w:rsidR="00BC7C75" w:rsidRPr="00B537CC" w:rsidRDefault="00BC7C75" w:rsidP="00BC7C75">
      <w:pPr>
        <w:pStyle w:val="ListParagraph"/>
        <w:rPr>
          <w:rFonts w:ascii="Garamond" w:hAnsi="Garamond"/>
          <w:b/>
          <w:i/>
          <w:sz w:val="24"/>
          <w:szCs w:val="24"/>
        </w:rPr>
      </w:pPr>
    </w:p>
    <w:p w14:paraId="42AA2940" w14:textId="0341DCA1" w:rsidR="00BC7C75" w:rsidRPr="00B537CC" w:rsidRDefault="00CD32BE" w:rsidP="00BC7C75">
      <w:pPr>
        <w:pStyle w:val="ListParagraph"/>
        <w:numPr>
          <w:ilvl w:val="0"/>
          <w:numId w:val="9"/>
        </w:numPr>
        <w:jc w:val="both"/>
        <w:rPr>
          <w:rFonts w:ascii="Garamond" w:hAnsi="Garamond"/>
          <w:b/>
          <w:i/>
          <w:sz w:val="24"/>
          <w:szCs w:val="24"/>
        </w:rPr>
      </w:pPr>
      <w:r>
        <w:rPr>
          <w:rFonts w:ascii="Garamond" w:hAnsi="Garamond"/>
          <w:i/>
          <w:sz w:val="24"/>
          <w:szCs w:val="24"/>
        </w:rPr>
        <w:t xml:space="preserve">The </w:t>
      </w:r>
      <w:r w:rsidR="00BC7C75" w:rsidRPr="00B537CC">
        <w:rPr>
          <w:rFonts w:ascii="Garamond" w:hAnsi="Garamond"/>
          <w:i/>
          <w:sz w:val="24"/>
          <w:szCs w:val="24"/>
        </w:rPr>
        <w:t xml:space="preserve">Court shall have jurisdiction under the same conditions in actions brought by the Court of Auditors, by the European Central Bank and by the Committee of the Regions for the purpose of protecting their prerogatives. </w:t>
      </w:r>
    </w:p>
    <w:p w14:paraId="14FD459C" w14:textId="77777777" w:rsidR="00BC7C75" w:rsidRPr="00B537CC" w:rsidRDefault="00BC7C75" w:rsidP="00BC7C75">
      <w:pPr>
        <w:pStyle w:val="ListParagraph"/>
        <w:rPr>
          <w:rFonts w:ascii="Garamond" w:hAnsi="Garamond"/>
          <w:b/>
          <w:i/>
          <w:sz w:val="24"/>
          <w:szCs w:val="24"/>
        </w:rPr>
      </w:pPr>
    </w:p>
    <w:p w14:paraId="53641E7A" w14:textId="77777777" w:rsidR="00BC7C75" w:rsidRPr="00B537CC" w:rsidRDefault="00BC7C75" w:rsidP="00BC7C75">
      <w:pPr>
        <w:pStyle w:val="ListParagraph"/>
        <w:numPr>
          <w:ilvl w:val="0"/>
          <w:numId w:val="9"/>
        </w:numPr>
        <w:jc w:val="both"/>
        <w:rPr>
          <w:rFonts w:ascii="Garamond" w:hAnsi="Garamond"/>
          <w:b/>
          <w:i/>
          <w:sz w:val="24"/>
          <w:szCs w:val="24"/>
        </w:rPr>
      </w:pPr>
      <w:r w:rsidRPr="00B537CC">
        <w:rPr>
          <w:rFonts w:ascii="Garamond" w:hAnsi="Garamond"/>
          <w:i/>
          <w:sz w:val="24"/>
          <w:szCs w:val="24"/>
        </w:rPr>
        <w:t>Any natural or legal person may, under the conditions laid down in the first and second paragraphs, institute proceedings against an act addressed to that person or which is of direct and individual concern to them, and against a regulatory act which is of direct concern to them and does not entail implementing measures.</w:t>
      </w:r>
    </w:p>
    <w:p w14:paraId="42F21FFD" w14:textId="77777777" w:rsidR="00BC7C75" w:rsidRPr="00B537CC" w:rsidRDefault="00BC7C75" w:rsidP="00BC7C75">
      <w:pPr>
        <w:pStyle w:val="ListParagraph"/>
        <w:rPr>
          <w:rFonts w:ascii="Garamond" w:hAnsi="Garamond"/>
          <w:b/>
          <w:i/>
          <w:sz w:val="24"/>
          <w:szCs w:val="24"/>
        </w:rPr>
      </w:pPr>
    </w:p>
    <w:p w14:paraId="5DC1F570" w14:textId="77777777" w:rsidR="00BC7C75" w:rsidRPr="00B537CC" w:rsidRDefault="00BC7C75" w:rsidP="00BC7C75">
      <w:pPr>
        <w:pStyle w:val="ListParagraph"/>
        <w:numPr>
          <w:ilvl w:val="0"/>
          <w:numId w:val="9"/>
        </w:numPr>
        <w:jc w:val="both"/>
        <w:rPr>
          <w:rFonts w:ascii="Garamond" w:hAnsi="Garamond"/>
          <w:b/>
          <w:i/>
          <w:sz w:val="24"/>
          <w:szCs w:val="24"/>
        </w:rPr>
      </w:pPr>
      <w:r w:rsidRPr="00B537CC">
        <w:rPr>
          <w:rFonts w:ascii="Garamond" w:hAnsi="Garamond"/>
          <w:i/>
          <w:sz w:val="24"/>
          <w:szCs w:val="24"/>
        </w:rPr>
        <w:t xml:space="preserve"> Acts setting up bodies, offices and agencies of the Union may lay down specific conditions and arrangements concerning actions brought by natural or legal persons against acts of these bodies, offices or agencies intended to produce legal effects in relation to them.</w:t>
      </w:r>
    </w:p>
    <w:p w14:paraId="74F1C34B" w14:textId="77777777" w:rsidR="00BC7C75" w:rsidRPr="00B537CC" w:rsidRDefault="00BC7C75" w:rsidP="00BC7C75">
      <w:pPr>
        <w:pStyle w:val="ListParagraph"/>
        <w:rPr>
          <w:rFonts w:ascii="Garamond" w:hAnsi="Garamond"/>
          <w:b/>
          <w:i/>
          <w:sz w:val="24"/>
          <w:szCs w:val="24"/>
        </w:rPr>
      </w:pPr>
    </w:p>
    <w:p w14:paraId="79DE0CE1" w14:textId="77777777" w:rsidR="00BC7C75" w:rsidRPr="00B537CC" w:rsidRDefault="00BC7C75" w:rsidP="00BC7C75">
      <w:pPr>
        <w:pStyle w:val="ListParagraph"/>
        <w:numPr>
          <w:ilvl w:val="0"/>
          <w:numId w:val="9"/>
        </w:numPr>
        <w:jc w:val="both"/>
        <w:rPr>
          <w:rFonts w:ascii="Garamond" w:hAnsi="Garamond"/>
          <w:b/>
          <w:i/>
          <w:sz w:val="24"/>
          <w:szCs w:val="24"/>
        </w:rPr>
      </w:pPr>
      <w:r w:rsidRPr="00B537CC">
        <w:rPr>
          <w:rFonts w:ascii="Garamond" w:hAnsi="Garamond"/>
          <w:i/>
          <w:sz w:val="24"/>
          <w:szCs w:val="24"/>
        </w:rPr>
        <w:t xml:space="preserve">The proceedings provided for in this Article shall be instituted within two months of the publication of the measure, or of its notification to the plaintiff, or, in the absence thereof, of the day on which it came to the knowledge of the </w:t>
      </w:r>
      <w:proofErr w:type="gramStart"/>
      <w:r w:rsidRPr="00B537CC">
        <w:rPr>
          <w:rFonts w:ascii="Garamond" w:hAnsi="Garamond"/>
          <w:i/>
          <w:sz w:val="24"/>
          <w:szCs w:val="24"/>
        </w:rPr>
        <w:t>latter, as the case may be</w:t>
      </w:r>
      <w:proofErr w:type="gramEnd"/>
      <w:r w:rsidRPr="00B537CC">
        <w:rPr>
          <w:rFonts w:ascii="Garamond" w:hAnsi="Garamond"/>
          <w:i/>
          <w:sz w:val="24"/>
          <w:szCs w:val="24"/>
        </w:rPr>
        <w:t>.</w:t>
      </w:r>
    </w:p>
    <w:p w14:paraId="56A0FEA9" w14:textId="77777777" w:rsidR="00BC7C75" w:rsidRPr="00B537CC" w:rsidRDefault="00BC7C75" w:rsidP="00BC7C75">
      <w:pPr>
        <w:pStyle w:val="ListParagraph"/>
        <w:rPr>
          <w:rFonts w:ascii="Garamond" w:hAnsi="Garamond"/>
          <w:b/>
          <w:i/>
          <w:sz w:val="24"/>
          <w:szCs w:val="24"/>
        </w:rPr>
      </w:pPr>
    </w:p>
    <w:p w14:paraId="79567B06" w14:textId="77777777" w:rsidR="00BC7C75" w:rsidRDefault="00BC7C75" w:rsidP="00BC7C75">
      <w:pPr>
        <w:pStyle w:val="ListParagraph"/>
        <w:numPr>
          <w:ilvl w:val="0"/>
          <w:numId w:val="8"/>
        </w:numPr>
        <w:rPr>
          <w:rFonts w:ascii="Garamond" w:hAnsi="Garamond"/>
          <w:b/>
          <w:sz w:val="24"/>
          <w:szCs w:val="24"/>
        </w:rPr>
      </w:pPr>
      <w:r>
        <w:rPr>
          <w:rFonts w:ascii="Garamond" w:hAnsi="Garamond"/>
          <w:b/>
          <w:sz w:val="24"/>
          <w:szCs w:val="24"/>
        </w:rPr>
        <w:t>The aim and structure of Article 263 TFEU</w:t>
      </w:r>
    </w:p>
    <w:p w14:paraId="05BA8906" w14:textId="77777777" w:rsidR="00BC7C75" w:rsidRDefault="00BC7C75" w:rsidP="00BC7C75">
      <w:pPr>
        <w:pStyle w:val="ListParagraph"/>
        <w:rPr>
          <w:rFonts w:ascii="Garamond" w:hAnsi="Garamond"/>
          <w:b/>
          <w:sz w:val="24"/>
          <w:szCs w:val="24"/>
        </w:rPr>
      </w:pPr>
    </w:p>
    <w:p w14:paraId="602757C3" w14:textId="4191110B" w:rsidR="00BC7C75" w:rsidRDefault="00BC7C75" w:rsidP="00BC7C75">
      <w:pPr>
        <w:pStyle w:val="ListParagraph"/>
        <w:numPr>
          <w:ilvl w:val="0"/>
          <w:numId w:val="10"/>
        </w:numPr>
        <w:jc w:val="both"/>
        <w:rPr>
          <w:rFonts w:ascii="Garamond" w:hAnsi="Garamond"/>
          <w:sz w:val="24"/>
          <w:szCs w:val="24"/>
        </w:rPr>
      </w:pPr>
      <w:r>
        <w:rPr>
          <w:rFonts w:ascii="Garamond" w:hAnsi="Garamond"/>
          <w:sz w:val="24"/>
          <w:szCs w:val="24"/>
        </w:rPr>
        <w:t xml:space="preserve">The EU legal order adheres to the </w:t>
      </w:r>
      <w:r w:rsidRPr="00EB755D">
        <w:rPr>
          <w:rFonts w:ascii="Garamond" w:hAnsi="Garamond"/>
          <w:i/>
          <w:sz w:val="24"/>
          <w:szCs w:val="24"/>
        </w:rPr>
        <w:t>rule of law</w:t>
      </w:r>
      <w:r>
        <w:rPr>
          <w:rFonts w:ascii="Garamond" w:hAnsi="Garamond"/>
          <w:sz w:val="24"/>
          <w:szCs w:val="24"/>
        </w:rPr>
        <w:t xml:space="preserve">. This means that it is possible for Member States, organisations, </w:t>
      </w:r>
      <w:proofErr w:type="gramStart"/>
      <w:r w:rsidR="00844F90">
        <w:rPr>
          <w:rFonts w:ascii="Garamond" w:hAnsi="Garamond"/>
          <w:sz w:val="24"/>
          <w:szCs w:val="24"/>
        </w:rPr>
        <w:t>companies</w:t>
      </w:r>
      <w:proofErr w:type="gramEnd"/>
      <w:r>
        <w:rPr>
          <w:rFonts w:ascii="Garamond" w:hAnsi="Garamond"/>
          <w:sz w:val="24"/>
          <w:szCs w:val="24"/>
        </w:rPr>
        <w:t xml:space="preserve"> and individuals to challenge the legality or the validity of EU law. The main procedure for doing so is Article 263 TFEU – the so-called “action for annulment”. The aim of these actions is to have a particular provision or instrument of EU law declared invalid and to have it annulled by the Court of Justice. This action makes it possible to do so. </w:t>
      </w:r>
      <w:proofErr w:type="gramStart"/>
      <w:r>
        <w:rPr>
          <w:rFonts w:ascii="Garamond" w:hAnsi="Garamond"/>
          <w:sz w:val="24"/>
          <w:szCs w:val="24"/>
        </w:rPr>
        <w:t>As a general rule</w:t>
      </w:r>
      <w:proofErr w:type="gramEnd"/>
      <w:r>
        <w:rPr>
          <w:rFonts w:ascii="Garamond" w:hAnsi="Garamond"/>
          <w:sz w:val="24"/>
          <w:szCs w:val="24"/>
        </w:rPr>
        <w:t xml:space="preserve">, direct actions for annulment brought by the Member States or one of the EU institutions are brought before the </w:t>
      </w:r>
      <w:r>
        <w:rPr>
          <w:rFonts w:ascii="Garamond" w:hAnsi="Garamond"/>
          <w:sz w:val="24"/>
          <w:szCs w:val="24"/>
        </w:rPr>
        <w:lastRenderedPageBreak/>
        <w:t>Court of Justice. Actions for annulment brought by companies or individuals go to the General Court.</w:t>
      </w:r>
    </w:p>
    <w:p w14:paraId="605EB099" w14:textId="77777777" w:rsidR="00BC7C75" w:rsidRDefault="00BC7C75" w:rsidP="00BC7C75">
      <w:pPr>
        <w:pStyle w:val="ListParagraph"/>
        <w:ind w:left="1080"/>
        <w:jc w:val="both"/>
        <w:rPr>
          <w:rFonts w:ascii="Garamond" w:hAnsi="Garamond"/>
          <w:sz w:val="24"/>
          <w:szCs w:val="24"/>
        </w:rPr>
      </w:pPr>
    </w:p>
    <w:p w14:paraId="2BA9D8D7" w14:textId="1EF62227" w:rsidR="00BC7C75" w:rsidRDefault="00BC7C75" w:rsidP="00BC7C75">
      <w:pPr>
        <w:pStyle w:val="ListParagraph"/>
        <w:numPr>
          <w:ilvl w:val="0"/>
          <w:numId w:val="10"/>
        </w:numPr>
        <w:jc w:val="both"/>
        <w:rPr>
          <w:rFonts w:ascii="Garamond" w:hAnsi="Garamond"/>
          <w:sz w:val="24"/>
          <w:szCs w:val="24"/>
        </w:rPr>
      </w:pPr>
      <w:r>
        <w:rPr>
          <w:rFonts w:ascii="Garamond" w:hAnsi="Garamond"/>
          <w:sz w:val="24"/>
          <w:szCs w:val="24"/>
        </w:rPr>
        <w:t xml:space="preserve">As we will see below, Article 263 TFEU has created </w:t>
      </w:r>
      <w:proofErr w:type="gramStart"/>
      <w:r>
        <w:rPr>
          <w:rFonts w:ascii="Garamond" w:hAnsi="Garamond"/>
          <w:sz w:val="24"/>
          <w:szCs w:val="24"/>
        </w:rPr>
        <w:t>a number of</w:t>
      </w:r>
      <w:proofErr w:type="gramEnd"/>
      <w:r>
        <w:rPr>
          <w:rFonts w:ascii="Garamond" w:hAnsi="Garamond"/>
          <w:sz w:val="24"/>
          <w:szCs w:val="24"/>
        </w:rPr>
        <w:t xml:space="preserve"> substantive and procedural steps that parties have to comply with before an action for annulment can be brought. The threshold to be able to have standing (i.e. to be allowed to start the procedure) for individuals is put extremely high. This means that it is very difficult for private parties to directly challenge EU law</w:t>
      </w:r>
      <w:r w:rsidR="00844F90">
        <w:rPr>
          <w:rFonts w:ascii="Garamond" w:hAnsi="Garamond"/>
          <w:sz w:val="24"/>
          <w:szCs w:val="24"/>
        </w:rPr>
        <w:t xml:space="preserve"> instruments</w:t>
      </w:r>
      <w:r>
        <w:rPr>
          <w:rFonts w:ascii="Garamond" w:hAnsi="Garamond"/>
          <w:sz w:val="24"/>
          <w:szCs w:val="24"/>
        </w:rPr>
        <w:t>. One of the reasons for this high threshold is that an alternative route has been developed through the national courts through the preliminary reference procedure in Article 267 TFEU. We will look at the relationship between Article 263 TFEU and Article 267 TFEU in more detail later.</w:t>
      </w:r>
    </w:p>
    <w:p w14:paraId="2DF0823A" w14:textId="77777777" w:rsidR="00BC7C75" w:rsidRPr="0053770C" w:rsidRDefault="00BC7C75" w:rsidP="00BC7C75">
      <w:pPr>
        <w:pStyle w:val="ListParagraph"/>
        <w:rPr>
          <w:rFonts w:ascii="Garamond" w:hAnsi="Garamond"/>
          <w:sz w:val="24"/>
          <w:szCs w:val="24"/>
        </w:rPr>
      </w:pPr>
    </w:p>
    <w:p w14:paraId="7EC0C7E7" w14:textId="0ABB85B4" w:rsidR="00BC7C75" w:rsidRDefault="00BC7C75" w:rsidP="00BC7C75">
      <w:pPr>
        <w:pStyle w:val="ListParagraph"/>
        <w:numPr>
          <w:ilvl w:val="0"/>
          <w:numId w:val="10"/>
        </w:numPr>
        <w:jc w:val="both"/>
        <w:rPr>
          <w:rFonts w:ascii="Garamond" w:hAnsi="Garamond"/>
          <w:sz w:val="24"/>
          <w:szCs w:val="24"/>
        </w:rPr>
      </w:pPr>
      <w:r>
        <w:rPr>
          <w:rFonts w:ascii="Garamond" w:hAnsi="Garamond"/>
          <w:sz w:val="24"/>
          <w:szCs w:val="24"/>
        </w:rPr>
        <w:t xml:space="preserve">In the lecture on supremacy, we discussed that the Court of Justice cannot invalidate or annul national law. It can only ask the national court to </w:t>
      </w:r>
      <w:r w:rsidR="00844F90">
        <w:rPr>
          <w:rFonts w:ascii="Garamond" w:hAnsi="Garamond"/>
          <w:sz w:val="24"/>
          <w:szCs w:val="24"/>
        </w:rPr>
        <w:t>“</w:t>
      </w:r>
      <w:r>
        <w:rPr>
          <w:rFonts w:ascii="Garamond" w:hAnsi="Garamond"/>
          <w:sz w:val="24"/>
          <w:szCs w:val="24"/>
        </w:rPr>
        <w:t>disapply</w:t>
      </w:r>
      <w:r w:rsidR="00844F90">
        <w:rPr>
          <w:rFonts w:ascii="Garamond" w:hAnsi="Garamond"/>
          <w:sz w:val="24"/>
          <w:szCs w:val="24"/>
        </w:rPr>
        <w:t>”</w:t>
      </w:r>
      <w:r>
        <w:rPr>
          <w:rFonts w:ascii="Garamond" w:hAnsi="Garamond"/>
          <w:sz w:val="24"/>
          <w:szCs w:val="24"/>
        </w:rPr>
        <w:t xml:space="preserve"> national law. The Court of Justice expects a similar attitude from national courts when it comes to the annulment of EU law. To protect the effective and uniform application of EU law, the Court of Justice is the only court which can </w:t>
      </w:r>
      <w:r w:rsidR="00EC1E4F">
        <w:rPr>
          <w:rFonts w:ascii="Garamond" w:hAnsi="Garamond"/>
          <w:sz w:val="24"/>
          <w:szCs w:val="24"/>
        </w:rPr>
        <w:t>annul</w:t>
      </w:r>
      <w:r>
        <w:rPr>
          <w:rFonts w:ascii="Garamond" w:hAnsi="Garamond"/>
          <w:sz w:val="24"/>
          <w:szCs w:val="24"/>
        </w:rPr>
        <w:t xml:space="preserve"> provisions of EU law. This centralised role for the Court of Justice means that, when a party submits before the national court that a provision of EU law is invalid, the national court will have to refer the case to the Court of Justice through the preliminary reference procedure in Article 267 TFEU. Again, we will discuss this in more detail later. However, it is important to understand at this stage that one of the main reasons why the criteria for standing developed by the Court and in Article 263 TFEU are so strict is that there is always an alternative route available to private parties through the national courts.</w:t>
      </w:r>
    </w:p>
    <w:p w14:paraId="44C1EB25" w14:textId="77777777" w:rsidR="00BC7C75" w:rsidRPr="0053770C" w:rsidRDefault="00BC7C75" w:rsidP="00BC7C75">
      <w:pPr>
        <w:pStyle w:val="ListParagraph"/>
        <w:rPr>
          <w:rFonts w:ascii="Garamond" w:hAnsi="Garamond"/>
          <w:sz w:val="24"/>
          <w:szCs w:val="24"/>
        </w:rPr>
      </w:pPr>
    </w:p>
    <w:p w14:paraId="5E66B897" w14:textId="4C6EFE28" w:rsidR="00BC7C75" w:rsidRDefault="00BC7C75" w:rsidP="00BC7C75">
      <w:pPr>
        <w:pStyle w:val="ListParagraph"/>
        <w:numPr>
          <w:ilvl w:val="0"/>
          <w:numId w:val="10"/>
        </w:numPr>
        <w:jc w:val="both"/>
        <w:rPr>
          <w:rFonts w:ascii="Garamond" w:hAnsi="Garamond"/>
          <w:sz w:val="24"/>
          <w:szCs w:val="24"/>
        </w:rPr>
      </w:pPr>
      <w:r>
        <w:rPr>
          <w:rFonts w:ascii="Garamond" w:hAnsi="Garamond"/>
          <w:sz w:val="24"/>
          <w:szCs w:val="24"/>
        </w:rPr>
        <w:t xml:space="preserve">As you </w:t>
      </w:r>
      <w:r w:rsidR="00844F90">
        <w:rPr>
          <w:rFonts w:ascii="Garamond" w:hAnsi="Garamond"/>
          <w:sz w:val="24"/>
          <w:szCs w:val="24"/>
        </w:rPr>
        <w:t>can</w:t>
      </w:r>
      <w:r>
        <w:rPr>
          <w:rFonts w:ascii="Garamond" w:hAnsi="Garamond"/>
          <w:sz w:val="24"/>
          <w:szCs w:val="24"/>
        </w:rPr>
        <w:t xml:space="preserve"> see from the structure of Article 263 TFEU, there are </w:t>
      </w:r>
      <w:proofErr w:type="gramStart"/>
      <w:r>
        <w:rPr>
          <w:rFonts w:ascii="Garamond" w:hAnsi="Garamond"/>
          <w:sz w:val="24"/>
          <w:szCs w:val="24"/>
        </w:rPr>
        <w:t>a number of</w:t>
      </w:r>
      <w:proofErr w:type="gramEnd"/>
      <w:r>
        <w:rPr>
          <w:rFonts w:ascii="Garamond" w:hAnsi="Garamond"/>
          <w:sz w:val="24"/>
          <w:szCs w:val="24"/>
        </w:rPr>
        <w:t xml:space="preserve"> conditions claimants who want to bring a direct action for annulment have to fulfil</w:t>
      </w:r>
      <w:r w:rsidR="00844F90">
        <w:rPr>
          <w:rFonts w:ascii="Garamond" w:hAnsi="Garamond"/>
          <w:sz w:val="24"/>
          <w:szCs w:val="24"/>
        </w:rPr>
        <w:t>:</w:t>
      </w:r>
      <w:r>
        <w:rPr>
          <w:rFonts w:ascii="Garamond" w:hAnsi="Garamond"/>
          <w:sz w:val="24"/>
          <w:szCs w:val="24"/>
        </w:rPr>
        <w:t xml:space="preserve"> </w:t>
      </w:r>
    </w:p>
    <w:p w14:paraId="25C46401" w14:textId="77777777" w:rsidR="00BC7C75" w:rsidRPr="006E44E2" w:rsidRDefault="00BC7C75" w:rsidP="00BC7C75">
      <w:pPr>
        <w:pStyle w:val="ListParagraph"/>
        <w:rPr>
          <w:rFonts w:ascii="Garamond" w:hAnsi="Garamond"/>
          <w:sz w:val="24"/>
          <w:szCs w:val="24"/>
        </w:rPr>
      </w:pPr>
    </w:p>
    <w:p w14:paraId="7A3D4A75" w14:textId="77777777" w:rsidR="00BC7C75" w:rsidRDefault="00BC7C75" w:rsidP="00BC7C75">
      <w:pPr>
        <w:pStyle w:val="ListParagraph"/>
        <w:numPr>
          <w:ilvl w:val="0"/>
          <w:numId w:val="11"/>
        </w:numPr>
        <w:jc w:val="both"/>
        <w:rPr>
          <w:rFonts w:ascii="Garamond" w:hAnsi="Garamond"/>
          <w:sz w:val="24"/>
          <w:szCs w:val="24"/>
        </w:rPr>
      </w:pPr>
      <w:r>
        <w:rPr>
          <w:rFonts w:ascii="Garamond" w:hAnsi="Garamond"/>
          <w:sz w:val="24"/>
          <w:szCs w:val="24"/>
        </w:rPr>
        <w:t xml:space="preserve">The act of EU law that is challenged by the claimant </w:t>
      </w:r>
      <w:proofErr w:type="gramStart"/>
      <w:r>
        <w:rPr>
          <w:rFonts w:ascii="Garamond" w:hAnsi="Garamond"/>
          <w:sz w:val="24"/>
          <w:szCs w:val="24"/>
        </w:rPr>
        <w:t>has to</w:t>
      </w:r>
      <w:proofErr w:type="gramEnd"/>
      <w:r>
        <w:rPr>
          <w:rFonts w:ascii="Garamond" w:hAnsi="Garamond"/>
          <w:sz w:val="24"/>
          <w:szCs w:val="24"/>
        </w:rPr>
        <w:t xml:space="preserve"> be a </w:t>
      </w:r>
      <w:r w:rsidRPr="00727C02">
        <w:rPr>
          <w:rFonts w:ascii="Garamond" w:hAnsi="Garamond"/>
          <w:b/>
          <w:bCs/>
          <w:sz w:val="24"/>
          <w:szCs w:val="24"/>
        </w:rPr>
        <w:t>reviewable act</w:t>
      </w:r>
      <w:r>
        <w:rPr>
          <w:rFonts w:ascii="Garamond" w:hAnsi="Garamond"/>
          <w:sz w:val="24"/>
          <w:szCs w:val="24"/>
        </w:rPr>
        <w:t xml:space="preserve"> </w:t>
      </w:r>
    </w:p>
    <w:p w14:paraId="1C5E7161" w14:textId="77777777" w:rsidR="00BC7C75" w:rsidRDefault="00BC7C75" w:rsidP="00BC7C75">
      <w:pPr>
        <w:pStyle w:val="ListParagraph"/>
        <w:ind w:left="1440"/>
        <w:jc w:val="both"/>
        <w:rPr>
          <w:rFonts w:ascii="Garamond" w:hAnsi="Garamond"/>
          <w:sz w:val="24"/>
          <w:szCs w:val="24"/>
        </w:rPr>
      </w:pPr>
    </w:p>
    <w:p w14:paraId="6E3047EA" w14:textId="77777777" w:rsidR="00BC7C75" w:rsidRDefault="00BC7C75" w:rsidP="00BC7C75">
      <w:pPr>
        <w:pStyle w:val="ListParagraph"/>
        <w:numPr>
          <w:ilvl w:val="0"/>
          <w:numId w:val="11"/>
        </w:numPr>
        <w:jc w:val="both"/>
        <w:rPr>
          <w:rFonts w:ascii="Garamond" w:hAnsi="Garamond"/>
          <w:sz w:val="24"/>
          <w:szCs w:val="24"/>
        </w:rPr>
      </w:pPr>
      <w:r>
        <w:rPr>
          <w:rFonts w:ascii="Garamond" w:hAnsi="Garamond"/>
          <w:sz w:val="24"/>
          <w:szCs w:val="24"/>
        </w:rPr>
        <w:t xml:space="preserve">There must be a </w:t>
      </w:r>
      <w:r w:rsidRPr="00727C02">
        <w:rPr>
          <w:rFonts w:ascii="Garamond" w:hAnsi="Garamond"/>
          <w:b/>
          <w:bCs/>
          <w:sz w:val="24"/>
          <w:szCs w:val="24"/>
        </w:rPr>
        <w:t>ground for annulment</w:t>
      </w:r>
      <w:r>
        <w:rPr>
          <w:rFonts w:ascii="Garamond" w:hAnsi="Garamond"/>
          <w:sz w:val="24"/>
          <w:szCs w:val="24"/>
        </w:rPr>
        <w:t xml:space="preserve"> which is included in Article 263 TFEU</w:t>
      </w:r>
    </w:p>
    <w:p w14:paraId="4D43C641" w14:textId="77777777" w:rsidR="00BC7C75" w:rsidRDefault="00BC7C75" w:rsidP="00BC7C75">
      <w:pPr>
        <w:pStyle w:val="ListParagraph"/>
        <w:ind w:left="1440"/>
        <w:jc w:val="both"/>
        <w:rPr>
          <w:rFonts w:ascii="Garamond" w:hAnsi="Garamond"/>
          <w:sz w:val="24"/>
          <w:szCs w:val="24"/>
        </w:rPr>
      </w:pPr>
    </w:p>
    <w:p w14:paraId="3C199B55" w14:textId="77777777" w:rsidR="00BC7C75" w:rsidRDefault="00BC7C75" w:rsidP="00BC7C75">
      <w:pPr>
        <w:pStyle w:val="ListParagraph"/>
        <w:numPr>
          <w:ilvl w:val="0"/>
          <w:numId w:val="11"/>
        </w:numPr>
        <w:jc w:val="both"/>
        <w:rPr>
          <w:rFonts w:ascii="Garamond" w:hAnsi="Garamond"/>
          <w:sz w:val="24"/>
          <w:szCs w:val="24"/>
        </w:rPr>
      </w:pPr>
      <w:r>
        <w:rPr>
          <w:rFonts w:ascii="Garamond" w:hAnsi="Garamond"/>
          <w:sz w:val="24"/>
          <w:szCs w:val="24"/>
        </w:rPr>
        <w:t xml:space="preserve">The claimant must have </w:t>
      </w:r>
      <w:r w:rsidRPr="00727C02">
        <w:rPr>
          <w:rFonts w:ascii="Garamond" w:hAnsi="Garamond"/>
          <w:b/>
          <w:bCs/>
          <w:sz w:val="24"/>
          <w:szCs w:val="24"/>
        </w:rPr>
        <w:t>legal standing</w:t>
      </w:r>
      <w:r>
        <w:rPr>
          <w:rFonts w:ascii="Garamond" w:hAnsi="Garamond"/>
          <w:sz w:val="24"/>
          <w:szCs w:val="24"/>
        </w:rPr>
        <w:t xml:space="preserve"> to bring an action for annulment</w:t>
      </w:r>
    </w:p>
    <w:p w14:paraId="3D68DF0D" w14:textId="77777777" w:rsidR="00BC7C75" w:rsidRPr="006E44E2" w:rsidRDefault="00BC7C75" w:rsidP="00BC7C75">
      <w:pPr>
        <w:pStyle w:val="ListParagraph"/>
        <w:rPr>
          <w:rFonts w:ascii="Garamond" w:hAnsi="Garamond"/>
          <w:sz w:val="24"/>
          <w:szCs w:val="24"/>
        </w:rPr>
      </w:pPr>
    </w:p>
    <w:p w14:paraId="7B41C106" w14:textId="77777777" w:rsidR="00BC7C75" w:rsidRDefault="00BC7C75" w:rsidP="00BC7C75">
      <w:pPr>
        <w:pStyle w:val="ListParagraph"/>
        <w:numPr>
          <w:ilvl w:val="0"/>
          <w:numId w:val="11"/>
        </w:numPr>
        <w:jc w:val="both"/>
        <w:rPr>
          <w:rFonts w:ascii="Garamond" w:hAnsi="Garamond"/>
          <w:sz w:val="24"/>
          <w:szCs w:val="24"/>
        </w:rPr>
      </w:pPr>
      <w:r>
        <w:rPr>
          <w:rFonts w:ascii="Garamond" w:hAnsi="Garamond"/>
          <w:sz w:val="24"/>
          <w:szCs w:val="24"/>
        </w:rPr>
        <w:t xml:space="preserve">The claim must have been brought within </w:t>
      </w:r>
      <w:r w:rsidRPr="00727C02">
        <w:rPr>
          <w:rFonts w:ascii="Garamond" w:hAnsi="Garamond"/>
          <w:b/>
          <w:bCs/>
          <w:sz w:val="24"/>
          <w:szCs w:val="24"/>
        </w:rPr>
        <w:t>the time-limit</w:t>
      </w:r>
    </w:p>
    <w:p w14:paraId="2496F213" w14:textId="77777777" w:rsidR="00BC7C75" w:rsidRDefault="00BC7C75" w:rsidP="00BC7C75">
      <w:pPr>
        <w:ind w:left="1080"/>
        <w:jc w:val="both"/>
        <w:rPr>
          <w:rFonts w:ascii="Garamond" w:hAnsi="Garamond"/>
          <w:sz w:val="24"/>
          <w:szCs w:val="24"/>
        </w:rPr>
      </w:pPr>
      <w:r>
        <w:rPr>
          <w:rFonts w:ascii="Garamond" w:hAnsi="Garamond"/>
          <w:sz w:val="24"/>
          <w:szCs w:val="24"/>
        </w:rPr>
        <w:t>We will now analyse each of these steps.</w:t>
      </w:r>
    </w:p>
    <w:p w14:paraId="4DD19626" w14:textId="77777777" w:rsidR="00BC7C75" w:rsidRDefault="00BC7C75" w:rsidP="00BC7C75">
      <w:pPr>
        <w:pStyle w:val="ListParagraph"/>
        <w:numPr>
          <w:ilvl w:val="0"/>
          <w:numId w:val="8"/>
        </w:numPr>
        <w:jc w:val="both"/>
        <w:rPr>
          <w:rFonts w:ascii="Garamond" w:hAnsi="Garamond"/>
          <w:b/>
          <w:sz w:val="24"/>
          <w:szCs w:val="24"/>
        </w:rPr>
      </w:pPr>
      <w:r>
        <w:rPr>
          <w:rFonts w:ascii="Garamond" w:hAnsi="Garamond"/>
          <w:b/>
          <w:sz w:val="24"/>
          <w:szCs w:val="24"/>
        </w:rPr>
        <w:t>A reviewable legal act</w:t>
      </w:r>
    </w:p>
    <w:p w14:paraId="7C7A0213" w14:textId="77777777" w:rsidR="00BC7C75" w:rsidRDefault="00BC7C75" w:rsidP="00BC7C75">
      <w:pPr>
        <w:pStyle w:val="ListParagraph"/>
        <w:jc w:val="both"/>
        <w:rPr>
          <w:rFonts w:ascii="Garamond" w:hAnsi="Garamond"/>
          <w:b/>
          <w:sz w:val="24"/>
          <w:szCs w:val="24"/>
        </w:rPr>
      </w:pPr>
    </w:p>
    <w:p w14:paraId="6FAE7DAC" w14:textId="2E3DCF67" w:rsidR="00BC7C75" w:rsidRDefault="00BC7C75" w:rsidP="00BC7C75">
      <w:pPr>
        <w:pStyle w:val="ListParagraph"/>
        <w:numPr>
          <w:ilvl w:val="0"/>
          <w:numId w:val="12"/>
        </w:numPr>
        <w:jc w:val="both"/>
        <w:rPr>
          <w:rFonts w:ascii="Garamond" w:hAnsi="Garamond"/>
          <w:sz w:val="24"/>
          <w:szCs w:val="24"/>
        </w:rPr>
      </w:pPr>
      <w:r>
        <w:rPr>
          <w:rFonts w:ascii="Garamond" w:hAnsi="Garamond"/>
          <w:sz w:val="24"/>
          <w:szCs w:val="24"/>
        </w:rPr>
        <w:t xml:space="preserve">Article 263(1) TFEU provides of which legal acts the validity can be reviewed. </w:t>
      </w:r>
      <w:proofErr w:type="gramStart"/>
      <w:r>
        <w:rPr>
          <w:rFonts w:ascii="Garamond" w:hAnsi="Garamond"/>
          <w:sz w:val="24"/>
          <w:szCs w:val="24"/>
        </w:rPr>
        <w:t>First of all</w:t>
      </w:r>
      <w:proofErr w:type="gramEnd"/>
      <w:r>
        <w:rPr>
          <w:rFonts w:ascii="Garamond" w:hAnsi="Garamond"/>
          <w:sz w:val="24"/>
          <w:szCs w:val="24"/>
        </w:rPr>
        <w:t xml:space="preserve">, legislative acts can be reviewed. Secondly, acts of the EU institutions intended to produce legal effects vis-à-vis third parties. Thirdly, the Court can also review the validity of acts </w:t>
      </w:r>
      <w:r w:rsidR="00196CA9">
        <w:rPr>
          <w:rFonts w:ascii="Garamond" w:hAnsi="Garamond"/>
          <w:sz w:val="24"/>
          <w:szCs w:val="24"/>
        </w:rPr>
        <w:t>of</w:t>
      </w:r>
      <w:r>
        <w:rPr>
          <w:rFonts w:ascii="Garamond" w:hAnsi="Garamond"/>
          <w:sz w:val="24"/>
          <w:szCs w:val="24"/>
        </w:rPr>
        <w:t xml:space="preserve"> other EU bodies which are intended to produce legal effects vis-à-vis third parties. </w:t>
      </w:r>
    </w:p>
    <w:p w14:paraId="1418298C" w14:textId="77777777" w:rsidR="00BC7C75" w:rsidRDefault="00BC7C75" w:rsidP="00BC7C75">
      <w:pPr>
        <w:pStyle w:val="ListParagraph"/>
        <w:ind w:left="1080"/>
        <w:jc w:val="both"/>
        <w:rPr>
          <w:rFonts w:ascii="Garamond" w:hAnsi="Garamond"/>
          <w:sz w:val="24"/>
          <w:szCs w:val="24"/>
        </w:rPr>
      </w:pPr>
    </w:p>
    <w:p w14:paraId="7DFE8F49" w14:textId="77777777" w:rsidR="00BC7C75" w:rsidRDefault="00BC7C75" w:rsidP="00BC7C75">
      <w:pPr>
        <w:pStyle w:val="ListParagraph"/>
        <w:numPr>
          <w:ilvl w:val="0"/>
          <w:numId w:val="12"/>
        </w:numPr>
        <w:jc w:val="both"/>
        <w:rPr>
          <w:rFonts w:ascii="Garamond" w:hAnsi="Garamond"/>
          <w:sz w:val="24"/>
          <w:szCs w:val="24"/>
        </w:rPr>
      </w:pPr>
      <w:r>
        <w:rPr>
          <w:rFonts w:ascii="Garamond" w:hAnsi="Garamond"/>
          <w:sz w:val="24"/>
          <w:szCs w:val="24"/>
        </w:rPr>
        <w:lastRenderedPageBreak/>
        <w:t>This means that the act must be legally binding – it must directly create legal effects for third parties. As such, recommendations and opinions cannot be challenged under Article 263 TFEU. This is because they are purely advisory instruments – policy documents – that do not produce legal effects vis-à-vis third parties.</w:t>
      </w:r>
    </w:p>
    <w:p w14:paraId="29CBE2E6" w14:textId="77777777" w:rsidR="00BC7C75" w:rsidRPr="007860B5" w:rsidRDefault="00BC7C75" w:rsidP="00BC7C75">
      <w:pPr>
        <w:pStyle w:val="ListParagraph"/>
        <w:rPr>
          <w:rFonts w:ascii="Garamond" w:hAnsi="Garamond"/>
          <w:sz w:val="24"/>
          <w:szCs w:val="24"/>
        </w:rPr>
      </w:pPr>
    </w:p>
    <w:p w14:paraId="0DCC634E" w14:textId="29F2F3A4" w:rsidR="00BC7C75" w:rsidRDefault="00BC7C75" w:rsidP="00BC7C75">
      <w:pPr>
        <w:pStyle w:val="ListParagraph"/>
        <w:numPr>
          <w:ilvl w:val="0"/>
          <w:numId w:val="12"/>
        </w:numPr>
        <w:jc w:val="both"/>
        <w:rPr>
          <w:rFonts w:ascii="Garamond" w:hAnsi="Garamond"/>
          <w:sz w:val="24"/>
          <w:szCs w:val="24"/>
        </w:rPr>
      </w:pPr>
      <w:r>
        <w:rPr>
          <w:rFonts w:ascii="Garamond" w:hAnsi="Garamond"/>
          <w:sz w:val="24"/>
          <w:szCs w:val="24"/>
        </w:rPr>
        <w:t>As soon as an act of an EU institution or body produces legal effects vis-à-vis third parties, it can be reviewed under Article 263 TFEU. The precise type of the act or the name of the instrument does not matter – the label of the measure is irrelevant. The Court will assess whether</w:t>
      </w:r>
      <w:r w:rsidR="00844F90">
        <w:rPr>
          <w:rFonts w:ascii="Garamond" w:hAnsi="Garamond"/>
          <w:sz w:val="24"/>
          <w:szCs w:val="24"/>
        </w:rPr>
        <w:t>,</w:t>
      </w:r>
      <w:r>
        <w:rPr>
          <w:rFonts w:ascii="Garamond" w:hAnsi="Garamond"/>
          <w:sz w:val="24"/>
          <w:szCs w:val="24"/>
        </w:rPr>
        <w:t xml:space="preserve"> </w:t>
      </w:r>
      <w:r w:rsidR="00844F90">
        <w:rPr>
          <w:rFonts w:ascii="Garamond" w:hAnsi="Garamond"/>
          <w:sz w:val="24"/>
          <w:szCs w:val="24"/>
        </w:rPr>
        <w:t>in substance</w:t>
      </w:r>
      <w:r w:rsidR="00844F90">
        <w:rPr>
          <w:rFonts w:ascii="Garamond" w:hAnsi="Garamond"/>
          <w:sz w:val="24"/>
          <w:szCs w:val="24"/>
        </w:rPr>
        <w:t>,</w:t>
      </w:r>
      <w:r w:rsidR="00844F90">
        <w:rPr>
          <w:rFonts w:ascii="Garamond" w:hAnsi="Garamond"/>
          <w:sz w:val="24"/>
          <w:szCs w:val="24"/>
        </w:rPr>
        <w:t xml:space="preserve"> </w:t>
      </w:r>
      <w:r>
        <w:rPr>
          <w:rFonts w:ascii="Garamond" w:hAnsi="Garamond"/>
          <w:sz w:val="24"/>
          <w:szCs w:val="24"/>
        </w:rPr>
        <w:t xml:space="preserve">the measure is a legal act which is binding on third parties. If this is the case, the act can be reviewed under Article 263 TFEU. See Case C-22/70, </w:t>
      </w:r>
      <w:r w:rsidRPr="007860B5">
        <w:rPr>
          <w:rFonts w:ascii="Garamond" w:hAnsi="Garamond"/>
          <w:i/>
          <w:sz w:val="24"/>
          <w:szCs w:val="24"/>
        </w:rPr>
        <w:t>ERTA</w:t>
      </w:r>
      <w:r>
        <w:rPr>
          <w:rFonts w:ascii="Garamond" w:hAnsi="Garamond"/>
          <w:sz w:val="24"/>
          <w:szCs w:val="24"/>
        </w:rPr>
        <w:t>.</w:t>
      </w:r>
    </w:p>
    <w:p w14:paraId="750A6154" w14:textId="77777777" w:rsidR="00BC7C75" w:rsidRPr="007860B5" w:rsidRDefault="00BC7C75" w:rsidP="00BC7C75">
      <w:pPr>
        <w:pStyle w:val="ListParagraph"/>
        <w:rPr>
          <w:rFonts w:ascii="Garamond" w:hAnsi="Garamond"/>
          <w:sz w:val="24"/>
          <w:szCs w:val="24"/>
        </w:rPr>
      </w:pPr>
    </w:p>
    <w:p w14:paraId="2A44C3FC" w14:textId="77777777" w:rsidR="00BC7C75" w:rsidRDefault="00BC7C75" w:rsidP="00BC7C75">
      <w:pPr>
        <w:pStyle w:val="ListParagraph"/>
        <w:numPr>
          <w:ilvl w:val="0"/>
          <w:numId w:val="8"/>
        </w:numPr>
        <w:jc w:val="both"/>
        <w:rPr>
          <w:rFonts w:ascii="Garamond" w:hAnsi="Garamond"/>
          <w:b/>
          <w:sz w:val="24"/>
          <w:szCs w:val="24"/>
        </w:rPr>
      </w:pPr>
      <w:r>
        <w:rPr>
          <w:rFonts w:ascii="Garamond" w:hAnsi="Garamond"/>
          <w:b/>
          <w:sz w:val="24"/>
          <w:szCs w:val="24"/>
        </w:rPr>
        <w:t>A ground for annulment</w:t>
      </w:r>
    </w:p>
    <w:p w14:paraId="2B1F66C0" w14:textId="77777777" w:rsidR="00BC7C75" w:rsidRDefault="00BC7C75" w:rsidP="00BC7C75">
      <w:pPr>
        <w:pStyle w:val="ListParagraph"/>
        <w:jc w:val="both"/>
        <w:rPr>
          <w:rFonts w:ascii="Garamond" w:hAnsi="Garamond"/>
          <w:b/>
          <w:sz w:val="24"/>
          <w:szCs w:val="24"/>
        </w:rPr>
      </w:pPr>
    </w:p>
    <w:p w14:paraId="6EB5A32C" w14:textId="0A7D67DE" w:rsidR="00BC7C75" w:rsidRDefault="00BC7C75" w:rsidP="00BC7C75">
      <w:pPr>
        <w:pStyle w:val="ListParagraph"/>
        <w:numPr>
          <w:ilvl w:val="0"/>
          <w:numId w:val="13"/>
        </w:numPr>
        <w:jc w:val="both"/>
        <w:rPr>
          <w:rFonts w:ascii="Garamond" w:hAnsi="Garamond"/>
          <w:sz w:val="24"/>
          <w:szCs w:val="24"/>
        </w:rPr>
      </w:pPr>
      <w:r>
        <w:rPr>
          <w:rFonts w:ascii="Garamond" w:hAnsi="Garamond"/>
          <w:sz w:val="24"/>
          <w:szCs w:val="24"/>
        </w:rPr>
        <w:t xml:space="preserve">The claimant </w:t>
      </w:r>
      <w:proofErr w:type="gramStart"/>
      <w:r>
        <w:rPr>
          <w:rFonts w:ascii="Garamond" w:hAnsi="Garamond"/>
          <w:sz w:val="24"/>
          <w:szCs w:val="24"/>
        </w:rPr>
        <w:t>has to</w:t>
      </w:r>
      <w:proofErr w:type="gramEnd"/>
      <w:r>
        <w:rPr>
          <w:rFonts w:ascii="Garamond" w:hAnsi="Garamond"/>
          <w:sz w:val="24"/>
          <w:szCs w:val="24"/>
        </w:rPr>
        <w:t xml:space="preserve"> establish that they are relying on one of the grounds for annulment included in Article 263</w:t>
      </w:r>
      <w:r w:rsidR="00196CA9">
        <w:rPr>
          <w:rFonts w:ascii="Garamond" w:hAnsi="Garamond"/>
          <w:sz w:val="24"/>
          <w:szCs w:val="24"/>
        </w:rPr>
        <w:t>(2)</w:t>
      </w:r>
      <w:r>
        <w:rPr>
          <w:rFonts w:ascii="Garamond" w:hAnsi="Garamond"/>
          <w:sz w:val="24"/>
          <w:szCs w:val="24"/>
        </w:rPr>
        <w:t xml:space="preserve"> TFEU. It is only </w:t>
      </w:r>
      <w:proofErr w:type="gramStart"/>
      <w:r w:rsidR="00196CA9">
        <w:rPr>
          <w:rFonts w:ascii="Garamond" w:hAnsi="Garamond"/>
          <w:sz w:val="24"/>
          <w:szCs w:val="24"/>
        </w:rPr>
        <w:t xml:space="preserve">on </w:t>
      </w:r>
      <w:r>
        <w:rPr>
          <w:rFonts w:ascii="Garamond" w:hAnsi="Garamond"/>
          <w:sz w:val="24"/>
          <w:szCs w:val="24"/>
        </w:rPr>
        <w:t>the basis of</w:t>
      </w:r>
      <w:proofErr w:type="gramEnd"/>
      <w:r>
        <w:rPr>
          <w:rFonts w:ascii="Garamond" w:hAnsi="Garamond"/>
          <w:sz w:val="24"/>
          <w:szCs w:val="24"/>
        </w:rPr>
        <w:t xml:space="preserve"> one of these grounds that an EU act can be annulled. However, we will see that they are so broad that it is usually not difficult for a claimant to bring their case within one of these grounds.</w:t>
      </w:r>
    </w:p>
    <w:p w14:paraId="4941BD81" w14:textId="77777777" w:rsidR="00BC7C75" w:rsidRDefault="00BC7C75" w:rsidP="00BC7C75">
      <w:pPr>
        <w:pStyle w:val="ListParagraph"/>
        <w:ind w:left="1080"/>
        <w:jc w:val="both"/>
        <w:rPr>
          <w:rFonts w:ascii="Garamond" w:hAnsi="Garamond"/>
          <w:sz w:val="24"/>
          <w:szCs w:val="24"/>
        </w:rPr>
      </w:pPr>
    </w:p>
    <w:p w14:paraId="7A0FD4B4" w14:textId="3C432558" w:rsidR="00BC7C75" w:rsidRDefault="00BC7C75" w:rsidP="00BC7C75">
      <w:pPr>
        <w:pStyle w:val="ListParagraph"/>
        <w:numPr>
          <w:ilvl w:val="0"/>
          <w:numId w:val="13"/>
        </w:numPr>
        <w:jc w:val="both"/>
        <w:rPr>
          <w:rFonts w:ascii="Garamond" w:hAnsi="Garamond"/>
          <w:sz w:val="24"/>
          <w:szCs w:val="24"/>
        </w:rPr>
      </w:pPr>
      <w:r>
        <w:rPr>
          <w:rFonts w:ascii="Garamond" w:hAnsi="Garamond"/>
          <w:sz w:val="24"/>
          <w:szCs w:val="24"/>
        </w:rPr>
        <w:t xml:space="preserve">The first ground is a lack of competence. This means that the EU did not actually have the competence to adopt the act. As such, you will see that this ground operationalises the principle of conferral in practice – the EU can only act in those areas where the Member States have conferred powers to it. The most likely ground under lack of competence will be for claimants to argue that the EU did not have the competence to adopt the act. Moreover, the lack of competence ground can be used to review the </w:t>
      </w:r>
      <w:r w:rsidR="00196CA9">
        <w:rPr>
          <w:rFonts w:ascii="Garamond" w:hAnsi="Garamond"/>
          <w:sz w:val="24"/>
          <w:szCs w:val="24"/>
        </w:rPr>
        <w:t xml:space="preserve">delegated or </w:t>
      </w:r>
      <w:r>
        <w:rPr>
          <w:rFonts w:ascii="Garamond" w:hAnsi="Garamond"/>
          <w:sz w:val="24"/>
          <w:szCs w:val="24"/>
        </w:rPr>
        <w:t>implementing acts of one of the EU institutions. It can be argued that they have acted outside the scope of the powers which had been delegated to them (see Article 290 and Article 291 TFEU).</w:t>
      </w:r>
    </w:p>
    <w:p w14:paraId="4C5FEB3C" w14:textId="77777777" w:rsidR="00BC7C75" w:rsidRPr="007860B5" w:rsidRDefault="00BC7C75" w:rsidP="00BC7C75">
      <w:pPr>
        <w:pStyle w:val="ListParagraph"/>
        <w:rPr>
          <w:rFonts w:ascii="Garamond" w:hAnsi="Garamond"/>
          <w:sz w:val="24"/>
          <w:szCs w:val="24"/>
        </w:rPr>
      </w:pPr>
    </w:p>
    <w:p w14:paraId="16D041BA" w14:textId="77777777" w:rsidR="00BC7C75" w:rsidRDefault="00BC7C75" w:rsidP="00BC7C75">
      <w:pPr>
        <w:pStyle w:val="ListParagraph"/>
        <w:numPr>
          <w:ilvl w:val="0"/>
          <w:numId w:val="13"/>
        </w:numPr>
        <w:jc w:val="both"/>
        <w:rPr>
          <w:rFonts w:ascii="Garamond" w:hAnsi="Garamond"/>
          <w:sz w:val="24"/>
          <w:szCs w:val="24"/>
        </w:rPr>
      </w:pPr>
      <w:r>
        <w:rPr>
          <w:rFonts w:ascii="Garamond" w:hAnsi="Garamond"/>
          <w:sz w:val="24"/>
          <w:szCs w:val="24"/>
        </w:rPr>
        <w:t xml:space="preserve">Many of the annulment actions based on lack of competence will be brought by one of the Member States. After all, they could be said to be the guardians of the principle of conferral – they want to preserve the powers which they have not conferred to the EU. The most famous case brought on this ground was the </w:t>
      </w:r>
      <w:r w:rsidRPr="009C7448">
        <w:rPr>
          <w:rFonts w:ascii="Garamond" w:hAnsi="Garamond"/>
          <w:i/>
          <w:sz w:val="24"/>
          <w:szCs w:val="24"/>
        </w:rPr>
        <w:t>Tobacco Advertising</w:t>
      </w:r>
      <w:r>
        <w:rPr>
          <w:rFonts w:ascii="Garamond" w:hAnsi="Garamond"/>
          <w:sz w:val="24"/>
          <w:szCs w:val="24"/>
        </w:rPr>
        <w:t xml:space="preserve"> case (Case C-376/98), which we discussed in the lecture on EU competences and the principle of legal basis.</w:t>
      </w:r>
    </w:p>
    <w:p w14:paraId="4E7649BF" w14:textId="77777777" w:rsidR="00BC7C75" w:rsidRPr="009C7448" w:rsidRDefault="00BC7C75" w:rsidP="00BC7C75">
      <w:pPr>
        <w:pStyle w:val="ListParagraph"/>
        <w:rPr>
          <w:rFonts w:ascii="Garamond" w:hAnsi="Garamond"/>
          <w:sz w:val="24"/>
          <w:szCs w:val="24"/>
        </w:rPr>
      </w:pPr>
    </w:p>
    <w:p w14:paraId="2AF801AD" w14:textId="77777777" w:rsidR="00BC7C75" w:rsidRDefault="00BC7C75" w:rsidP="00BC7C75">
      <w:pPr>
        <w:pStyle w:val="ListParagraph"/>
        <w:numPr>
          <w:ilvl w:val="0"/>
          <w:numId w:val="13"/>
        </w:numPr>
        <w:jc w:val="both"/>
        <w:rPr>
          <w:rFonts w:ascii="Garamond" w:hAnsi="Garamond"/>
          <w:sz w:val="24"/>
          <w:szCs w:val="24"/>
        </w:rPr>
      </w:pPr>
      <w:r>
        <w:rPr>
          <w:rFonts w:ascii="Garamond" w:hAnsi="Garamond"/>
          <w:sz w:val="24"/>
          <w:szCs w:val="24"/>
        </w:rPr>
        <w:t xml:space="preserve">The second ground for annulment is the infringement of an essential procedural requirement. An essential procedural requirement is the procedural dimension of the adoption of EU acts. A procedural requirement could be, for example, the requirement that one of the EU institutions </w:t>
      </w:r>
      <w:proofErr w:type="gramStart"/>
      <w:r>
        <w:rPr>
          <w:rFonts w:ascii="Garamond" w:hAnsi="Garamond"/>
          <w:sz w:val="24"/>
          <w:szCs w:val="24"/>
        </w:rPr>
        <w:t>has to</w:t>
      </w:r>
      <w:proofErr w:type="gramEnd"/>
      <w:r>
        <w:rPr>
          <w:rFonts w:ascii="Garamond" w:hAnsi="Garamond"/>
          <w:sz w:val="24"/>
          <w:szCs w:val="24"/>
        </w:rPr>
        <w:t xml:space="preserve"> be consulted before the act can be adopted. If this consultation does not occur, this would be an infringement of an essential procedural requirement. Note that not every breach of a procedural requirement is a ground for annulment – it </w:t>
      </w:r>
      <w:proofErr w:type="gramStart"/>
      <w:r>
        <w:rPr>
          <w:rFonts w:ascii="Garamond" w:hAnsi="Garamond"/>
          <w:sz w:val="24"/>
          <w:szCs w:val="24"/>
        </w:rPr>
        <w:t>has to</w:t>
      </w:r>
      <w:proofErr w:type="gramEnd"/>
      <w:r>
        <w:rPr>
          <w:rFonts w:ascii="Garamond" w:hAnsi="Garamond"/>
          <w:sz w:val="24"/>
          <w:szCs w:val="24"/>
        </w:rPr>
        <w:t xml:space="preserve"> be an </w:t>
      </w:r>
      <w:r w:rsidRPr="004D0F0E">
        <w:rPr>
          <w:rFonts w:ascii="Garamond" w:hAnsi="Garamond"/>
          <w:i/>
          <w:sz w:val="24"/>
          <w:szCs w:val="24"/>
        </w:rPr>
        <w:t>essential</w:t>
      </w:r>
      <w:r>
        <w:rPr>
          <w:rFonts w:ascii="Garamond" w:hAnsi="Garamond"/>
          <w:sz w:val="24"/>
          <w:szCs w:val="24"/>
        </w:rPr>
        <w:t xml:space="preserve"> procedural requirement. </w:t>
      </w:r>
    </w:p>
    <w:p w14:paraId="076502CC" w14:textId="77777777" w:rsidR="00BC7C75" w:rsidRPr="009C7448" w:rsidRDefault="00BC7C75" w:rsidP="00BC7C75">
      <w:pPr>
        <w:pStyle w:val="ListParagraph"/>
        <w:rPr>
          <w:rFonts w:ascii="Garamond" w:hAnsi="Garamond"/>
          <w:sz w:val="24"/>
          <w:szCs w:val="24"/>
        </w:rPr>
      </w:pPr>
    </w:p>
    <w:p w14:paraId="49290162" w14:textId="4CBFFEAC" w:rsidR="00BC7C75" w:rsidRDefault="00BC7C75" w:rsidP="00BC7C75">
      <w:pPr>
        <w:pStyle w:val="ListParagraph"/>
        <w:numPr>
          <w:ilvl w:val="0"/>
          <w:numId w:val="13"/>
        </w:numPr>
        <w:jc w:val="both"/>
        <w:rPr>
          <w:rFonts w:ascii="Garamond" w:hAnsi="Garamond"/>
          <w:sz w:val="24"/>
          <w:szCs w:val="24"/>
        </w:rPr>
      </w:pPr>
      <w:r>
        <w:rPr>
          <w:rFonts w:ascii="Garamond" w:hAnsi="Garamond"/>
          <w:sz w:val="24"/>
          <w:szCs w:val="24"/>
        </w:rPr>
        <w:t>The cases between EU institutions about the correct legal basis – if there was a choice between two legal bases – were often about whether one</w:t>
      </w:r>
      <w:r w:rsidR="00CE7924">
        <w:rPr>
          <w:rFonts w:ascii="Garamond" w:hAnsi="Garamond"/>
          <w:sz w:val="24"/>
          <w:szCs w:val="24"/>
        </w:rPr>
        <w:t xml:space="preserve"> of the</w:t>
      </w:r>
      <w:r>
        <w:rPr>
          <w:rFonts w:ascii="Garamond" w:hAnsi="Garamond"/>
          <w:sz w:val="24"/>
          <w:szCs w:val="24"/>
        </w:rPr>
        <w:t xml:space="preserve"> institutions should </w:t>
      </w:r>
      <w:r>
        <w:rPr>
          <w:rFonts w:ascii="Garamond" w:hAnsi="Garamond"/>
          <w:sz w:val="24"/>
          <w:szCs w:val="24"/>
        </w:rPr>
        <w:lastRenderedPageBreak/>
        <w:t xml:space="preserve">have had a more prominent role in the legislative procedure. These cases fall within this category. </w:t>
      </w:r>
    </w:p>
    <w:p w14:paraId="4526EC0F" w14:textId="77777777" w:rsidR="00BC7C75" w:rsidRPr="006C4451" w:rsidRDefault="00BC7C75" w:rsidP="00BC7C75">
      <w:pPr>
        <w:pStyle w:val="ListParagraph"/>
        <w:rPr>
          <w:rFonts w:ascii="Garamond" w:hAnsi="Garamond"/>
          <w:sz w:val="24"/>
          <w:szCs w:val="24"/>
        </w:rPr>
      </w:pPr>
    </w:p>
    <w:p w14:paraId="013AE507" w14:textId="77777777" w:rsidR="00BC7C75" w:rsidRDefault="00BC7C75" w:rsidP="00BC7C75">
      <w:pPr>
        <w:pStyle w:val="ListParagraph"/>
        <w:numPr>
          <w:ilvl w:val="0"/>
          <w:numId w:val="13"/>
        </w:numPr>
        <w:jc w:val="both"/>
        <w:rPr>
          <w:rFonts w:ascii="Garamond" w:hAnsi="Garamond"/>
          <w:sz w:val="24"/>
          <w:szCs w:val="24"/>
        </w:rPr>
      </w:pPr>
      <w:r>
        <w:rPr>
          <w:rFonts w:ascii="Garamond" w:hAnsi="Garamond"/>
          <w:sz w:val="24"/>
          <w:szCs w:val="24"/>
        </w:rPr>
        <w:t>The third ground is an infringement of the Treaties or any rule related to their application. This is the broadest ground of review. It does not only include review for compliance with the Treaties. Compliance with general principles of law and fundamental rights – you will remember that the Charter of Fundamental Rights has been given the same status as the Treaties – is included in this category.</w:t>
      </w:r>
    </w:p>
    <w:p w14:paraId="4B70EE65" w14:textId="77777777" w:rsidR="00BC7C75" w:rsidRPr="006C4451" w:rsidRDefault="00BC7C75" w:rsidP="00BC7C75">
      <w:pPr>
        <w:pStyle w:val="ListParagraph"/>
        <w:rPr>
          <w:rFonts w:ascii="Garamond" w:hAnsi="Garamond"/>
          <w:sz w:val="24"/>
          <w:szCs w:val="24"/>
        </w:rPr>
      </w:pPr>
    </w:p>
    <w:p w14:paraId="6FB86ECE" w14:textId="261D2FB4" w:rsidR="00196CA9" w:rsidRDefault="00BC7C75" w:rsidP="00BC7C75">
      <w:pPr>
        <w:pStyle w:val="ListParagraph"/>
        <w:numPr>
          <w:ilvl w:val="0"/>
          <w:numId w:val="13"/>
        </w:numPr>
        <w:jc w:val="both"/>
        <w:rPr>
          <w:rFonts w:ascii="Garamond" w:hAnsi="Garamond"/>
          <w:sz w:val="24"/>
          <w:szCs w:val="24"/>
        </w:rPr>
      </w:pPr>
      <w:r>
        <w:rPr>
          <w:rFonts w:ascii="Garamond" w:hAnsi="Garamond"/>
          <w:sz w:val="24"/>
          <w:szCs w:val="24"/>
        </w:rPr>
        <w:t xml:space="preserve">The fourth and final category is the misuse of powers. This is an exceptional category and there are not many cases in which this ground of review </w:t>
      </w:r>
      <w:r w:rsidR="001D3BAB">
        <w:rPr>
          <w:rFonts w:ascii="Garamond" w:hAnsi="Garamond"/>
          <w:sz w:val="24"/>
          <w:szCs w:val="24"/>
        </w:rPr>
        <w:t>was (successfully)</w:t>
      </w:r>
      <w:r>
        <w:rPr>
          <w:rFonts w:ascii="Garamond" w:hAnsi="Garamond"/>
          <w:sz w:val="24"/>
          <w:szCs w:val="24"/>
        </w:rPr>
        <w:t xml:space="preserve"> relied on. To be able to establish that the EU has misused its powers, claimants </w:t>
      </w:r>
      <w:proofErr w:type="gramStart"/>
      <w:r>
        <w:rPr>
          <w:rFonts w:ascii="Garamond" w:hAnsi="Garamond"/>
          <w:sz w:val="24"/>
          <w:szCs w:val="24"/>
        </w:rPr>
        <w:t>have to</w:t>
      </w:r>
      <w:proofErr w:type="gramEnd"/>
      <w:r>
        <w:rPr>
          <w:rFonts w:ascii="Garamond" w:hAnsi="Garamond"/>
          <w:sz w:val="24"/>
          <w:szCs w:val="24"/>
        </w:rPr>
        <w:t xml:space="preserve"> establish that an EU act has been adopted for another purpose that what it was meant for – in other words, that there was an ulterior motive for the EU to adopt the act, which constituted a misuse – or abuse – of powers.</w:t>
      </w:r>
      <w:r w:rsidR="00196CA9">
        <w:rPr>
          <w:rFonts w:ascii="Garamond" w:hAnsi="Garamond"/>
          <w:sz w:val="24"/>
          <w:szCs w:val="24"/>
        </w:rPr>
        <w:t xml:space="preserve"> </w:t>
      </w:r>
    </w:p>
    <w:p w14:paraId="117FD617" w14:textId="77777777" w:rsidR="00196CA9" w:rsidRPr="00196CA9" w:rsidRDefault="00196CA9" w:rsidP="00196CA9">
      <w:pPr>
        <w:pStyle w:val="ListParagraph"/>
        <w:rPr>
          <w:rFonts w:ascii="Garamond" w:hAnsi="Garamond"/>
          <w:sz w:val="24"/>
          <w:szCs w:val="24"/>
        </w:rPr>
      </w:pPr>
    </w:p>
    <w:p w14:paraId="46768304" w14:textId="49001421" w:rsidR="00BC7C75" w:rsidRDefault="00196CA9" w:rsidP="00BC7C75">
      <w:pPr>
        <w:pStyle w:val="ListParagraph"/>
        <w:numPr>
          <w:ilvl w:val="0"/>
          <w:numId w:val="13"/>
        </w:numPr>
        <w:jc w:val="both"/>
        <w:rPr>
          <w:rFonts w:ascii="Garamond" w:hAnsi="Garamond"/>
          <w:sz w:val="24"/>
          <w:szCs w:val="24"/>
        </w:rPr>
      </w:pPr>
      <w:r>
        <w:rPr>
          <w:rFonts w:ascii="Garamond" w:hAnsi="Garamond"/>
          <w:sz w:val="24"/>
          <w:szCs w:val="24"/>
        </w:rPr>
        <w:t xml:space="preserve">Be careful: the category of “misuse of powers” is </w:t>
      </w:r>
      <w:r w:rsidRPr="00CE7924">
        <w:rPr>
          <w:rFonts w:ascii="Garamond" w:hAnsi="Garamond"/>
          <w:i/>
          <w:iCs/>
          <w:sz w:val="24"/>
          <w:szCs w:val="24"/>
        </w:rPr>
        <w:t>not</w:t>
      </w:r>
      <w:r>
        <w:rPr>
          <w:rFonts w:ascii="Garamond" w:hAnsi="Garamond"/>
          <w:sz w:val="24"/>
          <w:szCs w:val="24"/>
        </w:rPr>
        <w:t xml:space="preserve"> the same as lack of competence (or lack of powers). If an applicant submits that the EU has misused its powers, there is no allegation that the EU lacks the competence to act – the allegation is that the EU has exercised its powers </w:t>
      </w:r>
      <w:r w:rsidRPr="00FB1D5A">
        <w:rPr>
          <w:rFonts w:ascii="Garamond" w:hAnsi="Garamond"/>
          <w:sz w:val="24"/>
          <w:szCs w:val="24"/>
        </w:rPr>
        <w:t>for the wrong reason</w:t>
      </w:r>
      <w:r w:rsidR="00FB1D5A" w:rsidRPr="00FB1D5A">
        <w:rPr>
          <w:rFonts w:ascii="Garamond" w:hAnsi="Garamond"/>
          <w:sz w:val="24"/>
          <w:szCs w:val="24"/>
        </w:rPr>
        <w:t>(s)</w:t>
      </w:r>
      <w:r>
        <w:rPr>
          <w:rFonts w:ascii="Garamond" w:hAnsi="Garamond"/>
          <w:sz w:val="24"/>
          <w:szCs w:val="24"/>
        </w:rPr>
        <w:t>.</w:t>
      </w:r>
      <w:r w:rsidR="00FB1D5A">
        <w:rPr>
          <w:rFonts w:ascii="Garamond" w:hAnsi="Garamond"/>
          <w:sz w:val="24"/>
          <w:szCs w:val="24"/>
        </w:rPr>
        <w:t xml:space="preserve"> </w:t>
      </w:r>
      <w:r w:rsidRPr="00196CA9">
        <w:rPr>
          <w:rFonts w:ascii="Garamond" w:hAnsi="Garamond"/>
          <w:i/>
          <w:iCs/>
          <w:sz w:val="24"/>
          <w:szCs w:val="24"/>
        </w:rPr>
        <w:t>Tobacco Advertising</w:t>
      </w:r>
      <w:r>
        <w:rPr>
          <w:rFonts w:ascii="Garamond" w:hAnsi="Garamond"/>
          <w:sz w:val="24"/>
          <w:szCs w:val="24"/>
        </w:rPr>
        <w:t xml:space="preserve"> was a case that focussed on lack of competence. Because the Court of Justice held that the Tobacco Advertising Directive’s main aim was to promote public health, the EU could not rely on Article 114 TFEU as the legal basis. Article 168 TFEU, the legal basis in the field of public health, does not allow the EU to adopt measures which replace national rules. As such, </w:t>
      </w:r>
      <w:r w:rsidRPr="00196CA9">
        <w:rPr>
          <w:rFonts w:ascii="Garamond" w:hAnsi="Garamond"/>
          <w:i/>
          <w:iCs/>
          <w:sz w:val="24"/>
          <w:szCs w:val="24"/>
        </w:rPr>
        <w:t>Tobacco Advertising</w:t>
      </w:r>
      <w:r>
        <w:rPr>
          <w:rFonts w:ascii="Garamond" w:hAnsi="Garamond"/>
          <w:sz w:val="24"/>
          <w:szCs w:val="24"/>
        </w:rPr>
        <w:t xml:space="preserve"> was not about the EU misusing its powers – it was about a lack of competence.</w:t>
      </w:r>
    </w:p>
    <w:p w14:paraId="4B8D0C17" w14:textId="77777777" w:rsidR="00BC7C75" w:rsidRPr="006C4451" w:rsidRDefault="00BC7C75" w:rsidP="00BC7C75">
      <w:pPr>
        <w:pStyle w:val="ListParagraph"/>
        <w:rPr>
          <w:rFonts w:ascii="Garamond" w:hAnsi="Garamond"/>
          <w:sz w:val="24"/>
          <w:szCs w:val="24"/>
        </w:rPr>
      </w:pPr>
    </w:p>
    <w:p w14:paraId="7D15ADD0" w14:textId="77777777" w:rsidR="00BC7C75" w:rsidRDefault="00BC7C75" w:rsidP="00BC7C75">
      <w:pPr>
        <w:pStyle w:val="ListParagraph"/>
        <w:numPr>
          <w:ilvl w:val="0"/>
          <w:numId w:val="8"/>
        </w:numPr>
        <w:jc w:val="both"/>
        <w:rPr>
          <w:rFonts w:ascii="Garamond" w:hAnsi="Garamond"/>
          <w:b/>
          <w:sz w:val="24"/>
          <w:szCs w:val="24"/>
        </w:rPr>
      </w:pPr>
      <w:r>
        <w:rPr>
          <w:rFonts w:ascii="Garamond" w:hAnsi="Garamond"/>
          <w:b/>
          <w:sz w:val="24"/>
          <w:szCs w:val="24"/>
        </w:rPr>
        <w:t>Standing to bring an action for annulment</w:t>
      </w:r>
    </w:p>
    <w:p w14:paraId="43B9EE23" w14:textId="77777777" w:rsidR="00BC7C75" w:rsidRDefault="00BC7C75" w:rsidP="00BC7C75">
      <w:pPr>
        <w:pStyle w:val="ListParagraph"/>
        <w:jc w:val="both"/>
        <w:rPr>
          <w:rFonts w:ascii="Garamond" w:hAnsi="Garamond"/>
          <w:b/>
          <w:sz w:val="24"/>
          <w:szCs w:val="24"/>
        </w:rPr>
      </w:pPr>
    </w:p>
    <w:p w14:paraId="4EF18C01" w14:textId="77777777" w:rsidR="00BC7C75" w:rsidRDefault="00BC7C75" w:rsidP="00BC7C75">
      <w:pPr>
        <w:pStyle w:val="ListParagraph"/>
        <w:numPr>
          <w:ilvl w:val="0"/>
          <w:numId w:val="14"/>
        </w:numPr>
        <w:jc w:val="both"/>
        <w:rPr>
          <w:rFonts w:ascii="Garamond" w:hAnsi="Garamond"/>
          <w:sz w:val="24"/>
          <w:szCs w:val="24"/>
        </w:rPr>
      </w:pPr>
      <w:r>
        <w:rPr>
          <w:rFonts w:ascii="Garamond" w:hAnsi="Garamond"/>
          <w:sz w:val="24"/>
          <w:szCs w:val="24"/>
        </w:rPr>
        <w:t xml:space="preserve">Claimants who would like to bring an action for annulment under Article 263 TFEU have to establish that they belong to one of the categories of applicants who are entitled to bring an action under Article 263 TFEU. This is the requirement of </w:t>
      </w:r>
      <w:r w:rsidRPr="00FB1D5A">
        <w:rPr>
          <w:rFonts w:ascii="Garamond" w:hAnsi="Garamond"/>
          <w:i/>
          <w:iCs/>
          <w:sz w:val="24"/>
          <w:szCs w:val="24"/>
        </w:rPr>
        <w:t>standing</w:t>
      </w:r>
      <w:r>
        <w:rPr>
          <w:rFonts w:ascii="Garamond" w:hAnsi="Garamond"/>
          <w:sz w:val="24"/>
          <w:szCs w:val="24"/>
        </w:rPr>
        <w:t xml:space="preserve"> – not every party can bring an action for annulment and claimants will have to establish that they fulfil certain conditions before their case is admissible. If they do not belong to one of the three categories below, they do not have standing and their case will be held inadmissible. As a result, they will not get a judgment on the substance of the case – the ground of review above will not be analysed.</w:t>
      </w:r>
    </w:p>
    <w:p w14:paraId="2394F3A8" w14:textId="77777777" w:rsidR="00BC7C75" w:rsidRDefault="00BC7C75" w:rsidP="00BC7C75">
      <w:pPr>
        <w:pStyle w:val="ListParagraph"/>
        <w:ind w:left="1080"/>
        <w:jc w:val="both"/>
        <w:rPr>
          <w:rFonts w:ascii="Garamond" w:hAnsi="Garamond"/>
          <w:sz w:val="24"/>
          <w:szCs w:val="24"/>
        </w:rPr>
      </w:pPr>
    </w:p>
    <w:p w14:paraId="24544016" w14:textId="5478C50E" w:rsidR="00BC7C75" w:rsidRDefault="00BC7C75" w:rsidP="00BC7C75">
      <w:pPr>
        <w:pStyle w:val="ListParagraph"/>
        <w:numPr>
          <w:ilvl w:val="0"/>
          <w:numId w:val="14"/>
        </w:numPr>
        <w:jc w:val="both"/>
        <w:rPr>
          <w:rFonts w:ascii="Garamond" w:hAnsi="Garamond"/>
          <w:sz w:val="24"/>
          <w:szCs w:val="24"/>
        </w:rPr>
      </w:pPr>
      <w:r>
        <w:rPr>
          <w:rFonts w:ascii="Garamond" w:hAnsi="Garamond"/>
          <w:sz w:val="24"/>
          <w:szCs w:val="24"/>
        </w:rPr>
        <w:t xml:space="preserve">Article 263 TFEU makes a distinction between three categories of claimants: (1) privileged applicants; (2) semi-privileged applicants and (3) non-privileged applicants. Each of these categories </w:t>
      </w:r>
      <w:proofErr w:type="gramStart"/>
      <w:r>
        <w:rPr>
          <w:rFonts w:ascii="Garamond" w:hAnsi="Garamond"/>
          <w:sz w:val="24"/>
          <w:szCs w:val="24"/>
        </w:rPr>
        <w:t>have to</w:t>
      </w:r>
      <w:proofErr w:type="gramEnd"/>
      <w:r>
        <w:rPr>
          <w:rFonts w:ascii="Garamond" w:hAnsi="Garamond"/>
          <w:sz w:val="24"/>
          <w:szCs w:val="24"/>
        </w:rPr>
        <w:t xml:space="preserve"> </w:t>
      </w:r>
      <w:r w:rsidR="007E36BD">
        <w:rPr>
          <w:rFonts w:ascii="Garamond" w:hAnsi="Garamond"/>
          <w:sz w:val="24"/>
          <w:szCs w:val="24"/>
        </w:rPr>
        <w:t xml:space="preserve">satisfy </w:t>
      </w:r>
      <w:r>
        <w:rPr>
          <w:rFonts w:ascii="Garamond" w:hAnsi="Garamond"/>
          <w:sz w:val="24"/>
          <w:szCs w:val="24"/>
        </w:rPr>
        <w:t>different conditions to establish that they have standing under Article 263 TFEU.</w:t>
      </w:r>
    </w:p>
    <w:p w14:paraId="4F2B4D7B" w14:textId="77777777" w:rsidR="00BC7C75" w:rsidRPr="00F27581" w:rsidRDefault="00BC7C75" w:rsidP="00BC7C75">
      <w:pPr>
        <w:pStyle w:val="ListParagraph"/>
        <w:rPr>
          <w:rFonts w:ascii="Garamond" w:hAnsi="Garamond"/>
          <w:sz w:val="24"/>
          <w:szCs w:val="24"/>
        </w:rPr>
      </w:pPr>
    </w:p>
    <w:p w14:paraId="4B483815" w14:textId="30683D87" w:rsidR="00BC7C75" w:rsidRDefault="00BC7C75" w:rsidP="00BC7C75">
      <w:pPr>
        <w:pStyle w:val="ListParagraph"/>
        <w:numPr>
          <w:ilvl w:val="0"/>
          <w:numId w:val="14"/>
        </w:numPr>
        <w:jc w:val="both"/>
        <w:rPr>
          <w:rFonts w:ascii="Garamond" w:hAnsi="Garamond"/>
          <w:sz w:val="24"/>
          <w:szCs w:val="24"/>
        </w:rPr>
      </w:pPr>
      <w:r>
        <w:rPr>
          <w:rFonts w:ascii="Garamond" w:hAnsi="Garamond"/>
          <w:sz w:val="24"/>
          <w:szCs w:val="24"/>
        </w:rPr>
        <w:t xml:space="preserve">Privileged applicants do not have to show anything to have standing to bring an action for annulment. In other words, they can always start an </w:t>
      </w:r>
      <w:proofErr w:type="gramStart"/>
      <w:r>
        <w:rPr>
          <w:rFonts w:ascii="Garamond" w:hAnsi="Garamond"/>
          <w:sz w:val="24"/>
          <w:szCs w:val="24"/>
        </w:rPr>
        <w:t>Article</w:t>
      </w:r>
      <w:proofErr w:type="gramEnd"/>
      <w:r>
        <w:rPr>
          <w:rFonts w:ascii="Garamond" w:hAnsi="Garamond"/>
          <w:sz w:val="24"/>
          <w:szCs w:val="24"/>
        </w:rPr>
        <w:t xml:space="preserve"> 263 TFEU procedure and their standing is not dependent on the fulfilment of any conditions. The Member States, the European Parliament, Commission and Council</w:t>
      </w:r>
      <w:r w:rsidR="007E36BD">
        <w:rPr>
          <w:rFonts w:ascii="Garamond" w:hAnsi="Garamond"/>
          <w:sz w:val="24"/>
          <w:szCs w:val="24"/>
        </w:rPr>
        <w:t xml:space="preserve"> of Ministers</w:t>
      </w:r>
      <w:r>
        <w:rPr>
          <w:rFonts w:ascii="Garamond" w:hAnsi="Garamond"/>
          <w:sz w:val="24"/>
          <w:szCs w:val="24"/>
        </w:rPr>
        <w:t xml:space="preserve"> are privileged </w:t>
      </w:r>
      <w:r>
        <w:rPr>
          <w:rFonts w:ascii="Garamond" w:hAnsi="Garamond"/>
          <w:sz w:val="24"/>
          <w:szCs w:val="24"/>
        </w:rPr>
        <w:lastRenderedPageBreak/>
        <w:t>applicants. Actions for annulment brought by any of these claimants will usually go to the Court of Justice.</w:t>
      </w:r>
    </w:p>
    <w:p w14:paraId="2C9C53A6" w14:textId="77777777" w:rsidR="00BC7C75" w:rsidRPr="00F27581" w:rsidRDefault="00BC7C75" w:rsidP="00BC7C75">
      <w:pPr>
        <w:pStyle w:val="ListParagraph"/>
        <w:rPr>
          <w:rFonts w:ascii="Garamond" w:hAnsi="Garamond"/>
          <w:sz w:val="24"/>
          <w:szCs w:val="24"/>
        </w:rPr>
      </w:pPr>
    </w:p>
    <w:p w14:paraId="6BA9B9AB" w14:textId="6E19AF69" w:rsidR="00BC7C75" w:rsidRDefault="00BC7C75" w:rsidP="0003378E">
      <w:pPr>
        <w:pStyle w:val="ListParagraph"/>
        <w:numPr>
          <w:ilvl w:val="0"/>
          <w:numId w:val="14"/>
        </w:numPr>
        <w:jc w:val="both"/>
        <w:rPr>
          <w:rFonts w:ascii="Garamond" w:hAnsi="Garamond"/>
          <w:sz w:val="24"/>
          <w:szCs w:val="24"/>
        </w:rPr>
      </w:pPr>
      <w:r w:rsidRPr="007E36BD">
        <w:rPr>
          <w:rFonts w:ascii="Garamond" w:hAnsi="Garamond"/>
          <w:sz w:val="24"/>
          <w:szCs w:val="24"/>
        </w:rPr>
        <w:t xml:space="preserve">Semi-privileged applicants </w:t>
      </w:r>
      <w:proofErr w:type="gramStart"/>
      <w:r w:rsidRPr="007E36BD">
        <w:rPr>
          <w:rFonts w:ascii="Garamond" w:hAnsi="Garamond"/>
          <w:sz w:val="24"/>
          <w:szCs w:val="24"/>
        </w:rPr>
        <w:t>have to</w:t>
      </w:r>
      <w:proofErr w:type="gramEnd"/>
      <w:r w:rsidRPr="007E36BD">
        <w:rPr>
          <w:rFonts w:ascii="Garamond" w:hAnsi="Garamond"/>
          <w:sz w:val="24"/>
          <w:szCs w:val="24"/>
        </w:rPr>
        <w:t xml:space="preserve"> establish that they are protecting their prerogatives by bringing an action for annulment. This is not a very difficult test to satisfy – all they </w:t>
      </w:r>
      <w:proofErr w:type="gramStart"/>
      <w:r w:rsidRPr="007E36BD">
        <w:rPr>
          <w:rFonts w:ascii="Garamond" w:hAnsi="Garamond"/>
          <w:sz w:val="24"/>
          <w:szCs w:val="24"/>
        </w:rPr>
        <w:t>have to</w:t>
      </w:r>
      <w:proofErr w:type="gramEnd"/>
      <w:r w:rsidRPr="007E36BD">
        <w:rPr>
          <w:rFonts w:ascii="Garamond" w:hAnsi="Garamond"/>
          <w:sz w:val="24"/>
          <w:szCs w:val="24"/>
        </w:rPr>
        <w:t xml:space="preserve"> do is to show that the EU act has affected their </w:t>
      </w:r>
      <w:r w:rsidR="007E36BD" w:rsidRPr="007E36BD">
        <w:rPr>
          <w:rFonts w:ascii="Garamond" w:hAnsi="Garamond"/>
          <w:sz w:val="24"/>
          <w:szCs w:val="24"/>
        </w:rPr>
        <w:t>powers</w:t>
      </w:r>
      <w:r w:rsidRPr="007E36BD">
        <w:rPr>
          <w:rFonts w:ascii="Garamond" w:hAnsi="Garamond"/>
          <w:sz w:val="24"/>
          <w:szCs w:val="24"/>
        </w:rPr>
        <w:t xml:space="preserve"> under EU law. </w:t>
      </w:r>
    </w:p>
    <w:p w14:paraId="30B06803" w14:textId="77777777" w:rsidR="007E36BD" w:rsidRPr="007E36BD" w:rsidRDefault="007E36BD" w:rsidP="007E36BD">
      <w:pPr>
        <w:pStyle w:val="ListParagraph"/>
        <w:rPr>
          <w:rFonts w:ascii="Garamond" w:hAnsi="Garamond"/>
          <w:sz w:val="24"/>
          <w:szCs w:val="24"/>
        </w:rPr>
      </w:pPr>
    </w:p>
    <w:p w14:paraId="6944B69A" w14:textId="77777777" w:rsidR="00BC7C75" w:rsidRDefault="00BC7C75" w:rsidP="00BC7C75">
      <w:pPr>
        <w:pStyle w:val="ListParagraph"/>
        <w:numPr>
          <w:ilvl w:val="0"/>
          <w:numId w:val="14"/>
        </w:numPr>
        <w:jc w:val="both"/>
        <w:rPr>
          <w:rFonts w:ascii="Garamond" w:hAnsi="Garamond"/>
          <w:sz w:val="24"/>
          <w:szCs w:val="24"/>
        </w:rPr>
      </w:pPr>
      <w:r>
        <w:rPr>
          <w:rFonts w:ascii="Garamond" w:hAnsi="Garamond"/>
          <w:sz w:val="24"/>
          <w:szCs w:val="24"/>
        </w:rPr>
        <w:t xml:space="preserve">All other natural and legal persons are non-privileged applicants. They </w:t>
      </w:r>
      <w:proofErr w:type="gramStart"/>
      <w:r>
        <w:rPr>
          <w:rFonts w:ascii="Garamond" w:hAnsi="Garamond"/>
          <w:sz w:val="24"/>
          <w:szCs w:val="24"/>
        </w:rPr>
        <w:t>have to</w:t>
      </w:r>
      <w:proofErr w:type="gramEnd"/>
      <w:r>
        <w:rPr>
          <w:rFonts w:ascii="Garamond" w:hAnsi="Garamond"/>
          <w:sz w:val="24"/>
          <w:szCs w:val="24"/>
        </w:rPr>
        <w:t xml:space="preserve"> show that they fall within one of three categories: (1) the EU act has to be addressed to them; (2) the EU act has to be of direct concern to them; (3) they are directly concerned by an EU act which is a regulatory act that does not entail implementing measures. We will look at these three categories in turn.</w:t>
      </w:r>
    </w:p>
    <w:p w14:paraId="0C1E17ED" w14:textId="77777777" w:rsidR="00BC7C75" w:rsidRPr="005F791C" w:rsidRDefault="00BC7C75" w:rsidP="00BC7C75">
      <w:pPr>
        <w:pStyle w:val="ListParagraph"/>
        <w:rPr>
          <w:rFonts w:ascii="Garamond" w:hAnsi="Garamond"/>
          <w:sz w:val="24"/>
          <w:szCs w:val="24"/>
        </w:rPr>
      </w:pPr>
    </w:p>
    <w:p w14:paraId="79889ABD" w14:textId="77777777" w:rsidR="00BC7C75" w:rsidRDefault="00BC7C75" w:rsidP="00BC7C75">
      <w:pPr>
        <w:pStyle w:val="ListParagraph"/>
        <w:numPr>
          <w:ilvl w:val="0"/>
          <w:numId w:val="8"/>
        </w:numPr>
        <w:jc w:val="both"/>
        <w:rPr>
          <w:rFonts w:ascii="Garamond" w:hAnsi="Garamond"/>
          <w:b/>
          <w:sz w:val="24"/>
          <w:szCs w:val="24"/>
        </w:rPr>
      </w:pPr>
      <w:r>
        <w:rPr>
          <w:rFonts w:ascii="Garamond" w:hAnsi="Garamond"/>
          <w:b/>
          <w:sz w:val="24"/>
          <w:szCs w:val="24"/>
        </w:rPr>
        <w:t>Standing of non-privileged applicants</w:t>
      </w:r>
    </w:p>
    <w:p w14:paraId="08A534FB" w14:textId="77777777" w:rsidR="00BC7C75" w:rsidRDefault="00BC7C75" w:rsidP="00BC7C75">
      <w:pPr>
        <w:pStyle w:val="ListParagraph"/>
        <w:jc w:val="both"/>
        <w:rPr>
          <w:rFonts w:ascii="Garamond" w:hAnsi="Garamond"/>
          <w:b/>
          <w:sz w:val="24"/>
          <w:szCs w:val="24"/>
        </w:rPr>
      </w:pPr>
    </w:p>
    <w:p w14:paraId="141ED41D" w14:textId="77777777" w:rsidR="007E36BD" w:rsidRDefault="00BC7C75" w:rsidP="00BC7C75">
      <w:pPr>
        <w:pStyle w:val="ListParagraph"/>
        <w:numPr>
          <w:ilvl w:val="0"/>
          <w:numId w:val="15"/>
        </w:numPr>
        <w:jc w:val="both"/>
        <w:rPr>
          <w:rFonts w:ascii="Garamond" w:hAnsi="Garamond"/>
          <w:sz w:val="24"/>
          <w:szCs w:val="24"/>
        </w:rPr>
      </w:pPr>
      <w:r>
        <w:rPr>
          <w:rFonts w:ascii="Garamond" w:hAnsi="Garamond"/>
          <w:sz w:val="24"/>
          <w:szCs w:val="24"/>
        </w:rPr>
        <w:t xml:space="preserve">The choice made by the Member States by the adoption of the Treaty of Rome was to allow private parties to challenge administrative acts (such as decisions) addressed to them, but to make it very difficult for them to challenge legislative acts adopted by the EU. This is why the requirement of direct and individual concern was included in the Treaty. </w:t>
      </w:r>
    </w:p>
    <w:p w14:paraId="32185C44" w14:textId="77777777" w:rsidR="007E36BD" w:rsidRDefault="007E36BD" w:rsidP="007E36BD">
      <w:pPr>
        <w:pStyle w:val="ListParagraph"/>
        <w:ind w:left="1080"/>
        <w:jc w:val="both"/>
        <w:rPr>
          <w:rFonts w:ascii="Garamond" w:hAnsi="Garamond"/>
          <w:sz w:val="24"/>
          <w:szCs w:val="24"/>
        </w:rPr>
      </w:pPr>
    </w:p>
    <w:p w14:paraId="66B893FC" w14:textId="77777777" w:rsidR="007E36BD" w:rsidRDefault="007E36BD" w:rsidP="00BC7C75">
      <w:pPr>
        <w:pStyle w:val="ListParagraph"/>
        <w:numPr>
          <w:ilvl w:val="0"/>
          <w:numId w:val="15"/>
        </w:numPr>
        <w:jc w:val="both"/>
        <w:rPr>
          <w:rFonts w:ascii="Garamond" w:hAnsi="Garamond"/>
          <w:sz w:val="24"/>
          <w:szCs w:val="24"/>
        </w:rPr>
      </w:pPr>
      <w:r>
        <w:rPr>
          <w:rFonts w:ascii="Garamond" w:hAnsi="Garamond"/>
          <w:sz w:val="24"/>
          <w:szCs w:val="24"/>
        </w:rPr>
        <w:t>The</w:t>
      </w:r>
      <w:r w:rsidR="00BC7C75">
        <w:rPr>
          <w:rFonts w:ascii="Garamond" w:hAnsi="Garamond"/>
          <w:sz w:val="24"/>
          <w:szCs w:val="24"/>
        </w:rPr>
        <w:t xml:space="preserve"> Treaty has never contained a definition of direct and individual concern. As we will see below, these definitions have been developed by the Court of Justice. The Court has adopted a very narrow definition. This has been criticised on the basis that it </w:t>
      </w:r>
      <w:r>
        <w:rPr>
          <w:rFonts w:ascii="Garamond" w:hAnsi="Garamond"/>
          <w:sz w:val="24"/>
          <w:szCs w:val="24"/>
        </w:rPr>
        <w:t>goes</w:t>
      </w:r>
      <w:r w:rsidR="00BC7C75">
        <w:rPr>
          <w:rFonts w:ascii="Garamond" w:hAnsi="Garamond"/>
          <w:sz w:val="24"/>
          <w:szCs w:val="24"/>
        </w:rPr>
        <w:t xml:space="preserve"> against the principle of effective judicial protection, as it makes it very difficult for private parties to challenge the validity of EU law under Article 263 TFEU. </w:t>
      </w:r>
    </w:p>
    <w:p w14:paraId="5212207C" w14:textId="77777777" w:rsidR="007E36BD" w:rsidRPr="007E36BD" w:rsidRDefault="007E36BD" w:rsidP="007E36BD">
      <w:pPr>
        <w:pStyle w:val="ListParagraph"/>
        <w:rPr>
          <w:rFonts w:ascii="Garamond" w:hAnsi="Garamond"/>
          <w:sz w:val="24"/>
          <w:szCs w:val="24"/>
        </w:rPr>
      </w:pPr>
    </w:p>
    <w:p w14:paraId="44EE3F73" w14:textId="3FDB9A3B" w:rsidR="00BC7C75" w:rsidRDefault="00BC7C75" w:rsidP="00BC7C75">
      <w:pPr>
        <w:pStyle w:val="ListParagraph"/>
        <w:numPr>
          <w:ilvl w:val="0"/>
          <w:numId w:val="15"/>
        </w:numPr>
        <w:jc w:val="both"/>
        <w:rPr>
          <w:rFonts w:ascii="Garamond" w:hAnsi="Garamond"/>
          <w:sz w:val="24"/>
          <w:szCs w:val="24"/>
        </w:rPr>
      </w:pPr>
      <w:r>
        <w:rPr>
          <w:rFonts w:ascii="Garamond" w:hAnsi="Garamond"/>
          <w:sz w:val="24"/>
          <w:szCs w:val="24"/>
        </w:rPr>
        <w:t>However, the Court has always taken the position that Article 263 TFEU operates in combination with Article 267 TFEU, which provides an indirect way to challenge the validity of EU law through the preliminary reference procedure. The acceptability of the strict definition of direct and individual concern depends to an important extent on how effective Article 267 TFEU is as an alternative to Article 263 TFEU for private parties. This is a discussion to which we will return later.</w:t>
      </w:r>
    </w:p>
    <w:p w14:paraId="0304F673" w14:textId="77777777" w:rsidR="00BC7C75" w:rsidRDefault="00BC7C75" w:rsidP="00BC7C75">
      <w:pPr>
        <w:pStyle w:val="ListParagraph"/>
        <w:ind w:left="1080"/>
        <w:jc w:val="both"/>
        <w:rPr>
          <w:rFonts w:ascii="Garamond" w:hAnsi="Garamond"/>
          <w:sz w:val="24"/>
          <w:szCs w:val="24"/>
        </w:rPr>
      </w:pPr>
    </w:p>
    <w:p w14:paraId="706F3AD1" w14:textId="77777777" w:rsidR="00BC7C75" w:rsidRDefault="00BC7C75" w:rsidP="00BC7C75">
      <w:pPr>
        <w:pStyle w:val="ListParagraph"/>
        <w:numPr>
          <w:ilvl w:val="0"/>
          <w:numId w:val="15"/>
        </w:numPr>
        <w:jc w:val="both"/>
        <w:rPr>
          <w:rFonts w:ascii="Garamond" w:hAnsi="Garamond"/>
          <w:sz w:val="24"/>
          <w:szCs w:val="24"/>
        </w:rPr>
      </w:pPr>
      <w:r>
        <w:rPr>
          <w:rFonts w:ascii="Garamond" w:hAnsi="Garamond"/>
          <w:sz w:val="24"/>
          <w:szCs w:val="24"/>
        </w:rPr>
        <w:t xml:space="preserve">Private parties who are the </w:t>
      </w:r>
      <w:r w:rsidRPr="007E36BD">
        <w:rPr>
          <w:rFonts w:ascii="Garamond" w:hAnsi="Garamond"/>
          <w:i/>
          <w:iCs/>
          <w:sz w:val="24"/>
          <w:szCs w:val="24"/>
        </w:rPr>
        <w:t>addressees</w:t>
      </w:r>
      <w:r>
        <w:rPr>
          <w:rFonts w:ascii="Garamond" w:hAnsi="Garamond"/>
          <w:sz w:val="24"/>
          <w:szCs w:val="24"/>
        </w:rPr>
        <w:t xml:space="preserve"> of an EU act will not have any problems to establish standing under Article 263 TFEU. To be an addressee of an EU act, the act must be specifically addressed to the natural or legal person. The most common example are decisions taken by the Commission in the field of competition law. These decisions will be addressed to certain companies who are alleged to have acted in breach of the competition provisions. They will always be able to challenge these decisions under Article 263 TFEU, because the decisions are addressed to them.</w:t>
      </w:r>
    </w:p>
    <w:p w14:paraId="76306819" w14:textId="77777777" w:rsidR="00BC7C75" w:rsidRPr="007A21B0" w:rsidRDefault="00BC7C75" w:rsidP="00BC7C75">
      <w:pPr>
        <w:pStyle w:val="ListParagraph"/>
        <w:rPr>
          <w:rFonts w:ascii="Garamond" w:hAnsi="Garamond"/>
          <w:sz w:val="24"/>
          <w:szCs w:val="24"/>
        </w:rPr>
      </w:pPr>
    </w:p>
    <w:p w14:paraId="3A1687E2" w14:textId="77777777" w:rsidR="00BC7C75" w:rsidRDefault="00BC7C75" w:rsidP="00BC7C75">
      <w:pPr>
        <w:pStyle w:val="ListParagraph"/>
        <w:numPr>
          <w:ilvl w:val="0"/>
          <w:numId w:val="15"/>
        </w:numPr>
        <w:jc w:val="both"/>
        <w:rPr>
          <w:rFonts w:ascii="Garamond" w:hAnsi="Garamond"/>
          <w:sz w:val="24"/>
          <w:szCs w:val="24"/>
        </w:rPr>
      </w:pPr>
      <w:r>
        <w:rPr>
          <w:rFonts w:ascii="Garamond" w:hAnsi="Garamond"/>
          <w:sz w:val="24"/>
          <w:szCs w:val="24"/>
        </w:rPr>
        <w:t xml:space="preserve">The much more complicated question is whether private parties should be able to challenge the validity of EU acts which are of general application, such as legislative acts. The only way for them to do so is by showing that they are directly and individually concerned by the EU act. But what do direct and individual concern mean? </w:t>
      </w:r>
    </w:p>
    <w:p w14:paraId="0D67CC3C" w14:textId="77777777" w:rsidR="00BC7C75" w:rsidRPr="007A21B0" w:rsidRDefault="00BC7C75" w:rsidP="00BC7C75">
      <w:pPr>
        <w:pStyle w:val="ListParagraph"/>
        <w:rPr>
          <w:rFonts w:ascii="Garamond" w:hAnsi="Garamond"/>
          <w:sz w:val="24"/>
          <w:szCs w:val="24"/>
        </w:rPr>
      </w:pPr>
    </w:p>
    <w:p w14:paraId="126B8B23" w14:textId="5BC45723" w:rsidR="007E36BD" w:rsidRDefault="00BC7C75" w:rsidP="00BC7C75">
      <w:pPr>
        <w:pStyle w:val="ListParagraph"/>
        <w:numPr>
          <w:ilvl w:val="0"/>
          <w:numId w:val="15"/>
        </w:numPr>
        <w:jc w:val="both"/>
        <w:rPr>
          <w:rFonts w:ascii="Garamond" w:hAnsi="Garamond"/>
          <w:sz w:val="24"/>
          <w:szCs w:val="24"/>
        </w:rPr>
      </w:pPr>
      <w:r>
        <w:rPr>
          <w:rFonts w:ascii="Garamond" w:hAnsi="Garamond"/>
          <w:sz w:val="24"/>
          <w:szCs w:val="24"/>
        </w:rPr>
        <w:lastRenderedPageBreak/>
        <w:t xml:space="preserve">Direct concern means that the EU act must have had a direct impact on the legal position of the applicant. The EU act itself immediately and automatically leads to a change in the legal position of the applicant. </w:t>
      </w:r>
      <w:r w:rsidR="007E36BD">
        <w:rPr>
          <w:rFonts w:ascii="Garamond" w:hAnsi="Garamond"/>
          <w:sz w:val="24"/>
          <w:szCs w:val="24"/>
        </w:rPr>
        <w:t>For example, your legal position is directly affected if the adoption of an EU act means that you are now prohibited from doing something which you could do lawfully before the adoption of the EU act. Similarly, your legal position is affected if the EU act imposes on obligation on you to do something which you were previously not obliged to do.</w:t>
      </w:r>
    </w:p>
    <w:p w14:paraId="42C56A5F" w14:textId="77777777" w:rsidR="007E36BD" w:rsidRPr="007E36BD" w:rsidRDefault="007E36BD" w:rsidP="007E36BD">
      <w:pPr>
        <w:pStyle w:val="ListParagraph"/>
        <w:rPr>
          <w:rFonts w:ascii="Garamond" w:hAnsi="Garamond"/>
          <w:sz w:val="24"/>
          <w:szCs w:val="24"/>
        </w:rPr>
      </w:pPr>
    </w:p>
    <w:p w14:paraId="6212D92F" w14:textId="340BC998" w:rsidR="00BC7C75" w:rsidRDefault="007E36BD" w:rsidP="00BC7C75">
      <w:pPr>
        <w:pStyle w:val="ListParagraph"/>
        <w:numPr>
          <w:ilvl w:val="0"/>
          <w:numId w:val="15"/>
        </w:numPr>
        <w:jc w:val="both"/>
        <w:rPr>
          <w:rFonts w:ascii="Garamond" w:hAnsi="Garamond"/>
          <w:sz w:val="24"/>
          <w:szCs w:val="24"/>
        </w:rPr>
      </w:pPr>
      <w:r>
        <w:rPr>
          <w:rFonts w:ascii="Garamond" w:hAnsi="Garamond"/>
          <w:sz w:val="24"/>
          <w:szCs w:val="24"/>
        </w:rPr>
        <w:t>If</w:t>
      </w:r>
      <w:r w:rsidR="00BC7C75">
        <w:rPr>
          <w:rFonts w:ascii="Garamond" w:hAnsi="Garamond"/>
          <w:sz w:val="24"/>
          <w:szCs w:val="24"/>
        </w:rPr>
        <w:t xml:space="preserve"> an EU act requires a further implementing measure either by another EU institution or by the Member States, the EU act is </w:t>
      </w:r>
      <w:r w:rsidR="00BC7C75" w:rsidRPr="00CF0CF3">
        <w:rPr>
          <w:rFonts w:ascii="Garamond" w:hAnsi="Garamond"/>
          <w:i/>
          <w:sz w:val="24"/>
          <w:szCs w:val="24"/>
        </w:rPr>
        <w:t>not</w:t>
      </w:r>
      <w:r w:rsidR="00BC7C75">
        <w:rPr>
          <w:rFonts w:ascii="Garamond" w:hAnsi="Garamond"/>
          <w:sz w:val="24"/>
          <w:szCs w:val="24"/>
        </w:rPr>
        <w:t xml:space="preserve"> of direct concern to the applicant. </w:t>
      </w:r>
      <w:r>
        <w:rPr>
          <w:rFonts w:ascii="Garamond" w:hAnsi="Garamond"/>
          <w:sz w:val="24"/>
          <w:szCs w:val="24"/>
        </w:rPr>
        <w:t>As such</w:t>
      </w:r>
      <w:r w:rsidR="00BC7C75">
        <w:rPr>
          <w:rFonts w:ascii="Garamond" w:hAnsi="Garamond"/>
          <w:sz w:val="24"/>
          <w:szCs w:val="24"/>
        </w:rPr>
        <w:t xml:space="preserve">, </w:t>
      </w:r>
      <w:r>
        <w:rPr>
          <w:rFonts w:ascii="Garamond" w:hAnsi="Garamond"/>
          <w:sz w:val="24"/>
          <w:szCs w:val="24"/>
        </w:rPr>
        <w:t>some</w:t>
      </w:r>
      <w:r w:rsidR="00BC7C75">
        <w:rPr>
          <w:rFonts w:ascii="Garamond" w:hAnsi="Garamond"/>
          <w:sz w:val="24"/>
          <w:szCs w:val="24"/>
        </w:rPr>
        <w:t xml:space="preserve"> commentators have argued that directives can never by of direct concern to individuals. After all, they always require an implementing act by the Member State. However, if the EU act leaves absolutely no discretion to the EU body or Member State that is supposed to implement it, then the measure will still be of direct concern. See </w:t>
      </w:r>
      <w:r w:rsidR="00BC7C75" w:rsidRPr="00CF0CF3">
        <w:rPr>
          <w:rFonts w:ascii="Garamond" w:hAnsi="Garamond"/>
          <w:i/>
          <w:sz w:val="24"/>
          <w:szCs w:val="24"/>
        </w:rPr>
        <w:t>International Fruit</w:t>
      </w:r>
      <w:r w:rsidR="00BC7C75">
        <w:rPr>
          <w:rFonts w:ascii="Garamond" w:hAnsi="Garamond"/>
          <w:sz w:val="24"/>
          <w:szCs w:val="24"/>
        </w:rPr>
        <w:t xml:space="preserve"> (Case C-41-44/70).</w:t>
      </w:r>
    </w:p>
    <w:p w14:paraId="0822D38B" w14:textId="77777777" w:rsidR="00BC7C75" w:rsidRPr="00CF0CF3" w:rsidRDefault="00BC7C75" w:rsidP="00BC7C75">
      <w:pPr>
        <w:pStyle w:val="ListParagraph"/>
        <w:rPr>
          <w:rFonts w:ascii="Garamond" w:hAnsi="Garamond"/>
          <w:sz w:val="24"/>
          <w:szCs w:val="24"/>
        </w:rPr>
      </w:pPr>
    </w:p>
    <w:p w14:paraId="3B1A2B73" w14:textId="77777777" w:rsidR="00BC7C75" w:rsidRDefault="00BC7C75" w:rsidP="00BC7C75">
      <w:pPr>
        <w:pStyle w:val="ListParagraph"/>
        <w:numPr>
          <w:ilvl w:val="0"/>
          <w:numId w:val="15"/>
        </w:numPr>
        <w:jc w:val="both"/>
        <w:rPr>
          <w:rFonts w:ascii="Garamond" w:hAnsi="Garamond"/>
          <w:sz w:val="24"/>
          <w:szCs w:val="24"/>
        </w:rPr>
      </w:pPr>
      <w:r>
        <w:rPr>
          <w:rFonts w:ascii="Garamond" w:hAnsi="Garamond"/>
          <w:sz w:val="24"/>
          <w:szCs w:val="24"/>
        </w:rPr>
        <w:t xml:space="preserve">The definition of individual concern was laid down in the famous case of </w:t>
      </w:r>
      <w:proofErr w:type="spellStart"/>
      <w:r w:rsidRPr="00CF0CF3">
        <w:rPr>
          <w:rFonts w:ascii="Garamond" w:hAnsi="Garamond"/>
          <w:i/>
          <w:sz w:val="24"/>
          <w:szCs w:val="24"/>
        </w:rPr>
        <w:t>Plaumann</w:t>
      </w:r>
      <w:proofErr w:type="spellEnd"/>
      <w:r>
        <w:rPr>
          <w:rFonts w:ascii="Garamond" w:hAnsi="Garamond"/>
          <w:sz w:val="24"/>
          <w:szCs w:val="24"/>
        </w:rPr>
        <w:t xml:space="preserve"> (Case C-25/62). The Court of Justice defined individual concern as follows:</w:t>
      </w:r>
    </w:p>
    <w:p w14:paraId="7601BE34" w14:textId="77777777" w:rsidR="00BC7C75" w:rsidRDefault="00BC7C75" w:rsidP="00BC7C75">
      <w:pPr>
        <w:pStyle w:val="ListParagraph"/>
        <w:ind w:left="1080"/>
        <w:jc w:val="both"/>
        <w:rPr>
          <w:rFonts w:ascii="Garamond" w:hAnsi="Garamond"/>
          <w:i/>
          <w:sz w:val="24"/>
          <w:szCs w:val="24"/>
        </w:rPr>
      </w:pPr>
    </w:p>
    <w:p w14:paraId="3BEAD284" w14:textId="77777777" w:rsidR="00BC7C75" w:rsidRDefault="00BC7C75" w:rsidP="00BC7C75">
      <w:pPr>
        <w:pStyle w:val="ListParagraph"/>
        <w:ind w:left="1080"/>
        <w:jc w:val="both"/>
        <w:rPr>
          <w:rFonts w:ascii="Garamond" w:hAnsi="Garamond"/>
          <w:i/>
          <w:sz w:val="24"/>
          <w:szCs w:val="24"/>
        </w:rPr>
      </w:pPr>
      <w:r w:rsidRPr="00247D87">
        <w:rPr>
          <w:rFonts w:ascii="Garamond" w:hAnsi="Garamond"/>
          <w:i/>
          <w:sz w:val="24"/>
          <w:szCs w:val="24"/>
        </w:rPr>
        <w:t>Persons other than those to whom a decision is addressed may only claim to be individually concerned if that decision affects them by reason of certain attributes which are peculiar to them or by reason of circumstances in which they are differentiated from all other persons and by virtue of these factors distinguishes them individually just as in the case of the person addressed</w:t>
      </w:r>
    </w:p>
    <w:p w14:paraId="3A9AF515" w14:textId="77777777" w:rsidR="00BC7C75" w:rsidRDefault="00BC7C75" w:rsidP="00BC7C75">
      <w:pPr>
        <w:pStyle w:val="ListParagraph"/>
        <w:ind w:left="1080"/>
        <w:jc w:val="both"/>
        <w:rPr>
          <w:rFonts w:ascii="Garamond" w:hAnsi="Garamond"/>
          <w:i/>
          <w:sz w:val="24"/>
          <w:szCs w:val="24"/>
        </w:rPr>
      </w:pPr>
    </w:p>
    <w:p w14:paraId="65B90C61" w14:textId="77777777" w:rsidR="00BC7C75" w:rsidRDefault="00BC7C75" w:rsidP="00BC7C75">
      <w:pPr>
        <w:pStyle w:val="ListParagraph"/>
        <w:numPr>
          <w:ilvl w:val="0"/>
          <w:numId w:val="15"/>
        </w:numPr>
        <w:jc w:val="both"/>
        <w:rPr>
          <w:rFonts w:ascii="Garamond" w:hAnsi="Garamond"/>
          <w:sz w:val="24"/>
          <w:szCs w:val="24"/>
        </w:rPr>
      </w:pPr>
      <w:r>
        <w:rPr>
          <w:rFonts w:ascii="Garamond" w:hAnsi="Garamond"/>
          <w:sz w:val="24"/>
          <w:szCs w:val="24"/>
        </w:rPr>
        <w:t xml:space="preserve">As such, the Court has made it extremely difficult for non-privileged applicants to show that they are individually concerned. There are basically two ways for them to do so: either the applicant must have </w:t>
      </w:r>
      <w:r w:rsidRPr="007E36BD">
        <w:rPr>
          <w:rFonts w:ascii="Garamond" w:hAnsi="Garamond"/>
          <w:i/>
          <w:iCs/>
          <w:sz w:val="24"/>
          <w:szCs w:val="24"/>
        </w:rPr>
        <w:t>certain attributes</w:t>
      </w:r>
      <w:r>
        <w:rPr>
          <w:rFonts w:ascii="Garamond" w:hAnsi="Garamond"/>
          <w:sz w:val="24"/>
          <w:szCs w:val="24"/>
        </w:rPr>
        <w:t xml:space="preserve"> which are peculiar to them, or they must be </w:t>
      </w:r>
      <w:r w:rsidRPr="007E36BD">
        <w:rPr>
          <w:rFonts w:ascii="Garamond" w:hAnsi="Garamond"/>
          <w:i/>
          <w:iCs/>
          <w:sz w:val="24"/>
          <w:szCs w:val="24"/>
        </w:rPr>
        <w:t>in circumstances in which they are differentiated from all other persons</w:t>
      </w:r>
      <w:r>
        <w:rPr>
          <w:rFonts w:ascii="Garamond" w:hAnsi="Garamond"/>
          <w:sz w:val="24"/>
          <w:szCs w:val="24"/>
        </w:rPr>
        <w:t xml:space="preserve"> in such a way that the measure is effectively addressed to them. This means that they </w:t>
      </w:r>
      <w:proofErr w:type="gramStart"/>
      <w:r>
        <w:rPr>
          <w:rFonts w:ascii="Garamond" w:hAnsi="Garamond"/>
          <w:sz w:val="24"/>
          <w:szCs w:val="24"/>
        </w:rPr>
        <w:t>have to</w:t>
      </w:r>
      <w:proofErr w:type="gramEnd"/>
      <w:r>
        <w:rPr>
          <w:rFonts w:ascii="Garamond" w:hAnsi="Garamond"/>
          <w:sz w:val="24"/>
          <w:szCs w:val="24"/>
        </w:rPr>
        <w:t xml:space="preserve"> be singled out as if the act is actually addressed to them. The way in which this test has been applied by the Court makes it almost impossible for claimants to establish individual concern. </w:t>
      </w:r>
    </w:p>
    <w:p w14:paraId="071CD8B5" w14:textId="77777777" w:rsidR="00BC7C75" w:rsidRDefault="00BC7C75" w:rsidP="00BC7C75">
      <w:pPr>
        <w:pStyle w:val="ListParagraph"/>
        <w:ind w:left="1080"/>
        <w:jc w:val="both"/>
        <w:rPr>
          <w:rFonts w:ascii="Garamond" w:hAnsi="Garamond"/>
          <w:sz w:val="24"/>
          <w:szCs w:val="24"/>
        </w:rPr>
      </w:pPr>
    </w:p>
    <w:p w14:paraId="78B247B4" w14:textId="77777777" w:rsidR="00BC7C75" w:rsidRDefault="00BC7C75" w:rsidP="00BC7C75">
      <w:pPr>
        <w:pStyle w:val="ListParagraph"/>
        <w:numPr>
          <w:ilvl w:val="0"/>
          <w:numId w:val="15"/>
        </w:numPr>
        <w:jc w:val="both"/>
        <w:rPr>
          <w:rFonts w:ascii="Garamond" w:hAnsi="Garamond"/>
          <w:sz w:val="24"/>
          <w:szCs w:val="24"/>
        </w:rPr>
      </w:pPr>
      <w:r>
        <w:rPr>
          <w:rFonts w:ascii="Garamond" w:hAnsi="Garamond"/>
          <w:sz w:val="24"/>
          <w:szCs w:val="24"/>
        </w:rPr>
        <w:t xml:space="preserve">In practice, the only way in which an individual can establish individual concern is if they can show that the EU knew precisely which parties would be affected by a certain EU act. These parties would have to be part of a </w:t>
      </w:r>
      <w:r w:rsidRPr="007E36BD">
        <w:rPr>
          <w:rFonts w:ascii="Garamond" w:hAnsi="Garamond"/>
          <w:i/>
          <w:iCs/>
          <w:sz w:val="24"/>
          <w:szCs w:val="24"/>
        </w:rPr>
        <w:t>closed group</w:t>
      </w:r>
      <w:r>
        <w:rPr>
          <w:rFonts w:ascii="Garamond" w:hAnsi="Garamond"/>
          <w:sz w:val="24"/>
          <w:szCs w:val="24"/>
        </w:rPr>
        <w:t xml:space="preserve"> – see </w:t>
      </w:r>
      <w:proofErr w:type="spellStart"/>
      <w:r w:rsidRPr="00247D87">
        <w:rPr>
          <w:rFonts w:ascii="Garamond" w:hAnsi="Garamond"/>
          <w:i/>
          <w:sz w:val="24"/>
          <w:szCs w:val="24"/>
        </w:rPr>
        <w:t>Piraiki</w:t>
      </w:r>
      <w:proofErr w:type="spellEnd"/>
      <w:r w:rsidRPr="00247D87">
        <w:rPr>
          <w:rFonts w:ascii="Garamond" w:hAnsi="Garamond"/>
          <w:i/>
          <w:sz w:val="24"/>
          <w:szCs w:val="24"/>
        </w:rPr>
        <w:t xml:space="preserve"> </w:t>
      </w:r>
      <w:proofErr w:type="spellStart"/>
      <w:r w:rsidRPr="00247D87">
        <w:rPr>
          <w:rFonts w:ascii="Garamond" w:hAnsi="Garamond"/>
          <w:i/>
          <w:sz w:val="24"/>
          <w:szCs w:val="24"/>
        </w:rPr>
        <w:t>Patraiki</w:t>
      </w:r>
      <w:proofErr w:type="spellEnd"/>
      <w:r>
        <w:rPr>
          <w:rFonts w:ascii="Garamond" w:hAnsi="Garamond"/>
          <w:sz w:val="24"/>
          <w:szCs w:val="24"/>
        </w:rPr>
        <w:t xml:space="preserve"> (Case C-11/82). However, the closed group condition has been interpreted extremely strictly – see </w:t>
      </w:r>
      <w:proofErr w:type="spellStart"/>
      <w:r w:rsidRPr="00247D87">
        <w:rPr>
          <w:rFonts w:ascii="Garamond" w:hAnsi="Garamond"/>
          <w:i/>
          <w:sz w:val="24"/>
          <w:szCs w:val="24"/>
        </w:rPr>
        <w:t>Plaumann</w:t>
      </w:r>
      <w:proofErr w:type="spellEnd"/>
      <w:r>
        <w:rPr>
          <w:rFonts w:ascii="Garamond" w:hAnsi="Garamond"/>
          <w:sz w:val="24"/>
          <w:szCs w:val="24"/>
        </w:rPr>
        <w:t xml:space="preserve"> itself. If you are in a business which is in principle open to everyone – such as the profession of clementine exporter in </w:t>
      </w:r>
      <w:proofErr w:type="spellStart"/>
      <w:r w:rsidRPr="00E73A7C">
        <w:rPr>
          <w:rFonts w:ascii="Garamond" w:hAnsi="Garamond"/>
          <w:i/>
          <w:sz w:val="24"/>
          <w:szCs w:val="24"/>
        </w:rPr>
        <w:t>Plaumann</w:t>
      </w:r>
      <w:proofErr w:type="spellEnd"/>
      <w:r>
        <w:rPr>
          <w:rFonts w:ascii="Garamond" w:hAnsi="Garamond"/>
          <w:sz w:val="24"/>
          <w:szCs w:val="24"/>
        </w:rPr>
        <w:t xml:space="preserve"> –, you are part of an open category and you cannot establish individual concern.</w:t>
      </w:r>
    </w:p>
    <w:p w14:paraId="6A75CE2E" w14:textId="77777777" w:rsidR="00BC7C75" w:rsidRPr="00247D87" w:rsidRDefault="00BC7C75" w:rsidP="00BC7C75">
      <w:pPr>
        <w:pStyle w:val="ListParagraph"/>
        <w:rPr>
          <w:rFonts w:ascii="Garamond" w:hAnsi="Garamond"/>
          <w:sz w:val="24"/>
          <w:szCs w:val="24"/>
        </w:rPr>
      </w:pPr>
    </w:p>
    <w:p w14:paraId="4473BC69" w14:textId="46909511" w:rsidR="00BC7C75" w:rsidRDefault="00BC7C75" w:rsidP="00BC7C75">
      <w:pPr>
        <w:pStyle w:val="ListParagraph"/>
        <w:numPr>
          <w:ilvl w:val="0"/>
          <w:numId w:val="15"/>
        </w:numPr>
        <w:jc w:val="both"/>
        <w:rPr>
          <w:rFonts w:ascii="Garamond" w:hAnsi="Garamond"/>
          <w:sz w:val="24"/>
          <w:szCs w:val="24"/>
        </w:rPr>
      </w:pPr>
      <w:r>
        <w:rPr>
          <w:rFonts w:ascii="Garamond" w:hAnsi="Garamond"/>
          <w:sz w:val="24"/>
          <w:szCs w:val="24"/>
        </w:rPr>
        <w:t xml:space="preserve">Another possibility would be for a non-privileged applicant to show that they had certain “attributes” which made them different from everyone else. This was successfully relied on in </w:t>
      </w:r>
      <w:proofErr w:type="spellStart"/>
      <w:r w:rsidRPr="00E73A7C">
        <w:rPr>
          <w:rFonts w:ascii="Garamond" w:hAnsi="Garamond"/>
          <w:i/>
          <w:sz w:val="24"/>
          <w:szCs w:val="24"/>
        </w:rPr>
        <w:t>Codorniu</w:t>
      </w:r>
      <w:proofErr w:type="spellEnd"/>
      <w:r>
        <w:rPr>
          <w:rFonts w:ascii="Garamond" w:hAnsi="Garamond"/>
          <w:sz w:val="24"/>
          <w:szCs w:val="24"/>
        </w:rPr>
        <w:t xml:space="preserve"> (Case C-309/89), which concerned a registered </w:t>
      </w:r>
      <w:r w:rsidR="007E36BD">
        <w:rPr>
          <w:rFonts w:ascii="Garamond" w:hAnsi="Garamond"/>
          <w:sz w:val="24"/>
          <w:szCs w:val="24"/>
        </w:rPr>
        <w:t>trademark</w:t>
      </w:r>
      <w:r>
        <w:rPr>
          <w:rFonts w:ascii="Garamond" w:hAnsi="Garamond"/>
          <w:sz w:val="24"/>
          <w:szCs w:val="24"/>
        </w:rPr>
        <w:t xml:space="preserve"> for sparkling wine. However, the </w:t>
      </w:r>
      <w:r w:rsidR="007E36BD">
        <w:rPr>
          <w:rFonts w:ascii="Garamond" w:hAnsi="Garamond"/>
          <w:sz w:val="24"/>
          <w:szCs w:val="24"/>
        </w:rPr>
        <w:t>consensus</w:t>
      </w:r>
      <w:r>
        <w:rPr>
          <w:rFonts w:ascii="Garamond" w:hAnsi="Garamond"/>
          <w:sz w:val="24"/>
          <w:szCs w:val="24"/>
        </w:rPr>
        <w:t xml:space="preserve"> is that this was an exceptional case which has not been followed in later cases.</w:t>
      </w:r>
    </w:p>
    <w:p w14:paraId="0A6C0953" w14:textId="77777777" w:rsidR="00D84BC0" w:rsidRPr="00D84BC0" w:rsidRDefault="00D84BC0" w:rsidP="00D84BC0">
      <w:pPr>
        <w:pStyle w:val="ListParagraph"/>
        <w:rPr>
          <w:rFonts w:ascii="Garamond" w:hAnsi="Garamond"/>
          <w:sz w:val="24"/>
          <w:szCs w:val="24"/>
        </w:rPr>
      </w:pPr>
    </w:p>
    <w:p w14:paraId="33B38E6F" w14:textId="779DED62" w:rsidR="00D84BC0" w:rsidRDefault="00D84BC0" w:rsidP="00BC7C75">
      <w:pPr>
        <w:pStyle w:val="ListParagraph"/>
        <w:numPr>
          <w:ilvl w:val="0"/>
          <w:numId w:val="15"/>
        </w:numPr>
        <w:jc w:val="both"/>
        <w:rPr>
          <w:rFonts w:ascii="Garamond" w:hAnsi="Garamond"/>
          <w:sz w:val="24"/>
          <w:szCs w:val="24"/>
        </w:rPr>
      </w:pPr>
      <w:r>
        <w:rPr>
          <w:rFonts w:ascii="Garamond" w:hAnsi="Garamond"/>
          <w:sz w:val="24"/>
          <w:szCs w:val="24"/>
        </w:rPr>
        <w:lastRenderedPageBreak/>
        <w:t xml:space="preserve">In the recent </w:t>
      </w:r>
      <w:r w:rsidR="00CF7CA8">
        <w:rPr>
          <w:rFonts w:ascii="Garamond" w:hAnsi="Garamond"/>
          <w:sz w:val="24"/>
          <w:szCs w:val="24"/>
        </w:rPr>
        <w:t xml:space="preserve">case </w:t>
      </w:r>
      <w:r>
        <w:rPr>
          <w:rFonts w:ascii="Garamond" w:hAnsi="Garamond"/>
          <w:sz w:val="24"/>
          <w:szCs w:val="24"/>
        </w:rPr>
        <w:t xml:space="preserve">of </w:t>
      </w:r>
      <w:r w:rsidRPr="00D84BC0">
        <w:rPr>
          <w:rFonts w:ascii="Garamond" w:hAnsi="Garamond"/>
          <w:i/>
          <w:iCs/>
          <w:sz w:val="24"/>
          <w:szCs w:val="24"/>
        </w:rPr>
        <w:t>Venezuela</w:t>
      </w:r>
      <w:r w:rsidR="00CF7CA8">
        <w:rPr>
          <w:rFonts w:ascii="Garamond" w:hAnsi="Garamond"/>
          <w:sz w:val="24"/>
          <w:szCs w:val="24"/>
        </w:rPr>
        <w:t xml:space="preserve"> (C-872/19P)</w:t>
      </w:r>
      <w:r>
        <w:rPr>
          <w:rFonts w:ascii="Garamond" w:hAnsi="Garamond"/>
          <w:sz w:val="24"/>
          <w:szCs w:val="24"/>
        </w:rPr>
        <w:t xml:space="preserve">, the Court of Justice had to rule on the standing of non-EU Member States. It had always been clear that nationals or companies of non-EU Member States can challenge EU acts as non-privileged applicants (see, e.g., </w:t>
      </w:r>
      <w:r w:rsidRPr="00D84BC0">
        <w:rPr>
          <w:rFonts w:ascii="Garamond" w:hAnsi="Garamond"/>
          <w:i/>
          <w:iCs/>
          <w:sz w:val="24"/>
          <w:szCs w:val="24"/>
        </w:rPr>
        <w:t>Kadi</w:t>
      </w:r>
      <w:r>
        <w:rPr>
          <w:rFonts w:ascii="Garamond" w:hAnsi="Garamond"/>
          <w:sz w:val="24"/>
          <w:szCs w:val="24"/>
        </w:rPr>
        <w:t xml:space="preserve"> (C-402/05P))</w:t>
      </w:r>
      <w:r w:rsidR="00CF7CA8">
        <w:rPr>
          <w:rFonts w:ascii="Garamond" w:hAnsi="Garamond"/>
          <w:sz w:val="24"/>
          <w:szCs w:val="24"/>
        </w:rPr>
        <w:t>.</w:t>
      </w:r>
      <w:r>
        <w:rPr>
          <w:rFonts w:ascii="Garamond" w:hAnsi="Garamond"/>
          <w:sz w:val="24"/>
          <w:szCs w:val="24"/>
        </w:rPr>
        <w:t xml:space="preserve"> </w:t>
      </w:r>
      <w:r w:rsidR="00CF7CA8">
        <w:rPr>
          <w:rFonts w:ascii="Garamond" w:hAnsi="Garamond"/>
          <w:sz w:val="24"/>
          <w:szCs w:val="24"/>
        </w:rPr>
        <w:t>However,</w:t>
      </w:r>
      <w:r>
        <w:rPr>
          <w:rFonts w:ascii="Garamond" w:hAnsi="Garamond"/>
          <w:sz w:val="24"/>
          <w:szCs w:val="24"/>
        </w:rPr>
        <w:t xml:space="preserve"> the status of countries was not clear. </w:t>
      </w:r>
      <w:r w:rsidR="00CF7CA8">
        <w:rPr>
          <w:rFonts w:ascii="Garamond" w:hAnsi="Garamond"/>
          <w:sz w:val="24"/>
          <w:szCs w:val="24"/>
        </w:rPr>
        <w:t xml:space="preserve">The General Court </w:t>
      </w:r>
      <w:r w:rsidR="008814E4">
        <w:rPr>
          <w:rFonts w:ascii="Garamond" w:hAnsi="Garamond"/>
          <w:sz w:val="24"/>
          <w:szCs w:val="24"/>
        </w:rPr>
        <w:t xml:space="preserve">had </w:t>
      </w:r>
      <w:r w:rsidR="00CF7CA8">
        <w:rPr>
          <w:rFonts w:ascii="Garamond" w:hAnsi="Garamond"/>
          <w:sz w:val="24"/>
          <w:szCs w:val="24"/>
        </w:rPr>
        <w:t>ruled that non-EU Member States do not have standing to challenge EU acts. However, on appeal</w:t>
      </w:r>
      <w:r>
        <w:rPr>
          <w:rFonts w:ascii="Garamond" w:hAnsi="Garamond"/>
          <w:sz w:val="24"/>
          <w:szCs w:val="24"/>
        </w:rPr>
        <w:t>, the Court</w:t>
      </w:r>
      <w:r w:rsidR="00CF7CA8">
        <w:rPr>
          <w:rFonts w:ascii="Garamond" w:hAnsi="Garamond"/>
          <w:sz w:val="24"/>
          <w:szCs w:val="24"/>
        </w:rPr>
        <w:t xml:space="preserve"> of Justice</w:t>
      </w:r>
      <w:r>
        <w:rPr>
          <w:rFonts w:ascii="Garamond" w:hAnsi="Garamond"/>
          <w:sz w:val="24"/>
          <w:szCs w:val="24"/>
        </w:rPr>
        <w:t xml:space="preserve"> confirmed that they can have standing under the same conditions as non-privileged national and legal persons. This is important to </w:t>
      </w:r>
      <w:r w:rsidR="00CF7CA8">
        <w:rPr>
          <w:rFonts w:ascii="Garamond" w:hAnsi="Garamond"/>
          <w:sz w:val="24"/>
          <w:szCs w:val="24"/>
        </w:rPr>
        <w:t>the ability of the UK to challenge EU acts as a non-EU Member State after Brexit.</w:t>
      </w:r>
    </w:p>
    <w:p w14:paraId="270FF218" w14:textId="77777777" w:rsidR="00BC7C75" w:rsidRPr="00180C00" w:rsidRDefault="00BC7C75" w:rsidP="00BC7C75">
      <w:pPr>
        <w:pStyle w:val="ListParagraph"/>
        <w:rPr>
          <w:rFonts w:ascii="Garamond" w:hAnsi="Garamond"/>
          <w:sz w:val="24"/>
          <w:szCs w:val="24"/>
        </w:rPr>
      </w:pPr>
    </w:p>
    <w:p w14:paraId="29C7566A" w14:textId="77777777" w:rsidR="00BC7C75" w:rsidRPr="00180C00" w:rsidRDefault="00BC7C75" w:rsidP="00BC7C75">
      <w:pPr>
        <w:pStyle w:val="ListParagraph"/>
        <w:numPr>
          <w:ilvl w:val="0"/>
          <w:numId w:val="8"/>
        </w:numPr>
        <w:jc w:val="both"/>
        <w:rPr>
          <w:rFonts w:ascii="Garamond" w:hAnsi="Garamond"/>
          <w:b/>
          <w:sz w:val="24"/>
          <w:szCs w:val="24"/>
        </w:rPr>
      </w:pPr>
      <w:r>
        <w:rPr>
          <w:rFonts w:ascii="Garamond" w:hAnsi="Garamond"/>
          <w:b/>
          <w:sz w:val="24"/>
          <w:szCs w:val="24"/>
        </w:rPr>
        <w:t xml:space="preserve">A plea for reform: </w:t>
      </w:r>
      <w:r w:rsidRPr="00180C00">
        <w:rPr>
          <w:rFonts w:ascii="Garamond" w:hAnsi="Garamond"/>
          <w:b/>
          <w:i/>
          <w:sz w:val="24"/>
          <w:szCs w:val="24"/>
        </w:rPr>
        <w:t>UPA</w:t>
      </w:r>
      <w:r>
        <w:rPr>
          <w:rFonts w:ascii="Garamond" w:hAnsi="Garamond"/>
          <w:b/>
          <w:sz w:val="24"/>
          <w:szCs w:val="24"/>
        </w:rPr>
        <w:t xml:space="preserve"> and the Lisbon Treaty</w:t>
      </w:r>
    </w:p>
    <w:p w14:paraId="5F4AF639" w14:textId="77777777" w:rsidR="00BC7C75" w:rsidRPr="00CF0CF3" w:rsidRDefault="00BC7C75" w:rsidP="00BC7C75">
      <w:pPr>
        <w:pStyle w:val="ListParagraph"/>
        <w:rPr>
          <w:rFonts w:ascii="Garamond" w:hAnsi="Garamond"/>
          <w:sz w:val="24"/>
          <w:szCs w:val="24"/>
        </w:rPr>
      </w:pPr>
    </w:p>
    <w:p w14:paraId="59D4E11E" w14:textId="359F4BC7" w:rsidR="00BC7C75" w:rsidRDefault="00BC7C75" w:rsidP="00BC7C75">
      <w:pPr>
        <w:pStyle w:val="ListParagraph"/>
        <w:numPr>
          <w:ilvl w:val="0"/>
          <w:numId w:val="16"/>
        </w:numPr>
        <w:jc w:val="both"/>
        <w:rPr>
          <w:rFonts w:ascii="Garamond" w:hAnsi="Garamond"/>
          <w:sz w:val="24"/>
          <w:szCs w:val="24"/>
        </w:rPr>
      </w:pPr>
      <w:r>
        <w:rPr>
          <w:rFonts w:ascii="Garamond" w:hAnsi="Garamond"/>
          <w:sz w:val="24"/>
          <w:szCs w:val="24"/>
        </w:rPr>
        <w:t xml:space="preserve">The very strict application of the individual concern test has consistently been criticised by academics and practitioners alike. The most serious criticism came from Advocate General Jacobs in </w:t>
      </w:r>
      <w:r w:rsidRPr="00180C00">
        <w:rPr>
          <w:rFonts w:ascii="Garamond" w:hAnsi="Garamond"/>
          <w:i/>
          <w:sz w:val="24"/>
          <w:szCs w:val="24"/>
        </w:rPr>
        <w:t xml:space="preserve">Union de </w:t>
      </w:r>
      <w:proofErr w:type="spellStart"/>
      <w:r w:rsidRPr="00180C00">
        <w:rPr>
          <w:rFonts w:ascii="Garamond" w:hAnsi="Garamond"/>
          <w:i/>
          <w:sz w:val="24"/>
          <w:szCs w:val="24"/>
        </w:rPr>
        <w:t>Pequenos</w:t>
      </w:r>
      <w:proofErr w:type="spellEnd"/>
      <w:r w:rsidRPr="00180C00">
        <w:rPr>
          <w:rFonts w:ascii="Garamond" w:hAnsi="Garamond"/>
          <w:i/>
          <w:sz w:val="24"/>
          <w:szCs w:val="24"/>
        </w:rPr>
        <w:t xml:space="preserve"> </w:t>
      </w:r>
      <w:proofErr w:type="spellStart"/>
      <w:r w:rsidRPr="00180C00">
        <w:rPr>
          <w:rFonts w:ascii="Garamond" w:hAnsi="Garamond"/>
          <w:i/>
          <w:sz w:val="24"/>
          <w:szCs w:val="24"/>
        </w:rPr>
        <w:t>Agricultores</w:t>
      </w:r>
      <w:proofErr w:type="spellEnd"/>
      <w:r>
        <w:rPr>
          <w:rFonts w:ascii="Garamond" w:hAnsi="Garamond"/>
          <w:i/>
          <w:sz w:val="24"/>
          <w:szCs w:val="24"/>
        </w:rPr>
        <w:t xml:space="preserve"> </w:t>
      </w:r>
      <w:r w:rsidRPr="002E4339">
        <w:rPr>
          <w:rFonts w:ascii="Garamond" w:hAnsi="Garamond"/>
          <w:sz w:val="24"/>
          <w:szCs w:val="24"/>
        </w:rPr>
        <w:t>(</w:t>
      </w:r>
      <w:r>
        <w:rPr>
          <w:rFonts w:ascii="Garamond" w:hAnsi="Garamond"/>
          <w:sz w:val="24"/>
          <w:szCs w:val="24"/>
        </w:rPr>
        <w:t xml:space="preserve">Case C-50/00P). The </w:t>
      </w:r>
      <w:proofErr w:type="gramStart"/>
      <w:r>
        <w:rPr>
          <w:rFonts w:ascii="Garamond" w:hAnsi="Garamond"/>
          <w:sz w:val="24"/>
          <w:szCs w:val="24"/>
        </w:rPr>
        <w:t>main focus</w:t>
      </w:r>
      <w:proofErr w:type="gramEnd"/>
      <w:r>
        <w:rPr>
          <w:rFonts w:ascii="Garamond" w:hAnsi="Garamond"/>
          <w:sz w:val="24"/>
          <w:szCs w:val="24"/>
        </w:rPr>
        <w:t xml:space="preserve"> of </w:t>
      </w:r>
      <w:r w:rsidR="00DA4050">
        <w:rPr>
          <w:rFonts w:ascii="Garamond" w:hAnsi="Garamond"/>
          <w:sz w:val="24"/>
          <w:szCs w:val="24"/>
        </w:rPr>
        <w:t xml:space="preserve">his </w:t>
      </w:r>
      <w:r>
        <w:rPr>
          <w:rFonts w:ascii="Garamond" w:hAnsi="Garamond"/>
          <w:sz w:val="24"/>
          <w:szCs w:val="24"/>
        </w:rPr>
        <w:t>criticism was the Court’s reliance on the preliminary reference procedure in Article 267 TFEU as an effective alternative to</w:t>
      </w:r>
      <w:r w:rsidR="00DA4050">
        <w:rPr>
          <w:rFonts w:ascii="Garamond" w:hAnsi="Garamond"/>
          <w:sz w:val="24"/>
          <w:szCs w:val="24"/>
        </w:rPr>
        <w:t xml:space="preserve"> a direct action under</w:t>
      </w:r>
      <w:r>
        <w:rPr>
          <w:rFonts w:ascii="Garamond" w:hAnsi="Garamond"/>
          <w:sz w:val="24"/>
          <w:szCs w:val="24"/>
        </w:rPr>
        <w:t xml:space="preserve"> Article 263 TFEU. According to AG Jacobs, there were various reasons why the preliminary reference procedure would not necessarily provide effective judicial protection to applicants who wanted to challenge the validity of EU law. </w:t>
      </w:r>
    </w:p>
    <w:p w14:paraId="56CD11C4" w14:textId="77777777" w:rsidR="00BC7C75" w:rsidRDefault="00BC7C75" w:rsidP="00BC7C75">
      <w:pPr>
        <w:pStyle w:val="ListParagraph"/>
        <w:ind w:left="1080"/>
        <w:jc w:val="both"/>
        <w:rPr>
          <w:rFonts w:ascii="Garamond" w:hAnsi="Garamond"/>
          <w:sz w:val="24"/>
          <w:szCs w:val="24"/>
        </w:rPr>
      </w:pPr>
    </w:p>
    <w:p w14:paraId="142F6C30" w14:textId="7E79BCE1" w:rsidR="00BC7C75" w:rsidRDefault="00BC7C75" w:rsidP="00BC7C75">
      <w:pPr>
        <w:pStyle w:val="ListParagraph"/>
        <w:numPr>
          <w:ilvl w:val="0"/>
          <w:numId w:val="16"/>
        </w:numPr>
        <w:jc w:val="both"/>
        <w:rPr>
          <w:rFonts w:ascii="Garamond" w:hAnsi="Garamond"/>
          <w:sz w:val="24"/>
          <w:szCs w:val="24"/>
        </w:rPr>
      </w:pPr>
      <w:proofErr w:type="gramStart"/>
      <w:r>
        <w:rPr>
          <w:rFonts w:ascii="Garamond" w:hAnsi="Garamond"/>
          <w:sz w:val="24"/>
          <w:szCs w:val="24"/>
        </w:rPr>
        <w:t>First of all</w:t>
      </w:r>
      <w:proofErr w:type="gramEnd"/>
      <w:r>
        <w:rPr>
          <w:rFonts w:ascii="Garamond" w:hAnsi="Garamond"/>
          <w:sz w:val="24"/>
          <w:szCs w:val="24"/>
        </w:rPr>
        <w:t xml:space="preserve">, it would often mean that individuals would first have to breach the law to be able to get to the national court. Secondly, there is no individual right to </w:t>
      </w:r>
      <w:r w:rsidR="00E1139B">
        <w:rPr>
          <w:rFonts w:ascii="Garamond" w:hAnsi="Garamond"/>
          <w:sz w:val="24"/>
          <w:szCs w:val="24"/>
        </w:rPr>
        <w:t>have a case referred to</w:t>
      </w:r>
      <w:r>
        <w:rPr>
          <w:rFonts w:ascii="Garamond" w:hAnsi="Garamond"/>
          <w:sz w:val="24"/>
          <w:szCs w:val="24"/>
        </w:rPr>
        <w:t xml:space="preserve"> Luxembourg. This is always a decision for </w:t>
      </w:r>
      <w:r w:rsidR="00E1139B">
        <w:rPr>
          <w:rFonts w:ascii="Garamond" w:hAnsi="Garamond"/>
          <w:sz w:val="24"/>
          <w:szCs w:val="24"/>
        </w:rPr>
        <w:t>the national court</w:t>
      </w:r>
      <w:r>
        <w:rPr>
          <w:rFonts w:ascii="Garamond" w:hAnsi="Garamond"/>
          <w:sz w:val="24"/>
          <w:szCs w:val="24"/>
        </w:rPr>
        <w:t xml:space="preserve"> to make, and national courts may refuse to make a preliminary reference for </w:t>
      </w:r>
      <w:proofErr w:type="gramStart"/>
      <w:r>
        <w:rPr>
          <w:rFonts w:ascii="Garamond" w:hAnsi="Garamond"/>
          <w:sz w:val="24"/>
          <w:szCs w:val="24"/>
        </w:rPr>
        <w:t>a number of</w:t>
      </w:r>
      <w:proofErr w:type="gramEnd"/>
      <w:r>
        <w:rPr>
          <w:rFonts w:ascii="Garamond" w:hAnsi="Garamond"/>
          <w:sz w:val="24"/>
          <w:szCs w:val="24"/>
        </w:rPr>
        <w:t xml:space="preserve"> reasons. Thirdly, the preliminary reference procedure takes very long. Although the Court of Justice has become much more efficient in recent years, it still takes </w:t>
      </w:r>
      <w:r w:rsidR="00E1139B">
        <w:rPr>
          <w:rFonts w:ascii="Garamond" w:hAnsi="Garamond"/>
          <w:sz w:val="24"/>
          <w:szCs w:val="24"/>
        </w:rPr>
        <w:t>about</w:t>
      </w:r>
      <w:r>
        <w:rPr>
          <w:rFonts w:ascii="Garamond" w:hAnsi="Garamond"/>
          <w:sz w:val="24"/>
          <w:szCs w:val="24"/>
        </w:rPr>
        <w:t xml:space="preserve"> a year-and-a-half before the preliminary reference returns to the national court. This cannot </w:t>
      </w:r>
      <w:proofErr w:type="gramStart"/>
      <w:r>
        <w:rPr>
          <w:rFonts w:ascii="Garamond" w:hAnsi="Garamond"/>
          <w:sz w:val="24"/>
          <w:szCs w:val="24"/>
        </w:rPr>
        <w:t>be considered to be</w:t>
      </w:r>
      <w:proofErr w:type="gramEnd"/>
      <w:r>
        <w:rPr>
          <w:rFonts w:ascii="Garamond" w:hAnsi="Garamond"/>
          <w:sz w:val="24"/>
          <w:szCs w:val="24"/>
        </w:rPr>
        <w:t xml:space="preserve"> effective judicial protection, according to AG Jacobs. For that reason, he proposed to change the test to assess whether the EU act had a </w:t>
      </w:r>
      <w:r w:rsidRPr="00CD7A9F">
        <w:rPr>
          <w:rFonts w:ascii="Garamond" w:hAnsi="Garamond"/>
          <w:i/>
          <w:sz w:val="24"/>
          <w:szCs w:val="24"/>
        </w:rPr>
        <w:t>substantial adverse</w:t>
      </w:r>
      <w:r>
        <w:rPr>
          <w:rFonts w:ascii="Garamond" w:hAnsi="Garamond"/>
          <w:i/>
          <w:sz w:val="24"/>
          <w:szCs w:val="24"/>
        </w:rPr>
        <w:t xml:space="preserve"> impact</w:t>
      </w:r>
      <w:r>
        <w:rPr>
          <w:rFonts w:ascii="Garamond" w:hAnsi="Garamond"/>
          <w:sz w:val="24"/>
          <w:szCs w:val="24"/>
        </w:rPr>
        <w:t xml:space="preserve"> on the interests of the applicants. In such cases, non-privileged applicants should have standing under Article 263 TFEU.</w:t>
      </w:r>
    </w:p>
    <w:p w14:paraId="7A563B0F" w14:textId="77777777" w:rsidR="00BC7C75" w:rsidRPr="002E4339" w:rsidRDefault="00BC7C75" w:rsidP="00BC7C75">
      <w:pPr>
        <w:pStyle w:val="ListParagraph"/>
        <w:rPr>
          <w:rFonts w:ascii="Garamond" w:hAnsi="Garamond"/>
          <w:sz w:val="24"/>
          <w:szCs w:val="24"/>
        </w:rPr>
      </w:pPr>
    </w:p>
    <w:p w14:paraId="5924B58B" w14:textId="4CB0AC08" w:rsidR="00BC7C75" w:rsidRDefault="00BC7C75" w:rsidP="00BC7C75">
      <w:pPr>
        <w:pStyle w:val="ListParagraph"/>
        <w:numPr>
          <w:ilvl w:val="0"/>
          <w:numId w:val="16"/>
        </w:numPr>
        <w:jc w:val="both"/>
        <w:rPr>
          <w:rFonts w:ascii="Garamond" w:hAnsi="Garamond"/>
          <w:sz w:val="24"/>
          <w:szCs w:val="24"/>
        </w:rPr>
      </w:pPr>
      <w:r>
        <w:rPr>
          <w:rFonts w:ascii="Garamond" w:hAnsi="Garamond"/>
          <w:sz w:val="24"/>
          <w:szCs w:val="24"/>
        </w:rPr>
        <w:t xml:space="preserve">The Court of Justice disagreed with AG Jacobs’ criticism in </w:t>
      </w:r>
      <w:r w:rsidRPr="002E4339">
        <w:rPr>
          <w:rFonts w:ascii="Garamond" w:hAnsi="Garamond"/>
          <w:i/>
          <w:sz w:val="24"/>
          <w:szCs w:val="24"/>
        </w:rPr>
        <w:t>UPA</w:t>
      </w:r>
      <w:r>
        <w:rPr>
          <w:rFonts w:ascii="Garamond" w:hAnsi="Garamond"/>
          <w:i/>
          <w:sz w:val="24"/>
          <w:szCs w:val="24"/>
        </w:rPr>
        <w:t>.</w:t>
      </w:r>
      <w:r>
        <w:rPr>
          <w:rFonts w:ascii="Garamond" w:hAnsi="Garamond"/>
          <w:sz w:val="24"/>
          <w:szCs w:val="24"/>
        </w:rPr>
        <w:t xml:space="preserve"> It also held that if it accepted the proposed new test, it would effectively re-write the Treaty. This would be something for the Member States to do. As such, the Court </w:t>
      </w:r>
      <w:r w:rsidR="00E1139B">
        <w:rPr>
          <w:rFonts w:ascii="Garamond" w:hAnsi="Garamond"/>
          <w:sz w:val="24"/>
          <w:szCs w:val="24"/>
        </w:rPr>
        <w:t>effectively</w:t>
      </w:r>
      <w:r>
        <w:rPr>
          <w:rFonts w:ascii="Garamond" w:hAnsi="Garamond"/>
          <w:sz w:val="24"/>
          <w:szCs w:val="24"/>
        </w:rPr>
        <w:t xml:space="preserve"> called for the admissibility criteria to be relaxed by the Member States through a Treaty amendment. The Court also resisted criticism from the General Court, which had proposed to follow AG Jacobs’ test in </w:t>
      </w:r>
      <w:proofErr w:type="spellStart"/>
      <w:r w:rsidRPr="002E4339">
        <w:rPr>
          <w:rFonts w:ascii="Garamond" w:hAnsi="Garamond"/>
          <w:i/>
          <w:sz w:val="24"/>
          <w:szCs w:val="24"/>
        </w:rPr>
        <w:t>Jégo</w:t>
      </w:r>
      <w:proofErr w:type="spellEnd"/>
      <w:r w:rsidRPr="002E4339">
        <w:rPr>
          <w:rFonts w:ascii="Garamond" w:hAnsi="Garamond"/>
          <w:i/>
          <w:sz w:val="24"/>
          <w:szCs w:val="24"/>
        </w:rPr>
        <w:t>-Quéré</w:t>
      </w:r>
      <w:r>
        <w:rPr>
          <w:rFonts w:ascii="Garamond" w:hAnsi="Garamond"/>
          <w:sz w:val="24"/>
          <w:szCs w:val="24"/>
        </w:rPr>
        <w:t xml:space="preserve"> (Case C-263/02P).</w:t>
      </w:r>
    </w:p>
    <w:p w14:paraId="70558284" w14:textId="77777777" w:rsidR="00BC7C75" w:rsidRPr="002E4339" w:rsidRDefault="00BC7C75" w:rsidP="00BC7C75">
      <w:pPr>
        <w:pStyle w:val="ListParagraph"/>
        <w:rPr>
          <w:rFonts w:ascii="Garamond" w:hAnsi="Garamond"/>
          <w:sz w:val="24"/>
          <w:szCs w:val="24"/>
        </w:rPr>
      </w:pPr>
    </w:p>
    <w:p w14:paraId="1B7CE6CF" w14:textId="583BD353" w:rsidR="00BC7C75" w:rsidRDefault="00BC7C75" w:rsidP="00BC7C75">
      <w:pPr>
        <w:pStyle w:val="ListParagraph"/>
        <w:numPr>
          <w:ilvl w:val="0"/>
          <w:numId w:val="16"/>
        </w:numPr>
        <w:jc w:val="both"/>
        <w:rPr>
          <w:rFonts w:ascii="Garamond" w:hAnsi="Garamond"/>
          <w:sz w:val="24"/>
          <w:szCs w:val="24"/>
        </w:rPr>
      </w:pPr>
      <w:r>
        <w:rPr>
          <w:rFonts w:ascii="Garamond" w:hAnsi="Garamond"/>
          <w:sz w:val="24"/>
          <w:szCs w:val="24"/>
        </w:rPr>
        <w:t>It was clear that if anything had to change in the admissibility criteria, this would have to be done by the Member States. They finally did so in the Treaty of Lisbon. It introduced a new category of “regulatory acts” in Article 263(4)</w:t>
      </w:r>
      <w:r w:rsidR="00DA4050">
        <w:rPr>
          <w:rFonts w:ascii="Garamond" w:hAnsi="Garamond"/>
          <w:sz w:val="24"/>
          <w:szCs w:val="24"/>
        </w:rPr>
        <w:t xml:space="preserve"> TFEU</w:t>
      </w:r>
      <w:r>
        <w:rPr>
          <w:rFonts w:ascii="Garamond" w:hAnsi="Garamond"/>
          <w:sz w:val="24"/>
          <w:szCs w:val="24"/>
        </w:rPr>
        <w:t xml:space="preserve">. For these acts, applicants do not have to show individual concern. They only </w:t>
      </w:r>
      <w:proofErr w:type="gramStart"/>
      <w:r>
        <w:rPr>
          <w:rFonts w:ascii="Garamond" w:hAnsi="Garamond"/>
          <w:sz w:val="24"/>
          <w:szCs w:val="24"/>
        </w:rPr>
        <w:t>have to</w:t>
      </w:r>
      <w:proofErr w:type="gramEnd"/>
      <w:r>
        <w:rPr>
          <w:rFonts w:ascii="Garamond" w:hAnsi="Garamond"/>
          <w:sz w:val="24"/>
          <w:szCs w:val="24"/>
        </w:rPr>
        <w:t xml:space="preserve"> show direct concern, and also that the measure did not entail implementing measures. Each of these concepts </w:t>
      </w:r>
      <w:proofErr w:type="gramStart"/>
      <w:r>
        <w:rPr>
          <w:rFonts w:ascii="Garamond" w:hAnsi="Garamond"/>
          <w:sz w:val="24"/>
          <w:szCs w:val="24"/>
        </w:rPr>
        <w:t>has to</w:t>
      </w:r>
      <w:proofErr w:type="gramEnd"/>
      <w:r>
        <w:rPr>
          <w:rFonts w:ascii="Garamond" w:hAnsi="Garamond"/>
          <w:sz w:val="24"/>
          <w:szCs w:val="24"/>
        </w:rPr>
        <w:t xml:space="preserve"> be analysed in more detail.</w:t>
      </w:r>
    </w:p>
    <w:p w14:paraId="21AF598F" w14:textId="77777777" w:rsidR="00BC7C75" w:rsidRPr="00E7344C" w:rsidRDefault="00BC7C75" w:rsidP="00BC7C75">
      <w:pPr>
        <w:pStyle w:val="ListParagraph"/>
        <w:rPr>
          <w:rFonts w:ascii="Garamond" w:hAnsi="Garamond"/>
          <w:sz w:val="24"/>
          <w:szCs w:val="24"/>
        </w:rPr>
      </w:pPr>
    </w:p>
    <w:p w14:paraId="5F0B8BEE" w14:textId="10A45813" w:rsidR="00BC7C75" w:rsidRDefault="00BC7C75" w:rsidP="00BC7C75">
      <w:pPr>
        <w:pStyle w:val="ListParagraph"/>
        <w:numPr>
          <w:ilvl w:val="0"/>
          <w:numId w:val="16"/>
        </w:numPr>
        <w:jc w:val="both"/>
        <w:rPr>
          <w:rFonts w:ascii="Garamond" w:hAnsi="Garamond"/>
          <w:sz w:val="24"/>
          <w:szCs w:val="24"/>
        </w:rPr>
      </w:pPr>
      <w:r>
        <w:rPr>
          <w:rFonts w:ascii="Garamond" w:hAnsi="Garamond"/>
          <w:sz w:val="24"/>
          <w:szCs w:val="24"/>
        </w:rPr>
        <w:lastRenderedPageBreak/>
        <w:t xml:space="preserve">After the adoption of the Treaty of Lisbon, it was unclear how broadly the scope of the principle of “regulatory act” should be interpreted. Did it include all acts of general application? </w:t>
      </w:r>
      <w:proofErr w:type="gramStart"/>
      <w:r>
        <w:rPr>
          <w:rFonts w:ascii="Garamond" w:hAnsi="Garamond"/>
          <w:sz w:val="24"/>
          <w:szCs w:val="24"/>
        </w:rPr>
        <w:t>In particular, did</w:t>
      </w:r>
      <w:proofErr w:type="gramEnd"/>
      <w:r>
        <w:rPr>
          <w:rFonts w:ascii="Garamond" w:hAnsi="Garamond"/>
          <w:sz w:val="24"/>
          <w:szCs w:val="24"/>
        </w:rPr>
        <w:t xml:space="preserve"> it include legislative acts? The Court of Justice clarified this is </w:t>
      </w:r>
      <w:r w:rsidRPr="0043453D">
        <w:rPr>
          <w:rFonts w:ascii="Garamond" w:hAnsi="Garamond"/>
          <w:i/>
          <w:sz w:val="24"/>
          <w:szCs w:val="24"/>
        </w:rPr>
        <w:t>Inuit</w:t>
      </w:r>
      <w:r>
        <w:rPr>
          <w:rFonts w:ascii="Garamond" w:hAnsi="Garamond"/>
          <w:sz w:val="24"/>
          <w:szCs w:val="24"/>
        </w:rPr>
        <w:t xml:space="preserve"> (Case C-583/11P). It held that regulatory acts are acts of general application which are </w:t>
      </w:r>
      <w:r w:rsidRPr="0006186F">
        <w:rPr>
          <w:rFonts w:ascii="Garamond" w:hAnsi="Garamond"/>
          <w:i/>
          <w:sz w:val="24"/>
          <w:szCs w:val="24"/>
        </w:rPr>
        <w:t>not</w:t>
      </w:r>
      <w:r>
        <w:rPr>
          <w:rFonts w:ascii="Garamond" w:hAnsi="Garamond"/>
          <w:sz w:val="24"/>
          <w:szCs w:val="24"/>
        </w:rPr>
        <w:t xml:space="preserve"> legislative acts. As a result, for acts which have been adopted under a legislative procedure, applicants still </w:t>
      </w:r>
      <w:proofErr w:type="gramStart"/>
      <w:r>
        <w:rPr>
          <w:rFonts w:ascii="Garamond" w:hAnsi="Garamond"/>
          <w:sz w:val="24"/>
          <w:szCs w:val="24"/>
        </w:rPr>
        <w:t>have to</w:t>
      </w:r>
      <w:proofErr w:type="gramEnd"/>
      <w:r>
        <w:rPr>
          <w:rFonts w:ascii="Garamond" w:hAnsi="Garamond"/>
          <w:sz w:val="24"/>
          <w:szCs w:val="24"/>
        </w:rPr>
        <w:t xml:space="preserve"> establish direct and individual concern. The Treaty of Lisbon has not changed the admissibility criteria to challenge legislative acts. However, for any act of general application which is not a legislative act (such as implementing or delegated measures), applicants only </w:t>
      </w:r>
      <w:proofErr w:type="gramStart"/>
      <w:r>
        <w:rPr>
          <w:rFonts w:ascii="Garamond" w:hAnsi="Garamond"/>
          <w:sz w:val="24"/>
          <w:szCs w:val="24"/>
        </w:rPr>
        <w:t>have to</w:t>
      </w:r>
      <w:proofErr w:type="gramEnd"/>
      <w:r>
        <w:rPr>
          <w:rFonts w:ascii="Garamond" w:hAnsi="Garamond"/>
          <w:sz w:val="24"/>
          <w:szCs w:val="24"/>
        </w:rPr>
        <w:t xml:space="preserve"> show that they are directly concerned by the EU act.</w:t>
      </w:r>
    </w:p>
    <w:p w14:paraId="59040027" w14:textId="77777777" w:rsidR="00BC7C75" w:rsidRPr="0043453D" w:rsidRDefault="00BC7C75" w:rsidP="00BC7C75">
      <w:pPr>
        <w:pStyle w:val="ListParagraph"/>
        <w:rPr>
          <w:rFonts w:ascii="Garamond" w:hAnsi="Garamond"/>
          <w:sz w:val="24"/>
          <w:szCs w:val="24"/>
        </w:rPr>
      </w:pPr>
    </w:p>
    <w:p w14:paraId="0986B814" w14:textId="77777777" w:rsidR="00BC7C75" w:rsidRDefault="00BC7C75" w:rsidP="00BC7C75">
      <w:pPr>
        <w:pStyle w:val="ListParagraph"/>
        <w:numPr>
          <w:ilvl w:val="0"/>
          <w:numId w:val="16"/>
        </w:numPr>
        <w:jc w:val="both"/>
        <w:rPr>
          <w:rFonts w:ascii="Garamond" w:hAnsi="Garamond"/>
          <w:sz w:val="24"/>
          <w:szCs w:val="24"/>
        </w:rPr>
      </w:pPr>
      <w:r>
        <w:rPr>
          <w:rFonts w:ascii="Garamond" w:hAnsi="Garamond"/>
          <w:sz w:val="24"/>
          <w:szCs w:val="24"/>
        </w:rPr>
        <w:t xml:space="preserve">However, Article 263(4) still requires applicants to show that the regulatory act did not entail implementing measures. The concept of implementing measures is interpreted broadly – see </w:t>
      </w:r>
      <w:r w:rsidRPr="0006186F">
        <w:rPr>
          <w:rFonts w:ascii="Garamond" w:hAnsi="Garamond"/>
          <w:i/>
          <w:sz w:val="24"/>
          <w:szCs w:val="24"/>
        </w:rPr>
        <w:t>Telefonica</w:t>
      </w:r>
      <w:r>
        <w:rPr>
          <w:rFonts w:ascii="Garamond" w:hAnsi="Garamond"/>
          <w:sz w:val="24"/>
          <w:szCs w:val="24"/>
        </w:rPr>
        <w:t xml:space="preserve"> (Case C-274/12) and </w:t>
      </w:r>
      <w:proofErr w:type="spellStart"/>
      <w:r w:rsidRPr="0006186F">
        <w:rPr>
          <w:rFonts w:ascii="Garamond" w:hAnsi="Garamond"/>
          <w:i/>
          <w:sz w:val="24"/>
          <w:szCs w:val="24"/>
        </w:rPr>
        <w:t>Federcoopesca</w:t>
      </w:r>
      <w:proofErr w:type="spellEnd"/>
      <w:r>
        <w:rPr>
          <w:rFonts w:ascii="Garamond" w:hAnsi="Garamond"/>
          <w:sz w:val="24"/>
          <w:szCs w:val="24"/>
        </w:rPr>
        <w:t xml:space="preserve"> (Case T-312/14). Again, the Court’s broad definition can be explained by its reliance on Article 267 TFEU: if there is a national implementing measure, individuals can challenge that national implementing measure and then get a preliminary reference to the Court of Justice through Article 267 TFEU.</w:t>
      </w:r>
    </w:p>
    <w:p w14:paraId="10509DED" w14:textId="77777777" w:rsidR="00BC7C75" w:rsidRPr="0006186F" w:rsidRDefault="00BC7C75" w:rsidP="00BC7C75">
      <w:pPr>
        <w:pStyle w:val="ListParagraph"/>
        <w:rPr>
          <w:rFonts w:ascii="Garamond" w:hAnsi="Garamond"/>
          <w:sz w:val="24"/>
          <w:szCs w:val="24"/>
        </w:rPr>
      </w:pPr>
    </w:p>
    <w:p w14:paraId="7FC74B96" w14:textId="77777777" w:rsidR="00BC7C75" w:rsidRDefault="00BC7C75" w:rsidP="00BC7C75">
      <w:pPr>
        <w:pStyle w:val="ListParagraph"/>
        <w:numPr>
          <w:ilvl w:val="0"/>
          <w:numId w:val="8"/>
        </w:numPr>
        <w:jc w:val="both"/>
        <w:rPr>
          <w:rFonts w:ascii="Garamond" w:hAnsi="Garamond"/>
          <w:b/>
          <w:sz w:val="24"/>
          <w:szCs w:val="24"/>
        </w:rPr>
      </w:pPr>
      <w:r>
        <w:rPr>
          <w:rFonts w:ascii="Garamond" w:hAnsi="Garamond"/>
          <w:b/>
          <w:sz w:val="24"/>
          <w:szCs w:val="24"/>
        </w:rPr>
        <w:t>The time-limit of two months</w:t>
      </w:r>
    </w:p>
    <w:p w14:paraId="1BABA611" w14:textId="77777777" w:rsidR="00BC7C75" w:rsidRDefault="00BC7C75" w:rsidP="00BC7C75">
      <w:pPr>
        <w:pStyle w:val="ListParagraph"/>
        <w:jc w:val="both"/>
        <w:rPr>
          <w:rFonts w:ascii="Garamond" w:hAnsi="Garamond"/>
          <w:b/>
          <w:sz w:val="24"/>
          <w:szCs w:val="24"/>
        </w:rPr>
      </w:pPr>
    </w:p>
    <w:p w14:paraId="230E954C" w14:textId="77777777" w:rsidR="00BC7C75" w:rsidRDefault="00BC7C75" w:rsidP="00BC7C75">
      <w:pPr>
        <w:pStyle w:val="ListParagraph"/>
        <w:numPr>
          <w:ilvl w:val="0"/>
          <w:numId w:val="17"/>
        </w:numPr>
        <w:jc w:val="both"/>
        <w:rPr>
          <w:rFonts w:ascii="Garamond" w:hAnsi="Garamond"/>
          <w:sz w:val="24"/>
          <w:szCs w:val="24"/>
        </w:rPr>
      </w:pPr>
      <w:r>
        <w:rPr>
          <w:rFonts w:ascii="Garamond" w:hAnsi="Garamond"/>
          <w:sz w:val="24"/>
          <w:szCs w:val="24"/>
        </w:rPr>
        <w:t>The final condition to bring an action for annulment under Article 263 TFEU is that applicants must start the procedure within two months of the publication of the EU act. If the EU act has not been published, the date starts to run from the moment that the applicant became aware of the adoption of the EU act. In practice, because of the Rules of Procedure of the Court of Justice, applicants effectively have two months and two weeks to bring proceedings for an action of annulment.</w:t>
      </w:r>
    </w:p>
    <w:p w14:paraId="01824427" w14:textId="77777777" w:rsidR="00BC7C75" w:rsidRDefault="00BC7C75" w:rsidP="00BC7C75">
      <w:pPr>
        <w:pStyle w:val="ListParagraph"/>
        <w:ind w:left="1080"/>
        <w:jc w:val="both"/>
        <w:rPr>
          <w:rFonts w:ascii="Garamond" w:hAnsi="Garamond"/>
          <w:sz w:val="24"/>
          <w:szCs w:val="24"/>
        </w:rPr>
      </w:pPr>
    </w:p>
    <w:p w14:paraId="7D7D40D7" w14:textId="33ED4CA2" w:rsidR="00BC7C75" w:rsidRDefault="00BC7C75" w:rsidP="00BC7C75">
      <w:pPr>
        <w:pStyle w:val="ListParagraph"/>
        <w:numPr>
          <w:ilvl w:val="0"/>
          <w:numId w:val="17"/>
        </w:numPr>
        <w:jc w:val="both"/>
        <w:rPr>
          <w:rFonts w:ascii="Garamond" w:hAnsi="Garamond"/>
          <w:sz w:val="24"/>
          <w:szCs w:val="24"/>
        </w:rPr>
      </w:pPr>
      <w:r>
        <w:rPr>
          <w:rFonts w:ascii="Garamond" w:hAnsi="Garamond"/>
          <w:sz w:val="24"/>
          <w:szCs w:val="24"/>
        </w:rPr>
        <w:t xml:space="preserve">The two-month time limit is quite short. The justification for this is </w:t>
      </w:r>
      <w:r w:rsidR="00E1139B">
        <w:rPr>
          <w:rFonts w:ascii="Garamond" w:hAnsi="Garamond"/>
          <w:sz w:val="24"/>
          <w:szCs w:val="24"/>
        </w:rPr>
        <w:t xml:space="preserve">the concept of </w:t>
      </w:r>
      <w:r w:rsidRPr="00E1139B">
        <w:rPr>
          <w:rFonts w:ascii="Garamond" w:hAnsi="Garamond"/>
          <w:i/>
          <w:iCs/>
          <w:sz w:val="24"/>
          <w:szCs w:val="24"/>
        </w:rPr>
        <w:t>legal certainty</w:t>
      </w:r>
      <w:r>
        <w:rPr>
          <w:rFonts w:ascii="Garamond" w:hAnsi="Garamond"/>
          <w:sz w:val="24"/>
          <w:szCs w:val="24"/>
        </w:rPr>
        <w:t xml:space="preserve"> – the EU, the Member States and private parties should know as soon as possible whether EU law is valid. If any party has a problem with the potential validity of an EU act, they should challenge it within two months.</w:t>
      </w:r>
    </w:p>
    <w:p w14:paraId="492D6C8C" w14:textId="77777777" w:rsidR="00BC7C75" w:rsidRPr="00102F15" w:rsidRDefault="00BC7C75" w:rsidP="00BC7C75">
      <w:pPr>
        <w:pStyle w:val="ListParagraph"/>
        <w:rPr>
          <w:rFonts w:ascii="Garamond" w:hAnsi="Garamond"/>
          <w:sz w:val="24"/>
          <w:szCs w:val="24"/>
        </w:rPr>
      </w:pPr>
    </w:p>
    <w:p w14:paraId="6EAA0036" w14:textId="5F8F4595" w:rsidR="00BC7C75" w:rsidRDefault="00BC7C75" w:rsidP="00BC7C75">
      <w:pPr>
        <w:pStyle w:val="ListParagraph"/>
        <w:numPr>
          <w:ilvl w:val="0"/>
          <w:numId w:val="17"/>
        </w:numPr>
        <w:jc w:val="both"/>
        <w:rPr>
          <w:rFonts w:ascii="Garamond" w:hAnsi="Garamond"/>
          <w:sz w:val="24"/>
          <w:szCs w:val="24"/>
        </w:rPr>
      </w:pPr>
      <w:r>
        <w:rPr>
          <w:rFonts w:ascii="Garamond" w:hAnsi="Garamond"/>
          <w:sz w:val="24"/>
          <w:szCs w:val="24"/>
        </w:rPr>
        <w:t xml:space="preserve">This time-limit does not apply to indirect challenges under Article 267 TFEU, which will be discussed below. If a party challenges the validity of an EU act before the national court, and the national court makes a preliminary reference under Article 267 TFEU, the time-limit does not apply. However, there is one exception: if a party could </w:t>
      </w:r>
      <w:r w:rsidR="00E1139B">
        <w:rPr>
          <w:rFonts w:ascii="Garamond" w:hAnsi="Garamond"/>
          <w:sz w:val="24"/>
          <w:szCs w:val="24"/>
        </w:rPr>
        <w:t>clearly</w:t>
      </w:r>
      <w:r>
        <w:rPr>
          <w:rFonts w:ascii="Garamond" w:hAnsi="Garamond"/>
          <w:sz w:val="24"/>
          <w:szCs w:val="24"/>
        </w:rPr>
        <w:t xml:space="preserve"> have challenged an EU act under the annulment procedure</w:t>
      </w:r>
      <w:r w:rsidR="00E1139B">
        <w:rPr>
          <w:rFonts w:ascii="Garamond" w:hAnsi="Garamond"/>
          <w:sz w:val="24"/>
          <w:szCs w:val="24"/>
        </w:rPr>
        <w:t xml:space="preserve"> (for example, because the act was addressed to it)</w:t>
      </w:r>
      <w:r>
        <w:rPr>
          <w:rFonts w:ascii="Garamond" w:hAnsi="Garamond"/>
          <w:sz w:val="24"/>
          <w:szCs w:val="24"/>
        </w:rPr>
        <w:t xml:space="preserve">, it cannot wait until the time-limit has expired and then try to challenge the validity through the preliminary reference procedure – see </w:t>
      </w:r>
      <w:r w:rsidRPr="00102F15">
        <w:rPr>
          <w:rFonts w:ascii="Garamond" w:hAnsi="Garamond"/>
          <w:i/>
          <w:sz w:val="24"/>
          <w:szCs w:val="24"/>
        </w:rPr>
        <w:t xml:space="preserve">TWD </w:t>
      </w:r>
      <w:proofErr w:type="spellStart"/>
      <w:r w:rsidRPr="00102F15">
        <w:rPr>
          <w:rFonts w:ascii="Garamond" w:hAnsi="Garamond"/>
          <w:i/>
          <w:sz w:val="24"/>
          <w:szCs w:val="24"/>
        </w:rPr>
        <w:t>Textilwerke</w:t>
      </w:r>
      <w:proofErr w:type="spellEnd"/>
      <w:r w:rsidRPr="00102F15">
        <w:rPr>
          <w:rFonts w:ascii="Garamond" w:hAnsi="Garamond"/>
          <w:i/>
          <w:sz w:val="24"/>
          <w:szCs w:val="24"/>
        </w:rPr>
        <w:t xml:space="preserve"> </w:t>
      </w:r>
      <w:proofErr w:type="spellStart"/>
      <w:r w:rsidRPr="00102F15">
        <w:rPr>
          <w:rFonts w:ascii="Garamond" w:hAnsi="Garamond"/>
          <w:i/>
          <w:sz w:val="24"/>
          <w:szCs w:val="24"/>
        </w:rPr>
        <w:t>Deggendorf</w:t>
      </w:r>
      <w:proofErr w:type="spellEnd"/>
      <w:r>
        <w:rPr>
          <w:rFonts w:ascii="Garamond" w:hAnsi="Garamond"/>
          <w:sz w:val="24"/>
          <w:szCs w:val="24"/>
        </w:rPr>
        <w:t xml:space="preserve"> (Case C-188/92). </w:t>
      </w:r>
    </w:p>
    <w:p w14:paraId="0AD71128" w14:textId="77777777" w:rsidR="00BC7C75" w:rsidRPr="009C75EA" w:rsidRDefault="00BC7C75" w:rsidP="00BC7C75">
      <w:pPr>
        <w:pStyle w:val="ListParagraph"/>
        <w:rPr>
          <w:rFonts w:ascii="Garamond" w:hAnsi="Garamond"/>
          <w:sz w:val="24"/>
          <w:szCs w:val="24"/>
        </w:rPr>
      </w:pPr>
    </w:p>
    <w:p w14:paraId="77B9D09E" w14:textId="77777777" w:rsidR="00BC7C75" w:rsidRDefault="00BC7C75" w:rsidP="00BC7C75">
      <w:pPr>
        <w:pStyle w:val="ListParagraph"/>
        <w:numPr>
          <w:ilvl w:val="0"/>
          <w:numId w:val="1"/>
        </w:numPr>
        <w:jc w:val="both"/>
        <w:rPr>
          <w:rFonts w:ascii="Garamond" w:hAnsi="Garamond"/>
          <w:b/>
          <w:sz w:val="24"/>
          <w:szCs w:val="24"/>
        </w:rPr>
      </w:pPr>
      <w:r>
        <w:rPr>
          <w:rFonts w:ascii="Garamond" w:hAnsi="Garamond"/>
          <w:b/>
          <w:sz w:val="24"/>
          <w:szCs w:val="24"/>
        </w:rPr>
        <w:t>The relationship between Article 263 TFEU and Article 267 TFEU</w:t>
      </w:r>
    </w:p>
    <w:p w14:paraId="2E853A3B" w14:textId="77777777" w:rsidR="00BC7C75" w:rsidRDefault="00BC7C75" w:rsidP="00BC7C75">
      <w:pPr>
        <w:pStyle w:val="ListParagraph"/>
        <w:jc w:val="both"/>
        <w:rPr>
          <w:rFonts w:ascii="Garamond" w:hAnsi="Garamond"/>
          <w:b/>
          <w:sz w:val="24"/>
          <w:szCs w:val="24"/>
        </w:rPr>
      </w:pPr>
    </w:p>
    <w:p w14:paraId="4817B496" w14:textId="1986C26E" w:rsidR="00BC7C75" w:rsidRDefault="00BC7C75" w:rsidP="00BC7C75">
      <w:pPr>
        <w:pStyle w:val="ListParagraph"/>
        <w:numPr>
          <w:ilvl w:val="0"/>
          <w:numId w:val="18"/>
        </w:numPr>
        <w:jc w:val="both"/>
        <w:rPr>
          <w:rFonts w:ascii="Garamond" w:hAnsi="Garamond"/>
          <w:sz w:val="24"/>
          <w:szCs w:val="24"/>
        </w:rPr>
      </w:pPr>
      <w:r>
        <w:rPr>
          <w:rFonts w:ascii="Garamond" w:hAnsi="Garamond"/>
          <w:sz w:val="24"/>
          <w:szCs w:val="24"/>
        </w:rPr>
        <w:t xml:space="preserve">As we have already seen above, the strict interpretation of the admissibility criteria under Article 263 TFEU has always been justified by the Court of Justice on the basis that the preliminary reference procedure under Article 267 TFEU constitutes an </w:t>
      </w:r>
      <w:r>
        <w:rPr>
          <w:rFonts w:ascii="Garamond" w:hAnsi="Garamond"/>
          <w:sz w:val="24"/>
          <w:szCs w:val="24"/>
        </w:rPr>
        <w:lastRenderedPageBreak/>
        <w:t xml:space="preserve">effective alternative to a direct action for annulment. National courts cannot declare EU law invalid. If </w:t>
      </w:r>
      <w:r w:rsidR="00E1139B">
        <w:rPr>
          <w:rFonts w:ascii="Garamond" w:hAnsi="Garamond"/>
          <w:sz w:val="24"/>
          <w:szCs w:val="24"/>
        </w:rPr>
        <w:t>a</w:t>
      </w:r>
      <w:r>
        <w:rPr>
          <w:rFonts w:ascii="Garamond" w:hAnsi="Garamond"/>
          <w:sz w:val="24"/>
          <w:szCs w:val="24"/>
        </w:rPr>
        <w:t xml:space="preserve"> national court has doubts about the validity of EU law, it </w:t>
      </w:r>
      <w:r w:rsidR="00D71A86">
        <w:rPr>
          <w:rFonts w:ascii="Garamond" w:hAnsi="Garamond"/>
          <w:sz w:val="24"/>
          <w:szCs w:val="24"/>
        </w:rPr>
        <w:t>must</w:t>
      </w:r>
      <w:r>
        <w:rPr>
          <w:rFonts w:ascii="Garamond" w:hAnsi="Garamond"/>
          <w:sz w:val="24"/>
          <w:szCs w:val="24"/>
        </w:rPr>
        <w:t xml:space="preserve"> make a preliminary reference to the Court of Justice: see </w:t>
      </w:r>
      <w:r w:rsidRPr="009C75EA">
        <w:rPr>
          <w:rFonts w:ascii="Garamond" w:hAnsi="Garamond"/>
          <w:i/>
          <w:sz w:val="24"/>
          <w:szCs w:val="24"/>
        </w:rPr>
        <w:t>Foto Frost</w:t>
      </w:r>
      <w:r>
        <w:rPr>
          <w:rFonts w:ascii="Garamond" w:hAnsi="Garamond"/>
          <w:sz w:val="24"/>
          <w:szCs w:val="24"/>
        </w:rPr>
        <w:t xml:space="preserve"> (Case C-314/85). However, if it is obvious to the national court that EU law is valid, it does not have to make a preliminary reference. </w:t>
      </w:r>
      <w:r w:rsidR="00E1139B">
        <w:rPr>
          <w:rFonts w:ascii="Garamond" w:hAnsi="Garamond"/>
          <w:sz w:val="24"/>
          <w:szCs w:val="24"/>
        </w:rPr>
        <w:t>As a result,</w:t>
      </w:r>
      <w:r>
        <w:rPr>
          <w:rFonts w:ascii="Garamond" w:hAnsi="Garamond"/>
          <w:sz w:val="24"/>
          <w:szCs w:val="24"/>
        </w:rPr>
        <w:t xml:space="preserve"> national courts cannot declare EU invalid, but they </w:t>
      </w:r>
      <w:r w:rsidRPr="00E1139B">
        <w:rPr>
          <w:rFonts w:ascii="Garamond" w:hAnsi="Garamond"/>
          <w:i/>
          <w:iCs/>
          <w:sz w:val="24"/>
          <w:szCs w:val="24"/>
        </w:rPr>
        <w:t>can</w:t>
      </w:r>
      <w:r>
        <w:rPr>
          <w:rFonts w:ascii="Garamond" w:hAnsi="Garamond"/>
          <w:sz w:val="24"/>
          <w:szCs w:val="24"/>
        </w:rPr>
        <w:t xml:space="preserve"> declare EU valid. </w:t>
      </w:r>
    </w:p>
    <w:p w14:paraId="5077BF73" w14:textId="77777777" w:rsidR="00BC7C75" w:rsidRDefault="00BC7C75" w:rsidP="00BC7C75">
      <w:pPr>
        <w:pStyle w:val="ListParagraph"/>
        <w:ind w:left="1080"/>
        <w:jc w:val="both"/>
        <w:rPr>
          <w:rFonts w:ascii="Garamond" w:hAnsi="Garamond"/>
          <w:sz w:val="24"/>
          <w:szCs w:val="24"/>
        </w:rPr>
      </w:pPr>
    </w:p>
    <w:p w14:paraId="1CF87A44" w14:textId="13D9810D" w:rsidR="00BC7C75" w:rsidRDefault="00BC7C75" w:rsidP="00BC7C75">
      <w:pPr>
        <w:pStyle w:val="ListParagraph"/>
        <w:numPr>
          <w:ilvl w:val="0"/>
          <w:numId w:val="18"/>
        </w:numPr>
        <w:jc w:val="both"/>
        <w:rPr>
          <w:rFonts w:ascii="Garamond" w:hAnsi="Garamond"/>
          <w:sz w:val="24"/>
          <w:szCs w:val="24"/>
        </w:rPr>
      </w:pPr>
      <w:r>
        <w:rPr>
          <w:rFonts w:ascii="Garamond" w:hAnsi="Garamond"/>
          <w:sz w:val="24"/>
          <w:szCs w:val="24"/>
        </w:rPr>
        <w:t xml:space="preserve">The problem with relying too much on the indirect action through Article 267 TFEU is that it is not always easy for applicants to get before their national courts in the first place (see the Opinion of AG Jacobs in </w:t>
      </w:r>
      <w:r w:rsidRPr="009C75EA">
        <w:rPr>
          <w:rFonts w:ascii="Garamond" w:hAnsi="Garamond"/>
          <w:i/>
          <w:sz w:val="24"/>
          <w:szCs w:val="24"/>
        </w:rPr>
        <w:t>UPA</w:t>
      </w:r>
      <w:r>
        <w:rPr>
          <w:rFonts w:ascii="Garamond" w:hAnsi="Garamond"/>
          <w:sz w:val="24"/>
          <w:szCs w:val="24"/>
        </w:rPr>
        <w:t xml:space="preserve">). It often means that they will first have to breach a provision of EU law or the national implementing measure, before they are able to claim the invalidity of the EU act on which it is based. As such, they are effectively forced to </w:t>
      </w:r>
      <w:r w:rsidR="000A2D22">
        <w:rPr>
          <w:rFonts w:ascii="Garamond" w:hAnsi="Garamond"/>
          <w:sz w:val="24"/>
          <w:szCs w:val="24"/>
        </w:rPr>
        <w:t>act unlawfully</w:t>
      </w:r>
      <w:r w:rsidR="00E1139B">
        <w:rPr>
          <w:rFonts w:ascii="Garamond" w:hAnsi="Garamond"/>
          <w:sz w:val="24"/>
          <w:szCs w:val="24"/>
        </w:rPr>
        <w:t>.</w:t>
      </w:r>
    </w:p>
    <w:p w14:paraId="0377543B" w14:textId="77777777" w:rsidR="00BC7C75" w:rsidRDefault="00BC7C75" w:rsidP="00BC7C75">
      <w:pPr>
        <w:pStyle w:val="ListParagraph"/>
        <w:ind w:left="1080"/>
        <w:jc w:val="both"/>
        <w:rPr>
          <w:rFonts w:ascii="Garamond" w:hAnsi="Garamond"/>
          <w:sz w:val="24"/>
          <w:szCs w:val="24"/>
        </w:rPr>
      </w:pPr>
    </w:p>
    <w:p w14:paraId="13E70087" w14:textId="4BA631F7" w:rsidR="00BC7C75" w:rsidRDefault="00BC7C75" w:rsidP="00BC7C75">
      <w:pPr>
        <w:pStyle w:val="ListParagraph"/>
        <w:numPr>
          <w:ilvl w:val="0"/>
          <w:numId w:val="18"/>
        </w:numPr>
        <w:jc w:val="both"/>
        <w:rPr>
          <w:rFonts w:ascii="Garamond" w:hAnsi="Garamond"/>
          <w:sz w:val="24"/>
          <w:szCs w:val="24"/>
        </w:rPr>
      </w:pPr>
      <w:r>
        <w:rPr>
          <w:rFonts w:ascii="Garamond" w:hAnsi="Garamond"/>
          <w:sz w:val="24"/>
          <w:szCs w:val="24"/>
        </w:rPr>
        <w:t xml:space="preserve">Does the two-month time-limit apply to indirect challenges through the national court? The answer is no. However, if a party could </w:t>
      </w:r>
      <w:r w:rsidR="00E1139B">
        <w:rPr>
          <w:rFonts w:ascii="Garamond" w:hAnsi="Garamond"/>
          <w:sz w:val="24"/>
          <w:szCs w:val="24"/>
        </w:rPr>
        <w:t>clearly</w:t>
      </w:r>
      <w:r>
        <w:rPr>
          <w:rFonts w:ascii="Garamond" w:hAnsi="Garamond"/>
          <w:sz w:val="24"/>
          <w:szCs w:val="24"/>
        </w:rPr>
        <w:t xml:space="preserve"> have challenged an EU act under the annulment procedure, it cannot then wait until the time-limit has expired and then try to challenge the validity through the preliminary reference procedure – see </w:t>
      </w:r>
      <w:r w:rsidRPr="00102F15">
        <w:rPr>
          <w:rFonts w:ascii="Garamond" w:hAnsi="Garamond"/>
          <w:i/>
          <w:sz w:val="24"/>
          <w:szCs w:val="24"/>
        </w:rPr>
        <w:t xml:space="preserve">TWD </w:t>
      </w:r>
      <w:proofErr w:type="spellStart"/>
      <w:r w:rsidRPr="00102F15">
        <w:rPr>
          <w:rFonts w:ascii="Garamond" w:hAnsi="Garamond"/>
          <w:i/>
          <w:sz w:val="24"/>
          <w:szCs w:val="24"/>
        </w:rPr>
        <w:t>Textilwerke</w:t>
      </w:r>
      <w:proofErr w:type="spellEnd"/>
      <w:r w:rsidRPr="00102F15">
        <w:rPr>
          <w:rFonts w:ascii="Garamond" w:hAnsi="Garamond"/>
          <w:i/>
          <w:sz w:val="24"/>
          <w:szCs w:val="24"/>
        </w:rPr>
        <w:t xml:space="preserve"> </w:t>
      </w:r>
      <w:proofErr w:type="spellStart"/>
      <w:r w:rsidRPr="00102F15">
        <w:rPr>
          <w:rFonts w:ascii="Garamond" w:hAnsi="Garamond"/>
          <w:i/>
          <w:sz w:val="24"/>
          <w:szCs w:val="24"/>
        </w:rPr>
        <w:t>Deggendorf</w:t>
      </w:r>
      <w:proofErr w:type="spellEnd"/>
      <w:r>
        <w:rPr>
          <w:rFonts w:ascii="Garamond" w:hAnsi="Garamond"/>
          <w:sz w:val="24"/>
          <w:szCs w:val="24"/>
        </w:rPr>
        <w:t xml:space="preserve"> (Case C-188/92). Note that this exception only applies if it is </w:t>
      </w:r>
      <w:r w:rsidRPr="009C75EA">
        <w:rPr>
          <w:rFonts w:ascii="Garamond" w:hAnsi="Garamond"/>
          <w:i/>
          <w:sz w:val="24"/>
          <w:szCs w:val="24"/>
        </w:rPr>
        <w:t>obvious</w:t>
      </w:r>
      <w:r>
        <w:rPr>
          <w:rFonts w:ascii="Garamond" w:hAnsi="Garamond"/>
          <w:sz w:val="24"/>
          <w:szCs w:val="24"/>
        </w:rPr>
        <w:t xml:space="preserve"> that the applicant would have had standing under Article 263 TFEU. This is probably only the case if an EU act was addressed to the applicant.</w:t>
      </w:r>
    </w:p>
    <w:p w14:paraId="200BEB26" w14:textId="77777777" w:rsidR="00BC7C75" w:rsidRPr="00FF4CC8" w:rsidRDefault="00BC7C75" w:rsidP="00BC7C75">
      <w:pPr>
        <w:pStyle w:val="ListParagraph"/>
        <w:rPr>
          <w:rFonts w:ascii="Garamond" w:hAnsi="Garamond"/>
          <w:sz w:val="24"/>
          <w:szCs w:val="24"/>
        </w:rPr>
      </w:pPr>
    </w:p>
    <w:p w14:paraId="0448DBD0" w14:textId="77777777" w:rsidR="00BC7C75" w:rsidRDefault="00BC7C75" w:rsidP="00BC7C75">
      <w:pPr>
        <w:jc w:val="both"/>
        <w:rPr>
          <w:rFonts w:ascii="Garamond" w:hAnsi="Garamond"/>
          <w:b/>
          <w:sz w:val="24"/>
          <w:szCs w:val="24"/>
          <w:u w:val="single"/>
        </w:rPr>
      </w:pPr>
      <w:r>
        <w:rPr>
          <w:rFonts w:ascii="Garamond" w:hAnsi="Garamond"/>
          <w:b/>
          <w:sz w:val="24"/>
          <w:szCs w:val="24"/>
          <w:u w:val="single"/>
        </w:rPr>
        <w:t>ADDITIONAL READING:</w:t>
      </w:r>
    </w:p>
    <w:p w14:paraId="7A256737" w14:textId="77777777" w:rsidR="00BC7C75" w:rsidRDefault="00BC7C75" w:rsidP="00BC7C75">
      <w:pPr>
        <w:pStyle w:val="ListParagraph"/>
        <w:numPr>
          <w:ilvl w:val="0"/>
          <w:numId w:val="34"/>
        </w:numPr>
        <w:jc w:val="both"/>
        <w:rPr>
          <w:rFonts w:ascii="Garamond" w:hAnsi="Garamond"/>
          <w:sz w:val="24"/>
          <w:szCs w:val="24"/>
        </w:rPr>
      </w:pPr>
      <w:r>
        <w:rPr>
          <w:rFonts w:ascii="Garamond" w:hAnsi="Garamond"/>
          <w:sz w:val="24"/>
          <w:szCs w:val="24"/>
        </w:rPr>
        <w:t xml:space="preserve">A. </w:t>
      </w:r>
      <w:proofErr w:type="spellStart"/>
      <w:r>
        <w:rPr>
          <w:rFonts w:ascii="Garamond" w:hAnsi="Garamond"/>
          <w:sz w:val="24"/>
          <w:szCs w:val="24"/>
        </w:rPr>
        <w:t>Albors</w:t>
      </w:r>
      <w:proofErr w:type="spellEnd"/>
      <w:r>
        <w:rPr>
          <w:rFonts w:ascii="Garamond" w:hAnsi="Garamond"/>
          <w:sz w:val="24"/>
          <w:szCs w:val="24"/>
        </w:rPr>
        <w:t xml:space="preserve"> Llorens, ‘The Standing of Private Parties to Challenge Community Measures: Has the European Court of Justice Missed the Boat?’ (2003) 62 </w:t>
      </w:r>
      <w:r w:rsidRPr="00FF4CC8">
        <w:rPr>
          <w:rFonts w:ascii="Garamond" w:hAnsi="Garamond"/>
          <w:i/>
          <w:sz w:val="24"/>
          <w:szCs w:val="24"/>
        </w:rPr>
        <w:t>Cambridge Law Journal</w:t>
      </w:r>
      <w:r>
        <w:rPr>
          <w:rFonts w:ascii="Garamond" w:hAnsi="Garamond"/>
          <w:sz w:val="24"/>
          <w:szCs w:val="24"/>
        </w:rPr>
        <w:t xml:space="preserve"> 72</w:t>
      </w:r>
    </w:p>
    <w:p w14:paraId="07F5B314" w14:textId="4ECEBD3A" w:rsidR="00BC7C75" w:rsidRDefault="00BC7C75" w:rsidP="00BC7C75">
      <w:pPr>
        <w:pStyle w:val="ListParagraph"/>
        <w:numPr>
          <w:ilvl w:val="0"/>
          <w:numId w:val="34"/>
        </w:numPr>
        <w:jc w:val="both"/>
        <w:rPr>
          <w:rFonts w:ascii="Garamond" w:hAnsi="Garamond"/>
          <w:sz w:val="24"/>
          <w:szCs w:val="24"/>
        </w:rPr>
      </w:pPr>
      <w:r>
        <w:rPr>
          <w:rFonts w:ascii="Garamond" w:hAnsi="Garamond"/>
          <w:sz w:val="24"/>
          <w:szCs w:val="24"/>
        </w:rPr>
        <w:t xml:space="preserve">A. </w:t>
      </w:r>
      <w:proofErr w:type="spellStart"/>
      <w:r>
        <w:rPr>
          <w:rFonts w:ascii="Garamond" w:hAnsi="Garamond"/>
          <w:sz w:val="24"/>
          <w:szCs w:val="24"/>
        </w:rPr>
        <w:t>Arnull</w:t>
      </w:r>
      <w:proofErr w:type="spellEnd"/>
      <w:r>
        <w:rPr>
          <w:rFonts w:ascii="Garamond" w:hAnsi="Garamond"/>
          <w:sz w:val="24"/>
          <w:szCs w:val="24"/>
        </w:rPr>
        <w:t xml:space="preserve">, ‘Private Applicants and the Action for Annulment under Article 173 of the EC Treaty’ (1995) 32 </w:t>
      </w:r>
      <w:r w:rsidRPr="00FF4CC8">
        <w:rPr>
          <w:rFonts w:ascii="Garamond" w:hAnsi="Garamond"/>
          <w:i/>
          <w:sz w:val="24"/>
          <w:szCs w:val="24"/>
        </w:rPr>
        <w:t>CML Rev</w:t>
      </w:r>
      <w:r>
        <w:rPr>
          <w:rFonts w:ascii="Garamond" w:hAnsi="Garamond"/>
          <w:sz w:val="24"/>
          <w:szCs w:val="24"/>
        </w:rPr>
        <w:t xml:space="preserve"> 7</w:t>
      </w:r>
    </w:p>
    <w:p w14:paraId="6C3E4B96" w14:textId="539EC9E3" w:rsidR="000F3875" w:rsidRDefault="000F3875" w:rsidP="00BC7C75">
      <w:pPr>
        <w:pStyle w:val="ListParagraph"/>
        <w:numPr>
          <w:ilvl w:val="0"/>
          <w:numId w:val="34"/>
        </w:numPr>
        <w:jc w:val="both"/>
        <w:rPr>
          <w:rFonts w:ascii="Garamond" w:hAnsi="Garamond"/>
          <w:sz w:val="24"/>
          <w:szCs w:val="24"/>
        </w:rPr>
      </w:pPr>
      <w:r>
        <w:rPr>
          <w:rFonts w:ascii="Garamond" w:hAnsi="Garamond"/>
          <w:sz w:val="24"/>
          <w:szCs w:val="24"/>
        </w:rPr>
        <w:t xml:space="preserve">R. </w:t>
      </w:r>
      <w:proofErr w:type="spellStart"/>
      <w:r>
        <w:rPr>
          <w:rFonts w:ascii="Garamond" w:hAnsi="Garamond"/>
          <w:sz w:val="24"/>
          <w:szCs w:val="24"/>
        </w:rPr>
        <w:t>Caranta</w:t>
      </w:r>
      <w:proofErr w:type="spellEnd"/>
      <w:r>
        <w:rPr>
          <w:rFonts w:ascii="Garamond" w:hAnsi="Garamond"/>
          <w:sz w:val="24"/>
          <w:szCs w:val="24"/>
        </w:rPr>
        <w:t xml:space="preserve">, ‘Knock and it shall be opened unto you: Standing for non-privileged applications after </w:t>
      </w:r>
      <w:r w:rsidRPr="00070271">
        <w:rPr>
          <w:rFonts w:ascii="Garamond" w:hAnsi="Garamond"/>
          <w:i/>
          <w:iCs/>
          <w:sz w:val="24"/>
          <w:szCs w:val="24"/>
        </w:rPr>
        <w:t>Montessori</w:t>
      </w:r>
      <w:r>
        <w:rPr>
          <w:rFonts w:ascii="Garamond" w:hAnsi="Garamond"/>
          <w:sz w:val="24"/>
          <w:szCs w:val="24"/>
        </w:rPr>
        <w:t xml:space="preserve">’ (2021) 58 </w:t>
      </w:r>
      <w:r w:rsidRPr="000F3875">
        <w:rPr>
          <w:rFonts w:ascii="Garamond" w:hAnsi="Garamond"/>
          <w:i/>
          <w:iCs/>
          <w:sz w:val="24"/>
          <w:szCs w:val="24"/>
        </w:rPr>
        <w:t>CML Rev</w:t>
      </w:r>
      <w:r>
        <w:rPr>
          <w:rFonts w:ascii="Garamond" w:hAnsi="Garamond"/>
          <w:sz w:val="24"/>
          <w:szCs w:val="24"/>
        </w:rPr>
        <w:t xml:space="preserve"> 163</w:t>
      </w:r>
    </w:p>
    <w:p w14:paraId="0DB3E661" w14:textId="20EC6133" w:rsidR="000F3875" w:rsidRDefault="000F3875" w:rsidP="000F3875">
      <w:pPr>
        <w:jc w:val="both"/>
        <w:rPr>
          <w:rFonts w:ascii="Garamond" w:hAnsi="Garamond"/>
          <w:sz w:val="24"/>
          <w:szCs w:val="24"/>
        </w:rPr>
      </w:pPr>
    </w:p>
    <w:p w14:paraId="275996A7" w14:textId="32F55631" w:rsidR="000F3875" w:rsidRDefault="000F3875" w:rsidP="000F3875">
      <w:pPr>
        <w:jc w:val="both"/>
        <w:rPr>
          <w:rFonts w:ascii="Garamond" w:hAnsi="Garamond"/>
          <w:sz w:val="24"/>
          <w:szCs w:val="24"/>
        </w:rPr>
      </w:pPr>
    </w:p>
    <w:p w14:paraId="08F86142" w14:textId="3BB7D115" w:rsidR="000F3875" w:rsidRDefault="000F3875" w:rsidP="000F3875">
      <w:pPr>
        <w:jc w:val="both"/>
        <w:rPr>
          <w:rFonts w:ascii="Garamond" w:hAnsi="Garamond"/>
          <w:sz w:val="24"/>
          <w:szCs w:val="24"/>
        </w:rPr>
      </w:pPr>
    </w:p>
    <w:p w14:paraId="15DCDDA3" w14:textId="552F62DF" w:rsidR="000F3875" w:rsidRDefault="000F3875" w:rsidP="000F3875">
      <w:pPr>
        <w:jc w:val="both"/>
        <w:rPr>
          <w:rFonts w:ascii="Garamond" w:hAnsi="Garamond"/>
          <w:sz w:val="24"/>
          <w:szCs w:val="24"/>
        </w:rPr>
      </w:pPr>
    </w:p>
    <w:p w14:paraId="15F0E8BF" w14:textId="561D91CC" w:rsidR="000F3875" w:rsidRDefault="000F3875" w:rsidP="000F3875">
      <w:pPr>
        <w:jc w:val="both"/>
        <w:rPr>
          <w:rFonts w:ascii="Garamond" w:hAnsi="Garamond"/>
          <w:sz w:val="24"/>
          <w:szCs w:val="24"/>
        </w:rPr>
      </w:pPr>
    </w:p>
    <w:p w14:paraId="476F119B" w14:textId="0B0340A0" w:rsidR="000F3875" w:rsidRDefault="000F3875" w:rsidP="000F3875">
      <w:pPr>
        <w:jc w:val="both"/>
        <w:rPr>
          <w:rFonts w:ascii="Garamond" w:hAnsi="Garamond"/>
          <w:sz w:val="24"/>
          <w:szCs w:val="24"/>
        </w:rPr>
      </w:pPr>
    </w:p>
    <w:p w14:paraId="16D30162" w14:textId="37E8DC7A" w:rsidR="000F3875" w:rsidRDefault="000F3875" w:rsidP="000F3875">
      <w:pPr>
        <w:jc w:val="both"/>
        <w:rPr>
          <w:rFonts w:ascii="Garamond" w:hAnsi="Garamond"/>
          <w:sz w:val="24"/>
          <w:szCs w:val="24"/>
        </w:rPr>
      </w:pPr>
    </w:p>
    <w:p w14:paraId="7B5EFFEB" w14:textId="068CE524" w:rsidR="000F3875" w:rsidRDefault="000F3875" w:rsidP="000F3875">
      <w:pPr>
        <w:jc w:val="both"/>
        <w:rPr>
          <w:rFonts w:ascii="Garamond" w:hAnsi="Garamond"/>
          <w:sz w:val="24"/>
          <w:szCs w:val="24"/>
        </w:rPr>
      </w:pPr>
    </w:p>
    <w:p w14:paraId="663F58D6" w14:textId="274003E1" w:rsidR="000F3875" w:rsidRDefault="000F3875" w:rsidP="000F3875">
      <w:pPr>
        <w:jc w:val="both"/>
        <w:rPr>
          <w:rFonts w:ascii="Garamond" w:hAnsi="Garamond"/>
          <w:sz w:val="24"/>
          <w:szCs w:val="24"/>
        </w:rPr>
      </w:pPr>
    </w:p>
    <w:p w14:paraId="5DE1850F" w14:textId="2FBA84BD" w:rsidR="000F3875" w:rsidRDefault="000F3875" w:rsidP="000F3875">
      <w:pPr>
        <w:jc w:val="both"/>
        <w:rPr>
          <w:rFonts w:ascii="Garamond" w:hAnsi="Garamond"/>
          <w:sz w:val="24"/>
          <w:szCs w:val="24"/>
        </w:rPr>
      </w:pPr>
    </w:p>
    <w:p w14:paraId="21831CE8" w14:textId="3DF8A661" w:rsidR="000F3875" w:rsidRDefault="000F3875" w:rsidP="000F3875">
      <w:pPr>
        <w:jc w:val="both"/>
        <w:rPr>
          <w:rFonts w:ascii="Garamond" w:hAnsi="Garamond"/>
          <w:sz w:val="24"/>
          <w:szCs w:val="24"/>
        </w:rPr>
      </w:pPr>
    </w:p>
    <w:p w14:paraId="5B68AED1" w14:textId="77777777" w:rsidR="00985BD3" w:rsidRDefault="009171F4" w:rsidP="00985BD3">
      <w:pPr>
        <w:jc w:val="center"/>
        <w:rPr>
          <w:rFonts w:ascii="Garamond" w:hAnsi="Garamond"/>
          <w:b/>
          <w:sz w:val="40"/>
          <w:szCs w:val="40"/>
        </w:rPr>
      </w:pPr>
      <w:r>
        <w:rPr>
          <w:rFonts w:ascii="Times New Roman" w:hAnsi="Times New Roman" w:cs="Times New Roman"/>
          <w:noProof/>
          <w:sz w:val="24"/>
          <w:szCs w:val="24"/>
          <w:lang w:eastAsia="en-GB"/>
        </w:rPr>
        <w:lastRenderedPageBreak/>
        <mc:AlternateContent>
          <mc:Choice Requires="wps">
            <w:drawing>
              <wp:anchor distT="0" distB="0" distL="114300" distR="114300" simplePos="0" relativeHeight="251663360" behindDoc="0" locked="0" layoutInCell="1" allowOverlap="1" wp14:anchorId="0C2B92F2" wp14:editId="7EB10BA7">
                <wp:simplePos x="0" y="0"/>
                <wp:positionH relativeFrom="column">
                  <wp:posOffset>228600</wp:posOffset>
                </wp:positionH>
                <wp:positionV relativeFrom="paragraph">
                  <wp:posOffset>885825</wp:posOffset>
                </wp:positionV>
                <wp:extent cx="3028950" cy="733425"/>
                <wp:effectExtent l="0" t="0" r="19050"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733425"/>
                        </a:xfrm>
                        <a:prstGeom prst="rect">
                          <a:avLst/>
                        </a:prstGeom>
                        <a:solidFill>
                          <a:srgbClr val="FFFFFF"/>
                        </a:solidFill>
                        <a:ln w="9525">
                          <a:solidFill>
                            <a:srgbClr val="000000"/>
                          </a:solidFill>
                          <a:miter lim="800000"/>
                          <a:headEnd/>
                          <a:tailEnd/>
                        </a:ln>
                      </wps:spPr>
                      <wps:txbx>
                        <w:txbxContent>
                          <w:p w14:paraId="6AEF6C97" w14:textId="7DA684BC" w:rsidR="008F11EB" w:rsidRDefault="00C61743" w:rsidP="005E0CCE">
                            <w:pPr>
                              <w:pStyle w:val="ListParagraph"/>
                              <w:numPr>
                                <w:ilvl w:val="0"/>
                                <w:numId w:val="32"/>
                              </w:numPr>
                              <w:spacing w:after="200" w:line="276" w:lineRule="auto"/>
                              <w:rPr>
                                <w:rFonts w:ascii="Garamond" w:hAnsi="Garamond"/>
                                <w:i/>
                                <w:sz w:val="24"/>
                                <w:szCs w:val="24"/>
                              </w:rPr>
                            </w:pPr>
                            <w:r>
                              <w:rPr>
                                <w:rFonts w:ascii="Garamond" w:hAnsi="Garamond"/>
                                <w:i/>
                                <w:sz w:val="24"/>
                                <w:szCs w:val="24"/>
                              </w:rPr>
                              <w:t>Schütze, Chapter 10 (p. 3</w:t>
                            </w:r>
                            <w:r w:rsidR="00BB5ABF">
                              <w:rPr>
                                <w:rFonts w:ascii="Garamond" w:hAnsi="Garamond"/>
                                <w:i/>
                                <w:sz w:val="24"/>
                                <w:szCs w:val="24"/>
                              </w:rPr>
                              <w:t>9</w:t>
                            </w:r>
                            <w:r w:rsidR="0043487A">
                              <w:rPr>
                                <w:rFonts w:ascii="Garamond" w:hAnsi="Garamond"/>
                                <w:i/>
                                <w:sz w:val="24"/>
                                <w:szCs w:val="24"/>
                              </w:rPr>
                              <w:t>1</w:t>
                            </w:r>
                            <w:r>
                              <w:rPr>
                                <w:rFonts w:ascii="Garamond" w:hAnsi="Garamond"/>
                                <w:i/>
                                <w:sz w:val="24"/>
                                <w:szCs w:val="24"/>
                              </w:rPr>
                              <w:t>-40</w:t>
                            </w:r>
                            <w:r w:rsidR="0043487A">
                              <w:rPr>
                                <w:rFonts w:ascii="Garamond" w:hAnsi="Garamond"/>
                                <w:i/>
                                <w:sz w:val="24"/>
                                <w:szCs w:val="24"/>
                              </w:rPr>
                              <w:t>6</w:t>
                            </w:r>
                            <w:r w:rsidR="008F11EB">
                              <w:rPr>
                                <w:rFonts w:ascii="Garamond" w:hAnsi="Garamond"/>
                                <w:i/>
                                <w:sz w:val="24"/>
                                <w:szCs w:val="24"/>
                              </w:rPr>
                              <w:t>), or</w:t>
                            </w:r>
                          </w:p>
                          <w:p w14:paraId="7E25CFB8" w14:textId="26559017" w:rsidR="008F11EB" w:rsidRDefault="008F11EB" w:rsidP="005E0CCE">
                            <w:pPr>
                              <w:pStyle w:val="ListParagraph"/>
                              <w:numPr>
                                <w:ilvl w:val="0"/>
                                <w:numId w:val="32"/>
                              </w:numPr>
                              <w:spacing w:after="200" w:line="276" w:lineRule="auto"/>
                              <w:rPr>
                                <w:rFonts w:ascii="Garamond" w:hAnsi="Garamond"/>
                                <w:i/>
                                <w:sz w:val="24"/>
                                <w:szCs w:val="24"/>
                              </w:rPr>
                            </w:pPr>
                            <w:r>
                              <w:rPr>
                                <w:rFonts w:ascii="Garamond" w:hAnsi="Garamond"/>
                                <w:i/>
                                <w:sz w:val="24"/>
                                <w:szCs w:val="24"/>
                              </w:rPr>
                              <w:t xml:space="preserve">Craig and de </w:t>
                            </w:r>
                            <w:proofErr w:type="spellStart"/>
                            <w:r>
                              <w:rPr>
                                <w:rFonts w:ascii="Garamond" w:hAnsi="Garamond"/>
                                <w:i/>
                                <w:sz w:val="24"/>
                                <w:szCs w:val="24"/>
                              </w:rPr>
                              <w:t>Búrca</w:t>
                            </w:r>
                            <w:proofErr w:type="spellEnd"/>
                            <w:r>
                              <w:rPr>
                                <w:rFonts w:ascii="Garamond" w:hAnsi="Garamond"/>
                                <w:i/>
                                <w:sz w:val="24"/>
                                <w:szCs w:val="24"/>
                              </w:rPr>
                              <w:t>, Chapter 1</w:t>
                            </w:r>
                            <w:r w:rsidR="00BB5ABF">
                              <w:rPr>
                                <w:rFonts w:ascii="Garamond" w:hAnsi="Garamond"/>
                                <w:i/>
                                <w:sz w:val="24"/>
                                <w:szCs w:val="24"/>
                              </w:rPr>
                              <w:t>4</w:t>
                            </w:r>
                            <w:r>
                              <w:rPr>
                                <w:rFonts w:ascii="Garamond" w:hAnsi="Garamond"/>
                                <w:i/>
                                <w:sz w:val="24"/>
                                <w:szCs w:val="24"/>
                              </w:rPr>
                              <w:t>, or</w:t>
                            </w:r>
                          </w:p>
                          <w:p w14:paraId="0B9EB138" w14:textId="0F7FA944" w:rsidR="008F11EB" w:rsidRDefault="008F11EB" w:rsidP="005E0CCE">
                            <w:pPr>
                              <w:pStyle w:val="ListParagraph"/>
                              <w:numPr>
                                <w:ilvl w:val="0"/>
                                <w:numId w:val="32"/>
                              </w:numPr>
                              <w:spacing w:after="200" w:line="276" w:lineRule="auto"/>
                              <w:rPr>
                                <w:rFonts w:ascii="Garamond" w:hAnsi="Garamond"/>
                                <w:i/>
                                <w:sz w:val="24"/>
                                <w:szCs w:val="24"/>
                              </w:rPr>
                            </w:pPr>
                            <w:r>
                              <w:rPr>
                                <w:rFonts w:ascii="Garamond" w:hAnsi="Garamond"/>
                                <w:i/>
                                <w:sz w:val="24"/>
                                <w:szCs w:val="24"/>
                              </w:rPr>
                              <w:t xml:space="preserve">Barnard and Peers, Chapter 10 (p. </w:t>
                            </w:r>
                            <w:r w:rsidR="00F74505">
                              <w:rPr>
                                <w:rFonts w:ascii="Garamond" w:hAnsi="Garamond"/>
                                <w:i/>
                                <w:sz w:val="24"/>
                                <w:szCs w:val="24"/>
                              </w:rPr>
                              <w:t>316</w:t>
                            </w:r>
                            <w:r>
                              <w:rPr>
                                <w:rFonts w:ascii="Garamond" w:hAnsi="Garamond"/>
                                <w:i/>
                                <w:sz w:val="24"/>
                                <w:szCs w:val="24"/>
                              </w:rPr>
                              <w:t>-3</w:t>
                            </w:r>
                            <w:r w:rsidR="00F74505">
                              <w:rPr>
                                <w:rFonts w:ascii="Garamond" w:hAnsi="Garamond"/>
                                <w:i/>
                                <w:sz w:val="24"/>
                                <w:szCs w:val="24"/>
                              </w:rPr>
                              <w:t>25</w:t>
                            </w:r>
                            <w:r>
                              <w:rPr>
                                <w:rFonts w:ascii="Garamond" w:hAnsi="Garamond"/>
                                <w:i/>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B92F2" id="Text Box 2" o:spid="_x0000_s1028" type="#_x0000_t202" style="position:absolute;left:0;text-align:left;margin-left:18pt;margin-top:69.75pt;width:238.5pt;height:5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">
                <v:textbox>
                  <w:txbxContent>
                    <w:p w14:paraId="6AEF6C97" w14:textId="7DA684BC" w:rsidR="008F11EB" w:rsidRDefault="00C61743" w:rsidP="005E0CCE">
                      <w:pPr>
                        <w:pStyle w:val="ListParagraph"/>
                        <w:numPr>
                          <w:ilvl w:val="0"/>
                          <w:numId w:val="32"/>
                        </w:numPr>
                        <w:spacing w:after="200" w:line="276" w:lineRule="auto"/>
                        <w:rPr>
                          <w:rFonts w:ascii="Garamond" w:hAnsi="Garamond"/>
                          <w:i/>
                          <w:sz w:val="24"/>
                          <w:szCs w:val="24"/>
                        </w:rPr>
                      </w:pPr>
                      <w:r>
                        <w:rPr>
                          <w:rFonts w:ascii="Garamond" w:hAnsi="Garamond"/>
                          <w:i/>
                          <w:sz w:val="24"/>
                          <w:szCs w:val="24"/>
                        </w:rPr>
                        <w:t>Schütze, Chapter 10 (p. 3</w:t>
                      </w:r>
                      <w:r w:rsidR="00BB5ABF">
                        <w:rPr>
                          <w:rFonts w:ascii="Garamond" w:hAnsi="Garamond"/>
                          <w:i/>
                          <w:sz w:val="24"/>
                          <w:szCs w:val="24"/>
                        </w:rPr>
                        <w:t>9</w:t>
                      </w:r>
                      <w:r w:rsidR="0043487A">
                        <w:rPr>
                          <w:rFonts w:ascii="Garamond" w:hAnsi="Garamond"/>
                          <w:i/>
                          <w:sz w:val="24"/>
                          <w:szCs w:val="24"/>
                        </w:rPr>
                        <w:t>1</w:t>
                      </w:r>
                      <w:r>
                        <w:rPr>
                          <w:rFonts w:ascii="Garamond" w:hAnsi="Garamond"/>
                          <w:i/>
                          <w:sz w:val="24"/>
                          <w:szCs w:val="24"/>
                        </w:rPr>
                        <w:t>-40</w:t>
                      </w:r>
                      <w:r w:rsidR="0043487A">
                        <w:rPr>
                          <w:rFonts w:ascii="Garamond" w:hAnsi="Garamond"/>
                          <w:i/>
                          <w:sz w:val="24"/>
                          <w:szCs w:val="24"/>
                        </w:rPr>
                        <w:t>6</w:t>
                      </w:r>
                      <w:r w:rsidR="008F11EB">
                        <w:rPr>
                          <w:rFonts w:ascii="Garamond" w:hAnsi="Garamond"/>
                          <w:i/>
                          <w:sz w:val="24"/>
                          <w:szCs w:val="24"/>
                        </w:rPr>
                        <w:t>), or</w:t>
                      </w:r>
                    </w:p>
                    <w:p w14:paraId="7E25CFB8" w14:textId="26559017" w:rsidR="008F11EB" w:rsidRDefault="008F11EB" w:rsidP="005E0CCE">
                      <w:pPr>
                        <w:pStyle w:val="ListParagraph"/>
                        <w:numPr>
                          <w:ilvl w:val="0"/>
                          <w:numId w:val="32"/>
                        </w:numPr>
                        <w:spacing w:after="200" w:line="276" w:lineRule="auto"/>
                        <w:rPr>
                          <w:rFonts w:ascii="Garamond" w:hAnsi="Garamond"/>
                          <w:i/>
                          <w:sz w:val="24"/>
                          <w:szCs w:val="24"/>
                        </w:rPr>
                      </w:pPr>
                      <w:r>
                        <w:rPr>
                          <w:rFonts w:ascii="Garamond" w:hAnsi="Garamond"/>
                          <w:i/>
                          <w:sz w:val="24"/>
                          <w:szCs w:val="24"/>
                        </w:rPr>
                        <w:t>Craig and de Búrca, Chapter 1</w:t>
                      </w:r>
                      <w:r w:rsidR="00BB5ABF">
                        <w:rPr>
                          <w:rFonts w:ascii="Garamond" w:hAnsi="Garamond"/>
                          <w:i/>
                          <w:sz w:val="24"/>
                          <w:szCs w:val="24"/>
                        </w:rPr>
                        <w:t>4</w:t>
                      </w:r>
                      <w:r>
                        <w:rPr>
                          <w:rFonts w:ascii="Garamond" w:hAnsi="Garamond"/>
                          <w:i/>
                          <w:sz w:val="24"/>
                          <w:szCs w:val="24"/>
                        </w:rPr>
                        <w:t>, or</w:t>
                      </w:r>
                    </w:p>
                    <w:p w14:paraId="0B9EB138" w14:textId="0F7FA944" w:rsidR="008F11EB" w:rsidRDefault="008F11EB" w:rsidP="005E0CCE">
                      <w:pPr>
                        <w:pStyle w:val="ListParagraph"/>
                        <w:numPr>
                          <w:ilvl w:val="0"/>
                          <w:numId w:val="32"/>
                        </w:numPr>
                        <w:spacing w:after="200" w:line="276" w:lineRule="auto"/>
                        <w:rPr>
                          <w:rFonts w:ascii="Garamond" w:hAnsi="Garamond"/>
                          <w:i/>
                          <w:sz w:val="24"/>
                          <w:szCs w:val="24"/>
                        </w:rPr>
                      </w:pPr>
                      <w:r>
                        <w:rPr>
                          <w:rFonts w:ascii="Garamond" w:hAnsi="Garamond"/>
                          <w:i/>
                          <w:sz w:val="24"/>
                          <w:szCs w:val="24"/>
                        </w:rPr>
                        <w:t xml:space="preserve">Barnard and Peers, Chapter 10 (p. </w:t>
                      </w:r>
                      <w:r w:rsidR="00F74505">
                        <w:rPr>
                          <w:rFonts w:ascii="Garamond" w:hAnsi="Garamond"/>
                          <w:i/>
                          <w:sz w:val="24"/>
                          <w:szCs w:val="24"/>
                        </w:rPr>
                        <w:t>316</w:t>
                      </w:r>
                      <w:r>
                        <w:rPr>
                          <w:rFonts w:ascii="Garamond" w:hAnsi="Garamond"/>
                          <w:i/>
                          <w:sz w:val="24"/>
                          <w:szCs w:val="24"/>
                        </w:rPr>
                        <w:t>-3</w:t>
                      </w:r>
                      <w:r w:rsidR="00F74505">
                        <w:rPr>
                          <w:rFonts w:ascii="Garamond" w:hAnsi="Garamond"/>
                          <w:i/>
                          <w:sz w:val="24"/>
                          <w:szCs w:val="24"/>
                        </w:rPr>
                        <w:t>25</w:t>
                      </w:r>
                      <w:r>
                        <w:rPr>
                          <w:rFonts w:ascii="Garamond" w:hAnsi="Garamond"/>
                          <w:i/>
                          <w:sz w:val="24"/>
                          <w:szCs w:val="24"/>
                        </w:rPr>
                        <w:t>)</w:t>
                      </w:r>
                    </w:p>
                  </w:txbxContent>
                </v:textbox>
              </v:shape>
            </w:pict>
          </mc:Fallback>
        </mc:AlternateContent>
      </w:r>
      <w:r w:rsidR="00985BD3">
        <w:rPr>
          <w:rFonts w:ascii="Garamond" w:hAnsi="Garamond"/>
          <w:b/>
          <w:sz w:val="40"/>
          <w:szCs w:val="40"/>
        </w:rPr>
        <w:t xml:space="preserve">ARTICLE 267 TFEU: </w:t>
      </w:r>
      <w:r w:rsidR="00985BD3">
        <w:rPr>
          <w:rFonts w:ascii="Garamond" w:hAnsi="Garamond"/>
          <w:b/>
          <w:sz w:val="40"/>
          <w:szCs w:val="40"/>
        </w:rPr>
        <w:br/>
        <w:t>THE PRELIMINARY REFERENCE PROCEDURE</w:t>
      </w:r>
    </w:p>
    <w:p w14:paraId="5A075E2B" w14:textId="77777777" w:rsidR="009171F4" w:rsidRDefault="009171F4" w:rsidP="00985BD3">
      <w:pPr>
        <w:jc w:val="center"/>
        <w:rPr>
          <w:rFonts w:ascii="Garamond" w:hAnsi="Garamond"/>
          <w:b/>
          <w:sz w:val="40"/>
          <w:szCs w:val="40"/>
        </w:rPr>
      </w:pPr>
    </w:p>
    <w:p w14:paraId="67B47415" w14:textId="77777777" w:rsidR="009171F4" w:rsidRDefault="009171F4" w:rsidP="00985BD3">
      <w:pPr>
        <w:jc w:val="center"/>
        <w:rPr>
          <w:rFonts w:ascii="Garamond" w:hAnsi="Garamond"/>
          <w:b/>
          <w:sz w:val="40"/>
          <w:szCs w:val="40"/>
        </w:rPr>
      </w:pPr>
    </w:p>
    <w:p w14:paraId="10D62904" w14:textId="77777777" w:rsidR="00985BD3" w:rsidRDefault="00985BD3" w:rsidP="005E0CCE">
      <w:pPr>
        <w:pStyle w:val="ListParagraph"/>
        <w:numPr>
          <w:ilvl w:val="0"/>
          <w:numId w:val="26"/>
        </w:numPr>
        <w:rPr>
          <w:rFonts w:ascii="Garamond" w:hAnsi="Garamond"/>
          <w:b/>
          <w:sz w:val="24"/>
          <w:szCs w:val="24"/>
        </w:rPr>
      </w:pPr>
      <w:r>
        <w:rPr>
          <w:rFonts w:ascii="Garamond" w:hAnsi="Garamond"/>
          <w:b/>
          <w:sz w:val="24"/>
          <w:szCs w:val="24"/>
        </w:rPr>
        <w:t>Article 267 TFEU</w:t>
      </w:r>
    </w:p>
    <w:p w14:paraId="02F03AB3" w14:textId="77777777" w:rsidR="0022509D" w:rsidRPr="0022509D" w:rsidRDefault="00985BD3" w:rsidP="00653144">
      <w:pPr>
        <w:spacing w:line="276" w:lineRule="auto"/>
        <w:ind w:left="360"/>
        <w:jc w:val="both"/>
        <w:rPr>
          <w:rFonts w:ascii="Garamond" w:hAnsi="Garamond"/>
          <w:i/>
          <w:sz w:val="24"/>
          <w:szCs w:val="24"/>
        </w:rPr>
      </w:pPr>
      <w:r w:rsidRPr="0022509D">
        <w:rPr>
          <w:rFonts w:ascii="Garamond" w:hAnsi="Garamond"/>
          <w:i/>
          <w:sz w:val="24"/>
          <w:szCs w:val="24"/>
        </w:rPr>
        <w:t xml:space="preserve">The Court of Justice of the European Union shall have jurisdiction to give preliminary rulings concerning: (a) the interpretation of the Treaties; (b) the validity and interpretation of acts of the institutions, bodies, </w:t>
      </w:r>
      <w:proofErr w:type="gramStart"/>
      <w:r w:rsidRPr="0022509D">
        <w:rPr>
          <w:rFonts w:ascii="Garamond" w:hAnsi="Garamond"/>
          <w:i/>
          <w:sz w:val="24"/>
          <w:szCs w:val="24"/>
        </w:rPr>
        <w:t>offices</w:t>
      </w:r>
      <w:proofErr w:type="gramEnd"/>
      <w:r w:rsidRPr="0022509D">
        <w:rPr>
          <w:rFonts w:ascii="Garamond" w:hAnsi="Garamond"/>
          <w:i/>
          <w:sz w:val="24"/>
          <w:szCs w:val="24"/>
        </w:rPr>
        <w:t xml:space="preserve"> or agencies of the Union; </w:t>
      </w:r>
    </w:p>
    <w:p w14:paraId="55089A00" w14:textId="77777777" w:rsidR="0022509D" w:rsidRPr="0022509D" w:rsidRDefault="00985BD3" w:rsidP="00653144">
      <w:pPr>
        <w:spacing w:line="276" w:lineRule="auto"/>
        <w:ind w:left="360"/>
        <w:jc w:val="both"/>
        <w:rPr>
          <w:rFonts w:ascii="Garamond" w:hAnsi="Garamond"/>
          <w:i/>
          <w:sz w:val="24"/>
          <w:szCs w:val="24"/>
        </w:rPr>
      </w:pPr>
      <w:r w:rsidRPr="0022509D">
        <w:rPr>
          <w:rFonts w:ascii="Garamond" w:hAnsi="Garamond"/>
          <w:i/>
          <w:sz w:val="24"/>
          <w:szCs w:val="24"/>
        </w:rPr>
        <w:t xml:space="preserve">Where such a question is raised before any court or tribunal of a Member State, that court or tribunal may, if it considers that a decision on the question is necessary to enable it to give judgment, request the Court to give a ruling thereon. </w:t>
      </w:r>
    </w:p>
    <w:p w14:paraId="4608DBF3" w14:textId="77777777" w:rsidR="0022509D" w:rsidRPr="0022509D" w:rsidRDefault="00985BD3" w:rsidP="00653144">
      <w:pPr>
        <w:spacing w:line="276" w:lineRule="auto"/>
        <w:ind w:left="360"/>
        <w:jc w:val="both"/>
        <w:rPr>
          <w:rFonts w:ascii="Garamond" w:hAnsi="Garamond"/>
          <w:i/>
          <w:sz w:val="24"/>
          <w:szCs w:val="24"/>
        </w:rPr>
      </w:pPr>
      <w:r w:rsidRPr="0022509D">
        <w:rPr>
          <w:rFonts w:ascii="Garamond" w:hAnsi="Garamond"/>
          <w:i/>
          <w:sz w:val="24"/>
          <w:szCs w:val="24"/>
        </w:rPr>
        <w:t xml:space="preserve">Where any such question is raised in a case pending before a court or tribunal of a Member State against whose decisions there is no judicial remedy under national law, that court or tribunal shall bring the matter before the Court. </w:t>
      </w:r>
    </w:p>
    <w:p w14:paraId="5CEAE3F9" w14:textId="77777777" w:rsidR="00985BD3" w:rsidRDefault="00985BD3" w:rsidP="00653144">
      <w:pPr>
        <w:spacing w:line="276" w:lineRule="auto"/>
        <w:ind w:left="360"/>
        <w:jc w:val="both"/>
        <w:rPr>
          <w:rFonts w:ascii="Garamond" w:hAnsi="Garamond"/>
          <w:i/>
          <w:sz w:val="24"/>
          <w:szCs w:val="24"/>
        </w:rPr>
      </w:pPr>
      <w:r w:rsidRPr="0022509D">
        <w:rPr>
          <w:rFonts w:ascii="Garamond" w:hAnsi="Garamond"/>
          <w:i/>
          <w:sz w:val="24"/>
          <w:szCs w:val="24"/>
        </w:rPr>
        <w:t xml:space="preserve">If such a question is raised in a case pending before a court or tribunal of a Member State </w:t>
      </w:r>
      <w:proofErr w:type="gramStart"/>
      <w:r w:rsidRPr="0022509D">
        <w:rPr>
          <w:rFonts w:ascii="Garamond" w:hAnsi="Garamond"/>
          <w:i/>
          <w:sz w:val="24"/>
          <w:szCs w:val="24"/>
        </w:rPr>
        <w:t>with regard to</w:t>
      </w:r>
      <w:proofErr w:type="gramEnd"/>
      <w:r w:rsidRPr="0022509D">
        <w:rPr>
          <w:rFonts w:ascii="Garamond" w:hAnsi="Garamond"/>
          <w:i/>
          <w:sz w:val="24"/>
          <w:szCs w:val="24"/>
        </w:rPr>
        <w:t xml:space="preserve"> a person in custody, the Court of Justice of the European Union shall act with the minimum of delay.</w:t>
      </w:r>
    </w:p>
    <w:p w14:paraId="3A38BA79" w14:textId="77777777" w:rsidR="0022509D" w:rsidRDefault="0022509D" w:rsidP="005E0CCE">
      <w:pPr>
        <w:pStyle w:val="ListParagraph"/>
        <w:numPr>
          <w:ilvl w:val="0"/>
          <w:numId w:val="26"/>
        </w:numPr>
        <w:spacing w:line="276" w:lineRule="auto"/>
        <w:jc w:val="both"/>
        <w:rPr>
          <w:rFonts w:ascii="Garamond" w:hAnsi="Garamond"/>
          <w:b/>
          <w:sz w:val="24"/>
          <w:szCs w:val="24"/>
        </w:rPr>
      </w:pPr>
      <w:r>
        <w:rPr>
          <w:rFonts w:ascii="Garamond" w:hAnsi="Garamond"/>
          <w:b/>
          <w:sz w:val="24"/>
          <w:szCs w:val="24"/>
        </w:rPr>
        <w:t>The aim and structure of Article 267 TFEU</w:t>
      </w:r>
    </w:p>
    <w:p w14:paraId="2D5686D4" w14:textId="77777777" w:rsidR="00653144" w:rsidRDefault="00653144" w:rsidP="00653144">
      <w:pPr>
        <w:pStyle w:val="ListParagraph"/>
        <w:spacing w:line="276" w:lineRule="auto"/>
        <w:jc w:val="both"/>
        <w:rPr>
          <w:rFonts w:ascii="Garamond" w:hAnsi="Garamond"/>
          <w:b/>
          <w:sz w:val="24"/>
          <w:szCs w:val="24"/>
        </w:rPr>
      </w:pPr>
    </w:p>
    <w:p w14:paraId="6B7F48CE" w14:textId="1A389CC0" w:rsidR="00653144" w:rsidRDefault="00653144" w:rsidP="005E0CCE">
      <w:pPr>
        <w:pStyle w:val="ListParagraph"/>
        <w:numPr>
          <w:ilvl w:val="0"/>
          <w:numId w:val="27"/>
        </w:numPr>
        <w:spacing w:line="276" w:lineRule="auto"/>
        <w:jc w:val="both"/>
        <w:rPr>
          <w:rFonts w:ascii="Garamond" w:hAnsi="Garamond"/>
          <w:sz w:val="24"/>
          <w:szCs w:val="24"/>
        </w:rPr>
      </w:pPr>
      <w:r>
        <w:rPr>
          <w:rFonts w:ascii="Garamond" w:hAnsi="Garamond"/>
          <w:sz w:val="24"/>
          <w:szCs w:val="24"/>
        </w:rPr>
        <w:t xml:space="preserve">The preliminary reference procedure provides </w:t>
      </w:r>
      <w:r w:rsidR="00E74B7C">
        <w:rPr>
          <w:rFonts w:ascii="Garamond" w:hAnsi="Garamond"/>
          <w:sz w:val="24"/>
          <w:szCs w:val="24"/>
        </w:rPr>
        <w:t>a tool</w:t>
      </w:r>
      <w:r>
        <w:rPr>
          <w:rFonts w:ascii="Garamond" w:hAnsi="Garamond"/>
          <w:sz w:val="24"/>
          <w:szCs w:val="24"/>
        </w:rPr>
        <w:t xml:space="preserve"> to national courts </w:t>
      </w:r>
      <w:r w:rsidR="00002981">
        <w:rPr>
          <w:rFonts w:ascii="Garamond" w:hAnsi="Garamond"/>
          <w:sz w:val="24"/>
          <w:szCs w:val="24"/>
        </w:rPr>
        <w:t xml:space="preserve">to receive help </w:t>
      </w:r>
      <w:r>
        <w:rPr>
          <w:rFonts w:ascii="Garamond" w:hAnsi="Garamond"/>
          <w:sz w:val="24"/>
          <w:szCs w:val="24"/>
        </w:rPr>
        <w:t xml:space="preserve">if they are uncertain about the interpretation or the validity of EU law. It creates a relationship between the Court and Justice and national courts </w:t>
      </w:r>
      <w:r w:rsidR="00BC4AAD">
        <w:rPr>
          <w:rFonts w:ascii="Garamond" w:hAnsi="Garamond"/>
          <w:sz w:val="24"/>
          <w:szCs w:val="24"/>
        </w:rPr>
        <w:t>in which</w:t>
      </w:r>
      <w:r>
        <w:rPr>
          <w:rFonts w:ascii="Garamond" w:hAnsi="Garamond"/>
          <w:sz w:val="24"/>
          <w:szCs w:val="24"/>
        </w:rPr>
        <w:t xml:space="preserve"> national courts can always ask the Court of Justice for assistance. This relationship is not hierarchical – the preliminary reference procedure is </w:t>
      </w:r>
      <w:r w:rsidRPr="006963E6">
        <w:rPr>
          <w:rFonts w:ascii="Garamond" w:hAnsi="Garamond"/>
          <w:i/>
          <w:iCs/>
          <w:sz w:val="24"/>
          <w:szCs w:val="24"/>
        </w:rPr>
        <w:t>not</w:t>
      </w:r>
      <w:r>
        <w:rPr>
          <w:rFonts w:ascii="Garamond" w:hAnsi="Garamond"/>
          <w:sz w:val="24"/>
          <w:szCs w:val="24"/>
        </w:rPr>
        <w:t xml:space="preserve"> an appeal to the Court of Justice. The procedure is called the “preliminary” reference procedure because the reference to the Court is only a step in the </w:t>
      </w:r>
      <w:r w:rsidR="00E2135B">
        <w:rPr>
          <w:rFonts w:ascii="Garamond" w:hAnsi="Garamond"/>
          <w:sz w:val="24"/>
          <w:szCs w:val="24"/>
        </w:rPr>
        <w:t>proceedings before</w:t>
      </w:r>
      <w:r>
        <w:rPr>
          <w:rFonts w:ascii="Garamond" w:hAnsi="Garamond"/>
          <w:sz w:val="24"/>
          <w:szCs w:val="24"/>
        </w:rPr>
        <w:t xml:space="preserve"> the national court. The case will always return to the national court. It is then </w:t>
      </w:r>
      <w:r w:rsidR="006963E6">
        <w:rPr>
          <w:rFonts w:ascii="Garamond" w:hAnsi="Garamond"/>
          <w:sz w:val="24"/>
          <w:szCs w:val="24"/>
        </w:rPr>
        <w:t>for</w:t>
      </w:r>
      <w:r w:rsidR="00707277">
        <w:rPr>
          <w:rFonts w:ascii="Garamond" w:hAnsi="Garamond"/>
          <w:sz w:val="24"/>
          <w:szCs w:val="24"/>
        </w:rPr>
        <w:t xml:space="preserve"> the national court to apply the interpretation of EU law given by the Court of Justice and reach a final decision in the case. </w:t>
      </w:r>
    </w:p>
    <w:p w14:paraId="0D190638" w14:textId="77777777" w:rsidR="00707277" w:rsidRDefault="00707277" w:rsidP="00707277">
      <w:pPr>
        <w:pStyle w:val="ListParagraph"/>
        <w:spacing w:line="276" w:lineRule="auto"/>
        <w:ind w:left="1080"/>
        <w:jc w:val="both"/>
        <w:rPr>
          <w:rFonts w:ascii="Garamond" w:hAnsi="Garamond"/>
          <w:sz w:val="24"/>
          <w:szCs w:val="24"/>
        </w:rPr>
      </w:pPr>
    </w:p>
    <w:p w14:paraId="14103DBB" w14:textId="493C37F2" w:rsidR="00707277" w:rsidRDefault="00707277" w:rsidP="005E0CCE">
      <w:pPr>
        <w:pStyle w:val="ListParagraph"/>
        <w:numPr>
          <w:ilvl w:val="0"/>
          <w:numId w:val="27"/>
        </w:numPr>
        <w:spacing w:line="276" w:lineRule="auto"/>
        <w:jc w:val="both"/>
        <w:rPr>
          <w:rFonts w:ascii="Garamond" w:hAnsi="Garamond"/>
          <w:sz w:val="24"/>
          <w:szCs w:val="24"/>
        </w:rPr>
      </w:pPr>
      <w:r>
        <w:rPr>
          <w:rFonts w:ascii="Garamond" w:hAnsi="Garamond"/>
          <w:sz w:val="24"/>
          <w:szCs w:val="24"/>
        </w:rPr>
        <w:t xml:space="preserve">You can see from the structure of Article 267 TFEU that there are two types of questions that can be asked by national courts: (1) questions concerning the </w:t>
      </w:r>
      <w:r w:rsidRPr="00E74B7C">
        <w:rPr>
          <w:rFonts w:ascii="Garamond" w:hAnsi="Garamond"/>
          <w:b/>
          <w:sz w:val="24"/>
          <w:szCs w:val="24"/>
        </w:rPr>
        <w:t>interpretation</w:t>
      </w:r>
      <w:r>
        <w:rPr>
          <w:rFonts w:ascii="Garamond" w:hAnsi="Garamond"/>
          <w:sz w:val="24"/>
          <w:szCs w:val="24"/>
        </w:rPr>
        <w:t xml:space="preserve"> of the Treaties and acts of the institutions and (2) questions concerning the </w:t>
      </w:r>
      <w:r w:rsidRPr="00E74B7C">
        <w:rPr>
          <w:rFonts w:ascii="Garamond" w:hAnsi="Garamond"/>
          <w:b/>
          <w:sz w:val="24"/>
          <w:szCs w:val="24"/>
        </w:rPr>
        <w:t>validity</w:t>
      </w:r>
      <w:r>
        <w:rPr>
          <w:rFonts w:ascii="Garamond" w:hAnsi="Garamond"/>
          <w:sz w:val="24"/>
          <w:szCs w:val="24"/>
        </w:rPr>
        <w:t xml:space="preserve"> of acts of the institutions. Similarly, a distinction is made between two types of national courts that ca</w:t>
      </w:r>
      <w:r w:rsidR="006436B7">
        <w:rPr>
          <w:rFonts w:ascii="Garamond" w:hAnsi="Garamond"/>
          <w:sz w:val="24"/>
          <w:szCs w:val="24"/>
        </w:rPr>
        <w:t xml:space="preserve">n make a preliminary reference: (1) </w:t>
      </w:r>
      <w:r w:rsidR="006436B7" w:rsidRPr="00BC4AAD">
        <w:rPr>
          <w:rFonts w:ascii="Garamond" w:hAnsi="Garamond"/>
          <w:b/>
          <w:bCs/>
          <w:sz w:val="24"/>
          <w:szCs w:val="24"/>
        </w:rPr>
        <w:t>any court or tribunal</w:t>
      </w:r>
      <w:r w:rsidR="006436B7">
        <w:rPr>
          <w:rFonts w:ascii="Garamond" w:hAnsi="Garamond"/>
          <w:sz w:val="24"/>
          <w:szCs w:val="24"/>
        </w:rPr>
        <w:t xml:space="preserve"> of a Member State and (2) a court or tribunal of a Member State </w:t>
      </w:r>
      <w:r w:rsidR="006436B7" w:rsidRPr="00BC4AAD">
        <w:rPr>
          <w:rFonts w:ascii="Garamond" w:hAnsi="Garamond"/>
          <w:b/>
          <w:bCs/>
          <w:sz w:val="24"/>
          <w:szCs w:val="24"/>
        </w:rPr>
        <w:t>against whose decisions there is no judicial remedy</w:t>
      </w:r>
      <w:r w:rsidR="006436B7">
        <w:rPr>
          <w:rFonts w:ascii="Garamond" w:hAnsi="Garamond"/>
          <w:sz w:val="24"/>
          <w:szCs w:val="24"/>
        </w:rPr>
        <w:t xml:space="preserve"> under national law. The different types of questions that can be asked and the different courts that can make a preliminary reference will have to be analysed in more detail. </w:t>
      </w:r>
    </w:p>
    <w:p w14:paraId="451D2B2E" w14:textId="77777777" w:rsidR="00B24A97" w:rsidRPr="00B24A97" w:rsidRDefault="00B24A97" w:rsidP="00B24A97">
      <w:pPr>
        <w:pStyle w:val="ListParagraph"/>
        <w:rPr>
          <w:rFonts w:ascii="Garamond" w:hAnsi="Garamond"/>
          <w:sz w:val="24"/>
          <w:szCs w:val="24"/>
        </w:rPr>
      </w:pPr>
    </w:p>
    <w:p w14:paraId="263B1EE6" w14:textId="3289FEEA" w:rsidR="00B24A97" w:rsidRDefault="00B24A97" w:rsidP="005E0CCE">
      <w:pPr>
        <w:pStyle w:val="ListParagraph"/>
        <w:numPr>
          <w:ilvl w:val="0"/>
          <w:numId w:val="27"/>
        </w:numPr>
        <w:spacing w:line="276" w:lineRule="auto"/>
        <w:jc w:val="both"/>
        <w:rPr>
          <w:rFonts w:ascii="Garamond" w:hAnsi="Garamond"/>
          <w:sz w:val="24"/>
          <w:szCs w:val="24"/>
        </w:rPr>
      </w:pPr>
      <w:r>
        <w:rPr>
          <w:rFonts w:ascii="Garamond" w:hAnsi="Garamond"/>
          <w:sz w:val="24"/>
          <w:szCs w:val="24"/>
        </w:rPr>
        <w:t>Under Article 267 TFEU, preliminary references are allocated to the Court of Justice – the Court has exclusive jurisdiction over preliminary references. The General Court only deals with direct actions (e.g. under Article 263 TFEU) and does not have any jurisdiction to deal with preliminary references. The Treaty of Nice created the possibility for the General Court to have jurisdiction in preliminary reference cases</w:t>
      </w:r>
      <w:r w:rsidR="00BD41BA">
        <w:rPr>
          <w:rFonts w:ascii="Garamond" w:hAnsi="Garamond"/>
          <w:sz w:val="24"/>
          <w:szCs w:val="24"/>
        </w:rPr>
        <w:t>. Under Article 256(3) TFEU, the General Court can only be allocated jurisdiction</w:t>
      </w:r>
      <w:r w:rsidR="00CC622E">
        <w:rPr>
          <w:rFonts w:ascii="Garamond" w:hAnsi="Garamond"/>
          <w:sz w:val="24"/>
          <w:szCs w:val="24"/>
        </w:rPr>
        <w:t xml:space="preserve"> under Article 267</w:t>
      </w:r>
      <w:r w:rsidR="00BD41BA">
        <w:rPr>
          <w:rFonts w:ascii="Garamond" w:hAnsi="Garamond"/>
          <w:sz w:val="24"/>
          <w:szCs w:val="24"/>
        </w:rPr>
        <w:t xml:space="preserve"> in </w:t>
      </w:r>
      <w:r w:rsidR="00BD41BA" w:rsidRPr="00CC622E">
        <w:rPr>
          <w:rFonts w:ascii="Garamond" w:hAnsi="Garamond"/>
          <w:i/>
          <w:iCs/>
          <w:sz w:val="24"/>
          <w:szCs w:val="24"/>
        </w:rPr>
        <w:t>specific areas of law</w:t>
      </w:r>
      <w:r w:rsidR="00BD41BA">
        <w:rPr>
          <w:rFonts w:ascii="Garamond" w:hAnsi="Garamond"/>
          <w:sz w:val="24"/>
          <w:szCs w:val="24"/>
        </w:rPr>
        <w:t>.</w:t>
      </w:r>
    </w:p>
    <w:p w14:paraId="342363AD" w14:textId="77777777" w:rsidR="00BD41BA" w:rsidRPr="00BD41BA" w:rsidRDefault="00BD41BA" w:rsidP="00BD41BA">
      <w:pPr>
        <w:pStyle w:val="ListParagraph"/>
        <w:rPr>
          <w:rFonts w:ascii="Garamond" w:hAnsi="Garamond"/>
          <w:sz w:val="24"/>
          <w:szCs w:val="24"/>
        </w:rPr>
      </w:pPr>
    </w:p>
    <w:p w14:paraId="140853B4" w14:textId="77B74489" w:rsidR="00BD41BA" w:rsidRPr="00BD41BA" w:rsidRDefault="00BD41BA" w:rsidP="00BD41BA">
      <w:pPr>
        <w:pStyle w:val="ListParagraph"/>
        <w:numPr>
          <w:ilvl w:val="0"/>
          <w:numId w:val="27"/>
        </w:numPr>
        <w:spacing w:line="276" w:lineRule="auto"/>
        <w:jc w:val="both"/>
        <w:rPr>
          <w:rFonts w:ascii="Garamond" w:hAnsi="Garamond"/>
          <w:sz w:val="24"/>
          <w:szCs w:val="24"/>
        </w:rPr>
      </w:pPr>
      <w:r>
        <w:rPr>
          <w:rFonts w:ascii="Garamond" w:hAnsi="Garamond"/>
          <w:sz w:val="24"/>
          <w:szCs w:val="24"/>
        </w:rPr>
        <w:t xml:space="preserve">In December 2022, for the first time, the Court of Justice requested </w:t>
      </w:r>
      <w:r w:rsidR="00CC622E">
        <w:rPr>
          <w:rFonts w:ascii="Garamond" w:hAnsi="Garamond"/>
          <w:sz w:val="24"/>
          <w:szCs w:val="24"/>
        </w:rPr>
        <w:t>that the</w:t>
      </w:r>
      <w:r>
        <w:rPr>
          <w:rFonts w:ascii="Garamond" w:hAnsi="Garamond"/>
          <w:sz w:val="24"/>
          <w:szCs w:val="24"/>
        </w:rPr>
        <w:t xml:space="preserve"> EU legislature </w:t>
      </w:r>
      <w:r w:rsidR="00CC622E">
        <w:rPr>
          <w:rFonts w:ascii="Garamond" w:hAnsi="Garamond"/>
          <w:sz w:val="24"/>
          <w:szCs w:val="24"/>
        </w:rPr>
        <w:t xml:space="preserve">change </w:t>
      </w:r>
      <w:r w:rsidR="00883538">
        <w:rPr>
          <w:rFonts w:ascii="Garamond" w:hAnsi="Garamond"/>
          <w:sz w:val="24"/>
          <w:szCs w:val="24"/>
        </w:rPr>
        <w:t>the</w:t>
      </w:r>
      <w:r w:rsidR="00CC622E">
        <w:rPr>
          <w:rFonts w:ascii="Garamond" w:hAnsi="Garamond"/>
          <w:sz w:val="24"/>
          <w:szCs w:val="24"/>
        </w:rPr>
        <w:t xml:space="preserve"> Statute</w:t>
      </w:r>
      <w:r w:rsidR="00883538">
        <w:rPr>
          <w:rFonts w:ascii="Garamond" w:hAnsi="Garamond"/>
          <w:sz w:val="24"/>
          <w:szCs w:val="24"/>
        </w:rPr>
        <w:t xml:space="preserve"> of the Court</w:t>
      </w:r>
      <w:r>
        <w:rPr>
          <w:rFonts w:ascii="Garamond" w:hAnsi="Garamond"/>
          <w:sz w:val="24"/>
          <w:szCs w:val="24"/>
        </w:rPr>
        <w:t xml:space="preserve"> so that the General Court can be granted jurisdiction in preliminary references in the following fields: VAT, excise duties, the Common Customs Code, compensation and assistance to passengers, and the scheme for greenhouse gas emission allowance trading. The main reasons provided by the Court of Justice </w:t>
      </w:r>
      <w:r w:rsidR="00883538">
        <w:rPr>
          <w:rFonts w:ascii="Garamond" w:hAnsi="Garamond"/>
          <w:sz w:val="24"/>
          <w:szCs w:val="24"/>
        </w:rPr>
        <w:t>were</w:t>
      </w:r>
      <w:r>
        <w:rPr>
          <w:rFonts w:ascii="Garamond" w:hAnsi="Garamond"/>
          <w:sz w:val="24"/>
          <w:szCs w:val="24"/>
        </w:rPr>
        <w:t xml:space="preserve"> that the number of preliminary references has increased significantly in the last years and </w:t>
      </w:r>
      <w:r w:rsidR="00883538">
        <w:rPr>
          <w:rFonts w:ascii="Garamond" w:hAnsi="Garamond"/>
          <w:sz w:val="24"/>
          <w:szCs w:val="24"/>
        </w:rPr>
        <w:t xml:space="preserve">that </w:t>
      </w:r>
      <w:r>
        <w:rPr>
          <w:rFonts w:ascii="Garamond" w:hAnsi="Garamond"/>
          <w:sz w:val="24"/>
          <w:szCs w:val="24"/>
        </w:rPr>
        <w:t xml:space="preserve">the recent reform of the General Court has now been completed. </w:t>
      </w:r>
    </w:p>
    <w:p w14:paraId="4E1CE8ED" w14:textId="77777777" w:rsidR="006436B7" w:rsidRPr="006436B7" w:rsidRDefault="006436B7" w:rsidP="006436B7">
      <w:pPr>
        <w:pStyle w:val="ListParagraph"/>
        <w:rPr>
          <w:rFonts w:ascii="Garamond" w:hAnsi="Garamond"/>
          <w:sz w:val="24"/>
          <w:szCs w:val="24"/>
        </w:rPr>
      </w:pPr>
    </w:p>
    <w:p w14:paraId="4620BC91" w14:textId="77777777" w:rsidR="006436B7" w:rsidRDefault="006436B7" w:rsidP="005E0CCE">
      <w:pPr>
        <w:pStyle w:val="ListParagraph"/>
        <w:numPr>
          <w:ilvl w:val="0"/>
          <w:numId w:val="26"/>
        </w:numPr>
        <w:spacing w:line="276" w:lineRule="auto"/>
        <w:jc w:val="both"/>
        <w:rPr>
          <w:rFonts w:ascii="Garamond" w:hAnsi="Garamond"/>
          <w:b/>
          <w:sz w:val="24"/>
          <w:szCs w:val="24"/>
        </w:rPr>
      </w:pPr>
      <w:r>
        <w:rPr>
          <w:rFonts w:ascii="Garamond" w:hAnsi="Garamond"/>
          <w:b/>
          <w:sz w:val="24"/>
          <w:szCs w:val="24"/>
        </w:rPr>
        <w:t xml:space="preserve">Who can make a preliminary reference under Article 267? </w:t>
      </w:r>
    </w:p>
    <w:p w14:paraId="70EED2CD" w14:textId="77777777" w:rsidR="006436B7" w:rsidRDefault="006436B7" w:rsidP="006436B7">
      <w:pPr>
        <w:pStyle w:val="ListParagraph"/>
        <w:spacing w:line="276" w:lineRule="auto"/>
        <w:jc w:val="both"/>
        <w:rPr>
          <w:rFonts w:ascii="Garamond" w:hAnsi="Garamond"/>
          <w:b/>
          <w:sz w:val="24"/>
          <w:szCs w:val="24"/>
        </w:rPr>
      </w:pPr>
    </w:p>
    <w:p w14:paraId="1519F14B" w14:textId="64F8AED6" w:rsidR="006436B7" w:rsidRDefault="006436B7" w:rsidP="005E0CCE">
      <w:pPr>
        <w:pStyle w:val="ListParagraph"/>
        <w:numPr>
          <w:ilvl w:val="0"/>
          <w:numId w:val="28"/>
        </w:numPr>
        <w:spacing w:line="276" w:lineRule="auto"/>
        <w:jc w:val="both"/>
        <w:rPr>
          <w:rFonts w:ascii="Garamond" w:hAnsi="Garamond"/>
          <w:sz w:val="24"/>
          <w:szCs w:val="24"/>
        </w:rPr>
      </w:pPr>
      <w:r>
        <w:rPr>
          <w:rFonts w:ascii="Garamond" w:hAnsi="Garamond"/>
          <w:sz w:val="24"/>
          <w:szCs w:val="24"/>
        </w:rPr>
        <w:t xml:space="preserve">Article 267 TFEU refers to “any court or tribunal of a Member State”. Who determines which bodies are courts and tribunals for the purpose of Article 267 TFEU? Is this a </w:t>
      </w:r>
      <w:r w:rsidR="00E2135B">
        <w:rPr>
          <w:rFonts w:ascii="Garamond" w:hAnsi="Garamond"/>
          <w:sz w:val="24"/>
          <w:szCs w:val="24"/>
        </w:rPr>
        <w:t>question of national law</w:t>
      </w:r>
      <w:r>
        <w:rPr>
          <w:rFonts w:ascii="Garamond" w:hAnsi="Garamond"/>
          <w:sz w:val="24"/>
          <w:szCs w:val="24"/>
        </w:rPr>
        <w:t>? Can Durham University</w:t>
      </w:r>
      <w:r w:rsidR="00E2135B">
        <w:rPr>
          <w:rFonts w:ascii="Garamond" w:hAnsi="Garamond"/>
          <w:sz w:val="24"/>
          <w:szCs w:val="24"/>
        </w:rPr>
        <w:t>’s Senate Discipline Committee</w:t>
      </w:r>
      <w:r>
        <w:rPr>
          <w:rFonts w:ascii="Garamond" w:hAnsi="Garamond"/>
          <w:sz w:val="24"/>
          <w:szCs w:val="24"/>
        </w:rPr>
        <w:t xml:space="preserve"> submit a preliminary reference to the Court of Justice? Can arbitration panels submit a preliminary reference under Article 267 TFEU? There are quite a few bodies whose judicial status under national law is complicated. </w:t>
      </w:r>
    </w:p>
    <w:p w14:paraId="1F4A969A" w14:textId="77777777" w:rsidR="006436B7" w:rsidRDefault="006436B7" w:rsidP="006436B7">
      <w:pPr>
        <w:pStyle w:val="ListParagraph"/>
        <w:spacing w:line="276" w:lineRule="auto"/>
        <w:ind w:left="1080"/>
        <w:jc w:val="both"/>
        <w:rPr>
          <w:rFonts w:ascii="Garamond" w:hAnsi="Garamond"/>
          <w:sz w:val="24"/>
          <w:szCs w:val="24"/>
        </w:rPr>
      </w:pPr>
    </w:p>
    <w:p w14:paraId="0B8048F2" w14:textId="031AFF62" w:rsidR="006436B7" w:rsidRDefault="006436B7" w:rsidP="005E0CCE">
      <w:pPr>
        <w:pStyle w:val="ListParagraph"/>
        <w:numPr>
          <w:ilvl w:val="0"/>
          <w:numId w:val="28"/>
        </w:numPr>
        <w:spacing w:line="276" w:lineRule="auto"/>
        <w:jc w:val="both"/>
        <w:rPr>
          <w:rFonts w:ascii="Garamond" w:hAnsi="Garamond"/>
          <w:sz w:val="24"/>
          <w:szCs w:val="24"/>
        </w:rPr>
      </w:pPr>
      <w:r>
        <w:rPr>
          <w:rFonts w:ascii="Garamond" w:hAnsi="Garamond"/>
          <w:sz w:val="24"/>
          <w:szCs w:val="24"/>
        </w:rPr>
        <w:t>If it was possible for the Member States</w:t>
      </w:r>
      <w:r w:rsidR="00E2135B">
        <w:rPr>
          <w:rFonts w:ascii="Garamond" w:hAnsi="Garamond"/>
          <w:sz w:val="24"/>
          <w:szCs w:val="24"/>
        </w:rPr>
        <w:t xml:space="preserve"> </w:t>
      </w:r>
      <w:r>
        <w:rPr>
          <w:rFonts w:ascii="Garamond" w:hAnsi="Garamond"/>
          <w:sz w:val="24"/>
          <w:szCs w:val="24"/>
        </w:rPr>
        <w:t>to determine which bodies c</w:t>
      </w:r>
      <w:r w:rsidR="00E2135B">
        <w:rPr>
          <w:rFonts w:ascii="Garamond" w:hAnsi="Garamond"/>
          <w:sz w:val="24"/>
          <w:szCs w:val="24"/>
        </w:rPr>
        <w:t>ould</w:t>
      </w:r>
      <w:r>
        <w:rPr>
          <w:rFonts w:ascii="Garamond" w:hAnsi="Garamond"/>
          <w:sz w:val="24"/>
          <w:szCs w:val="24"/>
        </w:rPr>
        <w:t xml:space="preserve"> make preliminary reference</w:t>
      </w:r>
      <w:r w:rsidR="00E2135B">
        <w:rPr>
          <w:rFonts w:ascii="Garamond" w:hAnsi="Garamond"/>
          <w:sz w:val="24"/>
          <w:szCs w:val="24"/>
        </w:rPr>
        <w:t>s</w:t>
      </w:r>
      <w:r>
        <w:rPr>
          <w:rFonts w:ascii="Garamond" w:hAnsi="Garamond"/>
          <w:sz w:val="24"/>
          <w:szCs w:val="24"/>
        </w:rPr>
        <w:t xml:space="preserve">, this could lead to different results in different Member States. Moreover, there </w:t>
      </w:r>
      <w:r w:rsidR="00002981">
        <w:rPr>
          <w:rFonts w:ascii="Garamond" w:hAnsi="Garamond"/>
          <w:sz w:val="24"/>
          <w:szCs w:val="24"/>
        </w:rPr>
        <w:t>would be</w:t>
      </w:r>
      <w:r>
        <w:rPr>
          <w:rFonts w:ascii="Garamond" w:hAnsi="Garamond"/>
          <w:sz w:val="24"/>
          <w:szCs w:val="24"/>
        </w:rPr>
        <w:t xml:space="preserve"> a risk that the Court of Justice would be overburdened with preliminary references from various national bodies. For that reason, </w:t>
      </w:r>
      <w:r w:rsidR="00333CE0">
        <w:rPr>
          <w:rFonts w:ascii="Garamond" w:hAnsi="Garamond"/>
          <w:sz w:val="24"/>
          <w:szCs w:val="24"/>
        </w:rPr>
        <w:t>the Court of Justice decided early on in its case law that the question of which national courts can make a preliminary reference is determined by EU law itself.</w:t>
      </w:r>
    </w:p>
    <w:p w14:paraId="537B2BD4" w14:textId="77777777" w:rsidR="00333CE0" w:rsidRPr="00333CE0" w:rsidRDefault="00333CE0" w:rsidP="00333CE0">
      <w:pPr>
        <w:pStyle w:val="ListParagraph"/>
        <w:rPr>
          <w:rFonts w:ascii="Garamond" w:hAnsi="Garamond"/>
          <w:sz w:val="24"/>
          <w:szCs w:val="24"/>
        </w:rPr>
      </w:pPr>
    </w:p>
    <w:p w14:paraId="374D3B88" w14:textId="77777777" w:rsidR="00333CE0" w:rsidRDefault="00333CE0" w:rsidP="005E0CCE">
      <w:pPr>
        <w:pStyle w:val="ListParagraph"/>
        <w:numPr>
          <w:ilvl w:val="0"/>
          <w:numId w:val="28"/>
        </w:numPr>
        <w:spacing w:line="276" w:lineRule="auto"/>
        <w:jc w:val="both"/>
        <w:rPr>
          <w:rFonts w:ascii="Garamond" w:hAnsi="Garamond"/>
          <w:sz w:val="24"/>
          <w:szCs w:val="24"/>
        </w:rPr>
      </w:pPr>
      <w:r>
        <w:rPr>
          <w:rFonts w:ascii="Garamond" w:hAnsi="Garamond"/>
          <w:sz w:val="24"/>
          <w:szCs w:val="24"/>
        </w:rPr>
        <w:t xml:space="preserve">In </w:t>
      </w:r>
      <w:proofErr w:type="spellStart"/>
      <w:r w:rsidRPr="00333CE0">
        <w:rPr>
          <w:rFonts w:ascii="Garamond" w:hAnsi="Garamond"/>
          <w:i/>
          <w:sz w:val="24"/>
          <w:szCs w:val="24"/>
        </w:rPr>
        <w:t>Broekmeulen</w:t>
      </w:r>
      <w:proofErr w:type="spellEnd"/>
      <w:r>
        <w:rPr>
          <w:rFonts w:ascii="Garamond" w:hAnsi="Garamond"/>
          <w:sz w:val="24"/>
          <w:szCs w:val="24"/>
        </w:rPr>
        <w:t xml:space="preserve"> (Case C-246/80), the Court ruled as follows:</w:t>
      </w:r>
    </w:p>
    <w:p w14:paraId="28F1B03E" w14:textId="77777777" w:rsidR="00333CE0" w:rsidRPr="00333CE0" w:rsidRDefault="00333CE0" w:rsidP="00333CE0">
      <w:pPr>
        <w:pStyle w:val="ListParagraph"/>
        <w:rPr>
          <w:rFonts w:ascii="Garamond" w:hAnsi="Garamond"/>
          <w:sz w:val="24"/>
          <w:szCs w:val="24"/>
        </w:rPr>
      </w:pPr>
    </w:p>
    <w:p w14:paraId="5B02FA36" w14:textId="77777777" w:rsidR="00985BD3" w:rsidRDefault="00333CE0" w:rsidP="00333CE0">
      <w:pPr>
        <w:pStyle w:val="ListParagraph"/>
        <w:spacing w:line="276" w:lineRule="auto"/>
        <w:ind w:left="1080"/>
        <w:jc w:val="both"/>
        <w:rPr>
          <w:rFonts w:ascii="Garamond" w:hAnsi="Garamond"/>
          <w:i/>
          <w:sz w:val="24"/>
          <w:szCs w:val="24"/>
        </w:rPr>
      </w:pPr>
      <w:proofErr w:type="gramStart"/>
      <w:r w:rsidRPr="00333CE0">
        <w:rPr>
          <w:rFonts w:ascii="Garamond" w:hAnsi="Garamond"/>
          <w:i/>
          <w:sz w:val="24"/>
          <w:szCs w:val="24"/>
        </w:rPr>
        <w:t>In order to</w:t>
      </w:r>
      <w:proofErr w:type="gramEnd"/>
      <w:r w:rsidRPr="00333CE0">
        <w:rPr>
          <w:rFonts w:ascii="Garamond" w:hAnsi="Garamond"/>
          <w:i/>
          <w:sz w:val="24"/>
          <w:szCs w:val="24"/>
        </w:rPr>
        <w:t xml:space="preserve"> deal with the question of the applicability in the present case of Article 177 of the Treaty, it should be noted that it is incumbent upon Member States to take the necessary steps to ensure that within their own territory the provisions adopted by the Community institutions are implemented in their entirety. If, under the legal system of a Member State, the task of implementing such provisions is assigned to a professional body acting under a degree of governmental supervision, and if that body, in conjunction with the public authorities concerned, creates appeal procedures which may affect the exercise of rights granted by Community law, it is imperative, in order to ensure the proper functioning of Community law, that the Court should have an opportunity of ruling on issues of interpretation and validity arising out of such proceedings.</w:t>
      </w:r>
    </w:p>
    <w:p w14:paraId="1C45D298" w14:textId="77777777" w:rsidR="00333CE0" w:rsidRDefault="00333CE0" w:rsidP="00333CE0">
      <w:pPr>
        <w:pStyle w:val="ListParagraph"/>
        <w:spacing w:line="276" w:lineRule="auto"/>
        <w:ind w:left="1080"/>
        <w:jc w:val="both"/>
        <w:rPr>
          <w:rFonts w:ascii="Garamond" w:hAnsi="Garamond"/>
          <w:sz w:val="24"/>
          <w:szCs w:val="24"/>
        </w:rPr>
      </w:pPr>
    </w:p>
    <w:p w14:paraId="3DACD70D" w14:textId="318AEB7C" w:rsidR="00333CE0" w:rsidRDefault="00333CE0" w:rsidP="005E0CCE">
      <w:pPr>
        <w:pStyle w:val="ListParagraph"/>
        <w:numPr>
          <w:ilvl w:val="0"/>
          <w:numId w:val="28"/>
        </w:numPr>
        <w:spacing w:line="276" w:lineRule="auto"/>
        <w:jc w:val="both"/>
        <w:rPr>
          <w:rFonts w:ascii="Garamond" w:hAnsi="Garamond"/>
          <w:sz w:val="24"/>
          <w:szCs w:val="24"/>
        </w:rPr>
      </w:pPr>
      <w:r>
        <w:rPr>
          <w:rFonts w:ascii="Garamond" w:hAnsi="Garamond"/>
          <w:sz w:val="24"/>
          <w:szCs w:val="24"/>
        </w:rPr>
        <w:t>The Court of Justice’s focus is very much on the effectiveness of EU law. There is not one precise</w:t>
      </w:r>
      <w:r w:rsidR="00E2135B">
        <w:rPr>
          <w:rFonts w:ascii="Garamond" w:hAnsi="Garamond"/>
          <w:sz w:val="24"/>
          <w:szCs w:val="24"/>
        </w:rPr>
        <w:t xml:space="preserve"> or unitary</w:t>
      </w:r>
      <w:r>
        <w:rPr>
          <w:rFonts w:ascii="Garamond" w:hAnsi="Garamond"/>
          <w:sz w:val="24"/>
          <w:szCs w:val="24"/>
        </w:rPr>
        <w:t xml:space="preserve"> test to determine whether a court or tribunal can make a preliminary reference. Rather, </w:t>
      </w:r>
      <w:proofErr w:type="gramStart"/>
      <w:r>
        <w:rPr>
          <w:rFonts w:ascii="Garamond" w:hAnsi="Garamond"/>
          <w:sz w:val="24"/>
          <w:szCs w:val="24"/>
        </w:rPr>
        <w:t>a number of</w:t>
      </w:r>
      <w:proofErr w:type="gramEnd"/>
      <w:r>
        <w:rPr>
          <w:rFonts w:ascii="Garamond" w:hAnsi="Garamond"/>
          <w:sz w:val="24"/>
          <w:szCs w:val="24"/>
        </w:rPr>
        <w:t xml:space="preserve"> factors are taken into account. These factors were helpfully set out by the Court in </w:t>
      </w:r>
      <w:r w:rsidRPr="00333CE0">
        <w:rPr>
          <w:rFonts w:ascii="Garamond" w:hAnsi="Garamond"/>
          <w:i/>
          <w:sz w:val="24"/>
          <w:szCs w:val="24"/>
        </w:rPr>
        <w:t>Dorsch Consult</w:t>
      </w:r>
      <w:r>
        <w:rPr>
          <w:rFonts w:ascii="Garamond" w:hAnsi="Garamond"/>
          <w:sz w:val="24"/>
          <w:szCs w:val="24"/>
        </w:rPr>
        <w:t xml:space="preserve"> (Case C-54/96):</w:t>
      </w:r>
    </w:p>
    <w:p w14:paraId="2AC2F2A7" w14:textId="77777777" w:rsidR="00333CE0" w:rsidRDefault="00333CE0" w:rsidP="00333CE0">
      <w:pPr>
        <w:pStyle w:val="ListParagraph"/>
        <w:spacing w:line="276" w:lineRule="auto"/>
        <w:ind w:left="1080"/>
        <w:jc w:val="both"/>
        <w:rPr>
          <w:rFonts w:ascii="Garamond" w:hAnsi="Garamond"/>
          <w:sz w:val="24"/>
          <w:szCs w:val="24"/>
        </w:rPr>
      </w:pPr>
    </w:p>
    <w:p w14:paraId="13E3BDD9" w14:textId="77777777" w:rsidR="00985BD3" w:rsidRDefault="00333CE0" w:rsidP="00182BED">
      <w:pPr>
        <w:pStyle w:val="ListParagraph"/>
        <w:spacing w:line="276" w:lineRule="auto"/>
        <w:ind w:left="1080"/>
        <w:jc w:val="both"/>
        <w:rPr>
          <w:rFonts w:ascii="Garamond" w:hAnsi="Garamond"/>
          <w:i/>
          <w:sz w:val="24"/>
          <w:szCs w:val="24"/>
          <w:shd w:val="clear" w:color="auto" w:fill="FFFFFF"/>
        </w:rPr>
      </w:pPr>
      <w:proofErr w:type="gramStart"/>
      <w:r w:rsidRPr="00182BED">
        <w:rPr>
          <w:rFonts w:ascii="Garamond" w:hAnsi="Garamond"/>
          <w:i/>
          <w:sz w:val="24"/>
          <w:szCs w:val="24"/>
          <w:shd w:val="clear" w:color="auto" w:fill="FFFFFF"/>
        </w:rPr>
        <w:t>In order to</w:t>
      </w:r>
      <w:proofErr w:type="gramEnd"/>
      <w:r w:rsidRPr="00182BED">
        <w:rPr>
          <w:rFonts w:ascii="Garamond" w:hAnsi="Garamond"/>
          <w:i/>
          <w:sz w:val="24"/>
          <w:szCs w:val="24"/>
          <w:shd w:val="clear" w:color="auto" w:fill="FFFFFF"/>
        </w:rPr>
        <w:t xml:space="preserve"> determine whether a body making a reference is a court or tribunal for</w:t>
      </w:r>
      <w:r w:rsidR="00182BED">
        <w:rPr>
          <w:rFonts w:ascii="Garamond" w:hAnsi="Garamond"/>
          <w:i/>
          <w:sz w:val="24"/>
          <w:szCs w:val="24"/>
          <w:shd w:val="clear" w:color="auto" w:fill="FFFFFF"/>
        </w:rPr>
        <w:t xml:space="preserve"> </w:t>
      </w:r>
      <w:r w:rsidRPr="00182BED">
        <w:rPr>
          <w:rFonts w:ascii="Garamond" w:hAnsi="Garamond"/>
          <w:i/>
          <w:sz w:val="24"/>
          <w:szCs w:val="24"/>
          <w:shd w:val="clear" w:color="auto" w:fill="FFFFFF"/>
        </w:rPr>
        <w:t>the purposes of Article 177 of the Treaty, which is a question governed by</w:t>
      </w:r>
      <w:r w:rsidR="00182BED">
        <w:rPr>
          <w:rFonts w:ascii="Garamond" w:hAnsi="Garamond"/>
          <w:i/>
          <w:sz w:val="24"/>
          <w:szCs w:val="24"/>
          <w:shd w:val="clear" w:color="auto" w:fill="FFFFFF"/>
        </w:rPr>
        <w:t xml:space="preserve"> </w:t>
      </w:r>
      <w:r w:rsidRPr="00182BED">
        <w:rPr>
          <w:rFonts w:ascii="Garamond" w:hAnsi="Garamond"/>
          <w:i/>
          <w:sz w:val="24"/>
          <w:szCs w:val="24"/>
          <w:shd w:val="clear" w:color="auto" w:fill="FFFFFF"/>
        </w:rPr>
        <w:t>Community law alone, the Court takes account of a number of factors, such as</w:t>
      </w:r>
      <w:r w:rsidR="00182BED">
        <w:rPr>
          <w:rFonts w:ascii="Garamond" w:hAnsi="Garamond"/>
          <w:i/>
          <w:sz w:val="24"/>
          <w:szCs w:val="24"/>
          <w:shd w:val="clear" w:color="auto" w:fill="FFFFFF"/>
        </w:rPr>
        <w:t xml:space="preserve"> </w:t>
      </w:r>
      <w:r w:rsidRPr="00182BED">
        <w:rPr>
          <w:rFonts w:ascii="Garamond" w:hAnsi="Garamond"/>
          <w:i/>
          <w:sz w:val="24"/>
          <w:szCs w:val="24"/>
          <w:shd w:val="clear" w:color="auto" w:fill="FFFFFF"/>
        </w:rPr>
        <w:t xml:space="preserve">whether the body is </w:t>
      </w:r>
      <w:r w:rsidRPr="00E74B7C">
        <w:rPr>
          <w:rFonts w:ascii="Garamond" w:hAnsi="Garamond"/>
          <w:b/>
          <w:i/>
          <w:sz w:val="24"/>
          <w:szCs w:val="24"/>
          <w:shd w:val="clear" w:color="auto" w:fill="FFFFFF"/>
        </w:rPr>
        <w:t>established by law</w:t>
      </w:r>
      <w:r w:rsidRPr="00182BED">
        <w:rPr>
          <w:rFonts w:ascii="Garamond" w:hAnsi="Garamond"/>
          <w:i/>
          <w:sz w:val="24"/>
          <w:szCs w:val="24"/>
          <w:shd w:val="clear" w:color="auto" w:fill="FFFFFF"/>
        </w:rPr>
        <w:t xml:space="preserve">, whether it is </w:t>
      </w:r>
      <w:r w:rsidRPr="00E74B7C">
        <w:rPr>
          <w:rFonts w:ascii="Garamond" w:hAnsi="Garamond"/>
          <w:b/>
          <w:i/>
          <w:sz w:val="24"/>
          <w:szCs w:val="24"/>
          <w:shd w:val="clear" w:color="auto" w:fill="FFFFFF"/>
        </w:rPr>
        <w:t>permanent</w:t>
      </w:r>
      <w:r w:rsidRPr="00182BED">
        <w:rPr>
          <w:rFonts w:ascii="Garamond" w:hAnsi="Garamond"/>
          <w:i/>
          <w:sz w:val="24"/>
          <w:szCs w:val="24"/>
          <w:shd w:val="clear" w:color="auto" w:fill="FFFFFF"/>
        </w:rPr>
        <w:t>, whether its</w:t>
      </w:r>
      <w:r w:rsidR="00182BED">
        <w:rPr>
          <w:rFonts w:ascii="Garamond" w:hAnsi="Garamond"/>
          <w:i/>
          <w:sz w:val="24"/>
          <w:szCs w:val="24"/>
          <w:shd w:val="clear" w:color="auto" w:fill="FFFFFF"/>
        </w:rPr>
        <w:t xml:space="preserve"> </w:t>
      </w:r>
      <w:r w:rsidRPr="00E74B7C">
        <w:rPr>
          <w:rFonts w:ascii="Garamond" w:hAnsi="Garamond"/>
          <w:b/>
          <w:i/>
          <w:sz w:val="24"/>
          <w:szCs w:val="24"/>
          <w:shd w:val="clear" w:color="auto" w:fill="FFFFFF"/>
        </w:rPr>
        <w:t>jurisdiction is compulsory</w:t>
      </w:r>
      <w:r w:rsidRPr="00182BED">
        <w:rPr>
          <w:rFonts w:ascii="Garamond" w:hAnsi="Garamond"/>
          <w:i/>
          <w:sz w:val="24"/>
          <w:szCs w:val="24"/>
          <w:shd w:val="clear" w:color="auto" w:fill="FFFFFF"/>
        </w:rPr>
        <w:t>, whether its procedure is </w:t>
      </w:r>
      <w:r w:rsidRPr="00E74B7C">
        <w:rPr>
          <w:rFonts w:ascii="Garamond" w:hAnsi="Garamond"/>
          <w:b/>
          <w:i/>
          <w:iCs/>
          <w:sz w:val="24"/>
          <w:szCs w:val="24"/>
          <w:shd w:val="clear" w:color="auto" w:fill="FFFFFF"/>
        </w:rPr>
        <w:t>inter partes</w:t>
      </w:r>
      <w:r w:rsidRPr="00182BED">
        <w:rPr>
          <w:rFonts w:ascii="Garamond" w:hAnsi="Garamond"/>
          <w:i/>
          <w:sz w:val="24"/>
          <w:szCs w:val="24"/>
          <w:shd w:val="clear" w:color="auto" w:fill="FFFFFF"/>
        </w:rPr>
        <w:t>, whether it applies</w:t>
      </w:r>
      <w:r w:rsidR="00182BED">
        <w:rPr>
          <w:rFonts w:ascii="Garamond" w:hAnsi="Garamond"/>
          <w:i/>
          <w:sz w:val="24"/>
          <w:szCs w:val="24"/>
          <w:shd w:val="clear" w:color="auto" w:fill="FFFFFF"/>
        </w:rPr>
        <w:t xml:space="preserve"> </w:t>
      </w:r>
      <w:r w:rsidRPr="00E74B7C">
        <w:rPr>
          <w:rFonts w:ascii="Garamond" w:hAnsi="Garamond"/>
          <w:b/>
          <w:i/>
          <w:sz w:val="24"/>
          <w:szCs w:val="24"/>
          <w:shd w:val="clear" w:color="auto" w:fill="FFFFFF"/>
        </w:rPr>
        <w:t>rules of law</w:t>
      </w:r>
      <w:r w:rsidR="00182BED" w:rsidRPr="00182BED">
        <w:rPr>
          <w:rFonts w:ascii="Garamond" w:hAnsi="Garamond"/>
          <w:i/>
          <w:sz w:val="24"/>
          <w:szCs w:val="24"/>
          <w:shd w:val="clear" w:color="auto" w:fill="FFFFFF"/>
        </w:rPr>
        <w:t xml:space="preserve"> and whether it is </w:t>
      </w:r>
      <w:r w:rsidR="00182BED" w:rsidRPr="00E74B7C">
        <w:rPr>
          <w:rFonts w:ascii="Garamond" w:hAnsi="Garamond"/>
          <w:b/>
          <w:i/>
          <w:sz w:val="24"/>
          <w:szCs w:val="24"/>
          <w:shd w:val="clear" w:color="auto" w:fill="FFFFFF"/>
        </w:rPr>
        <w:t>independent</w:t>
      </w:r>
      <w:r w:rsidR="00182BED" w:rsidRPr="00182BED">
        <w:rPr>
          <w:rFonts w:ascii="Garamond" w:hAnsi="Garamond"/>
          <w:i/>
          <w:sz w:val="24"/>
          <w:szCs w:val="24"/>
          <w:shd w:val="clear" w:color="auto" w:fill="FFFFFF"/>
        </w:rPr>
        <w:t>.</w:t>
      </w:r>
    </w:p>
    <w:p w14:paraId="22F6E4C2" w14:textId="77777777" w:rsidR="00182BED" w:rsidRDefault="00182BED" w:rsidP="00182BED">
      <w:pPr>
        <w:pStyle w:val="ListParagraph"/>
        <w:spacing w:line="276" w:lineRule="auto"/>
        <w:ind w:left="1080"/>
        <w:jc w:val="both"/>
        <w:rPr>
          <w:rFonts w:ascii="Garamond" w:hAnsi="Garamond"/>
          <w:sz w:val="24"/>
          <w:szCs w:val="24"/>
        </w:rPr>
      </w:pPr>
    </w:p>
    <w:p w14:paraId="74B29F6B" w14:textId="5D325419" w:rsidR="00985BD3" w:rsidRDefault="00182BED" w:rsidP="005E0CCE">
      <w:pPr>
        <w:pStyle w:val="ListParagraph"/>
        <w:numPr>
          <w:ilvl w:val="0"/>
          <w:numId w:val="28"/>
        </w:numPr>
        <w:spacing w:line="276" w:lineRule="auto"/>
        <w:jc w:val="both"/>
        <w:rPr>
          <w:rFonts w:ascii="Garamond" w:hAnsi="Garamond"/>
          <w:sz w:val="24"/>
          <w:szCs w:val="24"/>
        </w:rPr>
      </w:pPr>
      <w:r>
        <w:rPr>
          <w:rFonts w:ascii="Garamond" w:hAnsi="Garamond"/>
          <w:sz w:val="24"/>
          <w:szCs w:val="24"/>
        </w:rPr>
        <w:t xml:space="preserve">If a national court fulfils these conditions, a preliminary reference made by this court will be admissible. </w:t>
      </w:r>
      <w:r w:rsidR="00781777">
        <w:rPr>
          <w:rFonts w:ascii="Garamond" w:hAnsi="Garamond"/>
          <w:sz w:val="24"/>
          <w:szCs w:val="24"/>
        </w:rPr>
        <w:t xml:space="preserve">For a recent example, see </w:t>
      </w:r>
      <w:r w:rsidR="00781777" w:rsidRPr="00781777">
        <w:rPr>
          <w:rFonts w:ascii="Garamond" w:hAnsi="Garamond"/>
          <w:i/>
          <w:iCs/>
          <w:sz w:val="24"/>
          <w:szCs w:val="24"/>
        </w:rPr>
        <w:t xml:space="preserve">Minister </w:t>
      </w:r>
      <w:proofErr w:type="spellStart"/>
      <w:r w:rsidR="00781777" w:rsidRPr="00781777">
        <w:rPr>
          <w:rFonts w:ascii="Garamond" w:hAnsi="Garamond"/>
          <w:i/>
          <w:iCs/>
          <w:sz w:val="24"/>
          <w:szCs w:val="24"/>
        </w:rPr>
        <w:t>Sprawiedliwości</w:t>
      </w:r>
      <w:proofErr w:type="spellEnd"/>
      <w:r w:rsidR="00781777">
        <w:rPr>
          <w:rFonts w:ascii="Garamond" w:hAnsi="Garamond"/>
          <w:sz w:val="24"/>
          <w:szCs w:val="24"/>
        </w:rPr>
        <w:t xml:space="preserve"> (Case C-55/20). </w:t>
      </w:r>
      <w:r>
        <w:rPr>
          <w:rFonts w:ascii="Garamond" w:hAnsi="Garamond"/>
          <w:sz w:val="24"/>
          <w:szCs w:val="24"/>
        </w:rPr>
        <w:t>If a preliminary reference has been made by a court or tribunal which does not fulfil these conditions, the case will be declared inadmissible and the Court of Justice will not rule on the substance of the case.</w:t>
      </w:r>
      <w:r w:rsidR="00781777">
        <w:rPr>
          <w:rFonts w:ascii="Garamond" w:hAnsi="Garamond"/>
          <w:sz w:val="24"/>
          <w:szCs w:val="24"/>
        </w:rPr>
        <w:t xml:space="preserve"> </w:t>
      </w:r>
    </w:p>
    <w:p w14:paraId="039ACDE0" w14:textId="77777777" w:rsidR="00182BED" w:rsidRDefault="00182BED" w:rsidP="00182BED">
      <w:pPr>
        <w:pStyle w:val="ListParagraph"/>
        <w:spacing w:line="276" w:lineRule="auto"/>
        <w:jc w:val="both"/>
        <w:rPr>
          <w:rFonts w:ascii="Garamond" w:hAnsi="Garamond"/>
          <w:b/>
          <w:sz w:val="24"/>
          <w:szCs w:val="24"/>
        </w:rPr>
      </w:pPr>
    </w:p>
    <w:p w14:paraId="64D8C38B" w14:textId="77777777" w:rsidR="00182BED" w:rsidRDefault="00182BED" w:rsidP="005E0CCE">
      <w:pPr>
        <w:pStyle w:val="ListParagraph"/>
        <w:numPr>
          <w:ilvl w:val="0"/>
          <w:numId w:val="26"/>
        </w:numPr>
        <w:spacing w:line="276" w:lineRule="auto"/>
        <w:jc w:val="both"/>
        <w:rPr>
          <w:rFonts w:ascii="Garamond" w:hAnsi="Garamond"/>
          <w:b/>
          <w:sz w:val="24"/>
          <w:szCs w:val="24"/>
        </w:rPr>
      </w:pPr>
      <w:r>
        <w:rPr>
          <w:rFonts w:ascii="Garamond" w:hAnsi="Garamond"/>
          <w:b/>
          <w:sz w:val="24"/>
          <w:szCs w:val="24"/>
        </w:rPr>
        <w:t>When can or should a preliminary reference be made?</w:t>
      </w:r>
    </w:p>
    <w:p w14:paraId="6AD29C09" w14:textId="77777777" w:rsidR="00182BED" w:rsidRDefault="00182BED" w:rsidP="00182BED">
      <w:pPr>
        <w:pStyle w:val="ListParagraph"/>
        <w:spacing w:line="276" w:lineRule="auto"/>
        <w:jc w:val="both"/>
        <w:rPr>
          <w:rFonts w:ascii="Garamond" w:hAnsi="Garamond"/>
          <w:b/>
          <w:sz w:val="24"/>
          <w:szCs w:val="24"/>
        </w:rPr>
      </w:pPr>
    </w:p>
    <w:p w14:paraId="13CC47B4" w14:textId="77777777" w:rsidR="00486193" w:rsidRDefault="00182BED" w:rsidP="005E0CCE">
      <w:pPr>
        <w:pStyle w:val="ListParagraph"/>
        <w:numPr>
          <w:ilvl w:val="0"/>
          <w:numId w:val="29"/>
        </w:numPr>
        <w:spacing w:line="276" w:lineRule="auto"/>
        <w:jc w:val="both"/>
        <w:rPr>
          <w:rFonts w:ascii="Garamond" w:hAnsi="Garamond"/>
          <w:sz w:val="24"/>
          <w:szCs w:val="24"/>
        </w:rPr>
      </w:pPr>
      <w:r>
        <w:rPr>
          <w:rFonts w:ascii="Garamond" w:hAnsi="Garamond"/>
          <w:sz w:val="24"/>
          <w:szCs w:val="24"/>
        </w:rPr>
        <w:t xml:space="preserve">This is where a distinction </w:t>
      </w:r>
      <w:r w:rsidR="00E2135B">
        <w:rPr>
          <w:rFonts w:ascii="Garamond" w:hAnsi="Garamond"/>
          <w:sz w:val="24"/>
          <w:szCs w:val="24"/>
        </w:rPr>
        <w:t>should be</w:t>
      </w:r>
      <w:r>
        <w:rPr>
          <w:rFonts w:ascii="Garamond" w:hAnsi="Garamond"/>
          <w:sz w:val="24"/>
          <w:szCs w:val="24"/>
        </w:rPr>
        <w:t xml:space="preserve"> made between all national courts and courts against whose decision no remedy is possible. For both types of courts, </w:t>
      </w:r>
      <w:proofErr w:type="gramStart"/>
      <w:r>
        <w:rPr>
          <w:rFonts w:ascii="Garamond" w:hAnsi="Garamond"/>
          <w:sz w:val="24"/>
          <w:szCs w:val="24"/>
        </w:rPr>
        <w:t>it is clear that the</w:t>
      </w:r>
      <w:proofErr w:type="gramEnd"/>
      <w:r>
        <w:rPr>
          <w:rFonts w:ascii="Garamond" w:hAnsi="Garamond"/>
          <w:sz w:val="24"/>
          <w:szCs w:val="24"/>
        </w:rPr>
        <w:t xml:space="preserve"> answer to the question about EU law has to be </w:t>
      </w:r>
      <w:r w:rsidRPr="00C904DA">
        <w:rPr>
          <w:rFonts w:ascii="Garamond" w:hAnsi="Garamond"/>
          <w:i/>
          <w:sz w:val="24"/>
          <w:szCs w:val="24"/>
        </w:rPr>
        <w:t>necessary</w:t>
      </w:r>
      <w:r>
        <w:rPr>
          <w:rFonts w:ascii="Garamond" w:hAnsi="Garamond"/>
          <w:sz w:val="24"/>
          <w:szCs w:val="24"/>
        </w:rPr>
        <w:t xml:space="preserve"> for the national court to give judgment. If the answer of the Court of Justice is not necessary, the preliminary reference is not admissible. </w:t>
      </w:r>
    </w:p>
    <w:p w14:paraId="31FC852A" w14:textId="77777777" w:rsidR="00486193" w:rsidRDefault="00486193" w:rsidP="00486193">
      <w:pPr>
        <w:pStyle w:val="ListParagraph"/>
        <w:spacing w:line="276" w:lineRule="auto"/>
        <w:ind w:left="1080"/>
        <w:jc w:val="both"/>
        <w:rPr>
          <w:rFonts w:ascii="Garamond" w:hAnsi="Garamond"/>
          <w:sz w:val="24"/>
          <w:szCs w:val="24"/>
        </w:rPr>
      </w:pPr>
    </w:p>
    <w:p w14:paraId="2CB8FEBB" w14:textId="01983064" w:rsidR="00182BED" w:rsidRDefault="00182BED" w:rsidP="005E0CCE">
      <w:pPr>
        <w:pStyle w:val="ListParagraph"/>
        <w:numPr>
          <w:ilvl w:val="0"/>
          <w:numId w:val="29"/>
        </w:numPr>
        <w:spacing w:line="276" w:lineRule="auto"/>
        <w:jc w:val="both"/>
        <w:rPr>
          <w:rFonts w:ascii="Garamond" w:hAnsi="Garamond"/>
          <w:sz w:val="24"/>
          <w:szCs w:val="24"/>
        </w:rPr>
      </w:pPr>
      <w:r>
        <w:rPr>
          <w:rFonts w:ascii="Garamond" w:hAnsi="Garamond"/>
          <w:sz w:val="24"/>
          <w:szCs w:val="24"/>
        </w:rPr>
        <w:t xml:space="preserve">National courts cannot just ask a question out of general interest. </w:t>
      </w:r>
      <w:r w:rsidR="00BC4AAD">
        <w:rPr>
          <w:rFonts w:ascii="Garamond" w:hAnsi="Garamond"/>
          <w:sz w:val="24"/>
          <w:szCs w:val="24"/>
        </w:rPr>
        <w:t>The question</w:t>
      </w:r>
      <w:r>
        <w:rPr>
          <w:rFonts w:ascii="Garamond" w:hAnsi="Garamond"/>
          <w:sz w:val="24"/>
          <w:szCs w:val="24"/>
        </w:rPr>
        <w:t xml:space="preserve"> </w:t>
      </w:r>
      <w:proofErr w:type="gramStart"/>
      <w:r>
        <w:rPr>
          <w:rFonts w:ascii="Garamond" w:hAnsi="Garamond"/>
          <w:sz w:val="24"/>
          <w:szCs w:val="24"/>
        </w:rPr>
        <w:t>has to</w:t>
      </w:r>
      <w:proofErr w:type="gramEnd"/>
      <w:r>
        <w:rPr>
          <w:rFonts w:ascii="Garamond" w:hAnsi="Garamond"/>
          <w:sz w:val="24"/>
          <w:szCs w:val="24"/>
        </w:rPr>
        <w:t xml:space="preserve"> be directly related to the case, and the answer has to be necessary to solve the case. </w:t>
      </w:r>
      <w:r w:rsidR="00B447F4">
        <w:rPr>
          <w:rFonts w:ascii="Garamond" w:hAnsi="Garamond"/>
          <w:sz w:val="24"/>
          <w:szCs w:val="24"/>
        </w:rPr>
        <w:t xml:space="preserve">It is sometimes difficult for the Court of Justice to verify whether this condition has been fulfilled. However, the Court has been very clear that it will not answer hypothetical questions. Similarly, if the Court of Justice believes that the national court has not provided sufficient information for it to give judgment, the case will also be held inadmissible. </w:t>
      </w:r>
      <w:r w:rsidR="00F919FA">
        <w:rPr>
          <w:rFonts w:ascii="Garamond" w:hAnsi="Garamond"/>
          <w:sz w:val="24"/>
          <w:szCs w:val="24"/>
        </w:rPr>
        <w:t xml:space="preserve">The same result will be reached if the questions have not been formulated sufficiently clearly. </w:t>
      </w:r>
      <w:r w:rsidR="00B447F4">
        <w:rPr>
          <w:rFonts w:ascii="Garamond" w:hAnsi="Garamond"/>
          <w:sz w:val="24"/>
          <w:szCs w:val="24"/>
        </w:rPr>
        <w:t xml:space="preserve">Finally, a case will be inadmissible if the underlying dispute is not genuine. See </w:t>
      </w:r>
      <w:r w:rsidR="00B447F4" w:rsidRPr="00B447F4">
        <w:rPr>
          <w:rFonts w:ascii="Garamond" w:hAnsi="Garamond"/>
          <w:i/>
          <w:sz w:val="24"/>
          <w:szCs w:val="24"/>
        </w:rPr>
        <w:t>Foglio v Novello</w:t>
      </w:r>
      <w:r w:rsidR="00B447F4">
        <w:rPr>
          <w:rFonts w:ascii="Garamond" w:hAnsi="Garamond"/>
          <w:sz w:val="24"/>
          <w:szCs w:val="24"/>
        </w:rPr>
        <w:t xml:space="preserve"> (Case C-104/79):</w:t>
      </w:r>
    </w:p>
    <w:p w14:paraId="50111058" w14:textId="77777777" w:rsidR="00B447F4" w:rsidRDefault="00B447F4" w:rsidP="00B447F4">
      <w:pPr>
        <w:pStyle w:val="ListParagraph"/>
        <w:spacing w:line="276" w:lineRule="auto"/>
        <w:ind w:left="1080"/>
        <w:jc w:val="both"/>
        <w:rPr>
          <w:rFonts w:ascii="Garamond" w:hAnsi="Garamond"/>
          <w:sz w:val="24"/>
          <w:szCs w:val="24"/>
        </w:rPr>
      </w:pPr>
    </w:p>
    <w:p w14:paraId="39ACD397" w14:textId="77777777" w:rsidR="00B447F4" w:rsidRPr="00B447F4" w:rsidRDefault="00B447F4" w:rsidP="00B447F4">
      <w:pPr>
        <w:pStyle w:val="ListParagraph"/>
        <w:spacing w:line="276" w:lineRule="auto"/>
        <w:ind w:left="1080"/>
        <w:jc w:val="both"/>
        <w:rPr>
          <w:rFonts w:ascii="Garamond" w:hAnsi="Garamond"/>
          <w:i/>
          <w:sz w:val="24"/>
          <w:szCs w:val="24"/>
        </w:rPr>
      </w:pPr>
      <w:r w:rsidRPr="00B447F4">
        <w:rPr>
          <w:rFonts w:ascii="Garamond" w:hAnsi="Garamond"/>
          <w:i/>
          <w:sz w:val="24"/>
          <w:szCs w:val="24"/>
        </w:rPr>
        <w:t xml:space="preserve">It thus appears that the parties to the main action are concerned to obtain a ruling that the French tax system is invalid for liqueur wines by the expedient of proceedings before an Italian court between two private individuals who </w:t>
      </w:r>
      <w:proofErr w:type="gramStart"/>
      <w:r w:rsidRPr="00B447F4">
        <w:rPr>
          <w:rFonts w:ascii="Garamond" w:hAnsi="Garamond"/>
          <w:i/>
          <w:sz w:val="24"/>
          <w:szCs w:val="24"/>
        </w:rPr>
        <w:t>are in agreement</w:t>
      </w:r>
      <w:proofErr w:type="gramEnd"/>
      <w:r w:rsidRPr="00B447F4">
        <w:rPr>
          <w:rFonts w:ascii="Garamond" w:hAnsi="Garamond"/>
          <w:i/>
          <w:sz w:val="24"/>
          <w:szCs w:val="24"/>
        </w:rPr>
        <w:t xml:space="preserve"> as to the result to be attained and who have inserted a clause in their contract in order to induce the Italian court to give a ruling on the point. The artificial nature of this expedient is underlined by the fact that </w:t>
      </w:r>
      <w:proofErr w:type="spellStart"/>
      <w:r w:rsidRPr="00B447F4">
        <w:rPr>
          <w:rFonts w:ascii="Garamond" w:hAnsi="Garamond"/>
          <w:i/>
          <w:sz w:val="24"/>
          <w:szCs w:val="24"/>
        </w:rPr>
        <w:t>Danzas</w:t>
      </w:r>
      <w:proofErr w:type="spellEnd"/>
      <w:r w:rsidRPr="00B447F4">
        <w:rPr>
          <w:rFonts w:ascii="Garamond" w:hAnsi="Garamond"/>
          <w:i/>
          <w:sz w:val="24"/>
          <w:szCs w:val="24"/>
        </w:rPr>
        <w:t xml:space="preserve"> did not exercise its rights under French law to institute proceedings over the consumption tax although it undoubtedly had an interest in doing so in view of the clause in the contract by which it was also bound and moreover of the fact that Foglia paid without protest that undertaking's bill which included a sum paid in respect of that tax. </w:t>
      </w:r>
    </w:p>
    <w:p w14:paraId="363E169B" w14:textId="77777777" w:rsidR="00B447F4" w:rsidRPr="00B447F4" w:rsidRDefault="00B447F4" w:rsidP="00B447F4">
      <w:pPr>
        <w:pStyle w:val="ListParagraph"/>
        <w:spacing w:line="276" w:lineRule="auto"/>
        <w:ind w:left="1080"/>
        <w:jc w:val="both"/>
        <w:rPr>
          <w:rFonts w:ascii="Garamond" w:hAnsi="Garamond"/>
          <w:i/>
          <w:sz w:val="24"/>
          <w:szCs w:val="24"/>
        </w:rPr>
      </w:pPr>
    </w:p>
    <w:p w14:paraId="06F60E7B" w14:textId="77777777" w:rsidR="00B447F4" w:rsidRPr="00B447F4" w:rsidRDefault="00B447F4" w:rsidP="00B447F4">
      <w:pPr>
        <w:pStyle w:val="ListParagraph"/>
        <w:spacing w:line="276" w:lineRule="auto"/>
        <w:ind w:left="1080"/>
        <w:jc w:val="both"/>
        <w:rPr>
          <w:rFonts w:ascii="Garamond" w:hAnsi="Garamond"/>
          <w:i/>
          <w:sz w:val="24"/>
          <w:szCs w:val="24"/>
        </w:rPr>
      </w:pPr>
      <w:r w:rsidRPr="00B447F4">
        <w:rPr>
          <w:rFonts w:ascii="Garamond" w:hAnsi="Garamond"/>
          <w:i/>
          <w:sz w:val="24"/>
          <w:szCs w:val="24"/>
        </w:rPr>
        <w:lastRenderedPageBreak/>
        <w:t xml:space="preserve">The duty of the Court of Justice under Article 177 of the EEC Treaty is to supply all courts in the Community with the information on the interpretation of Community law which is necessary to enable them to settle genuine disputes which are brought before them. A situation in which the Court was obliged by the expedient of arrangements like those described above to give rulings would jeopardize the whole system of legal remedies available to private individuals to enable them to protect themselves against tax provisions which are contrary to the Treaty. </w:t>
      </w:r>
    </w:p>
    <w:p w14:paraId="289633D1" w14:textId="77777777" w:rsidR="00B447F4" w:rsidRPr="00B447F4" w:rsidRDefault="00B447F4" w:rsidP="00B447F4">
      <w:pPr>
        <w:pStyle w:val="ListParagraph"/>
        <w:spacing w:line="276" w:lineRule="auto"/>
        <w:ind w:left="1080"/>
        <w:jc w:val="both"/>
        <w:rPr>
          <w:rFonts w:ascii="Garamond" w:hAnsi="Garamond"/>
          <w:i/>
          <w:sz w:val="24"/>
          <w:szCs w:val="24"/>
        </w:rPr>
      </w:pPr>
    </w:p>
    <w:p w14:paraId="254E9612" w14:textId="77777777" w:rsidR="00B447F4" w:rsidRPr="00B447F4" w:rsidRDefault="00B447F4" w:rsidP="00B447F4">
      <w:pPr>
        <w:pStyle w:val="ListParagraph"/>
        <w:spacing w:line="276" w:lineRule="auto"/>
        <w:ind w:left="1080"/>
        <w:jc w:val="both"/>
        <w:rPr>
          <w:rFonts w:ascii="Garamond" w:hAnsi="Garamond"/>
          <w:i/>
          <w:sz w:val="24"/>
          <w:szCs w:val="24"/>
        </w:rPr>
      </w:pPr>
      <w:r w:rsidRPr="00B447F4">
        <w:rPr>
          <w:rFonts w:ascii="Garamond" w:hAnsi="Garamond"/>
          <w:i/>
          <w:sz w:val="24"/>
          <w:szCs w:val="24"/>
        </w:rPr>
        <w:t xml:space="preserve">This means that the questions asked by the national court, having regard to the circumstances of this case, do not fall within the framework of the duties of the Court of Justice under Article 177 of the Treaty. </w:t>
      </w:r>
    </w:p>
    <w:p w14:paraId="52DFEC68" w14:textId="77777777" w:rsidR="00B447F4" w:rsidRPr="00B447F4" w:rsidRDefault="00B447F4" w:rsidP="00B447F4">
      <w:pPr>
        <w:pStyle w:val="ListParagraph"/>
        <w:spacing w:line="276" w:lineRule="auto"/>
        <w:ind w:left="1080"/>
        <w:jc w:val="both"/>
        <w:rPr>
          <w:rFonts w:ascii="Garamond" w:hAnsi="Garamond"/>
          <w:i/>
          <w:sz w:val="24"/>
          <w:szCs w:val="24"/>
        </w:rPr>
      </w:pPr>
    </w:p>
    <w:p w14:paraId="737D30A3" w14:textId="77777777" w:rsidR="00985BD3" w:rsidRDefault="00B447F4" w:rsidP="00B447F4">
      <w:pPr>
        <w:pStyle w:val="ListParagraph"/>
        <w:spacing w:line="276" w:lineRule="auto"/>
        <w:ind w:left="1080"/>
        <w:jc w:val="both"/>
        <w:rPr>
          <w:rFonts w:ascii="Garamond" w:hAnsi="Garamond"/>
          <w:i/>
          <w:sz w:val="24"/>
          <w:szCs w:val="24"/>
        </w:rPr>
      </w:pPr>
      <w:r w:rsidRPr="00B447F4">
        <w:rPr>
          <w:rFonts w:ascii="Garamond" w:hAnsi="Garamond"/>
          <w:i/>
          <w:sz w:val="24"/>
          <w:szCs w:val="24"/>
        </w:rPr>
        <w:t>The Court of Justice accordingly has no jurisdiction to give a ruling on the questions asked by the national court.</w:t>
      </w:r>
    </w:p>
    <w:p w14:paraId="24BFDBC5" w14:textId="77777777" w:rsidR="00B447F4" w:rsidRDefault="00B447F4" w:rsidP="00B447F4">
      <w:pPr>
        <w:pStyle w:val="ListParagraph"/>
        <w:spacing w:line="276" w:lineRule="auto"/>
        <w:ind w:left="1080"/>
        <w:jc w:val="both"/>
        <w:rPr>
          <w:rFonts w:ascii="Garamond" w:hAnsi="Garamond"/>
          <w:i/>
          <w:sz w:val="24"/>
          <w:szCs w:val="24"/>
        </w:rPr>
      </w:pPr>
    </w:p>
    <w:p w14:paraId="7B52FCD1" w14:textId="77777777" w:rsidR="00BC4AAD" w:rsidRDefault="00AD3F5C" w:rsidP="005E0CCE">
      <w:pPr>
        <w:pStyle w:val="ListParagraph"/>
        <w:numPr>
          <w:ilvl w:val="0"/>
          <w:numId w:val="29"/>
        </w:numPr>
        <w:spacing w:line="276" w:lineRule="auto"/>
        <w:jc w:val="both"/>
        <w:rPr>
          <w:rFonts w:ascii="Garamond" w:hAnsi="Garamond"/>
          <w:sz w:val="24"/>
          <w:szCs w:val="24"/>
        </w:rPr>
      </w:pPr>
      <w:r>
        <w:rPr>
          <w:rFonts w:ascii="Garamond" w:hAnsi="Garamond"/>
          <w:iCs/>
          <w:sz w:val="24"/>
          <w:szCs w:val="24"/>
        </w:rPr>
        <w:t xml:space="preserve">Although the Court of Justice has </w:t>
      </w:r>
      <w:r w:rsidR="008E4D88">
        <w:rPr>
          <w:rFonts w:ascii="Garamond" w:hAnsi="Garamond"/>
          <w:iCs/>
          <w:sz w:val="24"/>
          <w:szCs w:val="24"/>
        </w:rPr>
        <w:t>adopted a stricter approach</w:t>
      </w:r>
      <w:r>
        <w:rPr>
          <w:rFonts w:ascii="Garamond" w:hAnsi="Garamond"/>
          <w:iCs/>
          <w:sz w:val="24"/>
          <w:szCs w:val="24"/>
        </w:rPr>
        <w:t xml:space="preserve"> in the last decade or so, </w:t>
      </w:r>
      <w:r w:rsidR="0018635A" w:rsidRPr="0018635A">
        <w:rPr>
          <w:rFonts w:ascii="Garamond" w:hAnsi="Garamond"/>
          <w:i/>
          <w:sz w:val="24"/>
          <w:szCs w:val="24"/>
        </w:rPr>
        <w:t>Foglia v No</w:t>
      </w:r>
      <w:r w:rsidR="00B447F4" w:rsidRPr="0018635A">
        <w:rPr>
          <w:rFonts w:ascii="Garamond" w:hAnsi="Garamond"/>
          <w:i/>
          <w:sz w:val="24"/>
          <w:szCs w:val="24"/>
        </w:rPr>
        <w:t>vello</w:t>
      </w:r>
      <w:r w:rsidR="0018635A">
        <w:rPr>
          <w:rFonts w:ascii="Garamond" w:hAnsi="Garamond"/>
          <w:sz w:val="24"/>
          <w:szCs w:val="24"/>
        </w:rPr>
        <w:t xml:space="preserve"> </w:t>
      </w:r>
      <w:r w:rsidR="00B447F4">
        <w:rPr>
          <w:rFonts w:ascii="Garamond" w:hAnsi="Garamond"/>
          <w:sz w:val="24"/>
          <w:szCs w:val="24"/>
        </w:rPr>
        <w:t xml:space="preserve">remains one of the </w:t>
      </w:r>
      <w:r w:rsidR="008E4D88">
        <w:rPr>
          <w:rFonts w:ascii="Garamond" w:hAnsi="Garamond"/>
          <w:sz w:val="24"/>
          <w:szCs w:val="24"/>
        </w:rPr>
        <w:t>few</w:t>
      </w:r>
      <w:r w:rsidR="00B447F4">
        <w:rPr>
          <w:rFonts w:ascii="Garamond" w:hAnsi="Garamond"/>
          <w:sz w:val="24"/>
          <w:szCs w:val="24"/>
        </w:rPr>
        <w:t xml:space="preserve"> </w:t>
      </w:r>
      <w:r w:rsidR="00274621">
        <w:rPr>
          <w:rFonts w:ascii="Garamond" w:hAnsi="Garamond"/>
          <w:sz w:val="24"/>
          <w:szCs w:val="24"/>
        </w:rPr>
        <w:t>cases</w:t>
      </w:r>
      <w:r w:rsidR="00B447F4">
        <w:rPr>
          <w:rFonts w:ascii="Garamond" w:hAnsi="Garamond"/>
          <w:sz w:val="24"/>
          <w:szCs w:val="24"/>
        </w:rPr>
        <w:t xml:space="preserve"> </w:t>
      </w:r>
      <w:r w:rsidR="00274621">
        <w:rPr>
          <w:rFonts w:ascii="Garamond" w:hAnsi="Garamond"/>
          <w:sz w:val="24"/>
          <w:szCs w:val="24"/>
        </w:rPr>
        <w:t>in which</w:t>
      </w:r>
      <w:r w:rsidR="00B447F4">
        <w:rPr>
          <w:rFonts w:ascii="Garamond" w:hAnsi="Garamond"/>
          <w:sz w:val="24"/>
          <w:szCs w:val="24"/>
        </w:rPr>
        <w:t xml:space="preserve"> </w:t>
      </w:r>
      <w:r w:rsidR="0018635A">
        <w:rPr>
          <w:rFonts w:ascii="Garamond" w:hAnsi="Garamond"/>
          <w:sz w:val="24"/>
          <w:szCs w:val="24"/>
        </w:rPr>
        <w:t>the Court refused to rule on a preliminary reference. What happens much more frequently is that the Court will re-write the question(s) that have been asked by the national court. National courts are not always pleased with this – they may find that they have asked one question, but get an answer to an entirely different question</w:t>
      </w:r>
      <w:r w:rsidR="00E74B7C">
        <w:rPr>
          <w:rFonts w:ascii="Garamond" w:hAnsi="Garamond"/>
          <w:sz w:val="24"/>
          <w:szCs w:val="24"/>
        </w:rPr>
        <w:t>!</w:t>
      </w:r>
      <w:r w:rsidR="0018635A">
        <w:rPr>
          <w:rFonts w:ascii="Garamond" w:hAnsi="Garamond"/>
          <w:sz w:val="24"/>
          <w:szCs w:val="24"/>
        </w:rPr>
        <w:t xml:space="preserve"> </w:t>
      </w:r>
    </w:p>
    <w:p w14:paraId="2AAB0864" w14:textId="77777777" w:rsidR="00BC4AAD" w:rsidRDefault="00BC4AAD" w:rsidP="00BC4AAD">
      <w:pPr>
        <w:pStyle w:val="ListParagraph"/>
        <w:spacing w:line="276" w:lineRule="auto"/>
        <w:ind w:left="1080"/>
        <w:jc w:val="both"/>
        <w:rPr>
          <w:rFonts w:ascii="Garamond" w:hAnsi="Garamond"/>
          <w:sz w:val="24"/>
          <w:szCs w:val="24"/>
        </w:rPr>
      </w:pPr>
    </w:p>
    <w:p w14:paraId="6F5EE676" w14:textId="6F912F07" w:rsidR="00B447F4" w:rsidRDefault="008270C9" w:rsidP="005E0CCE">
      <w:pPr>
        <w:pStyle w:val="ListParagraph"/>
        <w:numPr>
          <w:ilvl w:val="0"/>
          <w:numId w:val="29"/>
        </w:numPr>
        <w:spacing w:line="276" w:lineRule="auto"/>
        <w:jc w:val="both"/>
        <w:rPr>
          <w:rFonts w:ascii="Garamond" w:hAnsi="Garamond"/>
          <w:sz w:val="24"/>
          <w:szCs w:val="24"/>
        </w:rPr>
      </w:pPr>
      <w:r>
        <w:rPr>
          <w:rFonts w:ascii="Garamond" w:hAnsi="Garamond"/>
          <w:sz w:val="24"/>
          <w:szCs w:val="24"/>
        </w:rPr>
        <w:t>At the same time</w:t>
      </w:r>
      <w:r w:rsidR="0018635A">
        <w:rPr>
          <w:rFonts w:ascii="Garamond" w:hAnsi="Garamond"/>
          <w:sz w:val="24"/>
          <w:szCs w:val="24"/>
        </w:rPr>
        <w:t xml:space="preserve">, </w:t>
      </w:r>
      <w:r w:rsidR="00BC4AAD">
        <w:rPr>
          <w:rFonts w:ascii="Garamond" w:hAnsi="Garamond"/>
          <w:sz w:val="24"/>
          <w:szCs w:val="24"/>
        </w:rPr>
        <w:t>such</w:t>
      </w:r>
      <w:r w:rsidR="0018635A">
        <w:rPr>
          <w:rFonts w:ascii="Garamond" w:hAnsi="Garamond"/>
          <w:sz w:val="24"/>
          <w:szCs w:val="24"/>
        </w:rPr>
        <w:t xml:space="preserve"> re-writing exercise</w:t>
      </w:r>
      <w:r w:rsidR="00BC4AAD">
        <w:rPr>
          <w:rFonts w:ascii="Garamond" w:hAnsi="Garamond"/>
          <w:sz w:val="24"/>
          <w:szCs w:val="24"/>
        </w:rPr>
        <w:t>s</w:t>
      </w:r>
      <w:r w:rsidR="0018635A">
        <w:rPr>
          <w:rFonts w:ascii="Garamond" w:hAnsi="Garamond"/>
          <w:sz w:val="24"/>
          <w:szCs w:val="24"/>
        </w:rPr>
        <w:t xml:space="preserve"> by the Court put pressure on </w:t>
      </w:r>
      <w:r w:rsidR="00BC4AAD">
        <w:rPr>
          <w:rFonts w:ascii="Garamond" w:hAnsi="Garamond"/>
          <w:sz w:val="24"/>
          <w:szCs w:val="24"/>
        </w:rPr>
        <w:t>national courts</w:t>
      </w:r>
      <w:r w:rsidR="0018635A">
        <w:rPr>
          <w:rFonts w:ascii="Garamond" w:hAnsi="Garamond"/>
          <w:sz w:val="24"/>
          <w:szCs w:val="24"/>
        </w:rPr>
        <w:t xml:space="preserve"> to define the questions as precisely and concisely as possible. Moreover, it should be recalled that the Court of Justice can only interpret EU law. The Court cannot provide an interpretation of national law, which remains the task of national courts. Therefore, the questions in a preliminary reference necessarily </w:t>
      </w:r>
      <w:proofErr w:type="gramStart"/>
      <w:r w:rsidR="0018635A">
        <w:rPr>
          <w:rFonts w:ascii="Garamond" w:hAnsi="Garamond"/>
          <w:sz w:val="24"/>
          <w:szCs w:val="24"/>
        </w:rPr>
        <w:t>have to</w:t>
      </w:r>
      <w:proofErr w:type="gramEnd"/>
      <w:r w:rsidR="0018635A">
        <w:rPr>
          <w:rFonts w:ascii="Garamond" w:hAnsi="Garamond"/>
          <w:sz w:val="24"/>
          <w:szCs w:val="24"/>
        </w:rPr>
        <w:t xml:space="preserve"> be asked in a generic way. </w:t>
      </w:r>
    </w:p>
    <w:p w14:paraId="26BC2B2A" w14:textId="77777777" w:rsidR="008D47DC" w:rsidRDefault="008D47DC" w:rsidP="008D47DC">
      <w:pPr>
        <w:pStyle w:val="ListParagraph"/>
        <w:spacing w:line="276" w:lineRule="auto"/>
        <w:ind w:left="1080"/>
        <w:jc w:val="both"/>
        <w:rPr>
          <w:rFonts w:ascii="Garamond" w:hAnsi="Garamond"/>
          <w:sz w:val="24"/>
          <w:szCs w:val="24"/>
        </w:rPr>
      </w:pPr>
    </w:p>
    <w:p w14:paraId="1BD0AC1F" w14:textId="182E9955" w:rsidR="008D47DC" w:rsidRDefault="008D47DC" w:rsidP="005E0CCE">
      <w:pPr>
        <w:pStyle w:val="ListParagraph"/>
        <w:numPr>
          <w:ilvl w:val="0"/>
          <w:numId w:val="29"/>
        </w:numPr>
        <w:spacing w:line="276" w:lineRule="auto"/>
        <w:jc w:val="both"/>
        <w:rPr>
          <w:rFonts w:ascii="Garamond" w:hAnsi="Garamond"/>
          <w:sz w:val="24"/>
          <w:szCs w:val="24"/>
        </w:rPr>
      </w:pPr>
      <w:r>
        <w:rPr>
          <w:rFonts w:ascii="Garamond" w:hAnsi="Garamond"/>
          <w:sz w:val="24"/>
          <w:szCs w:val="24"/>
        </w:rPr>
        <w:t xml:space="preserve">If the answer to a question about the interpretation of EU law is necessary for the national court to give judgment, lower national courts </w:t>
      </w:r>
      <w:r w:rsidRPr="008D47DC">
        <w:rPr>
          <w:rFonts w:ascii="Garamond" w:hAnsi="Garamond"/>
          <w:i/>
          <w:sz w:val="24"/>
          <w:szCs w:val="24"/>
        </w:rPr>
        <w:t>may</w:t>
      </w:r>
      <w:r>
        <w:rPr>
          <w:rFonts w:ascii="Garamond" w:hAnsi="Garamond"/>
          <w:sz w:val="24"/>
          <w:szCs w:val="24"/>
        </w:rPr>
        <w:t xml:space="preserve"> make a reference to the Court of Justice. This is discretionary – there is no obligation on the national judge to refer. Parties do not have the right to claim that a preliminary reference should be made. </w:t>
      </w:r>
      <w:r w:rsidR="008270C9">
        <w:rPr>
          <w:rFonts w:ascii="Garamond" w:hAnsi="Garamond"/>
          <w:sz w:val="24"/>
          <w:szCs w:val="24"/>
        </w:rPr>
        <w:t>Nevertheless</w:t>
      </w:r>
      <w:r>
        <w:rPr>
          <w:rFonts w:ascii="Garamond" w:hAnsi="Garamond"/>
          <w:sz w:val="24"/>
          <w:szCs w:val="24"/>
        </w:rPr>
        <w:t xml:space="preserve">, in most jurisdictions, judges will listen very carefully to the opinion of the parties. Do they want a preliminary reference to be made? You </w:t>
      </w:r>
      <w:proofErr w:type="gramStart"/>
      <w:r>
        <w:rPr>
          <w:rFonts w:ascii="Garamond" w:hAnsi="Garamond"/>
          <w:sz w:val="24"/>
          <w:szCs w:val="24"/>
        </w:rPr>
        <w:t>have to</w:t>
      </w:r>
      <w:proofErr w:type="gramEnd"/>
      <w:r>
        <w:rPr>
          <w:rFonts w:ascii="Garamond" w:hAnsi="Garamond"/>
          <w:sz w:val="24"/>
          <w:szCs w:val="24"/>
        </w:rPr>
        <w:t xml:space="preserve"> realise that it will always lead to a substantial period of delay. The parties </w:t>
      </w:r>
      <w:proofErr w:type="gramStart"/>
      <w:r>
        <w:rPr>
          <w:rFonts w:ascii="Garamond" w:hAnsi="Garamond"/>
          <w:sz w:val="24"/>
          <w:szCs w:val="24"/>
        </w:rPr>
        <w:t>have to</w:t>
      </w:r>
      <w:proofErr w:type="gramEnd"/>
      <w:r>
        <w:rPr>
          <w:rFonts w:ascii="Garamond" w:hAnsi="Garamond"/>
          <w:sz w:val="24"/>
          <w:szCs w:val="24"/>
        </w:rPr>
        <w:t xml:space="preserve"> </w:t>
      </w:r>
      <w:r w:rsidR="00274621">
        <w:rPr>
          <w:rFonts w:ascii="Garamond" w:hAnsi="Garamond"/>
          <w:sz w:val="24"/>
          <w:szCs w:val="24"/>
        </w:rPr>
        <w:t>decide</w:t>
      </w:r>
      <w:r>
        <w:rPr>
          <w:rFonts w:ascii="Garamond" w:hAnsi="Garamond"/>
          <w:sz w:val="24"/>
          <w:szCs w:val="24"/>
        </w:rPr>
        <w:t xml:space="preserve"> whether it is worth waiting for. </w:t>
      </w:r>
      <w:r w:rsidR="008270C9">
        <w:rPr>
          <w:rFonts w:ascii="Garamond" w:hAnsi="Garamond"/>
          <w:sz w:val="24"/>
          <w:szCs w:val="24"/>
        </w:rPr>
        <w:t>The parties might</w:t>
      </w:r>
      <w:r>
        <w:rPr>
          <w:rFonts w:ascii="Garamond" w:hAnsi="Garamond"/>
          <w:sz w:val="24"/>
          <w:szCs w:val="24"/>
        </w:rPr>
        <w:t xml:space="preserve"> </w:t>
      </w:r>
      <w:r w:rsidR="00E74B7C">
        <w:rPr>
          <w:rFonts w:ascii="Garamond" w:hAnsi="Garamond"/>
          <w:sz w:val="24"/>
          <w:szCs w:val="24"/>
        </w:rPr>
        <w:t xml:space="preserve">even </w:t>
      </w:r>
      <w:r>
        <w:rPr>
          <w:rFonts w:ascii="Garamond" w:hAnsi="Garamond"/>
          <w:sz w:val="24"/>
          <w:szCs w:val="24"/>
        </w:rPr>
        <w:t xml:space="preserve">be asked to help </w:t>
      </w:r>
      <w:r w:rsidR="00274621">
        <w:rPr>
          <w:rFonts w:ascii="Garamond" w:hAnsi="Garamond"/>
          <w:sz w:val="24"/>
          <w:szCs w:val="24"/>
        </w:rPr>
        <w:t xml:space="preserve">the judge(s) with </w:t>
      </w:r>
      <w:r>
        <w:rPr>
          <w:rFonts w:ascii="Garamond" w:hAnsi="Garamond"/>
          <w:sz w:val="24"/>
          <w:szCs w:val="24"/>
        </w:rPr>
        <w:t xml:space="preserve">writing the questions </w:t>
      </w:r>
      <w:r w:rsidR="00274621">
        <w:rPr>
          <w:rFonts w:ascii="Garamond" w:hAnsi="Garamond"/>
          <w:sz w:val="24"/>
          <w:szCs w:val="24"/>
        </w:rPr>
        <w:t>for</w:t>
      </w:r>
      <w:r>
        <w:rPr>
          <w:rFonts w:ascii="Garamond" w:hAnsi="Garamond"/>
          <w:sz w:val="24"/>
          <w:szCs w:val="24"/>
        </w:rPr>
        <w:t xml:space="preserve"> the preliminary reference.</w:t>
      </w:r>
    </w:p>
    <w:p w14:paraId="2F67EE24" w14:textId="77777777" w:rsidR="008D47DC" w:rsidRPr="008D47DC" w:rsidRDefault="008D47DC" w:rsidP="008D47DC">
      <w:pPr>
        <w:pStyle w:val="ListParagraph"/>
        <w:rPr>
          <w:rFonts w:ascii="Garamond" w:hAnsi="Garamond"/>
          <w:sz w:val="24"/>
          <w:szCs w:val="24"/>
        </w:rPr>
      </w:pPr>
    </w:p>
    <w:p w14:paraId="41279C7E" w14:textId="77777777" w:rsidR="008D47DC" w:rsidRDefault="008D47DC" w:rsidP="005E0CCE">
      <w:pPr>
        <w:pStyle w:val="ListParagraph"/>
        <w:numPr>
          <w:ilvl w:val="0"/>
          <w:numId w:val="29"/>
        </w:numPr>
        <w:spacing w:line="276" w:lineRule="auto"/>
        <w:jc w:val="both"/>
        <w:rPr>
          <w:rFonts w:ascii="Garamond" w:hAnsi="Garamond"/>
          <w:sz w:val="24"/>
          <w:szCs w:val="24"/>
        </w:rPr>
      </w:pPr>
      <w:r>
        <w:rPr>
          <w:rFonts w:ascii="Garamond" w:hAnsi="Garamond"/>
          <w:sz w:val="24"/>
          <w:szCs w:val="24"/>
        </w:rPr>
        <w:t>The situation is different if the case is before a court against whose decision there is no judicial remedy under national law. This will often be the court of last instance – in the UK, the UK Supreme Court – but this does not necessarily have to be the case. The question is whether there is a possibility of appeal agains</w:t>
      </w:r>
      <w:r w:rsidR="00BD16E8">
        <w:rPr>
          <w:rFonts w:ascii="Garamond" w:hAnsi="Garamond"/>
          <w:sz w:val="24"/>
          <w:szCs w:val="24"/>
        </w:rPr>
        <w:t xml:space="preserve">t the court’s judgment. If the court’s judgment is final, there is no judicial remedy under national law. In some cases, this may be a lower court. </w:t>
      </w:r>
    </w:p>
    <w:p w14:paraId="27AB5734" w14:textId="77777777" w:rsidR="00BD16E8" w:rsidRPr="00BD16E8" w:rsidRDefault="00BD16E8" w:rsidP="00BD16E8">
      <w:pPr>
        <w:pStyle w:val="ListParagraph"/>
        <w:rPr>
          <w:rFonts w:ascii="Garamond" w:hAnsi="Garamond"/>
          <w:sz w:val="24"/>
          <w:szCs w:val="24"/>
        </w:rPr>
      </w:pPr>
    </w:p>
    <w:p w14:paraId="733D4007" w14:textId="77777777" w:rsidR="00BD16E8" w:rsidRDefault="00BD16E8" w:rsidP="005E0CCE">
      <w:pPr>
        <w:pStyle w:val="ListParagraph"/>
        <w:numPr>
          <w:ilvl w:val="0"/>
          <w:numId w:val="29"/>
        </w:numPr>
        <w:spacing w:line="276" w:lineRule="auto"/>
        <w:jc w:val="both"/>
        <w:rPr>
          <w:rFonts w:ascii="Garamond" w:hAnsi="Garamond"/>
          <w:sz w:val="24"/>
          <w:szCs w:val="24"/>
        </w:rPr>
      </w:pPr>
      <w:r>
        <w:rPr>
          <w:rFonts w:ascii="Garamond" w:hAnsi="Garamond"/>
          <w:sz w:val="24"/>
          <w:szCs w:val="24"/>
        </w:rPr>
        <w:lastRenderedPageBreak/>
        <w:t xml:space="preserve">If a court against whose decision there is no judicial remedy under national law reaches the conclusion that the answer to a question of EU law is necessary to give judgment, it </w:t>
      </w:r>
      <w:r w:rsidRPr="008270C9">
        <w:rPr>
          <w:rFonts w:ascii="Garamond" w:hAnsi="Garamond"/>
          <w:i/>
          <w:iCs/>
          <w:sz w:val="24"/>
          <w:szCs w:val="24"/>
        </w:rPr>
        <w:t>shall</w:t>
      </w:r>
      <w:r>
        <w:rPr>
          <w:rFonts w:ascii="Garamond" w:hAnsi="Garamond"/>
          <w:sz w:val="24"/>
          <w:szCs w:val="24"/>
        </w:rPr>
        <w:t xml:space="preserve"> make a preliminary reference. There is no discretion – the national court </w:t>
      </w:r>
      <w:proofErr w:type="gramStart"/>
      <w:r>
        <w:rPr>
          <w:rFonts w:ascii="Garamond" w:hAnsi="Garamond"/>
          <w:sz w:val="24"/>
          <w:szCs w:val="24"/>
        </w:rPr>
        <w:t>has to</w:t>
      </w:r>
      <w:proofErr w:type="gramEnd"/>
      <w:r>
        <w:rPr>
          <w:rFonts w:ascii="Garamond" w:hAnsi="Garamond"/>
          <w:sz w:val="24"/>
          <w:szCs w:val="24"/>
        </w:rPr>
        <w:t xml:space="preserve"> make a preliminary reference under Article 267 TFEU. However, the Court of Justice has developed two exceptions to this obligation in the case law. These exceptions will be discussed below.</w:t>
      </w:r>
    </w:p>
    <w:p w14:paraId="0FCE3A17" w14:textId="77777777" w:rsidR="00BD16E8" w:rsidRPr="00BD16E8" w:rsidRDefault="00BD16E8" w:rsidP="00BD16E8">
      <w:pPr>
        <w:pStyle w:val="ListParagraph"/>
        <w:rPr>
          <w:rFonts w:ascii="Garamond" w:hAnsi="Garamond"/>
          <w:sz w:val="24"/>
          <w:szCs w:val="24"/>
        </w:rPr>
      </w:pPr>
    </w:p>
    <w:p w14:paraId="75974D68" w14:textId="77777777" w:rsidR="00BD16E8" w:rsidRPr="00BD16E8" w:rsidRDefault="00BD16E8" w:rsidP="005E0CCE">
      <w:pPr>
        <w:pStyle w:val="ListParagraph"/>
        <w:numPr>
          <w:ilvl w:val="0"/>
          <w:numId w:val="26"/>
        </w:numPr>
        <w:spacing w:line="276" w:lineRule="auto"/>
        <w:jc w:val="both"/>
        <w:rPr>
          <w:rFonts w:ascii="Garamond" w:hAnsi="Garamond"/>
          <w:b/>
          <w:sz w:val="24"/>
          <w:szCs w:val="24"/>
        </w:rPr>
      </w:pPr>
      <w:r>
        <w:rPr>
          <w:rFonts w:ascii="Garamond" w:hAnsi="Garamond"/>
          <w:b/>
          <w:sz w:val="24"/>
          <w:szCs w:val="24"/>
        </w:rPr>
        <w:t xml:space="preserve">CILFIT and </w:t>
      </w:r>
      <w:proofErr w:type="spellStart"/>
      <w:r w:rsidRPr="00BD16E8">
        <w:rPr>
          <w:rFonts w:ascii="Garamond" w:hAnsi="Garamond"/>
          <w:b/>
          <w:i/>
          <w:sz w:val="24"/>
          <w:szCs w:val="24"/>
        </w:rPr>
        <w:t>acte</w:t>
      </w:r>
      <w:proofErr w:type="spellEnd"/>
      <w:r w:rsidRPr="00BD16E8">
        <w:rPr>
          <w:rFonts w:ascii="Garamond" w:hAnsi="Garamond"/>
          <w:b/>
          <w:i/>
          <w:sz w:val="24"/>
          <w:szCs w:val="24"/>
        </w:rPr>
        <w:t xml:space="preserve"> </w:t>
      </w:r>
      <w:proofErr w:type="spellStart"/>
      <w:r w:rsidRPr="00BD16E8">
        <w:rPr>
          <w:rFonts w:ascii="Garamond" w:hAnsi="Garamond"/>
          <w:b/>
          <w:i/>
          <w:sz w:val="24"/>
          <w:szCs w:val="24"/>
        </w:rPr>
        <w:t>clair</w:t>
      </w:r>
      <w:proofErr w:type="spellEnd"/>
      <w:r>
        <w:rPr>
          <w:rFonts w:ascii="Garamond" w:hAnsi="Garamond"/>
          <w:b/>
          <w:sz w:val="24"/>
          <w:szCs w:val="24"/>
        </w:rPr>
        <w:t xml:space="preserve"> and </w:t>
      </w:r>
      <w:proofErr w:type="spellStart"/>
      <w:r w:rsidRPr="00BD16E8">
        <w:rPr>
          <w:rFonts w:ascii="Garamond" w:hAnsi="Garamond"/>
          <w:b/>
          <w:i/>
          <w:sz w:val="24"/>
          <w:szCs w:val="24"/>
        </w:rPr>
        <w:t>acte</w:t>
      </w:r>
      <w:proofErr w:type="spellEnd"/>
      <w:r w:rsidRPr="00BD16E8">
        <w:rPr>
          <w:rFonts w:ascii="Garamond" w:hAnsi="Garamond"/>
          <w:b/>
          <w:i/>
          <w:sz w:val="24"/>
          <w:szCs w:val="24"/>
        </w:rPr>
        <w:t xml:space="preserve"> </w:t>
      </w:r>
      <w:proofErr w:type="spellStart"/>
      <w:r w:rsidRPr="00BD16E8">
        <w:rPr>
          <w:rFonts w:ascii="Garamond" w:hAnsi="Garamond"/>
          <w:b/>
          <w:i/>
          <w:sz w:val="24"/>
          <w:szCs w:val="24"/>
        </w:rPr>
        <w:t>éclairé</w:t>
      </w:r>
      <w:proofErr w:type="spellEnd"/>
    </w:p>
    <w:p w14:paraId="488192CE" w14:textId="77777777" w:rsidR="00BD16E8" w:rsidRDefault="00BD16E8" w:rsidP="00BD16E8">
      <w:pPr>
        <w:pStyle w:val="ListParagraph"/>
        <w:spacing w:line="276" w:lineRule="auto"/>
        <w:jc w:val="both"/>
        <w:rPr>
          <w:rFonts w:ascii="Garamond" w:hAnsi="Garamond"/>
          <w:b/>
          <w:sz w:val="24"/>
          <w:szCs w:val="24"/>
        </w:rPr>
      </w:pPr>
    </w:p>
    <w:p w14:paraId="2DE9C4C6" w14:textId="77777777" w:rsidR="00BD16E8" w:rsidRDefault="00BD16E8" w:rsidP="005E0CCE">
      <w:pPr>
        <w:pStyle w:val="ListParagraph"/>
        <w:numPr>
          <w:ilvl w:val="0"/>
          <w:numId w:val="30"/>
        </w:numPr>
        <w:spacing w:line="276" w:lineRule="auto"/>
        <w:jc w:val="both"/>
        <w:rPr>
          <w:rFonts w:ascii="Garamond" w:hAnsi="Garamond"/>
          <w:sz w:val="24"/>
          <w:szCs w:val="24"/>
        </w:rPr>
      </w:pPr>
      <w:r>
        <w:rPr>
          <w:rFonts w:ascii="Garamond" w:hAnsi="Garamond"/>
          <w:sz w:val="24"/>
          <w:szCs w:val="24"/>
        </w:rPr>
        <w:t xml:space="preserve">In </w:t>
      </w:r>
      <w:r w:rsidRPr="00BD16E8">
        <w:rPr>
          <w:rFonts w:ascii="Garamond" w:hAnsi="Garamond"/>
          <w:i/>
          <w:sz w:val="24"/>
          <w:szCs w:val="24"/>
        </w:rPr>
        <w:t>CILFIT</w:t>
      </w:r>
      <w:r>
        <w:rPr>
          <w:rFonts w:ascii="Garamond" w:hAnsi="Garamond"/>
          <w:sz w:val="24"/>
          <w:szCs w:val="24"/>
        </w:rPr>
        <w:t xml:space="preserve"> (Case C-283/81), the Court of Justice laid down the principles of </w:t>
      </w:r>
      <w:proofErr w:type="spellStart"/>
      <w:r w:rsidRPr="00BD16E8">
        <w:rPr>
          <w:rFonts w:ascii="Garamond" w:hAnsi="Garamond"/>
          <w:i/>
          <w:sz w:val="24"/>
          <w:szCs w:val="24"/>
        </w:rPr>
        <w:t>acte</w:t>
      </w:r>
      <w:proofErr w:type="spellEnd"/>
      <w:r w:rsidRPr="00BD16E8">
        <w:rPr>
          <w:rFonts w:ascii="Garamond" w:hAnsi="Garamond"/>
          <w:i/>
          <w:sz w:val="24"/>
          <w:szCs w:val="24"/>
        </w:rPr>
        <w:t xml:space="preserve"> </w:t>
      </w:r>
      <w:proofErr w:type="spellStart"/>
      <w:r w:rsidRPr="00BD16E8">
        <w:rPr>
          <w:rFonts w:ascii="Garamond" w:hAnsi="Garamond"/>
          <w:i/>
          <w:sz w:val="24"/>
          <w:szCs w:val="24"/>
        </w:rPr>
        <w:t>clair</w:t>
      </w:r>
      <w:proofErr w:type="spellEnd"/>
      <w:r w:rsidRPr="00BD16E8">
        <w:rPr>
          <w:rFonts w:ascii="Garamond" w:hAnsi="Garamond"/>
          <w:sz w:val="24"/>
          <w:szCs w:val="24"/>
        </w:rPr>
        <w:t xml:space="preserve"> and </w:t>
      </w:r>
      <w:proofErr w:type="spellStart"/>
      <w:r w:rsidRPr="00BD16E8">
        <w:rPr>
          <w:rFonts w:ascii="Garamond" w:hAnsi="Garamond"/>
          <w:i/>
          <w:sz w:val="24"/>
          <w:szCs w:val="24"/>
        </w:rPr>
        <w:t>acte</w:t>
      </w:r>
      <w:proofErr w:type="spellEnd"/>
      <w:r w:rsidRPr="00BD16E8">
        <w:rPr>
          <w:rFonts w:ascii="Garamond" w:hAnsi="Garamond"/>
          <w:i/>
          <w:sz w:val="24"/>
          <w:szCs w:val="24"/>
        </w:rPr>
        <w:t xml:space="preserve"> </w:t>
      </w:r>
      <w:proofErr w:type="spellStart"/>
      <w:r w:rsidRPr="00BD16E8">
        <w:rPr>
          <w:rFonts w:ascii="Garamond" w:hAnsi="Garamond"/>
          <w:i/>
          <w:sz w:val="24"/>
          <w:szCs w:val="24"/>
        </w:rPr>
        <w:t>éclairé</w:t>
      </w:r>
      <w:proofErr w:type="spellEnd"/>
      <w:r>
        <w:rPr>
          <w:rFonts w:ascii="Garamond" w:hAnsi="Garamond"/>
          <w:sz w:val="24"/>
          <w:szCs w:val="24"/>
        </w:rPr>
        <w:t>:</w:t>
      </w:r>
    </w:p>
    <w:p w14:paraId="7C2EB4E5" w14:textId="77777777" w:rsidR="00BD16E8" w:rsidRDefault="00BD16E8" w:rsidP="00BD16E8">
      <w:pPr>
        <w:pStyle w:val="ListParagraph"/>
        <w:spacing w:line="276" w:lineRule="auto"/>
        <w:ind w:left="1080"/>
        <w:jc w:val="both"/>
        <w:rPr>
          <w:rFonts w:ascii="Garamond" w:hAnsi="Garamond"/>
          <w:sz w:val="24"/>
          <w:szCs w:val="24"/>
        </w:rPr>
      </w:pPr>
    </w:p>
    <w:p w14:paraId="26DEB4A5" w14:textId="77777777" w:rsidR="00985BD3" w:rsidRDefault="00BD16E8" w:rsidP="00BD16E8">
      <w:pPr>
        <w:ind w:left="1080"/>
        <w:jc w:val="both"/>
        <w:rPr>
          <w:rFonts w:ascii="Garamond" w:hAnsi="Garamond"/>
          <w:i/>
          <w:sz w:val="24"/>
          <w:szCs w:val="24"/>
        </w:rPr>
      </w:pPr>
      <w:r w:rsidRPr="00BD16E8">
        <w:rPr>
          <w:rFonts w:ascii="Garamond" w:hAnsi="Garamond"/>
          <w:i/>
          <w:sz w:val="24"/>
          <w:szCs w:val="24"/>
        </w:rPr>
        <w:t xml:space="preserve">Article 177 of the EEC Treaty is to be interpreted as meaning that a court or tribunal against whose decisions there is no judicial remedy under national law is required, where a question of Community law is raised before it, to comply with its obligation to bring the matter before the Court of Justice, unless it has established that the question raised is irrelevant or that the Community provision in question has already been interpreted by the Court or that the correct application of Community law is so obvious as to leave no scope for any reasonable doubt. The existence of such a possibility must be assessed in the light of the specific characteristics of Community law, the </w:t>
      </w:r>
      <w:proofErr w:type="gramStart"/>
      <w:r w:rsidRPr="00BD16E8">
        <w:rPr>
          <w:rFonts w:ascii="Garamond" w:hAnsi="Garamond"/>
          <w:i/>
          <w:sz w:val="24"/>
          <w:szCs w:val="24"/>
        </w:rPr>
        <w:t>particular difficulties</w:t>
      </w:r>
      <w:proofErr w:type="gramEnd"/>
      <w:r w:rsidRPr="00BD16E8">
        <w:rPr>
          <w:rFonts w:ascii="Garamond" w:hAnsi="Garamond"/>
          <w:i/>
          <w:sz w:val="24"/>
          <w:szCs w:val="24"/>
        </w:rPr>
        <w:t xml:space="preserve"> to which its interpretation gives rise and the risk of divergences in judicial decisions within the Community.</w:t>
      </w:r>
    </w:p>
    <w:p w14:paraId="48C4F6BB" w14:textId="350881A2" w:rsidR="00F919FA" w:rsidRDefault="00BD16E8" w:rsidP="005E0CCE">
      <w:pPr>
        <w:pStyle w:val="ListParagraph"/>
        <w:numPr>
          <w:ilvl w:val="0"/>
          <w:numId w:val="30"/>
        </w:numPr>
        <w:jc w:val="both"/>
        <w:rPr>
          <w:rFonts w:ascii="Garamond" w:hAnsi="Garamond"/>
          <w:sz w:val="24"/>
          <w:szCs w:val="24"/>
        </w:rPr>
      </w:pPr>
      <w:r>
        <w:rPr>
          <w:rFonts w:ascii="Garamond" w:hAnsi="Garamond"/>
          <w:sz w:val="24"/>
          <w:szCs w:val="24"/>
        </w:rPr>
        <w:t xml:space="preserve">If either of the two principles applies, </w:t>
      </w:r>
      <w:r w:rsidR="001813D8">
        <w:rPr>
          <w:rFonts w:ascii="Garamond" w:hAnsi="Garamond"/>
          <w:sz w:val="24"/>
          <w:szCs w:val="24"/>
        </w:rPr>
        <w:t>a</w:t>
      </w:r>
      <w:r>
        <w:rPr>
          <w:rFonts w:ascii="Garamond" w:hAnsi="Garamond"/>
          <w:sz w:val="24"/>
          <w:szCs w:val="24"/>
        </w:rPr>
        <w:t xml:space="preserve"> national court</w:t>
      </w:r>
      <w:r w:rsidR="001813D8">
        <w:rPr>
          <w:rFonts w:ascii="Garamond" w:hAnsi="Garamond"/>
          <w:sz w:val="24"/>
          <w:szCs w:val="24"/>
        </w:rPr>
        <w:t xml:space="preserve"> of last instance</w:t>
      </w:r>
      <w:r>
        <w:rPr>
          <w:rFonts w:ascii="Garamond" w:hAnsi="Garamond"/>
          <w:sz w:val="24"/>
          <w:szCs w:val="24"/>
        </w:rPr>
        <w:t xml:space="preserve"> can refuse to make a reference. </w:t>
      </w:r>
      <w:proofErr w:type="spellStart"/>
      <w:r w:rsidRPr="00F919FA">
        <w:rPr>
          <w:rFonts w:ascii="Garamond" w:hAnsi="Garamond"/>
          <w:i/>
          <w:sz w:val="24"/>
          <w:szCs w:val="24"/>
        </w:rPr>
        <w:t>Acte</w:t>
      </w:r>
      <w:proofErr w:type="spellEnd"/>
      <w:r w:rsidRPr="00F919FA">
        <w:rPr>
          <w:rFonts w:ascii="Garamond" w:hAnsi="Garamond"/>
          <w:i/>
          <w:sz w:val="24"/>
          <w:szCs w:val="24"/>
        </w:rPr>
        <w:t xml:space="preserve"> </w:t>
      </w:r>
      <w:proofErr w:type="spellStart"/>
      <w:r w:rsidRPr="00F919FA">
        <w:rPr>
          <w:rFonts w:ascii="Garamond" w:hAnsi="Garamond"/>
          <w:i/>
          <w:sz w:val="24"/>
          <w:szCs w:val="24"/>
        </w:rPr>
        <w:t>clair</w:t>
      </w:r>
      <w:proofErr w:type="spellEnd"/>
      <w:r>
        <w:rPr>
          <w:rFonts w:ascii="Garamond" w:hAnsi="Garamond"/>
          <w:sz w:val="24"/>
          <w:szCs w:val="24"/>
        </w:rPr>
        <w:t xml:space="preserve"> means that the answer to the question of EU law is so obvious that there is no need to ask </w:t>
      </w:r>
      <w:r w:rsidR="00F919FA">
        <w:rPr>
          <w:rFonts w:ascii="Garamond" w:hAnsi="Garamond"/>
          <w:sz w:val="24"/>
          <w:szCs w:val="24"/>
        </w:rPr>
        <w:t xml:space="preserve">for the assistance of the Court of Justice. This requires an assessment by the national court of the wording of the provision. The national court will have to assess different language versions to see if there are any ambiguities in the terms used. </w:t>
      </w:r>
      <w:r w:rsidR="009E5CC2">
        <w:rPr>
          <w:rFonts w:ascii="Garamond" w:hAnsi="Garamond"/>
          <w:sz w:val="24"/>
          <w:szCs w:val="24"/>
        </w:rPr>
        <w:t xml:space="preserve">Moreover, no other national courts must have had doubts about how to interpret the provision of EU law. The answer must be clear in all Member States. </w:t>
      </w:r>
      <w:r w:rsidR="00F919FA">
        <w:rPr>
          <w:rFonts w:ascii="Garamond" w:hAnsi="Garamond"/>
          <w:sz w:val="24"/>
          <w:szCs w:val="24"/>
        </w:rPr>
        <w:t xml:space="preserve">Note that the threshold has been put very high: there must be </w:t>
      </w:r>
      <w:r w:rsidR="001813D8">
        <w:rPr>
          <w:rFonts w:ascii="Garamond" w:hAnsi="Garamond"/>
          <w:sz w:val="24"/>
          <w:szCs w:val="24"/>
        </w:rPr>
        <w:t>“</w:t>
      </w:r>
      <w:r w:rsidR="00F919FA">
        <w:rPr>
          <w:rFonts w:ascii="Garamond" w:hAnsi="Garamond"/>
          <w:sz w:val="24"/>
          <w:szCs w:val="24"/>
        </w:rPr>
        <w:t>no reasonable doubt</w:t>
      </w:r>
      <w:r w:rsidR="001813D8">
        <w:rPr>
          <w:rFonts w:ascii="Garamond" w:hAnsi="Garamond"/>
          <w:sz w:val="24"/>
          <w:szCs w:val="24"/>
        </w:rPr>
        <w:t>”</w:t>
      </w:r>
      <w:r w:rsidR="00F919FA">
        <w:rPr>
          <w:rFonts w:ascii="Garamond" w:hAnsi="Garamond"/>
          <w:sz w:val="24"/>
          <w:szCs w:val="24"/>
        </w:rPr>
        <w:t xml:space="preserve"> about the correct interpretation of EU law. </w:t>
      </w:r>
    </w:p>
    <w:p w14:paraId="473A4723" w14:textId="77777777" w:rsidR="00F919FA" w:rsidRDefault="00F919FA" w:rsidP="00F919FA">
      <w:pPr>
        <w:pStyle w:val="ListParagraph"/>
        <w:ind w:left="1080"/>
        <w:jc w:val="both"/>
        <w:rPr>
          <w:rFonts w:ascii="Garamond" w:hAnsi="Garamond"/>
          <w:sz w:val="24"/>
          <w:szCs w:val="24"/>
        </w:rPr>
      </w:pPr>
    </w:p>
    <w:p w14:paraId="21C7F670" w14:textId="440C6E6E" w:rsidR="00BD16E8" w:rsidRDefault="00F919FA" w:rsidP="005E0CCE">
      <w:pPr>
        <w:pStyle w:val="ListParagraph"/>
        <w:numPr>
          <w:ilvl w:val="0"/>
          <w:numId w:val="30"/>
        </w:numPr>
        <w:jc w:val="both"/>
        <w:rPr>
          <w:rFonts w:ascii="Garamond" w:hAnsi="Garamond"/>
          <w:sz w:val="24"/>
          <w:szCs w:val="24"/>
        </w:rPr>
      </w:pPr>
      <w:r>
        <w:rPr>
          <w:rFonts w:ascii="Garamond" w:hAnsi="Garamond"/>
          <w:sz w:val="24"/>
          <w:szCs w:val="24"/>
        </w:rPr>
        <w:t xml:space="preserve">This is different from </w:t>
      </w:r>
      <w:proofErr w:type="spellStart"/>
      <w:r w:rsidRPr="00F919FA">
        <w:rPr>
          <w:rFonts w:ascii="Garamond" w:hAnsi="Garamond"/>
          <w:i/>
          <w:sz w:val="24"/>
          <w:szCs w:val="24"/>
        </w:rPr>
        <w:t>acte</w:t>
      </w:r>
      <w:proofErr w:type="spellEnd"/>
      <w:r w:rsidRPr="00F919FA">
        <w:rPr>
          <w:rFonts w:ascii="Garamond" w:hAnsi="Garamond"/>
          <w:i/>
          <w:sz w:val="24"/>
          <w:szCs w:val="24"/>
        </w:rPr>
        <w:t xml:space="preserve"> </w:t>
      </w:r>
      <w:proofErr w:type="spellStart"/>
      <w:r w:rsidRPr="00F919FA">
        <w:rPr>
          <w:rFonts w:ascii="Garamond" w:hAnsi="Garamond"/>
          <w:i/>
          <w:sz w:val="24"/>
          <w:szCs w:val="24"/>
        </w:rPr>
        <w:t>éclairé</w:t>
      </w:r>
      <w:proofErr w:type="spellEnd"/>
      <w:r>
        <w:rPr>
          <w:rFonts w:ascii="Garamond" w:hAnsi="Garamond"/>
          <w:sz w:val="24"/>
          <w:szCs w:val="24"/>
        </w:rPr>
        <w:t xml:space="preserve">, which means that the Court of Justice has already answered the question. </w:t>
      </w:r>
      <w:r w:rsidR="009E5CC2">
        <w:rPr>
          <w:rFonts w:ascii="Garamond" w:hAnsi="Garamond"/>
          <w:sz w:val="24"/>
          <w:szCs w:val="24"/>
        </w:rPr>
        <w:t xml:space="preserve">This means that the court of last instance </w:t>
      </w:r>
      <w:proofErr w:type="gramStart"/>
      <w:r w:rsidR="009E5CC2">
        <w:rPr>
          <w:rFonts w:ascii="Garamond" w:hAnsi="Garamond"/>
          <w:sz w:val="24"/>
          <w:szCs w:val="24"/>
        </w:rPr>
        <w:t>is able to</w:t>
      </w:r>
      <w:proofErr w:type="gramEnd"/>
      <w:r w:rsidR="009E5CC2">
        <w:rPr>
          <w:rFonts w:ascii="Garamond" w:hAnsi="Garamond"/>
          <w:sz w:val="24"/>
          <w:szCs w:val="24"/>
        </w:rPr>
        <w:t xml:space="preserve"> point to a </w:t>
      </w:r>
      <w:r w:rsidR="001813D8">
        <w:rPr>
          <w:rFonts w:ascii="Garamond" w:hAnsi="Garamond"/>
          <w:sz w:val="24"/>
          <w:szCs w:val="24"/>
        </w:rPr>
        <w:t>previous</w:t>
      </w:r>
      <w:r w:rsidR="009E5CC2">
        <w:rPr>
          <w:rFonts w:ascii="Garamond" w:hAnsi="Garamond"/>
          <w:sz w:val="24"/>
          <w:szCs w:val="24"/>
        </w:rPr>
        <w:t xml:space="preserve"> judgment of the Court of Justice, in which it already answered the question. Again, in such a case, there is no obligation on the national court to make a preliminary reference. </w:t>
      </w:r>
    </w:p>
    <w:p w14:paraId="0F45EFAC" w14:textId="77777777" w:rsidR="009E5CC2" w:rsidRPr="009E5CC2" w:rsidRDefault="009E5CC2" w:rsidP="009E5CC2">
      <w:pPr>
        <w:pStyle w:val="ListParagraph"/>
        <w:rPr>
          <w:rFonts w:ascii="Garamond" w:hAnsi="Garamond"/>
          <w:sz w:val="24"/>
          <w:szCs w:val="24"/>
        </w:rPr>
      </w:pPr>
    </w:p>
    <w:p w14:paraId="090849D1" w14:textId="77777777" w:rsidR="009E5CC2" w:rsidRDefault="009E5CC2" w:rsidP="005E0CCE">
      <w:pPr>
        <w:pStyle w:val="ListParagraph"/>
        <w:numPr>
          <w:ilvl w:val="0"/>
          <w:numId w:val="30"/>
        </w:numPr>
        <w:jc w:val="both"/>
        <w:rPr>
          <w:rFonts w:ascii="Garamond" w:hAnsi="Garamond"/>
          <w:sz w:val="24"/>
          <w:szCs w:val="24"/>
        </w:rPr>
      </w:pPr>
      <w:r>
        <w:rPr>
          <w:rFonts w:ascii="Garamond" w:hAnsi="Garamond"/>
          <w:sz w:val="24"/>
          <w:szCs w:val="24"/>
        </w:rPr>
        <w:t xml:space="preserve">The </w:t>
      </w:r>
      <w:r w:rsidRPr="009E5CC2">
        <w:rPr>
          <w:rFonts w:ascii="Garamond" w:hAnsi="Garamond"/>
          <w:i/>
          <w:sz w:val="24"/>
          <w:szCs w:val="24"/>
        </w:rPr>
        <w:t>CILFIT</w:t>
      </w:r>
      <w:r>
        <w:rPr>
          <w:rFonts w:ascii="Garamond" w:hAnsi="Garamond"/>
          <w:sz w:val="24"/>
          <w:szCs w:val="24"/>
        </w:rPr>
        <w:t xml:space="preserve"> doctrine seeks to achieve a balance in the relationship between the Court of Justice and national supreme courts. The national courts are </w:t>
      </w:r>
      <w:r w:rsidR="00C00F6B">
        <w:rPr>
          <w:rFonts w:ascii="Garamond" w:hAnsi="Garamond"/>
          <w:sz w:val="24"/>
          <w:szCs w:val="24"/>
        </w:rPr>
        <w:t xml:space="preserve">given some autonomy to decide whether a reference is necessary. At the same time, this autonomy can of course be abused. Some national supreme courts consistently refuse to make preliminary references in a particular area of law. </w:t>
      </w:r>
      <w:r w:rsidR="00E74B7C">
        <w:rPr>
          <w:rFonts w:ascii="Garamond" w:hAnsi="Garamond"/>
          <w:sz w:val="24"/>
          <w:szCs w:val="24"/>
        </w:rPr>
        <w:t>For example, t</w:t>
      </w:r>
      <w:r w:rsidR="00C00F6B">
        <w:rPr>
          <w:rFonts w:ascii="Garamond" w:hAnsi="Garamond"/>
          <w:sz w:val="24"/>
          <w:szCs w:val="24"/>
        </w:rPr>
        <w:t xml:space="preserve">he European Commission has written to </w:t>
      </w:r>
      <w:proofErr w:type="gramStart"/>
      <w:r w:rsidR="00C00F6B">
        <w:rPr>
          <w:rFonts w:ascii="Garamond" w:hAnsi="Garamond"/>
          <w:sz w:val="24"/>
          <w:szCs w:val="24"/>
        </w:rPr>
        <w:t>a number of</w:t>
      </w:r>
      <w:proofErr w:type="gramEnd"/>
      <w:r w:rsidR="00C00F6B">
        <w:rPr>
          <w:rFonts w:ascii="Garamond" w:hAnsi="Garamond"/>
          <w:sz w:val="24"/>
          <w:szCs w:val="24"/>
        </w:rPr>
        <w:t xml:space="preserve"> Member States to say that it is considering starting an infringement procedure against them because their supreme courts are refusing to make preliminary references in the field of environmental protection. </w:t>
      </w:r>
    </w:p>
    <w:p w14:paraId="1E049079" w14:textId="77777777" w:rsidR="00C00F6B" w:rsidRPr="00C00F6B" w:rsidRDefault="00C00F6B" w:rsidP="00C00F6B">
      <w:pPr>
        <w:pStyle w:val="ListParagraph"/>
        <w:rPr>
          <w:rFonts w:ascii="Garamond" w:hAnsi="Garamond"/>
          <w:sz w:val="24"/>
          <w:szCs w:val="24"/>
        </w:rPr>
      </w:pPr>
    </w:p>
    <w:p w14:paraId="3027389E" w14:textId="77777777" w:rsidR="00C00F6B" w:rsidRDefault="00C00F6B" w:rsidP="005E0CCE">
      <w:pPr>
        <w:pStyle w:val="ListParagraph"/>
        <w:numPr>
          <w:ilvl w:val="0"/>
          <w:numId w:val="30"/>
        </w:numPr>
        <w:jc w:val="both"/>
        <w:rPr>
          <w:rFonts w:ascii="Garamond" w:hAnsi="Garamond"/>
          <w:sz w:val="24"/>
          <w:szCs w:val="24"/>
        </w:rPr>
      </w:pPr>
      <w:r>
        <w:rPr>
          <w:rFonts w:ascii="Garamond" w:hAnsi="Garamond"/>
          <w:sz w:val="24"/>
          <w:szCs w:val="24"/>
        </w:rPr>
        <w:lastRenderedPageBreak/>
        <w:t xml:space="preserve">Some interesting recent cases in which the Court of Justice had </w:t>
      </w:r>
      <w:r w:rsidR="006E5B76">
        <w:rPr>
          <w:rFonts w:ascii="Garamond" w:hAnsi="Garamond"/>
          <w:sz w:val="24"/>
          <w:szCs w:val="24"/>
        </w:rPr>
        <w:t xml:space="preserve">to apply the </w:t>
      </w:r>
      <w:r w:rsidR="006E5B76" w:rsidRPr="006E5B76">
        <w:rPr>
          <w:rFonts w:ascii="Garamond" w:hAnsi="Garamond"/>
          <w:i/>
          <w:sz w:val="24"/>
          <w:szCs w:val="24"/>
        </w:rPr>
        <w:t>CILFIT</w:t>
      </w:r>
      <w:r w:rsidR="006E5B76">
        <w:rPr>
          <w:rFonts w:ascii="Garamond" w:hAnsi="Garamond"/>
          <w:sz w:val="24"/>
          <w:szCs w:val="24"/>
        </w:rPr>
        <w:t xml:space="preserve"> criteria:</w:t>
      </w:r>
    </w:p>
    <w:p w14:paraId="6BB3C3E3" w14:textId="77777777" w:rsidR="006E5B76" w:rsidRPr="006E5B76" w:rsidRDefault="006E5B76" w:rsidP="006E5B76">
      <w:pPr>
        <w:pStyle w:val="ListParagraph"/>
        <w:rPr>
          <w:rFonts w:ascii="Garamond" w:hAnsi="Garamond"/>
          <w:sz w:val="24"/>
          <w:szCs w:val="24"/>
        </w:rPr>
      </w:pPr>
    </w:p>
    <w:p w14:paraId="6A6EC809" w14:textId="77777777" w:rsidR="006E5B76" w:rsidRDefault="006E5B76" w:rsidP="006E5B76">
      <w:pPr>
        <w:pStyle w:val="ListParagraph"/>
        <w:numPr>
          <w:ilvl w:val="0"/>
          <w:numId w:val="7"/>
        </w:numPr>
        <w:jc w:val="both"/>
        <w:rPr>
          <w:rFonts w:ascii="Garamond" w:hAnsi="Garamond"/>
          <w:sz w:val="24"/>
          <w:szCs w:val="24"/>
        </w:rPr>
      </w:pPr>
      <w:r w:rsidRPr="006E5B76">
        <w:rPr>
          <w:rFonts w:ascii="Garamond" w:hAnsi="Garamond"/>
          <w:i/>
          <w:sz w:val="24"/>
          <w:szCs w:val="24"/>
        </w:rPr>
        <w:t>X and Van Dijk</w:t>
      </w:r>
      <w:r>
        <w:rPr>
          <w:rFonts w:ascii="Garamond" w:hAnsi="Garamond"/>
          <w:sz w:val="24"/>
          <w:szCs w:val="24"/>
        </w:rPr>
        <w:t xml:space="preserve"> (Case C-72/14): does the fact that a lower national court has made a preliminary reference on a particular question of EU law mean that the national court of last instance can no longer say that this question is </w:t>
      </w:r>
      <w:proofErr w:type="spellStart"/>
      <w:r w:rsidRPr="006E5B76">
        <w:rPr>
          <w:rFonts w:ascii="Garamond" w:hAnsi="Garamond"/>
          <w:i/>
          <w:sz w:val="24"/>
          <w:szCs w:val="24"/>
        </w:rPr>
        <w:t>acte</w:t>
      </w:r>
      <w:proofErr w:type="spellEnd"/>
      <w:r w:rsidRPr="006E5B76">
        <w:rPr>
          <w:rFonts w:ascii="Garamond" w:hAnsi="Garamond"/>
          <w:i/>
          <w:sz w:val="24"/>
          <w:szCs w:val="24"/>
        </w:rPr>
        <w:t xml:space="preserve"> </w:t>
      </w:r>
      <w:proofErr w:type="spellStart"/>
      <w:r w:rsidRPr="006E5B76">
        <w:rPr>
          <w:rFonts w:ascii="Garamond" w:hAnsi="Garamond"/>
          <w:i/>
          <w:sz w:val="24"/>
          <w:szCs w:val="24"/>
        </w:rPr>
        <w:t>clair</w:t>
      </w:r>
      <w:proofErr w:type="spellEnd"/>
      <w:r>
        <w:rPr>
          <w:rFonts w:ascii="Garamond" w:hAnsi="Garamond"/>
          <w:sz w:val="24"/>
          <w:szCs w:val="24"/>
        </w:rPr>
        <w:t>?</w:t>
      </w:r>
    </w:p>
    <w:p w14:paraId="36FCE2C1" w14:textId="77777777" w:rsidR="006E5B76" w:rsidRPr="006E5B76" w:rsidRDefault="006E5B76" w:rsidP="006E5B76">
      <w:pPr>
        <w:pStyle w:val="ListParagraph"/>
        <w:ind w:left="1440"/>
        <w:jc w:val="both"/>
        <w:rPr>
          <w:rFonts w:ascii="Garamond" w:hAnsi="Garamond"/>
          <w:sz w:val="24"/>
          <w:szCs w:val="24"/>
        </w:rPr>
      </w:pPr>
    </w:p>
    <w:p w14:paraId="1E93C5A8" w14:textId="77777777" w:rsidR="006E5B76" w:rsidRDefault="006E5B76" w:rsidP="006E5B76">
      <w:pPr>
        <w:pStyle w:val="ListParagraph"/>
        <w:numPr>
          <w:ilvl w:val="0"/>
          <w:numId w:val="7"/>
        </w:numPr>
        <w:jc w:val="both"/>
        <w:rPr>
          <w:rFonts w:ascii="Garamond" w:hAnsi="Garamond"/>
          <w:sz w:val="24"/>
          <w:szCs w:val="24"/>
        </w:rPr>
      </w:pPr>
      <w:r>
        <w:rPr>
          <w:rFonts w:ascii="Garamond" w:hAnsi="Garamond"/>
          <w:i/>
          <w:sz w:val="24"/>
          <w:szCs w:val="24"/>
        </w:rPr>
        <w:t xml:space="preserve">Ferreira da Silva </w:t>
      </w:r>
      <w:r>
        <w:rPr>
          <w:rFonts w:ascii="Garamond" w:hAnsi="Garamond"/>
          <w:sz w:val="24"/>
          <w:szCs w:val="24"/>
        </w:rPr>
        <w:t xml:space="preserve">(Case C-160/14): the Portuguese Supreme Court had consistently held that a particular </w:t>
      </w:r>
      <w:r w:rsidR="00E74B7C">
        <w:rPr>
          <w:rFonts w:ascii="Garamond" w:hAnsi="Garamond"/>
          <w:sz w:val="24"/>
          <w:szCs w:val="24"/>
        </w:rPr>
        <w:t>question</w:t>
      </w:r>
      <w:r>
        <w:rPr>
          <w:rFonts w:ascii="Garamond" w:hAnsi="Garamond"/>
          <w:sz w:val="24"/>
          <w:szCs w:val="24"/>
        </w:rPr>
        <w:t xml:space="preserve"> of company law was </w:t>
      </w:r>
      <w:proofErr w:type="spellStart"/>
      <w:r w:rsidRPr="006E5B76">
        <w:rPr>
          <w:rFonts w:ascii="Garamond" w:hAnsi="Garamond"/>
          <w:i/>
          <w:sz w:val="24"/>
          <w:szCs w:val="24"/>
        </w:rPr>
        <w:t>acte</w:t>
      </w:r>
      <w:proofErr w:type="spellEnd"/>
      <w:r w:rsidRPr="006E5B76">
        <w:rPr>
          <w:rFonts w:ascii="Garamond" w:hAnsi="Garamond"/>
          <w:i/>
          <w:sz w:val="24"/>
          <w:szCs w:val="24"/>
        </w:rPr>
        <w:t xml:space="preserve"> </w:t>
      </w:r>
      <w:proofErr w:type="spellStart"/>
      <w:r w:rsidRPr="006E5B76">
        <w:rPr>
          <w:rFonts w:ascii="Garamond" w:hAnsi="Garamond"/>
          <w:i/>
          <w:sz w:val="24"/>
          <w:szCs w:val="24"/>
        </w:rPr>
        <w:t>clair</w:t>
      </w:r>
      <w:proofErr w:type="spellEnd"/>
      <w:r>
        <w:rPr>
          <w:rFonts w:ascii="Garamond" w:hAnsi="Garamond"/>
          <w:sz w:val="24"/>
          <w:szCs w:val="24"/>
        </w:rPr>
        <w:t xml:space="preserve"> </w:t>
      </w:r>
      <w:proofErr w:type="gramStart"/>
      <w:r>
        <w:rPr>
          <w:rFonts w:ascii="Garamond" w:hAnsi="Garamond"/>
          <w:sz w:val="24"/>
          <w:szCs w:val="24"/>
        </w:rPr>
        <w:t>despite the fact that</w:t>
      </w:r>
      <w:proofErr w:type="gramEnd"/>
      <w:r>
        <w:rPr>
          <w:rFonts w:ascii="Garamond" w:hAnsi="Garamond"/>
          <w:sz w:val="24"/>
          <w:szCs w:val="24"/>
        </w:rPr>
        <w:t xml:space="preserve"> </w:t>
      </w:r>
      <w:r w:rsidR="00D008BA">
        <w:rPr>
          <w:rFonts w:ascii="Garamond" w:hAnsi="Garamond"/>
          <w:sz w:val="24"/>
          <w:szCs w:val="24"/>
        </w:rPr>
        <w:t xml:space="preserve">different interpretations had been given by various national courts across the EU. The Portuguese Supreme Court in fact got it wrong and misinterpreted EU law. The Court of Justice held that this had been a breach of the </w:t>
      </w:r>
      <w:r w:rsidR="00D008BA" w:rsidRPr="00D008BA">
        <w:rPr>
          <w:rFonts w:ascii="Garamond" w:hAnsi="Garamond"/>
          <w:i/>
          <w:sz w:val="24"/>
          <w:szCs w:val="24"/>
        </w:rPr>
        <w:t>CILFIT</w:t>
      </w:r>
      <w:r w:rsidR="00D008BA">
        <w:rPr>
          <w:rFonts w:ascii="Garamond" w:hAnsi="Garamond"/>
          <w:sz w:val="24"/>
          <w:szCs w:val="24"/>
        </w:rPr>
        <w:t xml:space="preserve"> doctrine. </w:t>
      </w:r>
    </w:p>
    <w:p w14:paraId="261272B5" w14:textId="77777777" w:rsidR="00EA048C" w:rsidRPr="00EA048C" w:rsidRDefault="00EA048C" w:rsidP="00EA048C">
      <w:pPr>
        <w:pStyle w:val="ListParagraph"/>
        <w:rPr>
          <w:rFonts w:ascii="Garamond" w:hAnsi="Garamond"/>
          <w:sz w:val="24"/>
          <w:szCs w:val="24"/>
        </w:rPr>
      </w:pPr>
    </w:p>
    <w:p w14:paraId="2CC757D5" w14:textId="3326B646" w:rsidR="00EA048C" w:rsidRDefault="00EA048C" w:rsidP="00EA048C">
      <w:pPr>
        <w:pStyle w:val="ListParagraph"/>
        <w:numPr>
          <w:ilvl w:val="0"/>
          <w:numId w:val="7"/>
        </w:numPr>
        <w:jc w:val="both"/>
        <w:rPr>
          <w:rFonts w:ascii="Garamond" w:hAnsi="Garamond"/>
          <w:sz w:val="24"/>
          <w:szCs w:val="24"/>
        </w:rPr>
      </w:pPr>
      <w:r w:rsidRPr="00AD1897">
        <w:rPr>
          <w:rFonts w:ascii="Garamond" w:hAnsi="Garamond"/>
          <w:i/>
          <w:sz w:val="24"/>
          <w:szCs w:val="24"/>
        </w:rPr>
        <w:t>Commission v France</w:t>
      </w:r>
      <w:r>
        <w:rPr>
          <w:rFonts w:ascii="Garamond" w:hAnsi="Garamond"/>
          <w:sz w:val="24"/>
          <w:szCs w:val="24"/>
        </w:rPr>
        <w:t xml:space="preserve"> (Case C-416/17): this was the first infringement procedure where the Court of Justice held that a Member State had breached EU law because its court of last instance (in this case, the French Conseil </w:t>
      </w:r>
      <w:proofErr w:type="spellStart"/>
      <w:r>
        <w:rPr>
          <w:rFonts w:ascii="Garamond" w:hAnsi="Garamond"/>
          <w:sz w:val="24"/>
          <w:szCs w:val="24"/>
        </w:rPr>
        <w:t>d’</w:t>
      </w:r>
      <w:r w:rsidR="008F11EB">
        <w:rPr>
          <w:rFonts w:ascii="Garamond" w:hAnsi="Garamond"/>
          <w:sz w:val="24"/>
          <w:szCs w:val="24"/>
        </w:rPr>
        <w:t>État</w:t>
      </w:r>
      <w:proofErr w:type="spellEnd"/>
      <w:r w:rsidR="008F11EB">
        <w:rPr>
          <w:rFonts w:ascii="Garamond" w:hAnsi="Garamond"/>
          <w:sz w:val="24"/>
          <w:szCs w:val="24"/>
        </w:rPr>
        <w:t xml:space="preserve">) had not made a preliminary reference in breach of the </w:t>
      </w:r>
      <w:r w:rsidR="008F11EB" w:rsidRPr="008F11EB">
        <w:rPr>
          <w:rFonts w:ascii="Garamond" w:hAnsi="Garamond"/>
          <w:i/>
          <w:sz w:val="24"/>
          <w:szCs w:val="24"/>
        </w:rPr>
        <w:t>CILFIT</w:t>
      </w:r>
      <w:r w:rsidR="008F11EB">
        <w:rPr>
          <w:rFonts w:ascii="Garamond" w:hAnsi="Garamond"/>
          <w:sz w:val="24"/>
          <w:szCs w:val="24"/>
        </w:rPr>
        <w:t xml:space="preserve"> doctrine</w:t>
      </w:r>
    </w:p>
    <w:p w14:paraId="6D8CF449" w14:textId="77777777" w:rsidR="005C668E" w:rsidRPr="005C668E" w:rsidRDefault="005C668E" w:rsidP="005C668E">
      <w:pPr>
        <w:pStyle w:val="ListParagraph"/>
        <w:rPr>
          <w:rFonts w:ascii="Garamond" w:hAnsi="Garamond"/>
          <w:sz w:val="24"/>
          <w:szCs w:val="24"/>
        </w:rPr>
      </w:pPr>
    </w:p>
    <w:p w14:paraId="6F2B5C9D" w14:textId="2261F899" w:rsidR="005C668E" w:rsidRPr="00EA048C" w:rsidRDefault="005C668E" w:rsidP="00EA048C">
      <w:pPr>
        <w:pStyle w:val="ListParagraph"/>
        <w:numPr>
          <w:ilvl w:val="0"/>
          <w:numId w:val="7"/>
        </w:numPr>
        <w:jc w:val="both"/>
        <w:rPr>
          <w:rFonts w:ascii="Garamond" w:hAnsi="Garamond"/>
          <w:sz w:val="24"/>
          <w:szCs w:val="24"/>
        </w:rPr>
      </w:pPr>
      <w:proofErr w:type="spellStart"/>
      <w:r>
        <w:rPr>
          <w:rFonts w:ascii="Garamond" w:hAnsi="Garamond"/>
          <w:i/>
          <w:iCs/>
          <w:sz w:val="24"/>
          <w:szCs w:val="24"/>
        </w:rPr>
        <w:t>Consorzio</w:t>
      </w:r>
      <w:proofErr w:type="spellEnd"/>
      <w:r>
        <w:rPr>
          <w:rFonts w:ascii="Garamond" w:hAnsi="Garamond"/>
          <w:i/>
          <w:iCs/>
          <w:sz w:val="24"/>
          <w:szCs w:val="24"/>
        </w:rPr>
        <w:t xml:space="preserve"> Italian Management </w:t>
      </w:r>
      <w:r>
        <w:rPr>
          <w:rFonts w:ascii="Garamond" w:hAnsi="Garamond"/>
          <w:sz w:val="24"/>
          <w:szCs w:val="24"/>
        </w:rPr>
        <w:t>(Case C-561/19): in this</w:t>
      </w:r>
      <w:r w:rsidR="00097C43">
        <w:rPr>
          <w:rFonts w:ascii="Garamond" w:hAnsi="Garamond"/>
          <w:sz w:val="24"/>
          <w:szCs w:val="24"/>
        </w:rPr>
        <w:t xml:space="preserve"> recent</w:t>
      </w:r>
      <w:r>
        <w:rPr>
          <w:rFonts w:ascii="Garamond" w:hAnsi="Garamond"/>
          <w:sz w:val="24"/>
          <w:szCs w:val="24"/>
        </w:rPr>
        <w:t xml:space="preserve"> case, Advocate General Bobek had proposed a more </w:t>
      </w:r>
      <w:r w:rsidRPr="00E11787">
        <w:rPr>
          <w:rFonts w:ascii="Garamond" w:hAnsi="Garamond"/>
          <w:i/>
          <w:iCs/>
          <w:sz w:val="24"/>
          <w:szCs w:val="24"/>
        </w:rPr>
        <w:t>objective</w:t>
      </w:r>
      <w:r>
        <w:rPr>
          <w:rFonts w:ascii="Garamond" w:hAnsi="Garamond"/>
          <w:sz w:val="24"/>
          <w:szCs w:val="24"/>
        </w:rPr>
        <w:t xml:space="preserve"> and </w:t>
      </w:r>
      <w:r w:rsidRPr="00E11787">
        <w:rPr>
          <w:rFonts w:ascii="Garamond" w:hAnsi="Garamond"/>
          <w:i/>
          <w:iCs/>
          <w:sz w:val="24"/>
          <w:szCs w:val="24"/>
        </w:rPr>
        <w:t>systemic</w:t>
      </w:r>
      <w:r>
        <w:rPr>
          <w:rFonts w:ascii="Garamond" w:hAnsi="Garamond"/>
          <w:sz w:val="24"/>
          <w:szCs w:val="24"/>
        </w:rPr>
        <w:t xml:space="preserve"> approach to the </w:t>
      </w:r>
      <w:r w:rsidRPr="005C668E">
        <w:rPr>
          <w:rFonts w:ascii="Garamond" w:hAnsi="Garamond"/>
          <w:i/>
          <w:iCs/>
          <w:sz w:val="24"/>
          <w:szCs w:val="24"/>
        </w:rPr>
        <w:t>CILFIT</w:t>
      </w:r>
      <w:r>
        <w:rPr>
          <w:rFonts w:ascii="Garamond" w:hAnsi="Garamond"/>
          <w:sz w:val="24"/>
          <w:szCs w:val="24"/>
        </w:rPr>
        <w:t xml:space="preserve"> conditions. Although the Court rejected </w:t>
      </w:r>
      <w:r w:rsidR="00BF7982">
        <w:rPr>
          <w:rFonts w:ascii="Garamond" w:hAnsi="Garamond"/>
          <w:sz w:val="24"/>
          <w:szCs w:val="24"/>
        </w:rPr>
        <w:t xml:space="preserve">his proposals and confirmed the subjective approach to the existence of reasonable doubt about the interpretation of EU law, it emphasised that national courts of last instance are under an obligation to explain why a particular case falls under one of the </w:t>
      </w:r>
      <w:r w:rsidR="00BF7982" w:rsidRPr="00BF7982">
        <w:rPr>
          <w:rFonts w:ascii="Garamond" w:hAnsi="Garamond"/>
          <w:i/>
          <w:iCs/>
          <w:sz w:val="24"/>
          <w:szCs w:val="24"/>
        </w:rPr>
        <w:t>CILFIT</w:t>
      </w:r>
      <w:r w:rsidR="00BF7982">
        <w:rPr>
          <w:rFonts w:ascii="Garamond" w:hAnsi="Garamond"/>
          <w:sz w:val="24"/>
          <w:szCs w:val="24"/>
        </w:rPr>
        <w:t xml:space="preserve"> exceptions.</w:t>
      </w:r>
    </w:p>
    <w:p w14:paraId="76814431" w14:textId="77777777" w:rsidR="00D008BA" w:rsidRPr="00D008BA" w:rsidRDefault="00D008BA" w:rsidP="00D008BA">
      <w:pPr>
        <w:pStyle w:val="ListParagraph"/>
        <w:rPr>
          <w:rFonts w:ascii="Garamond" w:hAnsi="Garamond"/>
          <w:sz w:val="24"/>
          <w:szCs w:val="24"/>
        </w:rPr>
      </w:pPr>
    </w:p>
    <w:p w14:paraId="58220662" w14:textId="3B959F00" w:rsidR="00D008BA" w:rsidRDefault="00D008BA" w:rsidP="005E0CCE">
      <w:pPr>
        <w:pStyle w:val="ListParagraph"/>
        <w:numPr>
          <w:ilvl w:val="0"/>
          <w:numId w:val="30"/>
        </w:numPr>
        <w:jc w:val="both"/>
        <w:rPr>
          <w:rFonts w:ascii="Garamond" w:hAnsi="Garamond"/>
          <w:sz w:val="24"/>
          <w:szCs w:val="24"/>
        </w:rPr>
      </w:pPr>
      <w:r>
        <w:rPr>
          <w:rFonts w:ascii="Garamond" w:hAnsi="Garamond"/>
          <w:sz w:val="24"/>
          <w:szCs w:val="24"/>
        </w:rPr>
        <w:t xml:space="preserve">The ultimate result of a finding if a breach of the </w:t>
      </w:r>
      <w:r w:rsidRPr="00D008BA">
        <w:rPr>
          <w:rFonts w:ascii="Garamond" w:hAnsi="Garamond"/>
          <w:i/>
          <w:sz w:val="24"/>
          <w:szCs w:val="24"/>
        </w:rPr>
        <w:t>CILFIT</w:t>
      </w:r>
      <w:r>
        <w:rPr>
          <w:rFonts w:ascii="Garamond" w:hAnsi="Garamond"/>
          <w:sz w:val="24"/>
          <w:szCs w:val="24"/>
        </w:rPr>
        <w:t xml:space="preserve"> doctrine could be that individuals who have suffered damages can claim damages from the State under the </w:t>
      </w:r>
      <w:r w:rsidRPr="00D008BA">
        <w:rPr>
          <w:rFonts w:ascii="Garamond" w:hAnsi="Garamond"/>
          <w:i/>
          <w:sz w:val="24"/>
          <w:szCs w:val="24"/>
        </w:rPr>
        <w:t>Francovich</w:t>
      </w:r>
      <w:r>
        <w:rPr>
          <w:rFonts w:ascii="Garamond" w:hAnsi="Garamond"/>
          <w:sz w:val="24"/>
          <w:szCs w:val="24"/>
        </w:rPr>
        <w:t xml:space="preserve"> conditions for State liability. You will recall that, after </w:t>
      </w:r>
      <w:proofErr w:type="spellStart"/>
      <w:r w:rsidRPr="00D008BA">
        <w:rPr>
          <w:rFonts w:ascii="Garamond" w:hAnsi="Garamond"/>
          <w:i/>
          <w:sz w:val="24"/>
          <w:szCs w:val="24"/>
        </w:rPr>
        <w:t>Köbler</w:t>
      </w:r>
      <w:proofErr w:type="spellEnd"/>
      <w:r>
        <w:rPr>
          <w:rFonts w:ascii="Garamond" w:hAnsi="Garamond"/>
          <w:sz w:val="24"/>
          <w:szCs w:val="24"/>
        </w:rPr>
        <w:t xml:space="preserve">, the State can be held liable for breaches of EU law committed by the judiciary. </w:t>
      </w:r>
    </w:p>
    <w:p w14:paraId="2C5BBDBC" w14:textId="77777777" w:rsidR="001B0088" w:rsidRDefault="001B0088" w:rsidP="001B0088">
      <w:pPr>
        <w:pStyle w:val="ListParagraph"/>
        <w:jc w:val="both"/>
        <w:rPr>
          <w:rFonts w:ascii="Garamond" w:hAnsi="Garamond"/>
          <w:b/>
          <w:sz w:val="24"/>
          <w:szCs w:val="24"/>
        </w:rPr>
      </w:pPr>
    </w:p>
    <w:p w14:paraId="568AB0DC" w14:textId="77777777" w:rsidR="00985BD3" w:rsidRDefault="001B0088" w:rsidP="005E0CCE">
      <w:pPr>
        <w:pStyle w:val="ListParagraph"/>
        <w:numPr>
          <w:ilvl w:val="0"/>
          <w:numId w:val="26"/>
        </w:numPr>
        <w:jc w:val="both"/>
        <w:rPr>
          <w:rFonts w:ascii="Garamond" w:hAnsi="Garamond"/>
          <w:b/>
          <w:sz w:val="24"/>
          <w:szCs w:val="24"/>
        </w:rPr>
      </w:pPr>
      <w:r>
        <w:rPr>
          <w:rFonts w:ascii="Garamond" w:hAnsi="Garamond"/>
          <w:b/>
          <w:sz w:val="24"/>
          <w:szCs w:val="24"/>
        </w:rPr>
        <w:t>Questions concerning the validity of EU law</w:t>
      </w:r>
    </w:p>
    <w:p w14:paraId="21AFC06A" w14:textId="77777777" w:rsidR="00256DE5" w:rsidRDefault="00256DE5" w:rsidP="00256DE5">
      <w:pPr>
        <w:pStyle w:val="ListParagraph"/>
        <w:jc w:val="both"/>
        <w:rPr>
          <w:rFonts w:ascii="Garamond" w:hAnsi="Garamond"/>
          <w:b/>
          <w:sz w:val="24"/>
          <w:szCs w:val="24"/>
        </w:rPr>
      </w:pPr>
    </w:p>
    <w:p w14:paraId="6E7569D6" w14:textId="534B3B3D" w:rsidR="00E86318" w:rsidRDefault="00256DE5" w:rsidP="005E0CCE">
      <w:pPr>
        <w:pStyle w:val="ListParagraph"/>
        <w:numPr>
          <w:ilvl w:val="0"/>
          <w:numId w:val="31"/>
        </w:numPr>
        <w:jc w:val="both"/>
        <w:rPr>
          <w:rFonts w:ascii="Garamond" w:hAnsi="Garamond"/>
          <w:sz w:val="24"/>
          <w:szCs w:val="24"/>
        </w:rPr>
      </w:pPr>
      <w:r>
        <w:rPr>
          <w:rFonts w:ascii="Garamond" w:hAnsi="Garamond"/>
          <w:sz w:val="24"/>
          <w:szCs w:val="24"/>
        </w:rPr>
        <w:t xml:space="preserve">The discussion above has focussed exclusively on questions about the interpretation of EU law. The situation is different for questions about the validity of EU law. </w:t>
      </w:r>
      <w:r w:rsidR="00575560">
        <w:rPr>
          <w:rFonts w:ascii="Garamond" w:hAnsi="Garamond"/>
          <w:sz w:val="24"/>
          <w:szCs w:val="24"/>
        </w:rPr>
        <w:t>N</w:t>
      </w:r>
      <w:r w:rsidR="00E86318">
        <w:rPr>
          <w:rFonts w:ascii="Garamond" w:hAnsi="Garamond"/>
          <w:sz w:val="24"/>
          <w:szCs w:val="24"/>
        </w:rPr>
        <w:t xml:space="preserve">ational courts cannot declare EU law invalid. For that reason, if one of the parties argues that a provision of EU law is invalid, the national court </w:t>
      </w:r>
      <w:r w:rsidR="0074119D">
        <w:rPr>
          <w:rFonts w:ascii="Garamond" w:hAnsi="Garamond"/>
          <w:i/>
          <w:iCs/>
          <w:sz w:val="24"/>
          <w:szCs w:val="24"/>
        </w:rPr>
        <w:t>must</w:t>
      </w:r>
      <w:r w:rsidR="00E86318">
        <w:rPr>
          <w:rFonts w:ascii="Garamond" w:hAnsi="Garamond"/>
          <w:sz w:val="24"/>
          <w:szCs w:val="24"/>
        </w:rPr>
        <w:t xml:space="preserve"> make a preliminary reference. This is clear from </w:t>
      </w:r>
      <w:r w:rsidR="00E86318" w:rsidRPr="00E86318">
        <w:rPr>
          <w:rFonts w:ascii="Garamond" w:hAnsi="Garamond"/>
          <w:i/>
          <w:sz w:val="24"/>
          <w:szCs w:val="24"/>
        </w:rPr>
        <w:t>Foto-Frost</w:t>
      </w:r>
      <w:r w:rsidR="00E86318">
        <w:rPr>
          <w:rFonts w:ascii="Garamond" w:hAnsi="Garamond"/>
          <w:sz w:val="24"/>
          <w:szCs w:val="24"/>
        </w:rPr>
        <w:t xml:space="preserve"> (Case C-314/85):</w:t>
      </w:r>
    </w:p>
    <w:p w14:paraId="296A33F3" w14:textId="77777777" w:rsidR="00E86318" w:rsidRDefault="00E86318" w:rsidP="00E86318">
      <w:pPr>
        <w:pStyle w:val="ListParagraph"/>
        <w:ind w:left="1080"/>
        <w:jc w:val="both"/>
        <w:rPr>
          <w:rFonts w:ascii="Garamond" w:hAnsi="Garamond"/>
          <w:sz w:val="24"/>
          <w:szCs w:val="24"/>
        </w:rPr>
      </w:pPr>
    </w:p>
    <w:p w14:paraId="6A57B8D5" w14:textId="77777777" w:rsidR="00E86318" w:rsidRPr="00E86318" w:rsidRDefault="00E86318" w:rsidP="00E86318">
      <w:pPr>
        <w:pStyle w:val="ListParagraph"/>
        <w:ind w:left="1080"/>
        <w:jc w:val="both"/>
        <w:rPr>
          <w:rFonts w:ascii="Garamond" w:hAnsi="Garamond"/>
          <w:i/>
          <w:sz w:val="24"/>
          <w:szCs w:val="24"/>
        </w:rPr>
      </w:pPr>
      <w:r w:rsidRPr="00E86318">
        <w:rPr>
          <w:rFonts w:ascii="Garamond" w:hAnsi="Garamond"/>
          <w:i/>
          <w:sz w:val="24"/>
          <w:szCs w:val="24"/>
        </w:rPr>
        <w:t xml:space="preserve">On the other hand, those courts do not have the power to declare acts of the Community institutions invalid. As the Court emphasized in the judgment of 13 May 1981 in Case 66/80 International Chemical Corporation v </w:t>
      </w:r>
      <w:proofErr w:type="spellStart"/>
      <w:r w:rsidRPr="00E86318">
        <w:rPr>
          <w:rFonts w:ascii="Garamond" w:hAnsi="Garamond"/>
          <w:i/>
          <w:sz w:val="24"/>
          <w:szCs w:val="24"/>
        </w:rPr>
        <w:t>Amministrazione</w:t>
      </w:r>
      <w:proofErr w:type="spellEnd"/>
      <w:r w:rsidRPr="00E86318">
        <w:rPr>
          <w:rFonts w:ascii="Garamond" w:hAnsi="Garamond"/>
          <w:i/>
          <w:sz w:val="24"/>
          <w:szCs w:val="24"/>
        </w:rPr>
        <w:t xml:space="preserve"> </w:t>
      </w:r>
      <w:proofErr w:type="spellStart"/>
      <w:r w:rsidRPr="00E86318">
        <w:rPr>
          <w:rFonts w:ascii="Garamond" w:hAnsi="Garamond"/>
          <w:i/>
          <w:sz w:val="24"/>
          <w:szCs w:val="24"/>
        </w:rPr>
        <w:t>delle</w:t>
      </w:r>
      <w:proofErr w:type="spellEnd"/>
      <w:r w:rsidRPr="00E86318">
        <w:rPr>
          <w:rFonts w:ascii="Garamond" w:hAnsi="Garamond"/>
          <w:i/>
          <w:sz w:val="24"/>
          <w:szCs w:val="24"/>
        </w:rPr>
        <w:t xml:space="preserve"> </w:t>
      </w:r>
      <w:proofErr w:type="spellStart"/>
      <w:r w:rsidRPr="00E86318">
        <w:rPr>
          <w:rFonts w:ascii="Garamond" w:hAnsi="Garamond"/>
          <w:i/>
          <w:sz w:val="24"/>
          <w:szCs w:val="24"/>
        </w:rPr>
        <w:t>Finanze</w:t>
      </w:r>
      <w:proofErr w:type="spellEnd"/>
      <w:r w:rsidRPr="00E86318">
        <w:rPr>
          <w:rFonts w:ascii="Garamond" w:hAnsi="Garamond"/>
          <w:i/>
          <w:sz w:val="24"/>
          <w:szCs w:val="24"/>
        </w:rPr>
        <w:t xml:space="preserve"> [1981] ECR 1191, the main purpose of the powers accorded to the Court by Article 177 is to ensure that Community law is applied uniformly by national courts. That requirement of uniformity is particularly imperative when the validity of a </w:t>
      </w:r>
      <w:proofErr w:type="gramStart"/>
      <w:r w:rsidRPr="00E86318">
        <w:rPr>
          <w:rFonts w:ascii="Garamond" w:hAnsi="Garamond"/>
          <w:i/>
          <w:sz w:val="24"/>
          <w:szCs w:val="24"/>
        </w:rPr>
        <w:t>Community</w:t>
      </w:r>
      <w:proofErr w:type="gramEnd"/>
      <w:r w:rsidRPr="00E86318">
        <w:rPr>
          <w:rFonts w:ascii="Garamond" w:hAnsi="Garamond"/>
          <w:i/>
          <w:sz w:val="24"/>
          <w:szCs w:val="24"/>
        </w:rPr>
        <w:t xml:space="preserve"> act is in question. Divergences between courts in the Member States as to the validity of Community acts would be liable to place in jeopardy the very unity of the Community legal order and detract from the fundamental requirement of legal certainty. </w:t>
      </w:r>
    </w:p>
    <w:p w14:paraId="425AAF20" w14:textId="77777777" w:rsidR="00E86318" w:rsidRPr="00E86318" w:rsidRDefault="00E86318" w:rsidP="00E86318">
      <w:pPr>
        <w:pStyle w:val="ListParagraph"/>
        <w:ind w:left="1080"/>
        <w:jc w:val="both"/>
        <w:rPr>
          <w:rFonts w:ascii="Garamond" w:hAnsi="Garamond"/>
          <w:i/>
          <w:sz w:val="24"/>
          <w:szCs w:val="24"/>
        </w:rPr>
      </w:pPr>
    </w:p>
    <w:p w14:paraId="2BFD401C" w14:textId="46CDAB59" w:rsidR="00E86318" w:rsidRPr="00E86318" w:rsidRDefault="00E86318" w:rsidP="00E86318">
      <w:pPr>
        <w:pStyle w:val="ListParagraph"/>
        <w:ind w:left="1080"/>
        <w:jc w:val="both"/>
        <w:rPr>
          <w:rFonts w:ascii="Garamond" w:hAnsi="Garamond"/>
          <w:i/>
          <w:sz w:val="24"/>
          <w:szCs w:val="24"/>
        </w:rPr>
      </w:pPr>
      <w:r w:rsidRPr="00E86318">
        <w:rPr>
          <w:rFonts w:ascii="Garamond" w:hAnsi="Garamond"/>
          <w:i/>
          <w:sz w:val="24"/>
          <w:szCs w:val="24"/>
        </w:rPr>
        <w:t xml:space="preserve">The same conclusion is dictated by consideration of the necessary coherence of the system of judicial protection established by the Treaty. In that regard it must be observed that requests for preliminary rulings, like actions for annulment, constitute means for reviewing the legality of acts of the Community institutions. As the Court pointed out in its judgment of 23 April 1986 in Case 294/83 Parti </w:t>
      </w:r>
      <w:proofErr w:type="spellStart"/>
      <w:r w:rsidRPr="00E86318">
        <w:rPr>
          <w:rFonts w:ascii="Garamond" w:hAnsi="Garamond"/>
          <w:i/>
          <w:sz w:val="24"/>
          <w:szCs w:val="24"/>
        </w:rPr>
        <w:t>écologiste</w:t>
      </w:r>
      <w:proofErr w:type="spellEnd"/>
      <w:r w:rsidRPr="00E86318">
        <w:rPr>
          <w:rFonts w:ascii="Garamond" w:hAnsi="Garamond"/>
          <w:i/>
          <w:sz w:val="24"/>
          <w:szCs w:val="24"/>
        </w:rPr>
        <w:t xml:space="preserve"> 'les Verts'</w:t>
      </w:r>
      <w:r w:rsidR="008270C9">
        <w:rPr>
          <w:rFonts w:ascii="Garamond" w:hAnsi="Garamond"/>
          <w:i/>
          <w:sz w:val="24"/>
          <w:szCs w:val="24"/>
        </w:rPr>
        <w:t xml:space="preserve"> </w:t>
      </w:r>
      <w:r w:rsidRPr="00E86318">
        <w:rPr>
          <w:rFonts w:ascii="Garamond" w:hAnsi="Garamond"/>
          <w:i/>
          <w:sz w:val="24"/>
          <w:szCs w:val="24"/>
        </w:rPr>
        <w:t xml:space="preserve">v European Parliament [1986] ECR 1339), in Articles 173 and 184, on the one hand, and in Article 177, on the other, the Treaty established a complete system of legal remedies and procedures designed to permit the Court of Justice to review the legality of measures adopted by the institutions'. </w:t>
      </w:r>
    </w:p>
    <w:p w14:paraId="2D9131B6" w14:textId="77777777" w:rsidR="00E86318" w:rsidRPr="00E86318" w:rsidRDefault="00E86318" w:rsidP="00E86318">
      <w:pPr>
        <w:pStyle w:val="ListParagraph"/>
        <w:ind w:left="1080"/>
        <w:jc w:val="both"/>
        <w:rPr>
          <w:rFonts w:ascii="Garamond" w:hAnsi="Garamond"/>
          <w:i/>
          <w:sz w:val="24"/>
          <w:szCs w:val="24"/>
        </w:rPr>
      </w:pPr>
    </w:p>
    <w:p w14:paraId="362CEE28" w14:textId="77777777" w:rsidR="00E86318" w:rsidRPr="00E86318" w:rsidRDefault="00E86318" w:rsidP="00E86318">
      <w:pPr>
        <w:pStyle w:val="ListParagraph"/>
        <w:ind w:left="1080"/>
        <w:jc w:val="both"/>
        <w:rPr>
          <w:rFonts w:ascii="Garamond" w:hAnsi="Garamond"/>
          <w:i/>
          <w:sz w:val="24"/>
          <w:szCs w:val="24"/>
        </w:rPr>
      </w:pPr>
      <w:r w:rsidRPr="00E86318">
        <w:rPr>
          <w:rFonts w:ascii="Garamond" w:hAnsi="Garamond"/>
          <w:i/>
          <w:sz w:val="24"/>
          <w:szCs w:val="24"/>
        </w:rPr>
        <w:t xml:space="preserve">Since Article 173 gives the Court exclusive jurisdiction to declare void an act of a </w:t>
      </w:r>
      <w:proofErr w:type="gramStart"/>
      <w:r w:rsidRPr="00E86318">
        <w:rPr>
          <w:rFonts w:ascii="Garamond" w:hAnsi="Garamond"/>
          <w:i/>
          <w:sz w:val="24"/>
          <w:szCs w:val="24"/>
        </w:rPr>
        <w:t>Community</w:t>
      </w:r>
      <w:proofErr w:type="gramEnd"/>
      <w:r w:rsidRPr="00E86318">
        <w:rPr>
          <w:rFonts w:ascii="Garamond" w:hAnsi="Garamond"/>
          <w:i/>
          <w:sz w:val="24"/>
          <w:szCs w:val="24"/>
        </w:rPr>
        <w:t xml:space="preserve"> institution, the coherence of the system requires that where the validity of a Community act is challenged before a national court the power to declare the act invalid must also be reserved to the Court of Justice. </w:t>
      </w:r>
    </w:p>
    <w:p w14:paraId="74B9429B" w14:textId="77777777" w:rsidR="00E86318" w:rsidRPr="00E86318" w:rsidRDefault="00E86318" w:rsidP="00E86318">
      <w:pPr>
        <w:pStyle w:val="ListParagraph"/>
        <w:ind w:left="1080"/>
        <w:jc w:val="both"/>
        <w:rPr>
          <w:rFonts w:ascii="Garamond" w:hAnsi="Garamond"/>
          <w:i/>
          <w:sz w:val="24"/>
          <w:szCs w:val="24"/>
        </w:rPr>
      </w:pPr>
    </w:p>
    <w:p w14:paraId="023D187E" w14:textId="77777777" w:rsidR="00256DE5" w:rsidRDefault="00E86318" w:rsidP="00E86318">
      <w:pPr>
        <w:pStyle w:val="ListParagraph"/>
        <w:ind w:left="1080"/>
        <w:jc w:val="both"/>
        <w:rPr>
          <w:rFonts w:ascii="Garamond" w:hAnsi="Garamond"/>
          <w:i/>
          <w:sz w:val="24"/>
          <w:szCs w:val="24"/>
        </w:rPr>
      </w:pPr>
      <w:r w:rsidRPr="00E86318">
        <w:rPr>
          <w:rFonts w:ascii="Garamond" w:hAnsi="Garamond"/>
          <w:i/>
          <w:sz w:val="24"/>
          <w:szCs w:val="24"/>
        </w:rPr>
        <w:t xml:space="preserve">It must also be emphasized that the Court of Justice is in the best position to decide on the validity of Community acts. Under Article 20 of the Protocol on the Statute of the Court of Justice of the EEC, Community institutions whose acts are challenged are entitled to participate in the proceedings </w:t>
      </w:r>
      <w:proofErr w:type="gramStart"/>
      <w:r w:rsidRPr="00E86318">
        <w:rPr>
          <w:rFonts w:ascii="Garamond" w:hAnsi="Garamond"/>
          <w:i/>
          <w:sz w:val="24"/>
          <w:szCs w:val="24"/>
        </w:rPr>
        <w:t>in order to</w:t>
      </w:r>
      <w:proofErr w:type="gramEnd"/>
      <w:r w:rsidRPr="00E86318">
        <w:rPr>
          <w:rFonts w:ascii="Garamond" w:hAnsi="Garamond"/>
          <w:i/>
          <w:sz w:val="24"/>
          <w:szCs w:val="24"/>
        </w:rPr>
        <w:t xml:space="preserve"> defend the validity of the acts in question. Furthermore, under the second paragraph of Article 21 of that Protocol the Court may require the Member States and institutions which are not participating in the proceedings to supply all information which it considers necessary for the purposes of the case before it. </w:t>
      </w:r>
    </w:p>
    <w:p w14:paraId="7CE147B3" w14:textId="77777777" w:rsidR="004F537C" w:rsidRDefault="004F537C" w:rsidP="00E86318">
      <w:pPr>
        <w:pStyle w:val="ListParagraph"/>
        <w:ind w:left="1080"/>
        <w:jc w:val="both"/>
        <w:rPr>
          <w:rFonts w:ascii="Garamond" w:hAnsi="Garamond"/>
          <w:i/>
          <w:sz w:val="24"/>
          <w:szCs w:val="24"/>
        </w:rPr>
      </w:pPr>
    </w:p>
    <w:p w14:paraId="6988AB7E" w14:textId="224D1F70" w:rsidR="004F537C" w:rsidRDefault="004F537C" w:rsidP="005E0CCE">
      <w:pPr>
        <w:pStyle w:val="ListParagraph"/>
        <w:numPr>
          <w:ilvl w:val="0"/>
          <w:numId w:val="31"/>
        </w:numPr>
        <w:jc w:val="both"/>
        <w:rPr>
          <w:rFonts w:ascii="Garamond" w:hAnsi="Garamond"/>
          <w:sz w:val="24"/>
          <w:szCs w:val="24"/>
        </w:rPr>
      </w:pPr>
      <w:r>
        <w:rPr>
          <w:rFonts w:ascii="Garamond" w:hAnsi="Garamond"/>
          <w:sz w:val="24"/>
          <w:szCs w:val="24"/>
        </w:rPr>
        <w:t xml:space="preserve">You will recall that the Court of Justice held in </w:t>
      </w:r>
      <w:r w:rsidRPr="004F537C">
        <w:rPr>
          <w:rFonts w:ascii="Garamond" w:hAnsi="Garamond"/>
          <w:i/>
          <w:sz w:val="24"/>
          <w:szCs w:val="24"/>
        </w:rPr>
        <w:t xml:space="preserve">TWD </w:t>
      </w:r>
      <w:proofErr w:type="spellStart"/>
      <w:r w:rsidRPr="004F537C">
        <w:rPr>
          <w:rFonts w:ascii="Garamond" w:hAnsi="Garamond"/>
          <w:i/>
          <w:sz w:val="24"/>
          <w:szCs w:val="24"/>
        </w:rPr>
        <w:t>Textilwerke</w:t>
      </w:r>
      <w:proofErr w:type="spellEnd"/>
      <w:r w:rsidRPr="004F537C">
        <w:rPr>
          <w:rFonts w:ascii="Garamond" w:hAnsi="Garamond"/>
          <w:i/>
          <w:sz w:val="24"/>
          <w:szCs w:val="24"/>
        </w:rPr>
        <w:t xml:space="preserve"> </w:t>
      </w:r>
      <w:proofErr w:type="spellStart"/>
      <w:r w:rsidRPr="004F537C">
        <w:rPr>
          <w:rFonts w:ascii="Garamond" w:hAnsi="Garamond"/>
          <w:i/>
          <w:sz w:val="24"/>
          <w:szCs w:val="24"/>
        </w:rPr>
        <w:t>Deggendorf</w:t>
      </w:r>
      <w:proofErr w:type="spellEnd"/>
      <w:r>
        <w:rPr>
          <w:rFonts w:ascii="Garamond" w:hAnsi="Garamond"/>
          <w:sz w:val="24"/>
          <w:szCs w:val="24"/>
        </w:rPr>
        <w:t xml:space="preserve"> </w:t>
      </w:r>
      <w:r w:rsidR="00490B06">
        <w:rPr>
          <w:rFonts w:ascii="Garamond" w:hAnsi="Garamond"/>
          <w:sz w:val="24"/>
          <w:szCs w:val="24"/>
        </w:rPr>
        <w:t xml:space="preserve">that a preliminary reference on the validity of EU law is not admissible if a private party obviously had standing to bring a direct challenge under Article 263 TFEU. If this is the case, the private party should have brought a direct challenge under Article 263 TFEU and cannot avoid the two-month time-limit by trying to get a preliminary reference on validity through the national court. </w:t>
      </w:r>
    </w:p>
    <w:p w14:paraId="3B27EF4B" w14:textId="77777777" w:rsidR="00FF4CC8" w:rsidRDefault="00C904DA" w:rsidP="00FF4CC8">
      <w:pPr>
        <w:jc w:val="both"/>
        <w:rPr>
          <w:rFonts w:ascii="Garamond" w:hAnsi="Garamond"/>
          <w:b/>
          <w:sz w:val="24"/>
          <w:szCs w:val="24"/>
          <w:u w:val="single"/>
        </w:rPr>
      </w:pPr>
      <w:r>
        <w:rPr>
          <w:rFonts w:ascii="Garamond" w:hAnsi="Garamond"/>
          <w:b/>
          <w:sz w:val="24"/>
          <w:szCs w:val="24"/>
          <w:u w:val="single"/>
        </w:rPr>
        <w:t xml:space="preserve">ADDITIONAL </w:t>
      </w:r>
      <w:r w:rsidR="00FF4CC8">
        <w:rPr>
          <w:rFonts w:ascii="Garamond" w:hAnsi="Garamond"/>
          <w:b/>
          <w:sz w:val="24"/>
          <w:szCs w:val="24"/>
          <w:u w:val="single"/>
        </w:rPr>
        <w:t>READING:</w:t>
      </w:r>
    </w:p>
    <w:p w14:paraId="7D64DFB1" w14:textId="34D1DDCA" w:rsidR="00C174B4" w:rsidRDefault="00C174B4" w:rsidP="005E0CCE">
      <w:pPr>
        <w:pStyle w:val="ListParagraph"/>
        <w:numPr>
          <w:ilvl w:val="0"/>
          <w:numId w:val="35"/>
        </w:numPr>
        <w:jc w:val="both"/>
        <w:rPr>
          <w:rFonts w:ascii="Garamond" w:hAnsi="Garamond"/>
          <w:sz w:val="24"/>
          <w:szCs w:val="24"/>
        </w:rPr>
      </w:pPr>
      <w:r>
        <w:rPr>
          <w:rFonts w:ascii="Garamond" w:hAnsi="Garamond"/>
          <w:sz w:val="24"/>
          <w:szCs w:val="24"/>
        </w:rPr>
        <w:t xml:space="preserve">M. Broberg and N. Fenger, ‘If You Love Somebody Set Them Free: On the Court of Justice’s Revision of the </w:t>
      </w:r>
      <w:proofErr w:type="spellStart"/>
      <w:r>
        <w:rPr>
          <w:rFonts w:ascii="Garamond" w:hAnsi="Garamond"/>
          <w:sz w:val="24"/>
          <w:szCs w:val="24"/>
        </w:rPr>
        <w:t>Acte</w:t>
      </w:r>
      <w:proofErr w:type="spellEnd"/>
      <w:r>
        <w:rPr>
          <w:rFonts w:ascii="Garamond" w:hAnsi="Garamond"/>
          <w:sz w:val="24"/>
          <w:szCs w:val="24"/>
        </w:rPr>
        <w:t xml:space="preserve"> Clair Doctrine’ (2022) 59 </w:t>
      </w:r>
      <w:r w:rsidRPr="00C174B4">
        <w:rPr>
          <w:rFonts w:ascii="Garamond" w:hAnsi="Garamond"/>
          <w:i/>
          <w:iCs/>
          <w:sz w:val="24"/>
          <w:szCs w:val="24"/>
        </w:rPr>
        <w:t>CML Rev</w:t>
      </w:r>
      <w:r>
        <w:rPr>
          <w:rFonts w:ascii="Garamond" w:hAnsi="Garamond"/>
          <w:sz w:val="24"/>
          <w:szCs w:val="24"/>
        </w:rPr>
        <w:t xml:space="preserve"> 711</w:t>
      </w:r>
    </w:p>
    <w:p w14:paraId="0613E704" w14:textId="554CC66B" w:rsidR="00FF4CC8" w:rsidRDefault="0092225D" w:rsidP="005E0CCE">
      <w:pPr>
        <w:pStyle w:val="ListParagraph"/>
        <w:numPr>
          <w:ilvl w:val="0"/>
          <w:numId w:val="35"/>
        </w:numPr>
        <w:jc w:val="both"/>
        <w:rPr>
          <w:rFonts w:ascii="Garamond" w:hAnsi="Garamond"/>
          <w:sz w:val="24"/>
          <w:szCs w:val="24"/>
        </w:rPr>
      </w:pPr>
      <w:r>
        <w:rPr>
          <w:rFonts w:ascii="Garamond" w:hAnsi="Garamond"/>
          <w:sz w:val="24"/>
          <w:szCs w:val="24"/>
        </w:rPr>
        <w:t xml:space="preserve">A. </w:t>
      </w:r>
      <w:proofErr w:type="spellStart"/>
      <w:r>
        <w:rPr>
          <w:rFonts w:ascii="Garamond" w:hAnsi="Garamond"/>
          <w:sz w:val="24"/>
          <w:szCs w:val="24"/>
        </w:rPr>
        <w:t>Kornezov</w:t>
      </w:r>
      <w:proofErr w:type="spellEnd"/>
      <w:r>
        <w:rPr>
          <w:rFonts w:ascii="Garamond" w:hAnsi="Garamond"/>
          <w:sz w:val="24"/>
          <w:szCs w:val="24"/>
        </w:rPr>
        <w:t xml:space="preserve">, ‘The New Format of the </w:t>
      </w:r>
      <w:proofErr w:type="spellStart"/>
      <w:r>
        <w:rPr>
          <w:rFonts w:ascii="Garamond" w:hAnsi="Garamond"/>
          <w:sz w:val="24"/>
          <w:szCs w:val="24"/>
        </w:rPr>
        <w:t>Acte</w:t>
      </w:r>
      <w:proofErr w:type="spellEnd"/>
      <w:r>
        <w:rPr>
          <w:rFonts w:ascii="Garamond" w:hAnsi="Garamond"/>
          <w:sz w:val="24"/>
          <w:szCs w:val="24"/>
        </w:rPr>
        <w:t xml:space="preserve"> Clair Doctrine and Its Consequences’ (2016) 53 </w:t>
      </w:r>
      <w:r w:rsidRPr="0092225D">
        <w:rPr>
          <w:rFonts w:ascii="Garamond" w:hAnsi="Garamond"/>
          <w:i/>
          <w:sz w:val="24"/>
          <w:szCs w:val="24"/>
        </w:rPr>
        <w:t>CML Rev</w:t>
      </w:r>
      <w:r>
        <w:rPr>
          <w:rFonts w:ascii="Garamond" w:hAnsi="Garamond"/>
          <w:sz w:val="24"/>
          <w:szCs w:val="24"/>
        </w:rPr>
        <w:t xml:space="preserve"> 1317</w:t>
      </w:r>
    </w:p>
    <w:p w14:paraId="449244F7" w14:textId="1EF9D004" w:rsidR="0092225D" w:rsidRDefault="0092225D" w:rsidP="005E0CCE">
      <w:pPr>
        <w:pStyle w:val="ListParagraph"/>
        <w:numPr>
          <w:ilvl w:val="0"/>
          <w:numId w:val="35"/>
        </w:numPr>
        <w:jc w:val="both"/>
        <w:rPr>
          <w:rFonts w:ascii="Garamond" w:hAnsi="Garamond"/>
          <w:sz w:val="24"/>
          <w:szCs w:val="24"/>
        </w:rPr>
      </w:pPr>
      <w:r>
        <w:rPr>
          <w:rFonts w:ascii="Garamond" w:hAnsi="Garamond"/>
          <w:sz w:val="24"/>
          <w:szCs w:val="24"/>
        </w:rPr>
        <w:t xml:space="preserve">T. </w:t>
      </w:r>
      <w:proofErr w:type="spellStart"/>
      <w:r>
        <w:rPr>
          <w:rFonts w:ascii="Garamond" w:hAnsi="Garamond"/>
          <w:sz w:val="24"/>
          <w:szCs w:val="24"/>
        </w:rPr>
        <w:t>Tridimas</w:t>
      </w:r>
      <w:proofErr w:type="spellEnd"/>
      <w:r>
        <w:rPr>
          <w:rFonts w:ascii="Garamond" w:hAnsi="Garamond"/>
          <w:sz w:val="24"/>
          <w:szCs w:val="24"/>
        </w:rPr>
        <w:t xml:space="preserve">, ‘Knocking on Heaven’s Door: Fragmentation, Efficiency and </w:t>
      </w:r>
      <w:r w:rsidR="00FD3147">
        <w:rPr>
          <w:rFonts w:ascii="Garamond" w:hAnsi="Garamond"/>
          <w:sz w:val="24"/>
          <w:szCs w:val="24"/>
        </w:rPr>
        <w:t>Defiance</w:t>
      </w:r>
      <w:r>
        <w:rPr>
          <w:rFonts w:ascii="Garamond" w:hAnsi="Garamond"/>
          <w:sz w:val="24"/>
          <w:szCs w:val="24"/>
        </w:rPr>
        <w:t xml:space="preserve"> in the Preliminary Ruling Procedure’ (2003) 40 </w:t>
      </w:r>
      <w:r w:rsidRPr="0092225D">
        <w:rPr>
          <w:rFonts w:ascii="Garamond" w:hAnsi="Garamond"/>
          <w:i/>
          <w:sz w:val="24"/>
          <w:szCs w:val="24"/>
        </w:rPr>
        <w:t>CML Rev</w:t>
      </w:r>
      <w:r>
        <w:rPr>
          <w:rFonts w:ascii="Garamond" w:hAnsi="Garamond"/>
          <w:sz w:val="24"/>
          <w:szCs w:val="24"/>
        </w:rPr>
        <w:t xml:space="preserve"> 9</w:t>
      </w:r>
    </w:p>
    <w:p w14:paraId="4E3CDBBA" w14:textId="5EB54228" w:rsidR="009B1A4A" w:rsidRPr="00BF7982" w:rsidRDefault="00F74505" w:rsidP="00233D80">
      <w:pPr>
        <w:pStyle w:val="ListParagraph"/>
        <w:numPr>
          <w:ilvl w:val="0"/>
          <w:numId w:val="35"/>
        </w:numPr>
        <w:spacing w:after="200" w:line="276" w:lineRule="auto"/>
        <w:jc w:val="both"/>
        <w:rPr>
          <w:rFonts w:ascii="Garamond" w:hAnsi="Garamond"/>
          <w:sz w:val="24"/>
          <w:szCs w:val="24"/>
        </w:rPr>
      </w:pPr>
      <w:r w:rsidRPr="00BF7982">
        <w:rPr>
          <w:rFonts w:ascii="Garamond" w:hAnsi="Garamond"/>
          <w:sz w:val="24"/>
          <w:szCs w:val="24"/>
        </w:rPr>
        <w:t xml:space="preserve">N. Wahl and L. Prete, ‘The Gatekeepers of Article 267 TFEU: On Jurisdiction and Admissibility of References for Preliminary Rulings’ (2018) 55 </w:t>
      </w:r>
      <w:r w:rsidRPr="00BF7982">
        <w:rPr>
          <w:rFonts w:ascii="Garamond" w:hAnsi="Garamond"/>
          <w:i/>
          <w:iCs/>
          <w:sz w:val="24"/>
          <w:szCs w:val="24"/>
        </w:rPr>
        <w:t>CML Rev</w:t>
      </w:r>
      <w:r w:rsidRPr="00BF7982">
        <w:rPr>
          <w:rFonts w:ascii="Garamond" w:hAnsi="Garamond"/>
          <w:sz w:val="24"/>
          <w:szCs w:val="24"/>
        </w:rPr>
        <w:t xml:space="preserve"> 511</w:t>
      </w:r>
    </w:p>
    <w:sectPr w:rsidR="009B1A4A" w:rsidRPr="00BF7982">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452FA" w14:textId="77777777" w:rsidR="004A799B" w:rsidRDefault="004A799B" w:rsidP="00243B39">
      <w:pPr>
        <w:spacing w:after="0" w:line="240" w:lineRule="auto"/>
      </w:pPr>
      <w:r>
        <w:separator/>
      </w:r>
    </w:p>
  </w:endnote>
  <w:endnote w:type="continuationSeparator" w:id="0">
    <w:p w14:paraId="2A10AEEC" w14:textId="77777777" w:rsidR="004A799B" w:rsidRDefault="004A799B" w:rsidP="00243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643781"/>
      <w:docPartObj>
        <w:docPartGallery w:val="Page Numbers (Bottom of Page)"/>
        <w:docPartUnique/>
      </w:docPartObj>
    </w:sdtPr>
    <w:sdtEndPr>
      <w:rPr>
        <w:noProof/>
      </w:rPr>
    </w:sdtEndPr>
    <w:sdtContent>
      <w:p w14:paraId="2EF6A368" w14:textId="77777777" w:rsidR="008F11EB" w:rsidRDefault="008F11EB">
        <w:pPr>
          <w:pStyle w:val="Footer"/>
          <w:jc w:val="right"/>
        </w:pPr>
        <w:r w:rsidRPr="00243B39">
          <w:rPr>
            <w:rFonts w:ascii="Garamond" w:hAnsi="Garamond"/>
          </w:rPr>
          <w:fldChar w:fldCharType="begin"/>
        </w:r>
        <w:r w:rsidRPr="00243B39">
          <w:rPr>
            <w:rFonts w:ascii="Garamond" w:hAnsi="Garamond"/>
          </w:rPr>
          <w:instrText xml:space="preserve"> PAGE   \* MERGEFORMAT </w:instrText>
        </w:r>
        <w:r w:rsidRPr="00243B39">
          <w:rPr>
            <w:rFonts w:ascii="Garamond" w:hAnsi="Garamond"/>
          </w:rPr>
          <w:fldChar w:fldCharType="separate"/>
        </w:r>
        <w:r w:rsidR="00352E7A">
          <w:rPr>
            <w:rFonts w:ascii="Garamond" w:hAnsi="Garamond"/>
            <w:noProof/>
          </w:rPr>
          <w:t>30</w:t>
        </w:r>
        <w:r w:rsidRPr="00243B39">
          <w:rPr>
            <w:rFonts w:ascii="Garamond" w:hAnsi="Garamond"/>
            <w:noProof/>
          </w:rPr>
          <w:fldChar w:fldCharType="end"/>
        </w:r>
      </w:p>
    </w:sdtContent>
  </w:sdt>
  <w:p w14:paraId="46E79131" w14:textId="77777777" w:rsidR="008F11EB" w:rsidRDefault="008F1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B3F21" w14:textId="77777777" w:rsidR="004A799B" w:rsidRDefault="004A799B" w:rsidP="00243B39">
      <w:pPr>
        <w:spacing w:after="0" w:line="240" w:lineRule="auto"/>
      </w:pPr>
      <w:r>
        <w:separator/>
      </w:r>
    </w:p>
  </w:footnote>
  <w:footnote w:type="continuationSeparator" w:id="0">
    <w:p w14:paraId="1DBF10FA" w14:textId="77777777" w:rsidR="004A799B" w:rsidRDefault="004A799B" w:rsidP="00243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0A2C8" w14:textId="33CF7F04" w:rsidR="008F11EB" w:rsidRPr="00243B39" w:rsidRDefault="007F3746">
    <w:pPr>
      <w:pStyle w:val="Header"/>
      <w:rPr>
        <w:rFonts w:ascii="Garamond" w:hAnsi="Garamond"/>
      </w:rPr>
    </w:pPr>
    <w:r>
      <w:rPr>
        <w:rFonts w:ascii="Garamond" w:hAnsi="Garamond"/>
      </w:rPr>
      <w:t>EU Law 2</w:t>
    </w:r>
    <w:r w:rsidR="00FC715C">
      <w:rPr>
        <w:rFonts w:ascii="Garamond" w:hAnsi="Garamond"/>
      </w:rPr>
      <w:t>02</w:t>
    </w:r>
    <w:r w:rsidR="0031183C">
      <w:rPr>
        <w:rFonts w:ascii="Garamond" w:hAnsi="Garamond"/>
      </w:rPr>
      <w:t>3</w:t>
    </w:r>
    <w:r w:rsidR="00FC715C">
      <w:rPr>
        <w:rFonts w:ascii="Garamond" w:hAnsi="Garamond"/>
      </w:rPr>
      <w:t>-202</w:t>
    </w:r>
    <w:r w:rsidR="0031183C">
      <w:rPr>
        <w:rFonts w:ascii="Garamond" w:hAnsi="Garamond"/>
      </w:rPr>
      <w:t>4</w:t>
    </w:r>
    <w:r w:rsidR="008F11EB" w:rsidRPr="00243B39">
      <w:rPr>
        <w:rFonts w:ascii="Garamond" w:hAnsi="Garamond"/>
      </w:rPr>
      <w:ptab w:relativeTo="margin" w:alignment="center" w:leader="none"/>
    </w:r>
    <w:r w:rsidR="00FC715C">
      <w:rPr>
        <w:rFonts w:ascii="Garamond" w:hAnsi="Garamond"/>
      </w:rPr>
      <w:t xml:space="preserve">Handout </w:t>
    </w:r>
    <w:r w:rsidR="00BC7C75">
      <w:rPr>
        <w:rFonts w:ascii="Garamond" w:hAnsi="Garamond"/>
      </w:rPr>
      <w:t>4</w:t>
    </w:r>
    <w:r w:rsidR="008F11EB" w:rsidRPr="00243B39">
      <w:rPr>
        <w:rFonts w:ascii="Garamond" w:hAnsi="Garamond"/>
      </w:rPr>
      <w:ptab w:relativeTo="margin" w:alignment="right" w:leader="none"/>
    </w:r>
    <w:r w:rsidR="008F11EB" w:rsidRPr="00243B39">
      <w:rPr>
        <w:rFonts w:ascii="Garamond" w:hAnsi="Garamond"/>
      </w:rPr>
      <w:t>Barend van Leeuwen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80ACC"/>
    <w:multiLevelType w:val="hybridMultilevel"/>
    <w:tmpl w:val="DBC25B4E"/>
    <w:lvl w:ilvl="0" w:tplc="209201F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48C0B8B"/>
    <w:multiLevelType w:val="hybridMultilevel"/>
    <w:tmpl w:val="CE145578"/>
    <w:lvl w:ilvl="0" w:tplc="8F26460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4927FF5"/>
    <w:multiLevelType w:val="hybridMultilevel"/>
    <w:tmpl w:val="9E8862A0"/>
    <w:lvl w:ilvl="0" w:tplc="2B50F83E">
      <w:start w:val="1"/>
      <w:numFmt w:val="decimal"/>
      <w:lvlText w:val="(%1)"/>
      <w:lvlJc w:val="left"/>
      <w:pPr>
        <w:ind w:left="1080" w:hanging="360"/>
      </w:pPr>
      <w:rPr>
        <w:rFonts w:ascii="Garamond" w:hAnsi="Garamond" w:hint="default"/>
        <w:b w:val="0"/>
        <w:sz w:val="24"/>
        <w:szCs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51521F7"/>
    <w:multiLevelType w:val="hybridMultilevel"/>
    <w:tmpl w:val="68A61D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BE7AF4"/>
    <w:multiLevelType w:val="hybridMultilevel"/>
    <w:tmpl w:val="73DC1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045F13"/>
    <w:multiLevelType w:val="hybridMultilevel"/>
    <w:tmpl w:val="5D0CFB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D77329"/>
    <w:multiLevelType w:val="hybridMultilevel"/>
    <w:tmpl w:val="7C2038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461C0D"/>
    <w:multiLevelType w:val="hybridMultilevel"/>
    <w:tmpl w:val="590A5F88"/>
    <w:lvl w:ilvl="0" w:tplc="0B8EC92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40775D2"/>
    <w:multiLevelType w:val="hybridMultilevel"/>
    <w:tmpl w:val="6B3432C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9F78FA"/>
    <w:multiLevelType w:val="hybridMultilevel"/>
    <w:tmpl w:val="DB166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BC4354"/>
    <w:multiLevelType w:val="hybridMultilevel"/>
    <w:tmpl w:val="838CFB52"/>
    <w:lvl w:ilvl="0" w:tplc="1CFC636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1E1A04AB"/>
    <w:multiLevelType w:val="hybridMultilevel"/>
    <w:tmpl w:val="CA584DEE"/>
    <w:lvl w:ilvl="0" w:tplc="D7FEC6E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6F4CAE"/>
    <w:multiLevelType w:val="hybridMultilevel"/>
    <w:tmpl w:val="4532FB4C"/>
    <w:lvl w:ilvl="0" w:tplc="5196463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0F209C7"/>
    <w:multiLevelType w:val="hybridMultilevel"/>
    <w:tmpl w:val="14902420"/>
    <w:lvl w:ilvl="0" w:tplc="D7661864">
      <w:start w:val="1"/>
      <w:numFmt w:val="bullet"/>
      <w:lvlText w:val="-"/>
      <w:lvlJc w:val="left"/>
      <w:pPr>
        <w:ind w:left="1440" w:hanging="360"/>
      </w:pPr>
      <w:rPr>
        <w:rFonts w:ascii="Garamond" w:eastAsiaTheme="minorHAnsi" w:hAnsi="Garamond"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2B666C6"/>
    <w:multiLevelType w:val="hybridMultilevel"/>
    <w:tmpl w:val="7940176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87B23D6"/>
    <w:multiLevelType w:val="hybridMultilevel"/>
    <w:tmpl w:val="BDD8A11E"/>
    <w:lvl w:ilvl="0" w:tplc="A716647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8EF0B02"/>
    <w:multiLevelType w:val="hybridMultilevel"/>
    <w:tmpl w:val="CCC06CBE"/>
    <w:lvl w:ilvl="0" w:tplc="143A3688">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C4F1108"/>
    <w:multiLevelType w:val="hybridMultilevel"/>
    <w:tmpl w:val="D5F80FDE"/>
    <w:lvl w:ilvl="0" w:tplc="8CBA45D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2D710AA9"/>
    <w:multiLevelType w:val="hybridMultilevel"/>
    <w:tmpl w:val="CC1AAAD8"/>
    <w:lvl w:ilvl="0" w:tplc="5ADE53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2E1C2AFE"/>
    <w:multiLevelType w:val="hybridMultilevel"/>
    <w:tmpl w:val="5ABEBF0A"/>
    <w:lvl w:ilvl="0" w:tplc="424E123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E897CEC"/>
    <w:multiLevelType w:val="hybridMultilevel"/>
    <w:tmpl w:val="EDD8285E"/>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2F2A210E"/>
    <w:multiLevelType w:val="hybridMultilevel"/>
    <w:tmpl w:val="4BCEAE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F453397"/>
    <w:multiLevelType w:val="hybridMultilevel"/>
    <w:tmpl w:val="D8A82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28E3E4A"/>
    <w:multiLevelType w:val="hybridMultilevel"/>
    <w:tmpl w:val="20084A86"/>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3727122E"/>
    <w:multiLevelType w:val="hybridMultilevel"/>
    <w:tmpl w:val="E5B87A6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9F06FA7"/>
    <w:multiLevelType w:val="hybridMultilevel"/>
    <w:tmpl w:val="B224B47C"/>
    <w:lvl w:ilvl="0" w:tplc="95A08EC6">
      <w:start w:val="1"/>
      <w:numFmt w:val="lowerLetter"/>
      <w:lvlText w:val="%1."/>
      <w:lvlJc w:val="left"/>
      <w:pPr>
        <w:ind w:left="1080" w:hanging="360"/>
      </w:pPr>
      <w:rPr>
        <w:rFonts w:hint="default"/>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3EDE163C"/>
    <w:multiLevelType w:val="hybridMultilevel"/>
    <w:tmpl w:val="28129BE6"/>
    <w:lvl w:ilvl="0" w:tplc="E19A7022">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4718F3"/>
    <w:multiLevelType w:val="hybridMultilevel"/>
    <w:tmpl w:val="AD08A03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46D4A50"/>
    <w:multiLevelType w:val="hybridMultilevel"/>
    <w:tmpl w:val="2258D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8593DC7"/>
    <w:multiLevelType w:val="hybridMultilevel"/>
    <w:tmpl w:val="1D828F8A"/>
    <w:lvl w:ilvl="0" w:tplc="A9CA388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487A272A"/>
    <w:multiLevelType w:val="hybridMultilevel"/>
    <w:tmpl w:val="8286F7BE"/>
    <w:lvl w:ilvl="0" w:tplc="76E4A664">
      <w:start w:val="2"/>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4BA7031C"/>
    <w:multiLevelType w:val="hybridMultilevel"/>
    <w:tmpl w:val="BFACC0C8"/>
    <w:lvl w:ilvl="0" w:tplc="52AA9FB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E17000F"/>
    <w:multiLevelType w:val="hybridMultilevel"/>
    <w:tmpl w:val="11EE58EA"/>
    <w:lvl w:ilvl="0" w:tplc="4344E83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4F4841D2"/>
    <w:multiLevelType w:val="hybridMultilevel"/>
    <w:tmpl w:val="4F62E278"/>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4E22203"/>
    <w:multiLevelType w:val="hybridMultilevel"/>
    <w:tmpl w:val="8B0E296A"/>
    <w:lvl w:ilvl="0" w:tplc="24D43326">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58462E31"/>
    <w:multiLevelType w:val="hybridMultilevel"/>
    <w:tmpl w:val="4AF8991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8556D72"/>
    <w:multiLevelType w:val="hybridMultilevel"/>
    <w:tmpl w:val="365A6B40"/>
    <w:lvl w:ilvl="0" w:tplc="85A44BCC">
      <w:start w:val="288"/>
      <w:numFmt w:val="bullet"/>
      <w:lvlText w:val="-"/>
      <w:lvlJc w:val="left"/>
      <w:pPr>
        <w:ind w:left="720" w:hanging="360"/>
      </w:pPr>
      <w:rPr>
        <w:rFonts w:ascii="Garamond" w:eastAsiaTheme="minorHAnsi" w:hAnsi="Garamond" w:cstheme="minorBidi" w:hint="default"/>
        <w:i/>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AF5368F"/>
    <w:multiLevelType w:val="hybridMultilevel"/>
    <w:tmpl w:val="9782F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F823B07"/>
    <w:multiLevelType w:val="hybridMultilevel"/>
    <w:tmpl w:val="63841AF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F8A0E40"/>
    <w:multiLevelType w:val="hybridMultilevel"/>
    <w:tmpl w:val="0F94131A"/>
    <w:lvl w:ilvl="0" w:tplc="5FD27F8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61E30355"/>
    <w:multiLevelType w:val="hybridMultilevel"/>
    <w:tmpl w:val="244E4C4A"/>
    <w:lvl w:ilvl="0" w:tplc="59325AC2">
      <w:start w:val="3"/>
      <w:numFmt w:val="bullet"/>
      <w:lvlText w:val="-"/>
      <w:lvlJc w:val="left"/>
      <w:pPr>
        <w:ind w:left="1080" w:hanging="360"/>
      </w:pPr>
      <w:rPr>
        <w:rFonts w:ascii="Garamond" w:eastAsiaTheme="minorHAnsi" w:hAnsi="Garamond"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67992582"/>
    <w:multiLevelType w:val="hybridMultilevel"/>
    <w:tmpl w:val="D954E4D0"/>
    <w:lvl w:ilvl="0" w:tplc="5F7C91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67C1238E"/>
    <w:multiLevelType w:val="hybridMultilevel"/>
    <w:tmpl w:val="E52437A8"/>
    <w:lvl w:ilvl="0" w:tplc="74C62A1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68932CE8"/>
    <w:multiLevelType w:val="hybridMultilevel"/>
    <w:tmpl w:val="A20AE7B4"/>
    <w:lvl w:ilvl="0" w:tplc="76A2BAB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6C902170"/>
    <w:multiLevelType w:val="hybridMultilevel"/>
    <w:tmpl w:val="D22A254C"/>
    <w:lvl w:ilvl="0" w:tplc="F4144E50">
      <w:start w:val="1"/>
      <w:numFmt w:val="bullet"/>
      <w:lvlText w:val="-"/>
      <w:lvlJc w:val="left"/>
      <w:pPr>
        <w:ind w:left="1440" w:hanging="360"/>
      </w:pPr>
      <w:rPr>
        <w:rFonts w:ascii="Garamond" w:eastAsiaTheme="minorHAnsi" w:hAnsi="Garamond"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6CFE15FA"/>
    <w:multiLevelType w:val="hybridMultilevel"/>
    <w:tmpl w:val="7A42953E"/>
    <w:lvl w:ilvl="0" w:tplc="95EE6F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6E39538C"/>
    <w:multiLevelType w:val="hybridMultilevel"/>
    <w:tmpl w:val="8E04B4E6"/>
    <w:lvl w:ilvl="0" w:tplc="C576C35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6F863CB7"/>
    <w:multiLevelType w:val="hybridMultilevel"/>
    <w:tmpl w:val="AE3A9C22"/>
    <w:lvl w:ilvl="0" w:tplc="929E2C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734C7A6B"/>
    <w:multiLevelType w:val="hybridMultilevel"/>
    <w:tmpl w:val="41F25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4844CFE"/>
    <w:multiLevelType w:val="hybridMultilevel"/>
    <w:tmpl w:val="59DCA71A"/>
    <w:lvl w:ilvl="0" w:tplc="35463AF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7A240089"/>
    <w:multiLevelType w:val="hybridMultilevel"/>
    <w:tmpl w:val="826873E4"/>
    <w:lvl w:ilvl="0" w:tplc="4770FC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1" w15:restartNumberingAfterBreak="0">
    <w:nsid w:val="7A8C2D0A"/>
    <w:multiLevelType w:val="hybridMultilevel"/>
    <w:tmpl w:val="210AE2C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7B181901"/>
    <w:multiLevelType w:val="hybridMultilevel"/>
    <w:tmpl w:val="D59071D0"/>
    <w:lvl w:ilvl="0" w:tplc="402C4A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72274277">
    <w:abstractNumId w:val="15"/>
  </w:num>
  <w:num w:numId="2" w16cid:durableId="120461063">
    <w:abstractNumId w:val="17"/>
  </w:num>
  <w:num w:numId="3" w16cid:durableId="74204237">
    <w:abstractNumId w:val="0"/>
  </w:num>
  <w:num w:numId="4" w16cid:durableId="1249576255">
    <w:abstractNumId w:val="34"/>
  </w:num>
  <w:num w:numId="5" w16cid:durableId="431172391">
    <w:abstractNumId w:val="41"/>
  </w:num>
  <w:num w:numId="6" w16cid:durableId="864754193">
    <w:abstractNumId w:val="33"/>
  </w:num>
  <w:num w:numId="7" w16cid:durableId="30959370">
    <w:abstractNumId w:val="44"/>
  </w:num>
  <w:num w:numId="8" w16cid:durableId="32703108">
    <w:abstractNumId w:val="6"/>
  </w:num>
  <w:num w:numId="9" w16cid:durableId="1935817819">
    <w:abstractNumId w:val="2"/>
  </w:num>
  <w:num w:numId="10" w16cid:durableId="1200702523">
    <w:abstractNumId w:val="39"/>
  </w:num>
  <w:num w:numId="11" w16cid:durableId="1000547291">
    <w:abstractNumId w:val="10"/>
  </w:num>
  <w:num w:numId="12" w16cid:durableId="1508596881">
    <w:abstractNumId w:val="42"/>
  </w:num>
  <w:num w:numId="13" w16cid:durableId="508638768">
    <w:abstractNumId w:val="7"/>
  </w:num>
  <w:num w:numId="14" w16cid:durableId="936332017">
    <w:abstractNumId w:val="31"/>
  </w:num>
  <w:num w:numId="15" w16cid:durableId="801995357">
    <w:abstractNumId w:val="1"/>
  </w:num>
  <w:num w:numId="16" w16cid:durableId="845482943">
    <w:abstractNumId w:val="29"/>
  </w:num>
  <w:num w:numId="17" w16cid:durableId="274413819">
    <w:abstractNumId w:val="45"/>
  </w:num>
  <w:num w:numId="18" w16cid:durableId="255481383">
    <w:abstractNumId w:val="23"/>
  </w:num>
  <w:num w:numId="19" w16cid:durableId="1601139326">
    <w:abstractNumId w:val="21"/>
  </w:num>
  <w:num w:numId="20" w16cid:durableId="2038315051">
    <w:abstractNumId w:val="27"/>
  </w:num>
  <w:num w:numId="21" w16cid:durableId="186524953">
    <w:abstractNumId w:val="20"/>
  </w:num>
  <w:num w:numId="22" w16cid:durableId="796533670">
    <w:abstractNumId w:val="14"/>
  </w:num>
  <w:num w:numId="23" w16cid:durableId="157774126">
    <w:abstractNumId w:val="25"/>
  </w:num>
  <w:num w:numId="24" w16cid:durableId="2086566213">
    <w:abstractNumId w:val="12"/>
  </w:num>
  <w:num w:numId="25" w16cid:durableId="354042900">
    <w:abstractNumId w:val="19"/>
  </w:num>
  <w:num w:numId="26" w16cid:durableId="314997660">
    <w:abstractNumId w:val="3"/>
  </w:num>
  <w:num w:numId="27" w16cid:durableId="1907064485">
    <w:abstractNumId w:val="47"/>
  </w:num>
  <w:num w:numId="28" w16cid:durableId="1944066766">
    <w:abstractNumId w:val="18"/>
  </w:num>
  <w:num w:numId="29" w16cid:durableId="823357912">
    <w:abstractNumId w:val="50"/>
  </w:num>
  <w:num w:numId="30" w16cid:durableId="1920365414">
    <w:abstractNumId w:val="43"/>
  </w:num>
  <w:num w:numId="31" w16cid:durableId="1609003830">
    <w:abstractNumId w:val="32"/>
  </w:num>
  <w:num w:numId="32" w16cid:durableId="1087968893">
    <w:abstractNumId w:val="30"/>
  </w:num>
  <w:num w:numId="33" w16cid:durableId="627199757">
    <w:abstractNumId w:val="22"/>
  </w:num>
  <w:num w:numId="34" w16cid:durableId="2083260363">
    <w:abstractNumId w:val="37"/>
  </w:num>
  <w:num w:numId="35" w16cid:durableId="138351668">
    <w:abstractNumId w:val="48"/>
  </w:num>
  <w:num w:numId="36" w16cid:durableId="2017071382">
    <w:abstractNumId w:val="9"/>
  </w:num>
  <w:num w:numId="37" w16cid:durableId="886068970">
    <w:abstractNumId w:val="11"/>
  </w:num>
  <w:num w:numId="38" w16cid:durableId="1075709141">
    <w:abstractNumId w:val="16"/>
  </w:num>
  <w:num w:numId="39" w16cid:durableId="611935245">
    <w:abstractNumId w:val="13"/>
  </w:num>
  <w:num w:numId="40" w16cid:durableId="427582956">
    <w:abstractNumId w:val="52"/>
  </w:num>
  <w:num w:numId="41" w16cid:durableId="1280992206">
    <w:abstractNumId w:val="51"/>
  </w:num>
  <w:num w:numId="42" w16cid:durableId="471141349">
    <w:abstractNumId w:val="49"/>
  </w:num>
  <w:num w:numId="43" w16cid:durableId="1708217544">
    <w:abstractNumId w:val="46"/>
  </w:num>
  <w:num w:numId="44" w16cid:durableId="292492162">
    <w:abstractNumId w:val="40"/>
  </w:num>
  <w:num w:numId="45" w16cid:durableId="1134250261">
    <w:abstractNumId w:val="28"/>
  </w:num>
  <w:num w:numId="46" w16cid:durableId="1850170785">
    <w:abstractNumId w:val="24"/>
  </w:num>
  <w:num w:numId="47" w16cid:durableId="20396345">
    <w:abstractNumId w:val="35"/>
  </w:num>
  <w:num w:numId="48" w16cid:durableId="179710505">
    <w:abstractNumId w:val="5"/>
  </w:num>
  <w:num w:numId="49" w16cid:durableId="1402211235">
    <w:abstractNumId w:val="8"/>
  </w:num>
  <w:num w:numId="50" w16cid:durableId="1796170987">
    <w:abstractNumId w:val="38"/>
  </w:num>
  <w:num w:numId="51" w16cid:durableId="606886070">
    <w:abstractNumId w:val="4"/>
  </w:num>
  <w:num w:numId="52" w16cid:durableId="859589416">
    <w:abstractNumId w:val="36"/>
  </w:num>
  <w:num w:numId="53" w16cid:durableId="1903520261">
    <w:abstractNumId w:val="2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4A8"/>
    <w:rsid w:val="00002981"/>
    <w:rsid w:val="00002CD3"/>
    <w:rsid w:val="00033236"/>
    <w:rsid w:val="000436A9"/>
    <w:rsid w:val="000510FD"/>
    <w:rsid w:val="0006186F"/>
    <w:rsid w:val="00070150"/>
    <w:rsid w:val="00070271"/>
    <w:rsid w:val="00071403"/>
    <w:rsid w:val="0008606B"/>
    <w:rsid w:val="00097C43"/>
    <w:rsid w:val="000A2D22"/>
    <w:rsid w:val="000B1048"/>
    <w:rsid w:val="000C0E85"/>
    <w:rsid w:val="000F3875"/>
    <w:rsid w:val="000F6D31"/>
    <w:rsid w:val="00102F15"/>
    <w:rsid w:val="00124B3F"/>
    <w:rsid w:val="0014568A"/>
    <w:rsid w:val="00180C00"/>
    <w:rsid w:val="001813D8"/>
    <w:rsid w:val="00182BED"/>
    <w:rsid w:val="0018635A"/>
    <w:rsid w:val="00196CA9"/>
    <w:rsid w:val="001B0088"/>
    <w:rsid w:val="001D3BAB"/>
    <w:rsid w:val="00205A8D"/>
    <w:rsid w:val="0022509D"/>
    <w:rsid w:val="002426AA"/>
    <w:rsid w:val="00243B39"/>
    <w:rsid w:val="00247D87"/>
    <w:rsid w:val="00256DE5"/>
    <w:rsid w:val="0027311C"/>
    <w:rsid w:val="00274621"/>
    <w:rsid w:val="002E4339"/>
    <w:rsid w:val="002F7195"/>
    <w:rsid w:val="0031183C"/>
    <w:rsid w:val="00333CE0"/>
    <w:rsid w:val="00352E7A"/>
    <w:rsid w:val="00377550"/>
    <w:rsid w:val="00406CD2"/>
    <w:rsid w:val="00416C19"/>
    <w:rsid w:val="0043453D"/>
    <w:rsid w:val="0043487A"/>
    <w:rsid w:val="0045790D"/>
    <w:rsid w:val="004627AB"/>
    <w:rsid w:val="004740D0"/>
    <w:rsid w:val="00480422"/>
    <w:rsid w:val="00484678"/>
    <w:rsid w:val="00486193"/>
    <w:rsid w:val="00490B06"/>
    <w:rsid w:val="00497ED2"/>
    <w:rsid w:val="004A055F"/>
    <w:rsid w:val="004A5A70"/>
    <w:rsid w:val="004A799B"/>
    <w:rsid w:val="004D0F0E"/>
    <w:rsid w:val="004F537C"/>
    <w:rsid w:val="004F7BDD"/>
    <w:rsid w:val="005140C3"/>
    <w:rsid w:val="00522700"/>
    <w:rsid w:val="0053770C"/>
    <w:rsid w:val="005543B7"/>
    <w:rsid w:val="00575560"/>
    <w:rsid w:val="00592AA8"/>
    <w:rsid w:val="0059627A"/>
    <w:rsid w:val="005C33E5"/>
    <w:rsid w:val="005C668E"/>
    <w:rsid w:val="005C6EEF"/>
    <w:rsid w:val="005D1B72"/>
    <w:rsid w:val="005E0CCE"/>
    <w:rsid w:val="005E1DB9"/>
    <w:rsid w:val="005F791C"/>
    <w:rsid w:val="0061082D"/>
    <w:rsid w:val="006436B7"/>
    <w:rsid w:val="00646F86"/>
    <w:rsid w:val="00653144"/>
    <w:rsid w:val="00661C98"/>
    <w:rsid w:val="006963E6"/>
    <w:rsid w:val="006A447C"/>
    <w:rsid w:val="006B723C"/>
    <w:rsid w:val="006C4451"/>
    <w:rsid w:val="006C5A53"/>
    <w:rsid w:val="006E44E2"/>
    <w:rsid w:val="006E5B76"/>
    <w:rsid w:val="006E7AFF"/>
    <w:rsid w:val="00706FEC"/>
    <w:rsid w:val="00707277"/>
    <w:rsid w:val="00727C02"/>
    <w:rsid w:val="0074119D"/>
    <w:rsid w:val="007543F2"/>
    <w:rsid w:val="00761000"/>
    <w:rsid w:val="00781777"/>
    <w:rsid w:val="007860B5"/>
    <w:rsid w:val="007A21B0"/>
    <w:rsid w:val="007C4676"/>
    <w:rsid w:val="007E36BD"/>
    <w:rsid w:val="007F3746"/>
    <w:rsid w:val="007F3896"/>
    <w:rsid w:val="008270C9"/>
    <w:rsid w:val="00844F90"/>
    <w:rsid w:val="008704A3"/>
    <w:rsid w:val="008814E4"/>
    <w:rsid w:val="00883538"/>
    <w:rsid w:val="008B2EF6"/>
    <w:rsid w:val="008D47DC"/>
    <w:rsid w:val="008E4D88"/>
    <w:rsid w:val="008F11EB"/>
    <w:rsid w:val="009171F4"/>
    <w:rsid w:val="0092225D"/>
    <w:rsid w:val="00944D5B"/>
    <w:rsid w:val="00975E66"/>
    <w:rsid w:val="00985BD3"/>
    <w:rsid w:val="009B1A4A"/>
    <w:rsid w:val="009C2536"/>
    <w:rsid w:val="009C7448"/>
    <w:rsid w:val="009C75EA"/>
    <w:rsid w:val="009D60A5"/>
    <w:rsid w:val="009E128F"/>
    <w:rsid w:val="009E5CC2"/>
    <w:rsid w:val="00A01DF2"/>
    <w:rsid w:val="00A93615"/>
    <w:rsid w:val="00AB0FF9"/>
    <w:rsid w:val="00AD1897"/>
    <w:rsid w:val="00AD3F5C"/>
    <w:rsid w:val="00AD55A9"/>
    <w:rsid w:val="00AE50FD"/>
    <w:rsid w:val="00B11BCD"/>
    <w:rsid w:val="00B24A97"/>
    <w:rsid w:val="00B302D5"/>
    <w:rsid w:val="00B447F4"/>
    <w:rsid w:val="00B45847"/>
    <w:rsid w:val="00B537CC"/>
    <w:rsid w:val="00B55440"/>
    <w:rsid w:val="00B60489"/>
    <w:rsid w:val="00B6222D"/>
    <w:rsid w:val="00B909D4"/>
    <w:rsid w:val="00BB5ABF"/>
    <w:rsid w:val="00BC4AAD"/>
    <w:rsid w:val="00BC7C75"/>
    <w:rsid w:val="00BD16E8"/>
    <w:rsid w:val="00BD24F9"/>
    <w:rsid w:val="00BD41BA"/>
    <w:rsid w:val="00BF5329"/>
    <w:rsid w:val="00BF7982"/>
    <w:rsid w:val="00C00F6B"/>
    <w:rsid w:val="00C174B4"/>
    <w:rsid w:val="00C430D6"/>
    <w:rsid w:val="00C516CC"/>
    <w:rsid w:val="00C61743"/>
    <w:rsid w:val="00C904DA"/>
    <w:rsid w:val="00C93B81"/>
    <w:rsid w:val="00CC34DC"/>
    <w:rsid w:val="00CC622E"/>
    <w:rsid w:val="00CD32BE"/>
    <w:rsid w:val="00CD7A9F"/>
    <w:rsid w:val="00CE7924"/>
    <w:rsid w:val="00CF0CF3"/>
    <w:rsid w:val="00CF7CA8"/>
    <w:rsid w:val="00D008BA"/>
    <w:rsid w:val="00D21E9C"/>
    <w:rsid w:val="00D51620"/>
    <w:rsid w:val="00D55C6F"/>
    <w:rsid w:val="00D71A86"/>
    <w:rsid w:val="00D84BC0"/>
    <w:rsid w:val="00DA4050"/>
    <w:rsid w:val="00DD0117"/>
    <w:rsid w:val="00E1139B"/>
    <w:rsid w:val="00E11787"/>
    <w:rsid w:val="00E12A06"/>
    <w:rsid w:val="00E2135B"/>
    <w:rsid w:val="00E32858"/>
    <w:rsid w:val="00E5516B"/>
    <w:rsid w:val="00E66571"/>
    <w:rsid w:val="00E7344C"/>
    <w:rsid w:val="00E73A7C"/>
    <w:rsid w:val="00E74B7C"/>
    <w:rsid w:val="00E86318"/>
    <w:rsid w:val="00E960E4"/>
    <w:rsid w:val="00EA048C"/>
    <w:rsid w:val="00EA4B50"/>
    <w:rsid w:val="00EB755D"/>
    <w:rsid w:val="00EB7A90"/>
    <w:rsid w:val="00EC1E4F"/>
    <w:rsid w:val="00EC27AA"/>
    <w:rsid w:val="00EF64A8"/>
    <w:rsid w:val="00F0215D"/>
    <w:rsid w:val="00F032B4"/>
    <w:rsid w:val="00F27581"/>
    <w:rsid w:val="00F5246B"/>
    <w:rsid w:val="00F74505"/>
    <w:rsid w:val="00F81683"/>
    <w:rsid w:val="00F919FA"/>
    <w:rsid w:val="00F91F36"/>
    <w:rsid w:val="00FB1D5A"/>
    <w:rsid w:val="00FC2F8C"/>
    <w:rsid w:val="00FC715C"/>
    <w:rsid w:val="00FD086A"/>
    <w:rsid w:val="00FD3147"/>
    <w:rsid w:val="00FF4C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54231"/>
  <w15:docId w15:val="{F267625D-84E3-437D-B88C-FCB2C8B4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3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B39"/>
  </w:style>
  <w:style w:type="paragraph" w:styleId="Footer">
    <w:name w:val="footer"/>
    <w:basedOn w:val="Normal"/>
    <w:link w:val="FooterChar"/>
    <w:uiPriority w:val="99"/>
    <w:unhideWhenUsed/>
    <w:rsid w:val="00243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B39"/>
  </w:style>
  <w:style w:type="character" w:styleId="Hyperlink">
    <w:name w:val="Hyperlink"/>
    <w:basedOn w:val="DefaultParagraphFont"/>
    <w:uiPriority w:val="99"/>
    <w:unhideWhenUsed/>
    <w:rsid w:val="00EA4B50"/>
    <w:rPr>
      <w:color w:val="0563C1" w:themeColor="hyperlink"/>
      <w:u w:val="single"/>
    </w:rPr>
  </w:style>
  <w:style w:type="character" w:customStyle="1" w:styleId="UnresolvedMention1">
    <w:name w:val="Unresolved Mention1"/>
    <w:basedOn w:val="DefaultParagraphFont"/>
    <w:uiPriority w:val="99"/>
    <w:semiHidden/>
    <w:unhideWhenUsed/>
    <w:rsid w:val="00EA4B50"/>
    <w:rPr>
      <w:color w:val="808080"/>
      <w:shd w:val="clear" w:color="auto" w:fill="E6E6E6"/>
    </w:rPr>
  </w:style>
  <w:style w:type="paragraph" w:styleId="ListParagraph">
    <w:name w:val="List Paragraph"/>
    <w:basedOn w:val="Normal"/>
    <w:uiPriority w:val="34"/>
    <w:qFormat/>
    <w:rsid w:val="00EA4B50"/>
    <w:pPr>
      <w:ind w:left="720"/>
      <w:contextualSpacing/>
    </w:pPr>
  </w:style>
  <w:style w:type="paragraph" w:styleId="BalloonText">
    <w:name w:val="Balloon Text"/>
    <w:basedOn w:val="Normal"/>
    <w:link w:val="BalloonTextChar"/>
    <w:uiPriority w:val="99"/>
    <w:semiHidden/>
    <w:unhideWhenUsed/>
    <w:rsid w:val="005E1D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DB9"/>
    <w:rPr>
      <w:rFonts w:ascii="Tahoma" w:hAnsi="Tahoma" w:cs="Tahoma"/>
      <w:sz w:val="16"/>
      <w:szCs w:val="16"/>
    </w:rPr>
  </w:style>
  <w:style w:type="character" w:styleId="UnresolvedMention">
    <w:name w:val="Unresolved Mention"/>
    <w:basedOn w:val="DefaultParagraphFont"/>
    <w:uiPriority w:val="99"/>
    <w:semiHidden/>
    <w:unhideWhenUsed/>
    <w:rsid w:val="00BD41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2195">
      <w:bodyDiv w:val="1"/>
      <w:marLeft w:val="0"/>
      <w:marRight w:val="0"/>
      <w:marTop w:val="0"/>
      <w:marBottom w:val="0"/>
      <w:divBdr>
        <w:top w:val="none" w:sz="0" w:space="0" w:color="auto"/>
        <w:left w:val="none" w:sz="0" w:space="0" w:color="auto"/>
        <w:bottom w:val="none" w:sz="0" w:space="0" w:color="auto"/>
        <w:right w:val="none" w:sz="0" w:space="0" w:color="auto"/>
      </w:divBdr>
      <w:divsChild>
        <w:div w:id="13191456">
          <w:marLeft w:val="720"/>
          <w:marRight w:val="0"/>
          <w:marTop w:val="120"/>
          <w:marBottom w:val="0"/>
          <w:divBdr>
            <w:top w:val="none" w:sz="0" w:space="0" w:color="auto"/>
            <w:left w:val="none" w:sz="0" w:space="0" w:color="auto"/>
            <w:bottom w:val="none" w:sz="0" w:space="0" w:color="auto"/>
            <w:right w:val="none" w:sz="0" w:space="0" w:color="auto"/>
          </w:divBdr>
        </w:div>
      </w:divsChild>
    </w:div>
    <w:div w:id="268436660">
      <w:bodyDiv w:val="1"/>
      <w:marLeft w:val="0"/>
      <w:marRight w:val="0"/>
      <w:marTop w:val="0"/>
      <w:marBottom w:val="0"/>
      <w:divBdr>
        <w:top w:val="none" w:sz="0" w:space="0" w:color="auto"/>
        <w:left w:val="none" w:sz="0" w:space="0" w:color="auto"/>
        <w:bottom w:val="none" w:sz="0" w:space="0" w:color="auto"/>
        <w:right w:val="none" w:sz="0" w:space="0" w:color="auto"/>
      </w:divBdr>
    </w:div>
    <w:div w:id="823668407">
      <w:bodyDiv w:val="1"/>
      <w:marLeft w:val="0"/>
      <w:marRight w:val="0"/>
      <w:marTop w:val="0"/>
      <w:marBottom w:val="0"/>
      <w:divBdr>
        <w:top w:val="none" w:sz="0" w:space="0" w:color="auto"/>
        <w:left w:val="none" w:sz="0" w:space="0" w:color="auto"/>
        <w:bottom w:val="none" w:sz="0" w:space="0" w:color="auto"/>
        <w:right w:val="none" w:sz="0" w:space="0" w:color="auto"/>
      </w:divBdr>
      <w:divsChild>
        <w:div w:id="669992716">
          <w:marLeft w:val="720"/>
          <w:marRight w:val="0"/>
          <w:marTop w:val="120"/>
          <w:marBottom w:val="0"/>
          <w:divBdr>
            <w:top w:val="none" w:sz="0" w:space="0" w:color="auto"/>
            <w:left w:val="none" w:sz="0" w:space="0" w:color="auto"/>
            <w:bottom w:val="none" w:sz="0" w:space="0" w:color="auto"/>
            <w:right w:val="none" w:sz="0" w:space="0" w:color="auto"/>
          </w:divBdr>
        </w:div>
      </w:divsChild>
    </w:div>
    <w:div w:id="1509446648">
      <w:bodyDiv w:val="1"/>
      <w:marLeft w:val="0"/>
      <w:marRight w:val="0"/>
      <w:marTop w:val="0"/>
      <w:marBottom w:val="0"/>
      <w:divBdr>
        <w:top w:val="none" w:sz="0" w:space="0" w:color="auto"/>
        <w:left w:val="none" w:sz="0" w:space="0" w:color="auto"/>
        <w:bottom w:val="none" w:sz="0" w:space="0" w:color="auto"/>
        <w:right w:val="none" w:sz="0" w:space="0" w:color="auto"/>
      </w:divBdr>
      <w:divsChild>
        <w:div w:id="1863125562">
          <w:marLeft w:val="720"/>
          <w:marRight w:val="0"/>
          <w:marTop w:val="120"/>
          <w:marBottom w:val="0"/>
          <w:divBdr>
            <w:top w:val="none" w:sz="0" w:space="0" w:color="auto"/>
            <w:left w:val="none" w:sz="0" w:space="0" w:color="auto"/>
            <w:bottom w:val="none" w:sz="0" w:space="0" w:color="auto"/>
            <w:right w:val="none" w:sz="0" w:space="0" w:color="auto"/>
          </w:divBdr>
        </w:div>
      </w:divsChild>
    </w:div>
    <w:div w:id="1793280006">
      <w:bodyDiv w:val="1"/>
      <w:marLeft w:val="0"/>
      <w:marRight w:val="0"/>
      <w:marTop w:val="0"/>
      <w:marBottom w:val="0"/>
      <w:divBdr>
        <w:top w:val="none" w:sz="0" w:space="0" w:color="auto"/>
        <w:left w:val="none" w:sz="0" w:space="0" w:color="auto"/>
        <w:bottom w:val="none" w:sz="0" w:space="0" w:color="auto"/>
        <w:right w:val="none" w:sz="0" w:space="0" w:color="auto"/>
      </w:divBdr>
    </w:div>
    <w:div w:id="1912882173">
      <w:bodyDiv w:val="1"/>
      <w:marLeft w:val="0"/>
      <w:marRight w:val="0"/>
      <w:marTop w:val="0"/>
      <w:marBottom w:val="0"/>
      <w:divBdr>
        <w:top w:val="none" w:sz="0" w:space="0" w:color="auto"/>
        <w:left w:val="none" w:sz="0" w:space="0" w:color="auto"/>
        <w:bottom w:val="none" w:sz="0" w:space="0" w:color="auto"/>
        <w:right w:val="none" w:sz="0" w:space="0" w:color="auto"/>
      </w:divBdr>
      <w:divsChild>
        <w:div w:id="731078375">
          <w:marLeft w:val="72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barend.j.van-leeuwen@durham.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471CD-1AED-426D-AA29-673097205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20</Pages>
  <Words>8063</Words>
  <Characters>45963</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53919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Barend van Leeuwen</dc:creator>
  <cp:lastModifiedBy>Barend van Leeuwen</cp:lastModifiedBy>
  <cp:revision>6</cp:revision>
  <cp:lastPrinted>2019-01-14T14:44:00Z</cp:lastPrinted>
  <dcterms:created xsi:type="dcterms:W3CDTF">2023-12-20T10:01:00Z</dcterms:created>
  <dcterms:modified xsi:type="dcterms:W3CDTF">2023-12-21T08:43:00Z</dcterms:modified>
</cp:coreProperties>
</file>