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lang w:val="en-GB"/>
        </w:rPr>
        <w:id w:val="1996374431"/>
        <w:docPartObj>
          <w:docPartGallery w:val="Cover Pages"/>
          <w:docPartUnique/>
        </w:docPartObj>
      </w:sdtPr>
      <w:sdtEndPr>
        <w:rPr>
          <w:rFonts w:ascii="Garamond" w:hAnsi="Garamond" w:cs="Garamond"/>
          <w:b/>
          <w:bCs/>
          <w:smallCaps/>
          <w:color w:val="auto"/>
        </w:rPr>
      </w:sdtEndPr>
      <w:sdtContent>
        <w:sdt>
          <w:sdtPr>
            <w:rPr>
              <w:color w:val="4F81BD" w:themeColor="accent1"/>
            </w:rPr>
            <w:id w:val="550033971"/>
            <w:docPartObj>
              <w:docPartGallery w:val="Cover Pages"/>
              <w:docPartUnique/>
            </w:docPartObj>
          </w:sdtPr>
          <w:sdtEndPr>
            <w:rPr>
              <w:rFonts w:ascii="Garamond" w:hAnsi="Garamond" w:cs="Garamond"/>
              <w:b/>
              <w:bCs/>
              <w:smallCaps/>
              <w:color w:val="auto"/>
              <w:lang w:val="en-GB"/>
            </w:rPr>
          </w:sdtEndPr>
          <w:sdtContent>
            <w:p w14:paraId="26A2904B" w14:textId="77777777" w:rsidR="00782923" w:rsidRDefault="00782923" w:rsidP="00782923">
              <w:r>
                <w:rPr>
                  <w:rFonts w:cs="Arial"/>
                  <w:noProof/>
                  <w:sz w:val="72"/>
                  <w:lang w:eastAsia="en-GB"/>
                </w:rPr>
                <w:drawing>
                  <wp:inline distT="0" distB="0" distL="0" distR="0" wp14:anchorId="6284B86B" wp14:editId="18A3D2D7">
                    <wp:extent cx="23050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45865E3E" w14:textId="77777777" w:rsidR="00782923" w:rsidRDefault="00782923" w:rsidP="00782923">
              <w:pPr>
                <w:jc w:val="center"/>
                <w:rPr>
                  <w:rFonts w:ascii="Garamond" w:hAnsi="Garamond"/>
                  <w:b/>
                  <w:sz w:val="56"/>
                  <w:szCs w:val="56"/>
                </w:rPr>
              </w:pPr>
              <w:r>
                <w:rPr>
                  <w:rFonts w:ascii="Garamond" w:hAnsi="Garamond"/>
                  <w:b/>
                  <w:sz w:val="56"/>
                  <w:szCs w:val="56"/>
                </w:rPr>
                <w:br/>
                <w:t>EUROPEAN UNION LAW</w:t>
              </w:r>
            </w:p>
            <w:p w14:paraId="4EDA57ED" w14:textId="77777777" w:rsidR="00782923" w:rsidRDefault="00782923" w:rsidP="00782923">
              <w:pPr>
                <w:jc w:val="center"/>
                <w:rPr>
                  <w:rFonts w:ascii="Garamond" w:hAnsi="Garamond"/>
                  <w:b/>
                  <w:sz w:val="56"/>
                  <w:szCs w:val="56"/>
                </w:rPr>
              </w:pPr>
              <w:r>
                <w:rPr>
                  <w:rFonts w:ascii="Garamond" w:hAnsi="Garamond"/>
                  <w:b/>
                  <w:sz w:val="56"/>
                  <w:szCs w:val="56"/>
                </w:rPr>
                <w:t>2023-2024</w:t>
              </w:r>
            </w:p>
            <w:p w14:paraId="296BEC0D" w14:textId="3DA20890" w:rsidR="00782923" w:rsidRPr="00D223F7" w:rsidRDefault="00782923" w:rsidP="00782923">
              <w:pPr>
                <w:jc w:val="center"/>
                <w:rPr>
                  <w:rFonts w:ascii="Garamond" w:hAnsi="Garamond"/>
                  <w:b/>
                  <w:sz w:val="40"/>
                  <w:szCs w:val="40"/>
                  <w:u w:val="single"/>
                </w:rPr>
              </w:pPr>
              <w:r>
                <w:rPr>
                  <w:rFonts w:ascii="Garamond" w:hAnsi="Garamond"/>
                  <w:b/>
                  <w:sz w:val="40"/>
                  <w:szCs w:val="40"/>
                </w:rPr>
                <w:br/>
              </w:r>
              <w:r w:rsidRPr="00D223F7">
                <w:rPr>
                  <w:rFonts w:ascii="Garamond" w:hAnsi="Garamond"/>
                  <w:b/>
                  <w:sz w:val="40"/>
                  <w:szCs w:val="40"/>
                  <w:u w:val="single"/>
                </w:rPr>
                <w:t xml:space="preserve">HANDOUT </w:t>
              </w:r>
              <w:r w:rsidR="00A13377">
                <w:rPr>
                  <w:rFonts w:ascii="Garamond" w:hAnsi="Garamond"/>
                  <w:b/>
                  <w:sz w:val="40"/>
                  <w:szCs w:val="40"/>
                  <w:u w:val="single"/>
                </w:rPr>
                <w:t>5</w:t>
              </w:r>
            </w:p>
            <w:p w14:paraId="2C4B771B" w14:textId="6B4740E6" w:rsidR="00782923" w:rsidRDefault="00782923" w:rsidP="00782923">
              <w:pPr>
                <w:jc w:val="center"/>
                <w:rPr>
                  <w:rFonts w:ascii="Garamond" w:hAnsi="Garamond"/>
                  <w:sz w:val="40"/>
                  <w:szCs w:val="40"/>
                </w:rPr>
              </w:pPr>
              <w:r>
                <w:rPr>
                  <w:rFonts w:ascii="Garamond" w:hAnsi="Garamond"/>
                  <w:sz w:val="40"/>
                  <w:szCs w:val="40"/>
                </w:rPr>
                <w:t xml:space="preserve">(Lectures </w:t>
              </w:r>
              <w:r>
                <w:rPr>
                  <w:rFonts w:ascii="Garamond" w:hAnsi="Garamond"/>
                  <w:sz w:val="40"/>
                  <w:szCs w:val="40"/>
                </w:rPr>
                <w:t>15</w:t>
              </w:r>
              <w:r>
                <w:rPr>
                  <w:rFonts w:ascii="Garamond" w:hAnsi="Garamond"/>
                  <w:sz w:val="40"/>
                  <w:szCs w:val="40"/>
                </w:rPr>
                <w:t>-1</w:t>
              </w:r>
              <w:r>
                <w:rPr>
                  <w:rFonts w:ascii="Garamond" w:hAnsi="Garamond"/>
                  <w:sz w:val="40"/>
                  <w:szCs w:val="40"/>
                </w:rPr>
                <w:t>6</w:t>
              </w:r>
              <w:r>
                <w:rPr>
                  <w:rFonts w:ascii="Garamond" w:hAnsi="Garamond"/>
                  <w:sz w:val="40"/>
                  <w:szCs w:val="40"/>
                </w:rPr>
                <w:t>)</w:t>
              </w:r>
            </w:p>
            <w:p w14:paraId="66250C1E" w14:textId="77777777" w:rsidR="00782923" w:rsidRDefault="00782923" w:rsidP="00782923">
              <w:pPr>
                <w:rPr>
                  <w:rFonts w:ascii="Garamond" w:hAnsi="Garamond"/>
                  <w:sz w:val="28"/>
                  <w:szCs w:val="28"/>
                </w:rPr>
              </w:pPr>
            </w:p>
            <w:p w14:paraId="364EB56A" w14:textId="77777777" w:rsidR="00782923" w:rsidRDefault="00782923" w:rsidP="00782923">
              <w:pPr>
                <w:rPr>
                  <w:rFonts w:ascii="Garamond" w:hAnsi="Garamond"/>
                  <w:sz w:val="28"/>
                  <w:szCs w:val="28"/>
                </w:rPr>
              </w:pPr>
              <w:r>
                <w:rPr>
                  <w:rFonts w:ascii="Garamond" w:hAnsi="Garamond"/>
                  <w:sz w:val="28"/>
                  <w:szCs w:val="28"/>
                </w:rPr>
                <w:t>Andreas Georgiou</w:t>
              </w:r>
            </w:p>
            <w:p w14:paraId="0492672C" w14:textId="77777777" w:rsidR="00782923" w:rsidRDefault="00782923" w:rsidP="00782923">
              <w:pPr>
                <w:rPr>
                  <w:rFonts w:ascii="Garamond" w:hAnsi="Garamond"/>
                  <w:sz w:val="28"/>
                  <w:szCs w:val="28"/>
                </w:rPr>
              </w:pPr>
              <w:r>
                <w:rPr>
                  <w:rFonts w:ascii="Garamond" w:hAnsi="Garamond"/>
                  <w:sz w:val="28"/>
                  <w:szCs w:val="28"/>
                </w:rPr>
                <w:t xml:space="preserve">Durham Law School </w:t>
              </w:r>
            </w:p>
            <w:p w14:paraId="7F8CB748" w14:textId="77777777" w:rsidR="00782923" w:rsidRPr="000738BB" w:rsidRDefault="00782923" w:rsidP="00782923">
              <w:pPr>
                <w:rPr>
                  <w:rFonts w:ascii="Garamond" w:hAnsi="Garamond"/>
                  <w:sz w:val="28"/>
                  <w:szCs w:val="28"/>
                </w:rPr>
              </w:pPr>
              <w:hyperlink r:id="rId7" w:history="1">
                <w:r w:rsidRPr="009E4175">
                  <w:rPr>
                    <w:rStyle w:val="Hyperlink"/>
                    <w:rFonts w:ascii="Garamond" w:hAnsi="Garamond"/>
                    <w:sz w:val="28"/>
                    <w:szCs w:val="28"/>
                  </w:rPr>
                  <w:t>andreas.georgiou@durham.ac.uk</w:t>
                </w:r>
              </w:hyperlink>
            </w:p>
            <w:p w14:paraId="54603D1E" w14:textId="77777777" w:rsidR="00782923" w:rsidRDefault="00782923" w:rsidP="00782923">
              <w:pPr>
                <w:rPr>
                  <w:rFonts w:ascii="Garamond" w:hAnsi="Garamond"/>
                  <w:sz w:val="28"/>
                  <w:szCs w:val="28"/>
                </w:rPr>
              </w:pPr>
            </w:p>
            <w:p w14:paraId="0B157A66" w14:textId="77777777" w:rsidR="00782923" w:rsidRDefault="00782923" w:rsidP="00782923">
              <w:pPr>
                <w:pStyle w:val="Default"/>
                <w:rPr>
                  <w:color w:val="4F81BD" w:themeColor="accent1"/>
                </w:rPr>
              </w:pPr>
            </w:p>
            <w:p w14:paraId="4567CE21" w14:textId="6E3F1238" w:rsidR="007F039B" w:rsidRPr="00782923" w:rsidRDefault="00782923" w:rsidP="00782923">
              <w:pPr>
                <w:rPr>
                  <w:rFonts w:ascii="Garamond" w:hAnsi="Garamond" w:cs="Garamond"/>
                  <w:b/>
                  <w:bCs/>
                  <w:smallCaps/>
                </w:rPr>
              </w:pPr>
              <w:r>
                <w:rPr>
                  <w:rFonts w:ascii="Garamond" w:hAnsi="Garamond" w:cs="Garamond"/>
                  <w:b/>
                  <w:bCs/>
                  <w:smallCaps/>
                  <w:lang w:val="en-GB"/>
                </w:rPr>
                <w:br w:type="page"/>
              </w:r>
            </w:p>
          </w:sdtContent>
        </w:sdt>
      </w:sdtContent>
    </w:sdt>
    <w:p w14:paraId="3A5B97B6" w14:textId="77777777" w:rsidR="007F039B" w:rsidRPr="00833326" w:rsidRDefault="007F039B" w:rsidP="00AE3680">
      <w:pPr>
        <w:pStyle w:val="Default"/>
        <w:pBdr>
          <w:top w:val="single" w:sz="4" w:space="1" w:color="auto"/>
          <w:left w:val="single" w:sz="4" w:space="4" w:color="auto"/>
          <w:bottom w:val="single" w:sz="4" w:space="1" w:color="auto"/>
          <w:right w:val="single" w:sz="4" w:space="4" w:color="auto"/>
        </w:pBdr>
        <w:shd w:val="clear" w:color="auto" w:fill="DDD9C3"/>
        <w:spacing w:line="276" w:lineRule="auto"/>
        <w:jc w:val="center"/>
        <w:outlineLvl w:val="0"/>
        <w:rPr>
          <w:rFonts w:ascii="Garamond" w:hAnsi="Garamond" w:cs="Garamond"/>
          <w:b/>
          <w:bCs/>
          <w:smallCaps/>
          <w:color w:val="auto"/>
          <w:lang w:val="en-GB"/>
        </w:rPr>
      </w:pPr>
    </w:p>
    <w:p w14:paraId="66D80525" w14:textId="0BEFE022" w:rsidR="007F039B" w:rsidRDefault="007F039B" w:rsidP="00AE3680">
      <w:pPr>
        <w:pStyle w:val="Default"/>
        <w:pBdr>
          <w:top w:val="single" w:sz="4" w:space="1" w:color="auto"/>
          <w:left w:val="single" w:sz="4" w:space="4" w:color="auto"/>
          <w:bottom w:val="single" w:sz="4" w:space="1" w:color="auto"/>
          <w:right w:val="single" w:sz="4" w:space="4" w:color="auto"/>
        </w:pBdr>
        <w:shd w:val="clear" w:color="auto" w:fill="DDD9C3"/>
        <w:spacing w:line="276" w:lineRule="auto"/>
        <w:jc w:val="center"/>
        <w:outlineLvl w:val="0"/>
        <w:rPr>
          <w:rFonts w:ascii="Garamond" w:hAnsi="Garamond" w:cs="Garamond"/>
          <w:b/>
          <w:bCs/>
          <w:smallCaps/>
          <w:color w:val="auto"/>
          <w:lang w:val="en-GB"/>
        </w:rPr>
      </w:pPr>
      <w:r w:rsidRPr="00833326">
        <w:rPr>
          <w:rFonts w:ascii="Garamond" w:hAnsi="Garamond" w:cs="Garamond"/>
          <w:b/>
          <w:bCs/>
          <w:smallCaps/>
          <w:color w:val="auto"/>
          <w:lang w:val="en-GB"/>
        </w:rPr>
        <w:t>Lecture</w:t>
      </w:r>
      <w:r w:rsidR="00E23369">
        <w:rPr>
          <w:rFonts w:ascii="Garamond" w:hAnsi="Garamond" w:cs="Garamond"/>
          <w:b/>
          <w:bCs/>
          <w:smallCaps/>
          <w:color w:val="auto"/>
          <w:lang w:val="en-GB"/>
        </w:rPr>
        <w:t>s</w:t>
      </w:r>
      <w:r w:rsidRPr="00833326">
        <w:rPr>
          <w:rFonts w:ascii="Garamond" w:hAnsi="Garamond" w:cs="Garamond"/>
          <w:b/>
          <w:bCs/>
          <w:smallCaps/>
          <w:color w:val="auto"/>
          <w:lang w:val="en-GB"/>
        </w:rPr>
        <w:t xml:space="preserve"> 1</w:t>
      </w:r>
      <w:r w:rsidR="00782923">
        <w:rPr>
          <w:rFonts w:ascii="Garamond" w:hAnsi="Garamond" w:cs="Garamond"/>
          <w:b/>
          <w:bCs/>
          <w:smallCaps/>
          <w:color w:val="auto"/>
          <w:lang w:val="en-GB"/>
        </w:rPr>
        <w:t>5</w:t>
      </w:r>
      <w:r w:rsidR="00E23369">
        <w:rPr>
          <w:rFonts w:ascii="Garamond" w:hAnsi="Garamond" w:cs="Garamond"/>
          <w:b/>
          <w:bCs/>
          <w:smallCaps/>
          <w:color w:val="auto"/>
          <w:lang w:val="en-GB"/>
        </w:rPr>
        <w:t>-1</w:t>
      </w:r>
      <w:r w:rsidR="00782923">
        <w:rPr>
          <w:rFonts w:ascii="Garamond" w:hAnsi="Garamond" w:cs="Garamond"/>
          <w:b/>
          <w:bCs/>
          <w:smallCaps/>
          <w:color w:val="auto"/>
          <w:lang w:val="en-GB"/>
        </w:rPr>
        <w:t>6</w:t>
      </w:r>
      <w:r w:rsidRPr="00833326">
        <w:rPr>
          <w:rFonts w:ascii="Garamond" w:hAnsi="Garamond" w:cs="Garamond"/>
          <w:b/>
          <w:bCs/>
          <w:smallCaps/>
          <w:color w:val="auto"/>
          <w:lang w:val="en-GB"/>
        </w:rPr>
        <w:t xml:space="preserve">: </w:t>
      </w:r>
      <w:r w:rsidR="00EB4D30">
        <w:rPr>
          <w:rFonts w:ascii="Garamond" w:hAnsi="Garamond" w:cs="Garamond"/>
          <w:b/>
          <w:bCs/>
          <w:smallCaps/>
          <w:color w:val="auto"/>
          <w:lang w:val="en-GB"/>
        </w:rPr>
        <w:t>EU Fundamental Rights</w:t>
      </w:r>
      <w:r w:rsidR="00044514">
        <w:rPr>
          <w:rFonts w:ascii="Garamond" w:hAnsi="Garamond" w:cs="Garamond"/>
          <w:b/>
          <w:bCs/>
          <w:smallCaps/>
          <w:color w:val="auto"/>
          <w:lang w:val="en-GB"/>
        </w:rPr>
        <w:t xml:space="preserve"> </w:t>
      </w:r>
    </w:p>
    <w:p w14:paraId="084A4917" w14:textId="77777777" w:rsidR="007F039B" w:rsidRPr="00833326" w:rsidRDefault="007F039B" w:rsidP="00AE3680">
      <w:pPr>
        <w:pStyle w:val="Default"/>
        <w:pBdr>
          <w:top w:val="single" w:sz="4" w:space="1" w:color="auto"/>
          <w:left w:val="single" w:sz="4" w:space="4" w:color="auto"/>
          <w:bottom w:val="single" w:sz="4" w:space="1" w:color="auto"/>
          <w:right w:val="single" w:sz="4" w:space="4" w:color="auto"/>
        </w:pBdr>
        <w:shd w:val="clear" w:color="auto" w:fill="DDD9C3"/>
        <w:spacing w:line="276" w:lineRule="auto"/>
        <w:jc w:val="center"/>
        <w:outlineLvl w:val="0"/>
        <w:rPr>
          <w:rFonts w:ascii="Garamond" w:hAnsi="Garamond" w:cs="Garamond"/>
          <w:smallCaps/>
          <w:color w:val="auto"/>
          <w:lang w:val="en-GB"/>
        </w:rPr>
      </w:pPr>
    </w:p>
    <w:p w14:paraId="24E2B95F" w14:textId="77777777" w:rsidR="007F039B" w:rsidRPr="00833326" w:rsidRDefault="007F039B" w:rsidP="00AE3680">
      <w:pPr>
        <w:pStyle w:val="Default"/>
        <w:spacing w:line="276" w:lineRule="auto"/>
        <w:jc w:val="both"/>
        <w:rPr>
          <w:rFonts w:ascii="Garamond" w:hAnsi="Garamond" w:cs="Garamond"/>
          <w:color w:val="auto"/>
          <w:lang w:val="en-GB"/>
        </w:rPr>
      </w:pPr>
      <w:r w:rsidRPr="00833326">
        <w:rPr>
          <w:rFonts w:ascii="Garamond" w:hAnsi="Garamond" w:cs="Garamond"/>
          <w:color w:val="auto"/>
          <w:lang w:val="en-GB"/>
        </w:rPr>
        <w:t xml:space="preserve"> </w:t>
      </w:r>
    </w:p>
    <w:p w14:paraId="70116748" w14:textId="77777777" w:rsidR="003E09AF" w:rsidRDefault="003E09AF" w:rsidP="003E09AF">
      <w:pPr>
        <w:spacing w:after="120"/>
        <w:jc w:val="both"/>
        <w:rPr>
          <w:rFonts w:ascii="Garamond" w:hAnsi="Garamond"/>
          <w:b/>
          <w:sz w:val="28"/>
          <w:szCs w:val="24"/>
          <w:lang w:val="en-GB"/>
        </w:rPr>
      </w:pPr>
      <w:r w:rsidRPr="0022342C">
        <w:rPr>
          <w:rFonts w:ascii="Garamond" w:hAnsi="Garamond"/>
          <w:b/>
          <w:noProof/>
          <w:sz w:val="40"/>
          <w:szCs w:val="40"/>
          <w:lang w:eastAsia="en-GB"/>
        </w:rPr>
        <mc:AlternateContent>
          <mc:Choice Requires="wps">
            <w:drawing>
              <wp:anchor distT="0" distB="0" distL="114300" distR="114300" simplePos="0" relativeHeight="251659264" behindDoc="0" locked="0" layoutInCell="1" allowOverlap="1" wp14:anchorId="26FA8401" wp14:editId="73A6D7A7">
                <wp:simplePos x="0" y="0"/>
                <wp:positionH relativeFrom="column">
                  <wp:posOffset>0</wp:posOffset>
                </wp:positionH>
                <wp:positionV relativeFrom="paragraph">
                  <wp:posOffset>-635</wp:posOffset>
                </wp:positionV>
                <wp:extent cx="2971800" cy="73342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733425"/>
                        </a:xfrm>
                        <a:prstGeom prst="rect">
                          <a:avLst/>
                        </a:prstGeom>
                        <a:solidFill>
                          <a:srgbClr val="FFFFFF"/>
                        </a:solidFill>
                        <a:ln w="9525">
                          <a:solidFill>
                            <a:srgbClr val="000000"/>
                          </a:solidFill>
                          <a:miter lim="800000"/>
                          <a:headEnd/>
                          <a:tailEnd/>
                        </a:ln>
                      </wps:spPr>
                      <wps:txbx>
                        <w:txbxContent>
                          <w:p w14:paraId="142F8ACD" w14:textId="5CF97E04" w:rsidR="003E09AF" w:rsidRPr="00C31BD2" w:rsidRDefault="003E09AF" w:rsidP="003E09AF">
                            <w:pPr>
                              <w:pStyle w:val="ListParagraph"/>
                              <w:numPr>
                                <w:ilvl w:val="0"/>
                                <w:numId w:val="18"/>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Chapter </w:t>
                            </w:r>
                            <w:r w:rsidR="00531818">
                              <w:rPr>
                                <w:rFonts w:ascii="Garamond" w:hAnsi="Garamond"/>
                                <w:i/>
                                <w:sz w:val="24"/>
                                <w:szCs w:val="24"/>
                              </w:rPr>
                              <w:t>12</w:t>
                            </w:r>
                            <w:r w:rsidRPr="00C31BD2">
                              <w:rPr>
                                <w:rFonts w:ascii="Garamond" w:hAnsi="Garamond"/>
                                <w:i/>
                                <w:sz w:val="24"/>
                                <w:szCs w:val="24"/>
                              </w:rPr>
                              <w:t>, or</w:t>
                            </w:r>
                          </w:p>
                          <w:p w14:paraId="7EEC9AD5" w14:textId="2557FCFE" w:rsidR="003E09AF" w:rsidRPr="00C31BD2" w:rsidRDefault="003E09AF" w:rsidP="003E09AF">
                            <w:pPr>
                              <w:pStyle w:val="ListParagraph"/>
                              <w:numPr>
                                <w:ilvl w:val="0"/>
                                <w:numId w:val="18"/>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1</w:t>
                            </w:r>
                            <w:r w:rsidR="00472B29">
                              <w:rPr>
                                <w:rFonts w:ascii="Garamond" w:hAnsi="Garamond"/>
                                <w:i/>
                                <w:sz w:val="24"/>
                                <w:szCs w:val="24"/>
                              </w:rPr>
                              <w:t>2</w:t>
                            </w:r>
                            <w:r>
                              <w:rPr>
                                <w:rFonts w:ascii="Garamond" w:hAnsi="Garamond"/>
                                <w:i/>
                                <w:sz w:val="24"/>
                                <w:szCs w:val="24"/>
                              </w:rPr>
                              <w:t>,</w:t>
                            </w:r>
                            <w:r w:rsidRPr="00C31BD2">
                              <w:rPr>
                                <w:rFonts w:ascii="Garamond" w:hAnsi="Garamond"/>
                                <w:i/>
                                <w:sz w:val="24"/>
                                <w:szCs w:val="24"/>
                              </w:rPr>
                              <w:t xml:space="preserve"> or</w:t>
                            </w:r>
                          </w:p>
                          <w:p w14:paraId="55FCDEB4" w14:textId="54703F19" w:rsidR="003E09AF" w:rsidRPr="00C31BD2" w:rsidRDefault="003E09AF" w:rsidP="003E09AF">
                            <w:pPr>
                              <w:pStyle w:val="ListParagraph"/>
                              <w:numPr>
                                <w:ilvl w:val="0"/>
                                <w:numId w:val="18"/>
                              </w:numPr>
                              <w:rPr>
                                <w:rFonts w:ascii="Garamond" w:hAnsi="Garamond"/>
                                <w:i/>
                                <w:sz w:val="24"/>
                                <w:szCs w:val="24"/>
                              </w:rPr>
                            </w:pPr>
                            <w:r>
                              <w:rPr>
                                <w:rFonts w:ascii="Garamond" w:hAnsi="Garamond"/>
                                <w:i/>
                                <w:sz w:val="24"/>
                                <w:szCs w:val="24"/>
                              </w:rPr>
                              <w:t xml:space="preserve">Barnard and Peers, Chapter </w:t>
                            </w:r>
                            <w:r w:rsidR="00472B29">
                              <w:rPr>
                                <w:rFonts w:ascii="Garamond" w:hAnsi="Garamond"/>
                                <w:i/>
                                <w:sz w:val="24"/>
                                <w:szCs w:val="24"/>
                              </w:rPr>
                              <w:t>9</w:t>
                            </w:r>
                          </w:p>
                          <w:p w14:paraId="60F88D02" w14:textId="77777777" w:rsidR="003E09AF" w:rsidRDefault="003E09AF" w:rsidP="003E09AF">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FA8401" id="_x0000_t202" coordsize="21600,21600" o:spt="202" path="m,l,21600r21600,l21600,xe">
                <v:stroke joinstyle="miter"/>
                <v:path gradientshapeok="t" o:connecttype="rect"/>
              </v:shapetype>
              <v:shape id="Text Box 2" o:spid="_x0000_s1026" type="#_x0000_t202" style="position:absolute;left:0;text-align:left;margin-left:0;margin-top:-.05pt;width:234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">
                <v:textbox>
                  <w:txbxContent>
                    <w:p w14:paraId="142F8ACD" w14:textId="5CF97E04" w:rsidR="003E09AF" w:rsidRPr="00C31BD2" w:rsidRDefault="003E09AF" w:rsidP="003E09AF">
                      <w:pPr>
                        <w:pStyle w:val="ListParagraph"/>
                        <w:numPr>
                          <w:ilvl w:val="0"/>
                          <w:numId w:val="18"/>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Chapter </w:t>
                      </w:r>
                      <w:r w:rsidR="00531818">
                        <w:rPr>
                          <w:rFonts w:ascii="Garamond" w:hAnsi="Garamond"/>
                          <w:i/>
                          <w:sz w:val="24"/>
                          <w:szCs w:val="24"/>
                        </w:rPr>
                        <w:t>12</w:t>
                      </w:r>
                      <w:r w:rsidRPr="00C31BD2">
                        <w:rPr>
                          <w:rFonts w:ascii="Garamond" w:hAnsi="Garamond"/>
                          <w:i/>
                          <w:sz w:val="24"/>
                          <w:szCs w:val="24"/>
                        </w:rPr>
                        <w:t>, or</w:t>
                      </w:r>
                    </w:p>
                    <w:p w14:paraId="7EEC9AD5" w14:textId="2557FCFE" w:rsidR="003E09AF" w:rsidRPr="00C31BD2" w:rsidRDefault="003E09AF" w:rsidP="003E09AF">
                      <w:pPr>
                        <w:pStyle w:val="ListParagraph"/>
                        <w:numPr>
                          <w:ilvl w:val="0"/>
                          <w:numId w:val="18"/>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1</w:t>
                      </w:r>
                      <w:r w:rsidR="00472B29">
                        <w:rPr>
                          <w:rFonts w:ascii="Garamond" w:hAnsi="Garamond"/>
                          <w:i/>
                          <w:sz w:val="24"/>
                          <w:szCs w:val="24"/>
                        </w:rPr>
                        <w:t>2</w:t>
                      </w:r>
                      <w:r>
                        <w:rPr>
                          <w:rFonts w:ascii="Garamond" w:hAnsi="Garamond"/>
                          <w:i/>
                          <w:sz w:val="24"/>
                          <w:szCs w:val="24"/>
                        </w:rPr>
                        <w:t>,</w:t>
                      </w:r>
                      <w:r w:rsidRPr="00C31BD2">
                        <w:rPr>
                          <w:rFonts w:ascii="Garamond" w:hAnsi="Garamond"/>
                          <w:i/>
                          <w:sz w:val="24"/>
                          <w:szCs w:val="24"/>
                        </w:rPr>
                        <w:t xml:space="preserve"> or</w:t>
                      </w:r>
                    </w:p>
                    <w:p w14:paraId="55FCDEB4" w14:textId="54703F19" w:rsidR="003E09AF" w:rsidRPr="00C31BD2" w:rsidRDefault="003E09AF" w:rsidP="003E09AF">
                      <w:pPr>
                        <w:pStyle w:val="ListParagraph"/>
                        <w:numPr>
                          <w:ilvl w:val="0"/>
                          <w:numId w:val="18"/>
                        </w:numPr>
                        <w:rPr>
                          <w:rFonts w:ascii="Garamond" w:hAnsi="Garamond"/>
                          <w:i/>
                          <w:sz w:val="24"/>
                          <w:szCs w:val="24"/>
                        </w:rPr>
                      </w:pPr>
                      <w:r>
                        <w:rPr>
                          <w:rFonts w:ascii="Garamond" w:hAnsi="Garamond"/>
                          <w:i/>
                          <w:sz w:val="24"/>
                          <w:szCs w:val="24"/>
                        </w:rPr>
                        <w:t xml:space="preserve">Barnard and Peers, Chapter </w:t>
                      </w:r>
                      <w:r w:rsidR="00472B29">
                        <w:rPr>
                          <w:rFonts w:ascii="Garamond" w:hAnsi="Garamond"/>
                          <w:i/>
                          <w:sz w:val="24"/>
                          <w:szCs w:val="24"/>
                        </w:rPr>
                        <w:t>9</w:t>
                      </w:r>
                    </w:p>
                    <w:p w14:paraId="60F88D02" w14:textId="77777777" w:rsidR="003E09AF" w:rsidRDefault="003E09AF" w:rsidP="003E09AF">
                      <w:pPr>
                        <w:pStyle w:val="ListParagraph"/>
                      </w:pPr>
                    </w:p>
                  </w:txbxContent>
                </v:textbox>
              </v:shape>
            </w:pict>
          </mc:Fallback>
        </mc:AlternateContent>
      </w:r>
    </w:p>
    <w:p w14:paraId="66B41E47" w14:textId="77777777" w:rsidR="003E09AF" w:rsidRDefault="003E09AF" w:rsidP="003E09AF">
      <w:pPr>
        <w:spacing w:after="120"/>
        <w:jc w:val="both"/>
        <w:rPr>
          <w:rFonts w:ascii="Garamond" w:hAnsi="Garamond"/>
          <w:b/>
          <w:sz w:val="28"/>
          <w:szCs w:val="24"/>
          <w:lang w:val="en-GB"/>
        </w:rPr>
      </w:pPr>
    </w:p>
    <w:p w14:paraId="28EE25F7" w14:textId="170BF16B" w:rsidR="007F039B" w:rsidRPr="00A37136" w:rsidRDefault="007F039B" w:rsidP="00A37136">
      <w:pPr>
        <w:pStyle w:val="Heading1"/>
      </w:pPr>
      <w:r w:rsidRPr="00A37136">
        <w:t xml:space="preserve">1. Introduction: </w:t>
      </w:r>
      <w:r w:rsidR="00801D48" w:rsidRPr="00A37136">
        <w:t>“Fundamental” Rights in the European Union</w:t>
      </w:r>
    </w:p>
    <w:p w14:paraId="46C47055" w14:textId="77777777" w:rsidR="00782923" w:rsidRDefault="00801D48" w:rsidP="00AE3680">
      <w:pPr>
        <w:numPr>
          <w:ilvl w:val="0"/>
          <w:numId w:val="17"/>
        </w:numPr>
        <w:spacing w:after="120"/>
        <w:jc w:val="both"/>
        <w:rPr>
          <w:rFonts w:ascii="Garamond" w:hAnsi="Garamond"/>
          <w:sz w:val="24"/>
          <w:szCs w:val="24"/>
          <w:lang w:val="en-GB"/>
        </w:rPr>
      </w:pPr>
      <w:r w:rsidRPr="00782923">
        <w:rPr>
          <w:rFonts w:ascii="Garamond" w:hAnsi="Garamond"/>
          <w:sz w:val="24"/>
          <w:szCs w:val="24"/>
          <w:lang w:val="en-GB"/>
        </w:rPr>
        <w:t xml:space="preserve">The term “human rights” </w:t>
      </w:r>
      <w:r w:rsidR="00782923">
        <w:rPr>
          <w:rFonts w:ascii="Garamond" w:hAnsi="Garamond"/>
          <w:sz w:val="24"/>
          <w:szCs w:val="24"/>
          <w:lang w:val="en-GB"/>
        </w:rPr>
        <w:t>rose</w:t>
      </w:r>
      <w:r w:rsidR="00A830F9" w:rsidRPr="00782923">
        <w:rPr>
          <w:rFonts w:ascii="Garamond" w:hAnsi="Garamond"/>
          <w:sz w:val="24"/>
          <w:szCs w:val="24"/>
          <w:lang w:val="en-GB"/>
        </w:rPr>
        <w:t xml:space="preserve"> to prominence in the 17</w:t>
      </w:r>
      <w:r w:rsidRPr="00782923">
        <w:rPr>
          <w:rFonts w:ascii="Garamond" w:hAnsi="Garamond"/>
          <w:sz w:val="24"/>
          <w:szCs w:val="24"/>
          <w:lang w:val="en-GB"/>
        </w:rPr>
        <w:t>00s</w:t>
      </w:r>
      <w:r w:rsidR="00A830F9" w:rsidRPr="00782923">
        <w:rPr>
          <w:rFonts w:ascii="Garamond" w:hAnsi="Garamond"/>
          <w:sz w:val="24"/>
          <w:szCs w:val="24"/>
          <w:lang w:val="en-GB"/>
        </w:rPr>
        <w:t xml:space="preserve"> (for example, through the French Declaration of the Rights of Man and of the Citizen of 1789)</w:t>
      </w:r>
      <w:r w:rsidRPr="00782923">
        <w:rPr>
          <w:rFonts w:ascii="Garamond" w:hAnsi="Garamond"/>
          <w:sz w:val="24"/>
          <w:szCs w:val="24"/>
          <w:lang w:val="en-GB"/>
        </w:rPr>
        <w:t xml:space="preserve"> to describe a core of basic rights and freedoms that each human being </w:t>
      </w:r>
      <w:r w:rsidR="002C35B7" w:rsidRPr="00782923">
        <w:rPr>
          <w:rFonts w:ascii="Garamond" w:hAnsi="Garamond"/>
          <w:sz w:val="24"/>
          <w:szCs w:val="24"/>
          <w:lang w:val="en-GB"/>
        </w:rPr>
        <w:t>is</w:t>
      </w:r>
      <w:r w:rsidRPr="00782923">
        <w:rPr>
          <w:rFonts w:ascii="Garamond" w:hAnsi="Garamond"/>
          <w:sz w:val="24"/>
          <w:szCs w:val="24"/>
          <w:lang w:val="en-GB"/>
        </w:rPr>
        <w:t xml:space="preserve"> entitled to</w:t>
      </w:r>
      <w:r w:rsidR="00A830F9" w:rsidRPr="00782923">
        <w:rPr>
          <w:rFonts w:ascii="Garamond" w:hAnsi="Garamond"/>
          <w:sz w:val="24"/>
          <w:szCs w:val="24"/>
          <w:lang w:val="en-GB"/>
        </w:rPr>
        <w:t>.</w:t>
      </w:r>
      <w:r w:rsidR="00160765" w:rsidRPr="00782923">
        <w:rPr>
          <w:rFonts w:ascii="Garamond" w:hAnsi="Garamond"/>
          <w:sz w:val="24"/>
          <w:szCs w:val="24"/>
          <w:lang w:val="en-GB"/>
        </w:rPr>
        <w:t xml:space="preserve"> </w:t>
      </w:r>
      <w:r w:rsidR="00A830F9" w:rsidRPr="00782923">
        <w:rPr>
          <w:rFonts w:ascii="Garamond" w:hAnsi="Garamond"/>
          <w:sz w:val="24"/>
          <w:szCs w:val="24"/>
          <w:lang w:val="en-GB"/>
        </w:rPr>
        <w:t xml:space="preserve">Today, the protection of human rights constitutes one of the central tasks of many modern constitutions and international agreements. </w:t>
      </w:r>
      <w:r w:rsidR="002C35B7" w:rsidRPr="00782923">
        <w:rPr>
          <w:rFonts w:ascii="Garamond" w:hAnsi="Garamond"/>
          <w:sz w:val="24"/>
          <w:szCs w:val="24"/>
          <w:lang w:val="en-GB"/>
        </w:rPr>
        <w:t xml:space="preserve">One such international agreement is the European Convention of Human Rights (ECHR), adopted and monitored by the Council of Europe. </w:t>
      </w:r>
    </w:p>
    <w:p w14:paraId="3AB8AF67" w14:textId="77777777" w:rsidR="00782923" w:rsidRDefault="002C35B7" w:rsidP="00AE3680">
      <w:pPr>
        <w:numPr>
          <w:ilvl w:val="0"/>
          <w:numId w:val="17"/>
        </w:numPr>
        <w:spacing w:after="120"/>
        <w:jc w:val="both"/>
        <w:rPr>
          <w:rFonts w:ascii="Garamond" w:hAnsi="Garamond"/>
          <w:sz w:val="24"/>
          <w:szCs w:val="24"/>
          <w:lang w:val="en-GB"/>
        </w:rPr>
      </w:pPr>
      <w:r w:rsidRPr="00782923">
        <w:rPr>
          <w:rFonts w:ascii="Garamond" w:hAnsi="Garamond"/>
          <w:sz w:val="24"/>
          <w:szCs w:val="24"/>
          <w:lang w:val="en-GB"/>
        </w:rPr>
        <w:t xml:space="preserve">The EU is a separate and autonomous legal order. </w:t>
      </w:r>
      <w:r w:rsidR="00B76454" w:rsidRPr="00782923">
        <w:rPr>
          <w:rFonts w:ascii="Garamond" w:hAnsi="Garamond"/>
          <w:sz w:val="24"/>
          <w:szCs w:val="24"/>
          <w:lang w:val="en-GB"/>
        </w:rPr>
        <w:t xml:space="preserve">When the </w:t>
      </w:r>
      <w:r w:rsidR="006F0971" w:rsidRPr="00782923">
        <w:rPr>
          <w:rFonts w:ascii="Garamond" w:hAnsi="Garamond"/>
          <w:sz w:val="24"/>
          <w:szCs w:val="24"/>
          <w:lang w:val="en-GB"/>
        </w:rPr>
        <w:t>ECSC</w:t>
      </w:r>
      <w:r w:rsidR="00B76454" w:rsidRPr="00782923">
        <w:rPr>
          <w:rFonts w:ascii="Garamond" w:hAnsi="Garamond"/>
          <w:sz w:val="24"/>
          <w:szCs w:val="24"/>
          <w:lang w:val="en-GB"/>
        </w:rPr>
        <w:t xml:space="preserve"> was created by the Treaty of Paris in 1951</w:t>
      </w:r>
      <w:r w:rsidR="00A61E53" w:rsidRPr="00782923">
        <w:rPr>
          <w:rFonts w:ascii="Garamond" w:hAnsi="Garamond"/>
          <w:sz w:val="24"/>
          <w:szCs w:val="24"/>
          <w:lang w:val="en-GB"/>
        </w:rPr>
        <w:t>,</w:t>
      </w:r>
      <w:r w:rsidR="00B76454" w:rsidRPr="00782923">
        <w:rPr>
          <w:rFonts w:ascii="Garamond" w:hAnsi="Garamond"/>
          <w:sz w:val="24"/>
          <w:szCs w:val="24"/>
          <w:lang w:val="en-GB"/>
        </w:rPr>
        <w:t xml:space="preserve"> the protection of human rights was not one of its core competences</w:t>
      </w:r>
      <w:r w:rsidR="00E45935" w:rsidRPr="00782923">
        <w:rPr>
          <w:rFonts w:ascii="Garamond" w:hAnsi="Garamond"/>
          <w:sz w:val="24"/>
          <w:szCs w:val="24"/>
          <w:lang w:val="en-GB"/>
        </w:rPr>
        <w:t>. This can be explained by its</w:t>
      </w:r>
      <w:r w:rsidR="006F0971" w:rsidRPr="00782923">
        <w:rPr>
          <w:rFonts w:ascii="Garamond" w:hAnsi="Garamond"/>
          <w:sz w:val="24"/>
          <w:szCs w:val="24"/>
          <w:lang w:val="en-GB"/>
        </w:rPr>
        <w:t xml:space="preserve"> limited scope. Indeed, it was intended that the ECSC would be accompanied by a “European Political Community”, which would have included provisions on human rights. </w:t>
      </w:r>
      <w:r w:rsidR="002A7AC9" w:rsidRPr="00782923">
        <w:rPr>
          <w:rFonts w:ascii="Garamond" w:hAnsi="Garamond"/>
          <w:sz w:val="24"/>
          <w:szCs w:val="24"/>
          <w:lang w:val="en-GB"/>
        </w:rPr>
        <w:t>With the</w:t>
      </w:r>
      <w:r w:rsidR="00E45935" w:rsidRPr="00782923">
        <w:rPr>
          <w:rFonts w:ascii="Garamond" w:hAnsi="Garamond"/>
          <w:sz w:val="24"/>
          <w:szCs w:val="24"/>
          <w:lang w:val="en-GB"/>
        </w:rPr>
        <w:t xml:space="preserve"> failure of the political union in 1954</w:t>
      </w:r>
      <w:r w:rsidR="002A7AC9" w:rsidRPr="00782923">
        <w:rPr>
          <w:rFonts w:ascii="Garamond" w:hAnsi="Garamond"/>
          <w:sz w:val="24"/>
          <w:szCs w:val="24"/>
          <w:lang w:val="en-GB"/>
        </w:rPr>
        <w:t>,</w:t>
      </w:r>
      <w:r w:rsidR="00E45935" w:rsidRPr="00782923">
        <w:rPr>
          <w:rFonts w:ascii="Garamond" w:hAnsi="Garamond"/>
          <w:sz w:val="24"/>
          <w:szCs w:val="24"/>
          <w:lang w:val="en-GB"/>
        </w:rPr>
        <w:t xml:space="preserve"> th</w:t>
      </w:r>
      <w:r w:rsidR="007E2441" w:rsidRPr="00782923">
        <w:rPr>
          <w:rFonts w:ascii="Garamond" w:hAnsi="Garamond"/>
          <w:sz w:val="24"/>
          <w:szCs w:val="24"/>
          <w:lang w:val="en-GB"/>
        </w:rPr>
        <w:t>e</w:t>
      </w:r>
      <w:r w:rsidR="00E45935" w:rsidRPr="00782923">
        <w:rPr>
          <w:rFonts w:ascii="Garamond" w:hAnsi="Garamond"/>
          <w:sz w:val="24"/>
          <w:szCs w:val="24"/>
          <w:lang w:val="en-GB"/>
        </w:rPr>
        <w:t xml:space="preserve"> “grander” project of a human rights bill was </w:t>
      </w:r>
      <w:r w:rsidR="002A7AC9" w:rsidRPr="00782923">
        <w:rPr>
          <w:rFonts w:ascii="Garamond" w:hAnsi="Garamond"/>
          <w:sz w:val="24"/>
          <w:szCs w:val="24"/>
          <w:lang w:val="en-GB"/>
        </w:rPr>
        <w:t>abandoned for</w:t>
      </w:r>
      <w:r w:rsidR="00E45935" w:rsidRPr="00782923">
        <w:rPr>
          <w:rFonts w:ascii="Garamond" w:hAnsi="Garamond"/>
          <w:sz w:val="24"/>
          <w:szCs w:val="24"/>
          <w:lang w:val="en-GB"/>
        </w:rPr>
        <w:t xml:space="preserve"> the “smaller” project of economic integration. </w:t>
      </w:r>
      <w:r w:rsidR="002A7AC9" w:rsidRPr="00782923">
        <w:rPr>
          <w:rFonts w:ascii="Garamond" w:hAnsi="Garamond"/>
          <w:sz w:val="24"/>
          <w:szCs w:val="24"/>
          <w:lang w:val="en-GB"/>
        </w:rPr>
        <w:t>Thus, t</w:t>
      </w:r>
      <w:r w:rsidR="00E45935" w:rsidRPr="00782923">
        <w:rPr>
          <w:rFonts w:ascii="Garamond" w:hAnsi="Garamond"/>
          <w:sz w:val="24"/>
          <w:szCs w:val="24"/>
          <w:lang w:val="en-GB"/>
        </w:rPr>
        <w:t xml:space="preserve">he ensuing Treaty of Rome of 1957 </w:t>
      </w:r>
      <w:r w:rsidR="002F6721" w:rsidRPr="00782923">
        <w:rPr>
          <w:rFonts w:ascii="Garamond" w:hAnsi="Garamond"/>
          <w:sz w:val="24"/>
          <w:szCs w:val="24"/>
          <w:lang w:val="en-GB"/>
        </w:rPr>
        <w:t>re</w:t>
      </w:r>
      <w:r w:rsidR="00A67B03" w:rsidRPr="00782923">
        <w:rPr>
          <w:rFonts w:ascii="Garamond" w:hAnsi="Garamond"/>
          <w:sz w:val="24"/>
          <w:szCs w:val="24"/>
          <w:lang w:val="en-GB"/>
        </w:rPr>
        <w:t xml:space="preserve">mained silent on human rights </w:t>
      </w:r>
      <w:r w:rsidR="00383B81" w:rsidRPr="00782923">
        <w:rPr>
          <w:rFonts w:ascii="Garamond" w:hAnsi="Garamond"/>
          <w:sz w:val="24"/>
          <w:szCs w:val="24"/>
          <w:lang w:val="en-GB"/>
        </w:rPr>
        <w:t>(</w:t>
      </w:r>
      <w:r w:rsidR="00A67B03" w:rsidRPr="00782923">
        <w:rPr>
          <w:rFonts w:ascii="Garamond" w:hAnsi="Garamond"/>
          <w:sz w:val="24"/>
          <w:szCs w:val="24"/>
          <w:lang w:val="en-GB"/>
        </w:rPr>
        <w:t>i</w:t>
      </w:r>
      <w:r w:rsidR="00E45935" w:rsidRPr="00782923">
        <w:rPr>
          <w:rFonts w:ascii="Garamond" w:hAnsi="Garamond"/>
          <w:sz w:val="24"/>
          <w:szCs w:val="24"/>
          <w:lang w:val="en-GB"/>
        </w:rPr>
        <w:t>ts primary focus was on building an internal market for the free movement of goods, services, and people.</w:t>
      </w:r>
      <w:r w:rsidR="00383B81" w:rsidRPr="00782923">
        <w:rPr>
          <w:rFonts w:ascii="Garamond" w:hAnsi="Garamond"/>
          <w:sz w:val="24"/>
          <w:szCs w:val="24"/>
          <w:lang w:val="en-GB"/>
        </w:rPr>
        <w:t>)</w:t>
      </w:r>
      <w:r w:rsidR="00E45935" w:rsidRPr="00782923">
        <w:rPr>
          <w:rFonts w:ascii="Garamond" w:hAnsi="Garamond"/>
          <w:sz w:val="24"/>
          <w:szCs w:val="24"/>
          <w:lang w:val="en-GB"/>
        </w:rPr>
        <w:t xml:space="preserve"> </w:t>
      </w:r>
    </w:p>
    <w:p w14:paraId="24B5DCB8" w14:textId="6FE25151" w:rsidR="00257E4E" w:rsidRDefault="004845C0" w:rsidP="00257E4E">
      <w:pPr>
        <w:numPr>
          <w:ilvl w:val="0"/>
          <w:numId w:val="17"/>
        </w:numPr>
        <w:spacing w:after="120"/>
        <w:jc w:val="both"/>
        <w:rPr>
          <w:rFonts w:ascii="Garamond" w:hAnsi="Garamond"/>
          <w:sz w:val="24"/>
          <w:szCs w:val="24"/>
          <w:lang w:val="en-GB"/>
        </w:rPr>
      </w:pPr>
      <w:r w:rsidRPr="00782923">
        <w:rPr>
          <w:rFonts w:ascii="Garamond" w:hAnsi="Garamond"/>
          <w:sz w:val="24"/>
          <w:szCs w:val="24"/>
          <w:lang w:val="en-GB"/>
        </w:rPr>
        <w:t>E</w:t>
      </w:r>
      <w:r w:rsidR="005F0D55" w:rsidRPr="00782923">
        <w:rPr>
          <w:rFonts w:ascii="Garamond" w:hAnsi="Garamond"/>
          <w:sz w:val="24"/>
          <w:szCs w:val="24"/>
          <w:lang w:val="en-GB"/>
        </w:rPr>
        <w:t>ven though</w:t>
      </w:r>
      <w:r w:rsidR="004752B1" w:rsidRPr="00782923">
        <w:rPr>
          <w:rFonts w:ascii="Garamond" w:hAnsi="Garamond"/>
          <w:sz w:val="24"/>
          <w:szCs w:val="24"/>
          <w:lang w:val="en-GB"/>
        </w:rPr>
        <w:t xml:space="preserve"> there was no “Bill of Rights” in the original Treaties, three sources of human rights were subsequently developed.</w:t>
      </w:r>
      <w:r w:rsidRPr="00782923">
        <w:rPr>
          <w:rFonts w:ascii="Garamond" w:hAnsi="Garamond"/>
          <w:sz w:val="24"/>
          <w:szCs w:val="24"/>
          <w:lang w:val="en-GB"/>
        </w:rPr>
        <w:t xml:space="preserve"> First, the Court of Justice </w:t>
      </w:r>
      <w:r w:rsidR="00CF66B4" w:rsidRPr="00782923">
        <w:rPr>
          <w:rFonts w:ascii="Garamond" w:hAnsi="Garamond"/>
          <w:sz w:val="24"/>
          <w:szCs w:val="24"/>
          <w:lang w:val="en-GB"/>
        </w:rPr>
        <w:t>established</w:t>
      </w:r>
      <w:r w:rsidR="002F6721" w:rsidRPr="00782923">
        <w:rPr>
          <w:rFonts w:ascii="Garamond" w:hAnsi="Garamond"/>
          <w:sz w:val="24"/>
          <w:szCs w:val="24"/>
          <w:lang w:val="en-GB"/>
        </w:rPr>
        <w:t xml:space="preserve"> that human rights </w:t>
      </w:r>
      <w:r w:rsidR="00CF66B4" w:rsidRPr="00782923">
        <w:rPr>
          <w:rFonts w:ascii="Garamond" w:hAnsi="Garamond"/>
          <w:sz w:val="24"/>
          <w:szCs w:val="24"/>
          <w:lang w:val="en-GB"/>
        </w:rPr>
        <w:t>were</w:t>
      </w:r>
      <w:r w:rsidR="002F6721" w:rsidRPr="00782923">
        <w:rPr>
          <w:rFonts w:ascii="Garamond" w:hAnsi="Garamond"/>
          <w:sz w:val="24"/>
          <w:szCs w:val="24"/>
          <w:lang w:val="en-GB"/>
        </w:rPr>
        <w:t xml:space="preserve"> part of the </w:t>
      </w:r>
      <w:r w:rsidR="002F6721" w:rsidRPr="00782923">
        <w:rPr>
          <w:rFonts w:ascii="Garamond" w:hAnsi="Garamond"/>
          <w:i/>
          <w:sz w:val="24"/>
          <w:szCs w:val="24"/>
          <w:lang w:val="en-GB"/>
        </w:rPr>
        <w:t xml:space="preserve">unwritten </w:t>
      </w:r>
      <w:r w:rsidR="002F6721" w:rsidRPr="00782923">
        <w:rPr>
          <w:rFonts w:ascii="Garamond" w:hAnsi="Garamond"/>
          <w:sz w:val="24"/>
          <w:szCs w:val="24"/>
          <w:lang w:val="en-GB"/>
        </w:rPr>
        <w:t>general principles of EU law</w:t>
      </w:r>
      <w:r w:rsidR="00CF66B4" w:rsidRPr="00782923">
        <w:rPr>
          <w:rFonts w:ascii="Garamond" w:hAnsi="Garamond"/>
          <w:sz w:val="24"/>
          <w:szCs w:val="24"/>
          <w:lang w:val="en-GB"/>
        </w:rPr>
        <w:t xml:space="preserve">, on the basis of constitutional traditions </w:t>
      </w:r>
      <w:r w:rsidR="002A7AC9" w:rsidRPr="00782923">
        <w:rPr>
          <w:rFonts w:ascii="Garamond" w:hAnsi="Garamond"/>
          <w:sz w:val="24"/>
          <w:szCs w:val="24"/>
          <w:lang w:val="en-GB"/>
        </w:rPr>
        <w:t>common to</w:t>
      </w:r>
      <w:r w:rsidR="00CF66B4" w:rsidRPr="00782923">
        <w:rPr>
          <w:rFonts w:ascii="Garamond" w:hAnsi="Garamond"/>
          <w:sz w:val="24"/>
          <w:szCs w:val="24"/>
          <w:lang w:val="en-GB"/>
        </w:rPr>
        <w:t xml:space="preserve"> the Member States</w:t>
      </w:r>
      <w:r w:rsidR="002F6721" w:rsidRPr="00782923">
        <w:rPr>
          <w:rFonts w:ascii="Garamond" w:hAnsi="Garamond"/>
          <w:sz w:val="24"/>
          <w:szCs w:val="24"/>
          <w:lang w:val="en-GB"/>
        </w:rPr>
        <w:t xml:space="preserve">. </w:t>
      </w:r>
      <w:r w:rsidR="00CF66B4" w:rsidRPr="00782923">
        <w:rPr>
          <w:rFonts w:ascii="Garamond" w:hAnsi="Garamond"/>
          <w:sz w:val="24"/>
          <w:szCs w:val="24"/>
          <w:lang w:val="en-GB"/>
        </w:rPr>
        <w:t xml:space="preserve">Second, the Court’s case law </w:t>
      </w:r>
      <w:r w:rsidR="002A7AC9" w:rsidRPr="00782923">
        <w:rPr>
          <w:rFonts w:ascii="Garamond" w:hAnsi="Garamond"/>
          <w:sz w:val="24"/>
          <w:szCs w:val="24"/>
          <w:lang w:val="en-GB"/>
        </w:rPr>
        <w:t xml:space="preserve">drew inspiration from an </w:t>
      </w:r>
      <w:r w:rsidR="002A7AC9" w:rsidRPr="00782923">
        <w:rPr>
          <w:rFonts w:ascii="Garamond" w:hAnsi="Garamond"/>
          <w:i/>
          <w:sz w:val="24"/>
          <w:szCs w:val="24"/>
          <w:lang w:val="en-GB"/>
        </w:rPr>
        <w:t>external</w:t>
      </w:r>
      <w:r w:rsidR="002A7AC9" w:rsidRPr="00782923">
        <w:rPr>
          <w:rFonts w:ascii="Garamond" w:hAnsi="Garamond"/>
          <w:sz w:val="24"/>
          <w:szCs w:val="24"/>
          <w:lang w:val="en-GB"/>
        </w:rPr>
        <w:t xml:space="preserve"> </w:t>
      </w:r>
      <w:r w:rsidR="00383B81" w:rsidRPr="00782923">
        <w:rPr>
          <w:rFonts w:ascii="Garamond" w:hAnsi="Garamond"/>
          <w:sz w:val="24"/>
          <w:szCs w:val="24"/>
          <w:lang w:val="en-GB"/>
        </w:rPr>
        <w:t>source</w:t>
      </w:r>
      <w:r w:rsidR="002A7AC9" w:rsidRPr="00782923">
        <w:rPr>
          <w:rFonts w:ascii="Garamond" w:hAnsi="Garamond"/>
          <w:sz w:val="24"/>
          <w:szCs w:val="24"/>
          <w:lang w:val="en-GB"/>
        </w:rPr>
        <w:t xml:space="preserve">: the European Convention of Human Rights. </w:t>
      </w:r>
      <w:r w:rsidR="00CF66B4" w:rsidRPr="00782923">
        <w:rPr>
          <w:rFonts w:ascii="Garamond" w:hAnsi="Garamond"/>
          <w:sz w:val="24"/>
          <w:szCs w:val="24"/>
          <w:lang w:val="en-GB"/>
        </w:rPr>
        <w:t>D</w:t>
      </w:r>
      <w:r w:rsidR="002F72EF" w:rsidRPr="00782923">
        <w:rPr>
          <w:rFonts w:ascii="Garamond" w:hAnsi="Garamond"/>
          <w:sz w:val="24"/>
          <w:szCs w:val="24"/>
          <w:lang w:val="en-GB"/>
        </w:rPr>
        <w:t xml:space="preserve">ecades later, the EU </w:t>
      </w:r>
      <w:r w:rsidRPr="00782923">
        <w:rPr>
          <w:rFonts w:ascii="Garamond" w:hAnsi="Garamond"/>
          <w:sz w:val="24"/>
          <w:szCs w:val="24"/>
          <w:lang w:val="en-GB"/>
        </w:rPr>
        <w:t xml:space="preserve">adopted its own </w:t>
      </w:r>
      <w:r w:rsidRPr="00782923">
        <w:rPr>
          <w:rFonts w:ascii="Garamond" w:hAnsi="Garamond"/>
          <w:i/>
          <w:sz w:val="24"/>
          <w:szCs w:val="24"/>
          <w:lang w:val="en-GB"/>
        </w:rPr>
        <w:t>written</w:t>
      </w:r>
      <w:r w:rsidRPr="00782923">
        <w:rPr>
          <w:rFonts w:ascii="Garamond" w:hAnsi="Garamond"/>
          <w:sz w:val="24"/>
          <w:szCs w:val="24"/>
          <w:lang w:val="en-GB"/>
        </w:rPr>
        <w:t xml:space="preserve"> </w:t>
      </w:r>
      <w:r w:rsidR="00383B81" w:rsidRPr="00782923">
        <w:rPr>
          <w:rFonts w:ascii="Garamond" w:hAnsi="Garamond"/>
          <w:sz w:val="24"/>
          <w:szCs w:val="24"/>
          <w:lang w:val="en-GB"/>
        </w:rPr>
        <w:t>“bill of rights”</w:t>
      </w:r>
      <w:r w:rsidRPr="00782923">
        <w:rPr>
          <w:rFonts w:ascii="Garamond" w:hAnsi="Garamond"/>
          <w:sz w:val="24"/>
          <w:szCs w:val="24"/>
          <w:lang w:val="en-GB"/>
        </w:rPr>
        <w:t xml:space="preserve">: the Charter of Fundamental Rights. </w:t>
      </w:r>
      <w:r w:rsidR="00FD16EC" w:rsidRPr="00782923">
        <w:rPr>
          <w:rFonts w:ascii="Garamond" w:hAnsi="Garamond"/>
          <w:sz w:val="24"/>
          <w:szCs w:val="24"/>
          <w:lang w:val="en-GB"/>
        </w:rPr>
        <w:t>These three sources are now expressly referred to</w:t>
      </w:r>
      <w:r w:rsidR="001856A5" w:rsidRPr="00782923">
        <w:rPr>
          <w:rFonts w:ascii="Garamond" w:hAnsi="Garamond"/>
          <w:sz w:val="24"/>
          <w:szCs w:val="24"/>
          <w:lang w:val="en-GB"/>
        </w:rPr>
        <w:t xml:space="preserve">, </w:t>
      </w:r>
      <w:r w:rsidR="00FD16EC" w:rsidRPr="00782923">
        <w:rPr>
          <w:rFonts w:ascii="Garamond" w:hAnsi="Garamond"/>
          <w:sz w:val="24"/>
          <w:szCs w:val="24"/>
          <w:lang w:val="en-GB"/>
        </w:rPr>
        <w:t>in reverse order</w:t>
      </w:r>
      <w:r w:rsidR="001856A5" w:rsidRPr="00782923">
        <w:rPr>
          <w:rFonts w:ascii="Garamond" w:hAnsi="Garamond"/>
          <w:sz w:val="24"/>
          <w:szCs w:val="24"/>
          <w:lang w:val="en-GB"/>
        </w:rPr>
        <w:t xml:space="preserve">, </w:t>
      </w:r>
      <w:r w:rsidR="00FD16EC" w:rsidRPr="00782923">
        <w:rPr>
          <w:rFonts w:ascii="Garamond" w:hAnsi="Garamond"/>
          <w:sz w:val="24"/>
          <w:szCs w:val="24"/>
          <w:lang w:val="en-GB"/>
        </w:rPr>
        <w:t xml:space="preserve">in </w:t>
      </w:r>
      <w:r w:rsidR="007F13C7" w:rsidRPr="00782923">
        <w:rPr>
          <w:rFonts w:ascii="Garamond" w:hAnsi="Garamond"/>
          <w:sz w:val="24"/>
          <w:szCs w:val="24"/>
          <w:u w:val="single"/>
          <w:lang w:val="en-GB"/>
        </w:rPr>
        <w:t>Article 6 TEU</w:t>
      </w:r>
      <w:r w:rsidR="007F13C7" w:rsidRPr="00782923">
        <w:rPr>
          <w:rFonts w:ascii="Garamond" w:hAnsi="Garamond"/>
          <w:sz w:val="24"/>
          <w:szCs w:val="24"/>
          <w:lang w:val="en-GB"/>
        </w:rPr>
        <w:t>:</w:t>
      </w:r>
      <w:r w:rsidR="00FD16EC" w:rsidRPr="00782923">
        <w:rPr>
          <w:rFonts w:ascii="Garamond" w:hAnsi="Garamond"/>
          <w:sz w:val="24"/>
          <w:szCs w:val="24"/>
          <w:lang w:val="en-GB"/>
        </w:rPr>
        <w:t xml:space="preserve"> </w:t>
      </w:r>
    </w:p>
    <w:p w14:paraId="312FEC83" w14:textId="77777777" w:rsidR="00257E4E" w:rsidRPr="00257E4E" w:rsidRDefault="00257E4E" w:rsidP="00257E4E">
      <w:pPr>
        <w:spacing w:after="120"/>
        <w:ind w:left="360"/>
        <w:jc w:val="both"/>
        <w:rPr>
          <w:rFonts w:ascii="Garamond" w:hAnsi="Garamond"/>
          <w:sz w:val="24"/>
          <w:szCs w:val="24"/>
          <w:lang w:val="en-GB"/>
        </w:rPr>
      </w:pPr>
    </w:p>
    <w:p w14:paraId="332844E2" w14:textId="77777777" w:rsidR="00FD16EC" w:rsidRPr="00833326" w:rsidRDefault="00FD16EC" w:rsidP="00AE3680">
      <w:pPr>
        <w:numPr>
          <w:ilvl w:val="0"/>
          <w:numId w:val="4"/>
        </w:numPr>
        <w:spacing w:after="120"/>
        <w:jc w:val="both"/>
        <w:rPr>
          <w:rFonts w:ascii="Garamond" w:hAnsi="Garamond" w:cs="Helvetica"/>
          <w:color w:val="141215"/>
          <w:sz w:val="20"/>
          <w:szCs w:val="20"/>
          <w:lang w:val="en-GB"/>
        </w:rPr>
      </w:pPr>
      <w:r w:rsidRPr="00833326">
        <w:rPr>
          <w:rFonts w:ascii="Garamond" w:hAnsi="Garamond" w:cs="Helvetica"/>
          <w:color w:val="141215"/>
          <w:sz w:val="20"/>
          <w:szCs w:val="20"/>
          <w:lang w:val="en-GB"/>
        </w:rPr>
        <w:t>The Union recognises the rights, freedoms and principles set out in the Charter of Fundamental Rights of the European Union of 7 December 2000, as adapted at Strasbourg, on 12 December 2007, which shall have the same legal value as the Treaties. (…)</w:t>
      </w:r>
    </w:p>
    <w:p w14:paraId="2AE760DA" w14:textId="77777777" w:rsidR="00FD16EC" w:rsidRPr="00833326" w:rsidRDefault="00FD16EC" w:rsidP="00AE3680">
      <w:pPr>
        <w:numPr>
          <w:ilvl w:val="0"/>
          <w:numId w:val="4"/>
        </w:numPr>
        <w:spacing w:after="120"/>
        <w:jc w:val="both"/>
        <w:rPr>
          <w:rFonts w:ascii="Garamond" w:hAnsi="Garamond" w:cs="Helvetica"/>
          <w:color w:val="141215"/>
          <w:sz w:val="20"/>
          <w:szCs w:val="20"/>
          <w:lang w:val="en-GB"/>
        </w:rPr>
      </w:pPr>
      <w:r w:rsidRPr="00833326">
        <w:rPr>
          <w:rFonts w:ascii="Garamond" w:hAnsi="Garamond" w:cs="Helvetica"/>
          <w:color w:val="141215"/>
          <w:sz w:val="20"/>
          <w:szCs w:val="20"/>
          <w:lang w:val="en-GB"/>
        </w:rPr>
        <w:t>The Union shall accede to the European Convention for the Protection of Human Rights and Fundamental Freedoms. Such accession shall not affect the Union’s competences as defined in the Treaties.</w:t>
      </w:r>
    </w:p>
    <w:p w14:paraId="0F33D98C" w14:textId="33A6AEDB" w:rsidR="003E09AF" w:rsidRDefault="00FD16EC" w:rsidP="00257E4E">
      <w:pPr>
        <w:numPr>
          <w:ilvl w:val="0"/>
          <w:numId w:val="4"/>
        </w:numPr>
        <w:spacing w:after="120"/>
        <w:jc w:val="both"/>
        <w:rPr>
          <w:rFonts w:ascii="Garamond" w:hAnsi="Garamond"/>
          <w:sz w:val="20"/>
          <w:szCs w:val="20"/>
          <w:lang w:val="en-GB"/>
        </w:rPr>
      </w:pPr>
      <w:r w:rsidRPr="00833326">
        <w:rPr>
          <w:rFonts w:ascii="Garamond" w:hAnsi="Garamond" w:cs="Helvetica"/>
          <w:color w:val="141215"/>
          <w:sz w:val="20"/>
          <w:szCs w:val="20"/>
          <w:lang w:val="en-GB"/>
        </w:rPr>
        <w:t>Fundamental rights, as guaranteed by the European Convention for the Protection of Human Rights and Fundamental Freedoms and as they result from the constitutional traditions common to the Member States, shall constitute general principles of the Union’s law.</w:t>
      </w:r>
    </w:p>
    <w:p w14:paraId="30139B9C" w14:textId="77777777" w:rsidR="00257E4E" w:rsidRPr="00257E4E" w:rsidRDefault="00257E4E" w:rsidP="00257E4E">
      <w:pPr>
        <w:spacing w:after="120"/>
        <w:jc w:val="both"/>
        <w:rPr>
          <w:rFonts w:ascii="Garamond" w:hAnsi="Garamond"/>
          <w:sz w:val="20"/>
          <w:szCs w:val="20"/>
          <w:lang w:val="en-GB"/>
        </w:rPr>
      </w:pPr>
    </w:p>
    <w:p w14:paraId="548B414C" w14:textId="31338ADF" w:rsidR="004845C0" w:rsidRPr="00782923" w:rsidRDefault="004845C0" w:rsidP="008B69B4">
      <w:pPr>
        <w:numPr>
          <w:ilvl w:val="0"/>
          <w:numId w:val="17"/>
        </w:numPr>
        <w:spacing w:after="120"/>
        <w:jc w:val="both"/>
        <w:rPr>
          <w:rFonts w:ascii="Garamond" w:hAnsi="Garamond"/>
          <w:sz w:val="24"/>
          <w:szCs w:val="24"/>
          <w:lang w:val="en-GB"/>
        </w:rPr>
      </w:pPr>
      <w:r w:rsidRPr="00782923">
        <w:rPr>
          <w:rFonts w:ascii="Garamond" w:hAnsi="Garamond"/>
          <w:sz w:val="24"/>
          <w:szCs w:val="24"/>
          <w:lang w:val="en-GB"/>
        </w:rPr>
        <w:lastRenderedPageBreak/>
        <w:t>Why “fundamental</w:t>
      </w:r>
      <w:r w:rsidR="002F72EF" w:rsidRPr="00782923">
        <w:rPr>
          <w:rFonts w:ascii="Garamond" w:hAnsi="Garamond"/>
          <w:sz w:val="24"/>
          <w:szCs w:val="24"/>
          <w:lang w:val="en-GB"/>
        </w:rPr>
        <w:t>”</w:t>
      </w:r>
      <w:r w:rsidRPr="00782923">
        <w:rPr>
          <w:rFonts w:ascii="Garamond" w:hAnsi="Garamond"/>
          <w:sz w:val="24"/>
          <w:szCs w:val="24"/>
          <w:lang w:val="en-GB"/>
        </w:rPr>
        <w:t xml:space="preserve"> rights? </w:t>
      </w:r>
      <w:r w:rsidR="005F0D55" w:rsidRPr="00782923">
        <w:rPr>
          <w:rFonts w:ascii="Garamond" w:hAnsi="Garamond"/>
          <w:sz w:val="24"/>
          <w:szCs w:val="24"/>
          <w:lang w:val="en-GB"/>
        </w:rPr>
        <w:t xml:space="preserve">Eventually, </w:t>
      </w:r>
      <w:r w:rsidR="00C170BF" w:rsidRPr="00782923">
        <w:rPr>
          <w:rFonts w:ascii="Garamond" w:hAnsi="Garamond"/>
          <w:sz w:val="24"/>
          <w:szCs w:val="24"/>
          <w:lang w:val="en-GB"/>
        </w:rPr>
        <w:t xml:space="preserve">protection for </w:t>
      </w:r>
      <w:r w:rsidR="005F0D55" w:rsidRPr="00782923">
        <w:rPr>
          <w:rFonts w:ascii="Garamond" w:hAnsi="Garamond"/>
          <w:sz w:val="24"/>
          <w:szCs w:val="24"/>
          <w:lang w:val="en-GB"/>
        </w:rPr>
        <w:t>human rights came to be recognised as a foundational</w:t>
      </w:r>
      <w:r w:rsidR="002F72EF" w:rsidRPr="00782923">
        <w:rPr>
          <w:rFonts w:ascii="Garamond" w:hAnsi="Garamond"/>
          <w:sz w:val="24"/>
          <w:szCs w:val="24"/>
          <w:lang w:val="en-GB"/>
        </w:rPr>
        <w:t xml:space="preserve"> objective of the European Union. </w:t>
      </w:r>
      <w:r w:rsidR="002A7AC9" w:rsidRPr="00782923">
        <w:rPr>
          <w:rFonts w:ascii="Garamond" w:hAnsi="Garamond"/>
          <w:sz w:val="24"/>
          <w:szCs w:val="24"/>
          <w:lang w:val="en-GB"/>
        </w:rPr>
        <w:t xml:space="preserve">Specifically, </w:t>
      </w:r>
      <w:r w:rsidR="005F0D55" w:rsidRPr="00782923">
        <w:rPr>
          <w:rFonts w:ascii="Garamond" w:hAnsi="Garamond"/>
          <w:sz w:val="24"/>
          <w:szCs w:val="24"/>
          <w:lang w:val="en-GB"/>
        </w:rPr>
        <w:t xml:space="preserve">Article 2 TEU </w:t>
      </w:r>
      <w:r w:rsidR="002F72EF" w:rsidRPr="00782923">
        <w:rPr>
          <w:rFonts w:ascii="Garamond" w:hAnsi="Garamond"/>
          <w:sz w:val="24"/>
          <w:szCs w:val="24"/>
          <w:lang w:val="en-GB"/>
        </w:rPr>
        <w:t>states</w:t>
      </w:r>
      <w:r w:rsidR="005F0D55" w:rsidRPr="00782923">
        <w:rPr>
          <w:rFonts w:ascii="Garamond" w:hAnsi="Garamond"/>
          <w:sz w:val="24"/>
          <w:szCs w:val="24"/>
          <w:lang w:val="en-GB"/>
        </w:rPr>
        <w:t xml:space="preserve"> that the Union is </w:t>
      </w:r>
      <w:r w:rsidR="00782923">
        <w:rPr>
          <w:rFonts w:ascii="Garamond" w:hAnsi="Garamond"/>
          <w:sz w:val="24"/>
          <w:szCs w:val="24"/>
          <w:lang w:val="en-GB"/>
        </w:rPr>
        <w:t>‘</w:t>
      </w:r>
      <w:r w:rsidR="005F0D55" w:rsidRPr="00782923">
        <w:rPr>
          <w:rFonts w:ascii="Garamond" w:hAnsi="Garamond"/>
          <w:sz w:val="24"/>
          <w:szCs w:val="24"/>
          <w:lang w:val="en-GB"/>
        </w:rPr>
        <w:t xml:space="preserve">founded on the values of respect for human dignity, freedom, democracy, equality, the rule of law and respect for human </w:t>
      </w:r>
      <w:proofErr w:type="gramStart"/>
      <w:r w:rsidR="005F0D55" w:rsidRPr="00782923">
        <w:rPr>
          <w:rFonts w:ascii="Garamond" w:hAnsi="Garamond"/>
          <w:sz w:val="24"/>
          <w:szCs w:val="24"/>
          <w:lang w:val="en-GB"/>
        </w:rPr>
        <w:t>rights</w:t>
      </w:r>
      <w:r w:rsidR="00782923">
        <w:rPr>
          <w:rFonts w:ascii="Garamond" w:hAnsi="Garamond"/>
          <w:sz w:val="24"/>
          <w:szCs w:val="24"/>
          <w:lang w:val="en-GB"/>
        </w:rPr>
        <w:t>’</w:t>
      </w:r>
      <w:proofErr w:type="gramEnd"/>
      <w:r w:rsidR="005F0D55" w:rsidRPr="00782923">
        <w:rPr>
          <w:rFonts w:ascii="Garamond" w:hAnsi="Garamond"/>
          <w:sz w:val="24"/>
          <w:szCs w:val="24"/>
          <w:lang w:val="en-GB"/>
        </w:rPr>
        <w:t>. They are</w:t>
      </w:r>
      <w:r w:rsidR="00782923">
        <w:rPr>
          <w:rFonts w:ascii="Garamond" w:hAnsi="Garamond"/>
          <w:sz w:val="24"/>
          <w:szCs w:val="24"/>
          <w:lang w:val="en-GB"/>
        </w:rPr>
        <w:t xml:space="preserve"> </w:t>
      </w:r>
      <w:r w:rsidR="00C170BF" w:rsidRPr="00782923">
        <w:rPr>
          <w:rFonts w:ascii="Garamond" w:hAnsi="Garamond"/>
          <w:sz w:val="24"/>
          <w:szCs w:val="24"/>
          <w:lang w:val="en-GB"/>
        </w:rPr>
        <w:t>“</w:t>
      </w:r>
      <w:r w:rsidR="002F72EF" w:rsidRPr="00782923">
        <w:rPr>
          <w:rFonts w:ascii="Garamond" w:hAnsi="Garamond"/>
          <w:sz w:val="24"/>
          <w:szCs w:val="24"/>
          <w:lang w:val="en-GB"/>
        </w:rPr>
        <w:t>fundamental</w:t>
      </w:r>
      <w:r w:rsidR="00C170BF" w:rsidRPr="00782923">
        <w:rPr>
          <w:rFonts w:ascii="Garamond" w:hAnsi="Garamond"/>
          <w:sz w:val="24"/>
          <w:szCs w:val="24"/>
          <w:lang w:val="en-GB"/>
        </w:rPr>
        <w:t>”</w:t>
      </w:r>
      <w:r w:rsidR="002F72EF" w:rsidRPr="00782923">
        <w:rPr>
          <w:rFonts w:ascii="Garamond" w:hAnsi="Garamond"/>
          <w:sz w:val="24"/>
          <w:szCs w:val="24"/>
          <w:lang w:val="en-GB"/>
        </w:rPr>
        <w:t xml:space="preserve"> </w:t>
      </w:r>
      <w:r w:rsidR="00F83308" w:rsidRPr="00782923">
        <w:rPr>
          <w:rFonts w:ascii="Garamond" w:hAnsi="Garamond"/>
          <w:sz w:val="24"/>
          <w:szCs w:val="24"/>
          <w:lang w:val="en-GB"/>
        </w:rPr>
        <w:t>amid</w:t>
      </w:r>
      <w:r w:rsidR="00C170BF" w:rsidRPr="00782923">
        <w:rPr>
          <w:rFonts w:ascii="Garamond" w:hAnsi="Garamond"/>
          <w:sz w:val="24"/>
          <w:szCs w:val="24"/>
          <w:lang w:val="en-GB"/>
        </w:rPr>
        <w:t xml:space="preserve"> the </w:t>
      </w:r>
      <w:r w:rsidR="00782923">
        <w:rPr>
          <w:rFonts w:ascii="Garamond" w:hAnsi="Garamond"/>
          <w:sz w:val="24"/>
          <w:szCs w:val="24"/>
          <w:lang w:val="en-GB"/>
        </w:rPr>
        <w:t xml:space="preserve">legal </w:t>
      </w:r>
      <w:r w:rsidR="00C170BF" w:rsidRPr="00782923">
        <w:rPr>
          <w:rFonts w:ascii="Garamond" w:hAnsi="Garamond"/>
          <w:sz w:val="24"/>
          <w:szCs w:val="24"/>
          <w:lang w:val="en-GB"/>
        </w:rPr>
        <w:t xml:space="preserve">rights granted by EU law. </w:t>
      </w:r>
    </w:p>
    <w:p w14:paraId="7D54E2D6" w14:textId="19915810" w:rsidR="00862BF8" w:rsidRPr="00CC60C5" w:rsidRDefault="00FD16EC" w:rsidP="00A37136">
      <w:pPr>
        <w:pStyle w:val="Heading1"/>
      </w:pPr>
      <w:r w:rsidRPr="00833326">
        <w:t xml:space="preserve">2. </w:t>
      </w:r>
      <w:r w:rsidR="00383B81">
        <w:t>General Principles of EU Law</w:t>
      </w:r>
      <w:r w:rsidR="00E0220C">
        <w:t xml:space="preserve">: </w:t>
      </w:r>
      <w:r w:rsidR="00CC60C5">
        <w:t xml:space="preserve">the </w:t>
      </w:r>
      <w:r w:rsidR="00CC60C5">
        <w:rPr>
          <w:i/>
        </w:rPr>
        <w:t>unwritten</w:t>
      </w:r>
      <w:r w:rsidR="00CC60C5">
        <w:t xml:space="preserve"> “bill of rights”</w:t>
      </w:r>
    </w:p>
    <w:p w14:paraId="3ABE28F3" w14:textId="77777777" w:rsidR="00782923" w:rsidRDefault="00EE45BD" w:rsidP="00AE3680">
      <w:pPr>
        <w:numPr>
          <w:ilvl w:val="0"/>
          <w:numId w:val="17"/>
        </w:numPr>
        <w:spacing w:after="120"/>
        <w:jc w:val="both"/>
        <w:rPr>
          <w:rFonts w:ascii="Garamond" w:hAnsi="Garamond"/>
          <w:sz w:val="24"/>
          <w:szCs w:val="24"/>
          <w:lang w:val="en-GB"/>
        </w:rPr>
      </w:pPr>
      <w:r w:rsidRPr="00782923">
        <w:rPr>
          <w:rFonts w:ascii="Garamond" w:hAnsi="Garamond"/>
          <w:sz w:val="24"/>
          <w:szCs w:val="24"/>
          <w:lang w:val="en-GB"/>
        </w:rPr>
        <w:t xml:space="preserve">The </w:t>
      </w:r>
      <w:r w:rsidR="00782923">
        <w:rPr>
          <w:rFonts w:ascii="Garamond" w:hAnsi="Garamond"/>
          <w:sz w:val="24"/>
          <w:szCs w:val="24"/>
          <w:lang w:val="en-GB"/>
        </w:rPr>
        <w:t>CJEU</w:t>
      </w:r>
      <w:r w:rsidRPr="00782923">
        <w:rPr>
          <w:rFonts w:ascii="Garamond" w:hAnsi="Garamond"/>
          <w:sz w:val="24"/>
          <w:szCs w:val="24"/>
          <w:lang w:val="en-GB"/>
        </w:rPr>
        <w:t xml:space="preserve"> was called to address the issue of fundamental rights in as early as 1958. In </w:t>
      </w:r>
      <w:r w:rsidRPr="00782923">
        <w:rPr>
          <w:rFonts w:ascii="Garamond" w:hAnsi="Garamond"/>
          <w:i/>
          <w:sz w:val="24"/>
          <w:szCs w:val="24"/>
          <w:lang w:val="en-GB"/>
        </w:rPr>
        <w:t>Stork</w:t>
      </w:r>
      <w:r w:rsidRPr="00782923">
        <w:rPr>
          <w:rFonts w:ascii="Garamond" w:hAnsi="Garamond"/>
          <w:sz w:val="24"/>
          <w:szCs w:val="24"/>
          <w:lang w:val="en-GB"/>
        </w:rPr>
        <w:t xml:space="preserve"> (C</w:t>
      </w:r>
      <w:r w:rsidR="00520CF3" w:rsidRPr="00782923">
        <w:rPr>
          <w:rFonts w:ascii="Garamond" w:hAnsi="Garamond"/>
          <w:sz w:val="24"/>
          <w:szCs w:val="24"/>
          <w:lang w:val="en-GB"/>
        </w:rPr>
        <w:t xml:space="preserve">ase </w:t>
      </w:r>
      <w:r w:rsidRPr="00782923">
        <w:rPr>
          <w:rFonts w:ascii="Garamond" w:hAnsi="Garamond"/>
          <w:sz w:val="24"/>
          <w:szCs w:val="24"/>
          <w:lang w:val="en-GB"/>
        </w:rPr>
        <w:t xml:space="preserve">1/58), the applicant had challenged a European decision on the ground that the Commission had infringed German human rights laws. This claim drew on the so-called “mortgage theory”. According to this theory, the powers conferred to the European Union were tied to a human rights “mortgage”. </w:t>
      </w:r>
      <w:r w:rsidRPr="00A13377">
        <w:rPr>
          <w:rFonts w:ascii="Garamond" w:hAnsi="Garamond"/>
          <w:i/>
          <w:iCs/>
          <w:sz w:val="24"/>
          <w:szCs w:val="24"/>
          <w:lang w:val="en-GB"/>
        </w:rPr>
        <w:t>National</w:t>
      </w:r>
      <w:r w:rsidRPr="00782923">
        <w:rPr>
          <w:rFonts w:ascii="Garamond" w:hAnsi="Garamond"/>
          <w:sz w:val="24"/>
          <w:szCs w:val="24"/>
          <w:lang w:val="en-GB"/>
        </w:rPr>
        <w:t xml:space="preserve"> fundamental rights would</w:t>
      </w:r>
      <w:r w:rsidR="00F92C96" w:rsidRPr="00782923">
        <w:rPr>
          <w:rFonts w:ascii="Garamond" w:hAnsi="Garamond"/>
          <w:sz w:val="24"/>
          <w:szCs w:val="24"/>
          <w:lang w:val="en-GB"/>
        </w:rPr>
        <w:t xml:space="preserve"> bind and</w:t>
      </w:r>
      <w:r w:rsidRPr="00782923">
        <w:rPr>
          <w:rFonts w:ascii="Garamond" w:hAnsi="Garamond"/>
          <w:sz w:val="24"/>
          <w:szCs w:val="24"/>
          <w:lang w:val="en-GB"/>
        </w:rPr>
        <w:t xml:space="preserve"> </w:t>
      </w:r>
      <w:r w:rsidR="00F92C96" w:rsidRPr="00782923">
        <w:rPr>
          <w:rFonts w:ascii="Garamond" w:hAnsi="Garamond"/>
          <w:sz w:val="24"/>
          <w:szCs w:val="24"/>
          <w:lang w:val="en-GB"/>
        </w:rPr>
        <w:t>limit the powers of</w:t>
      </w:r>
      <w:r w:rsidRPr="00782923">
        <w:rPr>
          <w:rFonts w:ascii="Garamond" w:hAnsi="Garamond"/>
          <w:sz w:val="24"/>
          <w:szCs w:val="24"/>
          <w:lang w:val="en-GB"/>
        </w:rPr>
        <w:t xml:space="preserve"> the European Union, because the Member States could not have created an organisation with more powers than themselves. This argument was rejected by the Court. The task of the European institutions was to apply European laws </w:t>
      </w:r>
      <w:r w:rsidR="00782923">
        <w:rPr>
          <w:rFonts w:ascii="Garamond" w:hAnsi="Garamond"/>
          <w:sz w:val="24"/>
          <w:szCs w:val="24"/>
          <w:lang w:val="en-GB"/>
        </w:rPr>
        <w:t>‘</w:t>
      </w:r>
      <w:r w:rsidRPr="00782923">
        <w:rPr>
          <w:rFonts w:ascii="Garamond" w:hAnsi="Garamond"/>
          <w:sz w:val="24"/>
          <w:szCs w:val="24"/>
          <w:lang w:val="en-GB"/>
        </w:rPr>
        <w:t>without regard for their validity under national law</w:t>
      </w:r>
      <w:r w:rsidR="00782923">
        <w:rPr>
          <w:rFonts w:ascii="Garamond" w:hAnsi="Garamond"/>
          <w:sz w:val="24"/>
          <w:szCs w:val="24"/>
          <w:lang w:val="en-GB"/>
        </w:rPr>
        <w:t>’</w:t>
      </w:r>
      <w:r w:rsidRPr="00782923">
        <w:rPr>
          <w:rFonts w:ascii="Garamond" w:hAnsi="Garamond"/>
          <w:sz w:val="24"/>
          <w:szCs w:val="24"/>
          <w:lang w:val="en-GB"/>
        </w:rPr>
        <w:t xml:space="preserve"> (page 26). Thus, the </w:t>
      </w:r>
      <w:r w:rsidR="00782923">
        <w:rPr>
          <w:rFonts w:ascii="Garamond" w:hAnsi="Garamond"/>
          <w:sz w:val="24"/>
          <w:szCs w:val="24"/>
          <w:lang w:val="en-GB"/>
        </w:rPr>
        <w:t>CJEU</w:t>
      </w:r>
      <w:r w:rsidRPr="00782923">
        <w:rPr>
          <w:rFonts w:ascii="Garamond" w:hAnsi="Garamond"/>
          <w:sz w:val="24"/>
          <w:szCs w:val="24"/>
          <w:lang w:val="en-GB"/>
        </w:rPr>
        <w:t xml:space="preserve"> </w:t>
      </w:r>
      <w:r w:rsidRPr="00782923">
        <w:rPr>
          <w:rFonts w:ascii="Garamond" w:hAnsi="Garamond"/>
          <w:sz w:val="24"/>
          <w:szCs w:val="24"/>
          <w:u w:val="single"/>
          <w:lang w:val="en-GB"/>
        </w:rPr>
        <w:t xml:space="preserve">rejected national law as a </w:t>
      </w:r>
      <w:r w:rsidRPr="00782923">
        <w:rPr>
          <w:rFonts w:ascii="Garamond" w:hAnsi="Garamond"/>
          <w:i/>
          <w:sz w:val="24"/>
          <w:szCs w:val="24"/>
          <w:u w:val="single"/>
          <w:lang w:val="en-GB"/>
        </w:rPr>
        <w:t>direct</w:t>
      </w:r>
      <w:r w:rsidRPr="00782923">
        <w:rPr>
          <w:rFonts w:ascii="Garamond" w:hAnsi="Garamond"/>
          <w:sz w:val="24"/>
          <w:szCs w:val="24"/>
          <w:u w:val="single"/>
          <w:lang w:val="en-GB"/>
        </w:rPr>
        <w:t xml:space="preserve"> source of EU fundamental rights</w:t>
      </w:r>
      <w:r w:rsidRPr="00782923">
        <w:rPr>
          <w:rFonts w:ascii="Garamond" w:hAnsi="Garamond"/>
          <w:sz w:val="24"/>
          <w:szCs w:val="24"/>
          <w:lang w:val="en-GB"/>
        </w:rPr>
        <w:t xml:space="preserve">. This position of the European Union towards national fundamental rights has never changed. </w:t>
      </w:r>
    </w:p>
    <w:p w14:paraId="75B12E4B" w14:textId="6C59BA3E" w:rsidR="0041688E" w:rsidRPr="00782923" w:rsidRDefault="00EE45BD" w:rsidP="00AE3680">
      <w:pPr>
        <w:numPr>
          <w:ilvl w:val="0"/>
          <w:numId w:val="17"/>
        </w:numPr>
        <w:spacing w:after="120"/>
        <w:jc w:val="both"/>
        <w:rPr>
          <w:rFonts w:ascii="Garamond" w:hAnsi="Garamond"/>
          <w:sz w:val="24"/>
          <w:szCs w:val="24"/>
          <w:lang w:val="en-GB"/>
        </w:rPr>
      </w:pPr>
      <w:r w:rsidRPr="00782923">
        <w:rPr>
          <w:rFonts w:ascii="Garamond" w:hAnsi="Garamond"/>
          <w:sz w:val="24"/>
          <w:szCs w:val="24"/>
          <w:lang w:val="en-GB"/>
        </w:rPr>
        <w:t xml:space="preserve">However, the Court’s view evolved with regard to the existence of implied </w:t>
      </w:r>
      <w:r w:rsidR="00782923" w:rsidRPr="00A13377">
        <w:rPr>
          <w:rFonts w:ascii="Garamond" w:hAnsi="Garamond"/>
          <w:b/>
          <w:bCs/>
          <w:iCs/>
          <w:sz w:val="24"/>
          <w:szCs w:val="24"/>
          <w:lang w:val="en-GB"/>
        </w:rPr>
        <w:t>EU</w:t>
      </w:r>
      <w:r w:rsidRPr="00782923">
        <w:rPr>
          <w:rFonts w:ascii="Garamond" w:hAnsi="Garamond"/>
          <w:sz w:val="24"/>
          <w:szCs w:val="24"/>
          <w:lang w:val="en-GB"/>
        </w:rPr>
        <w:t xml:space="preserve"> fundamental rights. </w:t>
      </w:r>
      <w:r w:rsidR="0041688E" w:rsidRPr="00782923">
        <w:rPr>
          <w:rFonts w:ascii="Garamond" w:hAnsi="Garamond"/>
          <w:sz w:val="24"/>
          <w:szCs w:val="24"/>
          <w:lang w:val="en-GB"/>
        </w:rPr>
        <w:t xml:space="preserve">Although the Court had initially declared </w:t>
      </w:r>
      <w:r w:rsidR="00D23357" w:rsidRPr="00782923">
        <w:rPr>
          <w:rFonts w:ascii="Garamond" w:hAnsi="Garamond"/>
          <w:sz w:val="24"/>
          <w:szCs w:val="24"/>
          <w:lang w:val="en-GB"/>
        </w:rPr>
        <w:t>(</w:t>
      </w:r>
      <w:r w:rsidR="0041688E" w:rsidRPr="00782923">
        <w:rPr>
          <w:rFonts w:ascii="Garamond" w:hAnsi="Garamond"/>
          <w:sz w:val="24"/>
          <w:szCs w:val="24"/>
          <w:lang w:val="en-GB"/>
        </w:rPr>
        <w:t xml:space="preserve">in </w:t>
      </w:r>
      <w:proofErr w:type="spellStart"/>
      <w:r w:rsidR="0078003C" w:rsidRPr="00782923">
        <w:rPr>
          <w:rFonts w:ascii="Garamond" w:hAnsi="Garamond" w:cs="Arial"/>
          <w:i/>
          <w:sz w:val="24"/>
          <w:szCs w:val="24"/>
          <w:shd w:val="clear" w:color="auto" w:fill="FFFFFF"/>
        </w:rPr>
        <w:t>Präsident</w:t>
      </w:r>
      <w:proofErr w:type="spellEnd"/>
      <w:r w:rsidR="0078003C" w:rsidRPr="00782923">
        <w:rPr>
          <w:rFonts w:ascii="Arial" w:hAnsi="Arial" w:cs="Arial"/>
          <w:shd w:val="clear" w:color="auto" w:fill="FFFFFF"/>
        </w:rPr>
        <w:t xml:space="preserve"> </w:t>
      </w:r>
      <w:proofErr w:type="spellStart"/>
      <w:r w:rsidR="00515342" w:rsidRPr="00782923">
        <w:rPr>
          <w:rFonts w:ascii="Garamond" w:hAnsi="Garamond" w:cs="Segoe UI"/>
          <w:i/>
          <w:sz w:val="24"/>
          <w:szCs w:val="24"/>
          <w:shd w:val="clear" w:color="auto" w:fill="FFFFFF"/>
        </w:rPr>
        <w:t>Ruhrkolen-Verkaufsgesellschaft</w:t>
      </w:r>
      <w:proofErr w:type="spellEnd"/>
      <w:r w:rsidR="0078003C" w:rsidRPr="00782923">
        <w:rPr>
          <w:rFonts w:ascii="Garamond" w:hAnsi="Garamond" w:cs="Segoe UI"/>
          <w:i/>
          <w:sz w:val="24"/>
          <w:szCs w:val="24"/>
          <w:shd w:val="clear" w:color="auto" w:fill="FFFFFF"/>
        </w:rPr>
        <w:t xml:space="preserve"> (Mining Companies)</w:t>
      </w:r>
      <w:r w:rsidR="00D23357" w:rsidRPr="00782923">
        <w:rPr>
          <w:rFonts w:ascii="Garamond" w:hAnsi="Garamond" w:cs="Segoe UI"/>
          <w:sz w:val="24"/>
          <w:szCs w:val="24"/>
          <w:shd w:val="clear" w:color="auto" w:fill="FFFFFF"/>
        </w:rPr>
        <w:t>,</w:t>
      </w:r>
      <w:r w:rsidR="00515342" w:rsidRPr="00782923">
        <w:rPr>
          <w:rFonts w:ascii="Garamond" w:hAnsi="Garamond"/>
          <w:sz w:val="24"/>
          <w:szCs w:val="24"/>
          <w:lang w:val="en-GB"/>
        </w:rPr>
        <w:t xml:space="preserve"> </w:t>
      </w:r>
      <w:r w:rsidR="0041688E" w:rsidRPr="00782923">
        <w:rPr>
          <w:rFonts w:ascii="Garamond" w:hAnsi="Garamond"/>
          <w:sz w:val="24"/>
          <w:szCs w:val="24"/>
          <w:lang w:val="en-GB"/>
        </w:rPr>
        <w:t xml:space="preserve">Cases </w:t>
      </w:r>
      <w:r w:rsidR="00D23357" w:rsidRPr="00782923">
        <w:rPr>
          <w:rFonts w:ascii="Garamond" w:hAnsi="Garamond"/>
          <w:sz w:val="24"/>
          <w:szCs w:val="24"/>
          <w:lang w:val="en-GB"/>
        </w:rPr>
        <w:t>36-38 &amp;</w:t>
      </w:r>
      <w:r w:rsidR="0041688E" w:rsidRPr="00782923">
        <w:rPr>
          <w:rFonts w:ascii="Garamond" w:hAnsi="Garamond"/>
          <w:sz w:val="24"/>
          <w:szCs w:val="24"/>
          <w:lang w:val="en-GB"/>
        </w:rPr>
        <w:t xml:space="preserve"> 40/59) that EU law did not </w:t>
      </w:r>
      <w:r w:rsidR="00782923">
        <w:rPr>
          <w:rFonts w:ascii="Garamond" w:hAnsi="Garamond"/>
          <w:sz w:val="24"/>
          <w:szCs w:val="24"/>
          <w:lang w:val="en-GB"/>
        </w:rPr>
        <w:t>‘</w:t>
      </w:r>
      <w:r w:rsidR="0041688E" w:rsidRPr="00782923">
        <w:rPr>
          <w:rFonts w:ascii="Garamond" w:hAnsi="Garamond"/>
          <w:sz w:val="24"/>
          <w:szCs w:val="24"/>
          <w:lang w:val="en-GB"/>
        </w:rPr>
        <w:t>contain any general principle, express or otherwise, guaranteeing the maintenance of vested rights</w:t>
      </w:r>
      <w:r w:rsidR="00782923">
        <w:rPr>
          <w:rFonts w:ascii="Garamond" w:hAnsi="Garamond"/>
          <w:sz w:val="24"/>
          <w:szCs w:val="24"/>
          <w:lang w:val="en-GB"/>
        </w:rPr>
        <w:t>’</w:t>
      </w:r>
      <w:r w:rsidR="0041688E" w:rsidRPr="00782923">
        <w:rPr>
          <w:rFonts w:ascii="Garamond" w:hAnsi="Garamond"/>
          <w:sz w:val="24"/>
          <w:szCs w:val="24"/>
          <w:lang w:val="en-GB"/>
        </w:rPr>
        <w:t>,</w:t>
      </w:r>
      <w:r w:rsidR="00F92C96" w:rsidRPr="00782923">
        <w:rPr>
          <w:rFonts w:ascii="Garamond" w:hAnsi="Garamond"/>
          <w:sz w:val="24"/>
          <w:szCs w:val="24"/>
          <w:lang w:val="en-GB"/>
        </w:rPr>
        <w:t xml:space="preserve"> </w:t>
      </w:r>
      <w:proofErr w:type="spellStart"/>
      <w:r w:rsidR="004E6F12" w:rsidRPr="00782923">
        <w:rPr>
          <w:rFonts w:ascii="Garamond" w:hAnsi="Garamond"/>
          <w:i/>
          <w:sz w:val="24"/>
          <w:szCs w:val="24"/>
          <w:lang w:val="en-GB"/>
        </w:rPr>
        <w:t>Stauder</w:t>
      </w:r>
      <w:proofErr w:type="spellEnd"/>
      <w:r w:rsidR="0041688E" w:rsidRPr="00782923">
        <w:rPr>
          <w:rFonts w:ascii="Garamond" w:hAnsi="Garamond"/>
          <w:sz w:val="24"/>
          <w:szCs w:val="24"/>
          <w:lang w:val="en-GB"/>
        </w:rPr>
        <w:t xml:space="preserve"> signalled a shift in the Court’s approach. In </w:t>
      </w:r>
      <w:proofErr w:type="spellStart"/>
      <w:r w:rsidR="0041688E" w:rsidRPr="00782923">
        <w:rPr>
          <w:rFonts w:ascii="Garamond" w:hAnsi="Garamond"/>
          <w:i/>
          <w:sz w:val="24"/>
          <w:szCs w:val="24"/>
          <w:lang w:val="en-GB"/>
        </w:rPr>
        <w:t>Stauder</w:t>
      </w:r>
      <w:proofErr w:type="spellEnd"/>
      <w:r w:rsidR="0041688E" w:rsidRPr="00782923">
        <w:rPr>
          <w:rFonts w:ascii="Garamond" w:hAnsi="Garamond"/>
          <w:sz w:val="24"/>
          <w:szCs w:val="24"/>
          <w:lang w:val="en-GB"/>
        </w:rPr>
        <w:t>, a judgment delivered in 1969</w:t>
      </w:r>
      <w:r w:rsidR="00CE0AA0" w:rsidRPr="00782923">
        <w:rPr>
          <w:rFonts w:ascii="Garamond" w:hAnsi="Garamond"/>
          <w:sz w:val="24"/>
          <w:szCs w:val="24"/>
          <w:lang w:val="en-GB"/>
        </w:rPr>
        <w:t xml:space="preserve">, the </w:t>
      </w:r>
      <w:r w:rsidR="00782923">
        <w:rPr>
          <w:rFonts w:ascii="Garamond" w:hAnsi="Garamond"/>
          <w:sz w:val="24"/>
          <w:szCs w:val="24"/>
          <w:lang w:val="en-GB"/>
        </w:rPr>
        <w:t>CJEU</w:t>
      </w:r>
      <w:r w:rsidR="00CE0AA0" w:rsidRPr="00782923">
        <w:rPr>
          <w:rFonts w:ascii="Garamond" w:hAnsi="Garamond"/>
          <w:sz w:val="24"/>
          <w:szCs w:val="24"/>
          <w:lang w:val="en-GB"/>
        </w:rPr>
        <w:t xml:space="preserve"> asserted for the first time that fundamental rights were </w:t>
      </w:r>
      <w:r w:rsidR="00782923">
        <w:rPr>
          <w:rFonts w:ascii="Garamond" w:hAnsi="Garamond"/>
          <w:sz w:val="24"/>
          <w:szCs w:val="24"/>
          <w:lang w:val="en-GB"/>
        </w:rPr>
        <w:t>‘</w:t>
      </w:r>
      <w:r w:rsidR="00CE0AA0" w:rsidRPr="00782923">
        <w:rPr>
          <w:rFonts w:ascii="Garamond" w:hAnsi="Garamond"/>
          <w:sz w:val="24"/>
          <w:szCs w:val="24"/>
          <w:lang w:val="en-GB"/>
        </w:rPr>
        <w:t>enshrined in the general principles of [EU] law</w:t>
      </w:r>
      <w:r w:rsidR="00782923">
        <w:rPr>
          <w:rFonts w:ascii="Garamond" w:hAnsi="Garamond"/>
          <w:sz w:val="24"/>
          <w:szCs w:val="24"/>
          <w:lang w:val="en-GB"/>
        </w:rPr>
        <w:t>’</w:t>
      </w:r>
      <w:r w:rsidR="00CE0AA0" w:rsidRPr="00782923">
        <w:rPr>
          <w:rFonts w:ascii="Garamond" w:hAnsi="Garamond"/>
          <w:sz w:val="24"/>
          <w:szCs w:val="24"/>
          <w:lang w:val="en-GB"/>
        </w:rPr>
        <w:t xml:space="preserve">. </w:t>
      </w:r>
    </w:p>
    <w:p w14:paraId="1F66870B" w14:textId="77777777" w:rsidR="00397B7E" w:rsidRDefault="00397B7E" w:rsidP="00AE3680">
      <w:pPr>
        <w:spacing w:after="120"/>
        <w:jc w:val="both"/>
        <w:rPr>
          <w:rFonts w:ascii="Garamond" w:hAnsi="Garamond"/>
          <w:sz w:val="24"/>
          <w:szCs w:val="24"/>
          <w:lang w:val="en-GB"/>
        </w:rPr>
      </w:pPr>
    </w:p>
    <w:p w14:paraId="15EE8A43" w14:textId="651FCCC2" w:rsidR="00397B7E" w:rsidRPr="00D23357" w:rsidRDefault="00397B7E" w:rsidP="00397B7E">
      <w:pPr>
        <w:pStyle w:val="ListParagraph"/>
        <w:numPr>
          <w:ilvl w:val="0"/>
          <w:numId w:val="7"/>
        </w:numPr>
        <w:spacing w:after="120"/>
        <w:jc w:val="both"/>
        <w:rPr>
          <w:rFonts w:ascii="Garamond" w:hAnsi="Garamond"/>
          <w:sz w:val="24"/>
          <w:szCs w:val="24"/>
          <w:lang w:val="en-GB"/>
        </w:rPr>
      </w:pPr>
      <w:proofErr w:type="spellStart"/>
      <w:r w:rsidRPr="00322681">
        <w:rPr>
          <w:rFonts w:ascii="Garamond" w:hAnsi="Garamond"/>
          <w:i/>
          <w:sz w:val="24"/>
          <w:szCs w:val="24"/>
          <w:lang w:val="en-GB"/>
        </w:rPr>
        <w:t>Stauder</w:t>
      </w:r>
      <w:proofErr w:type="spellEnd"/>
      <w:r w:rsidRPr="00322681">
        <w:rPr>
          <w:rFonts w:ascii="Garamond" w:hAnsi="Garamond"/>
          <w:i/>
          <w:sz w:val="24"/>
          <w:szCs w:val="24"/>
          <w:lang w:val="en-GB"/>
        </w:rPr>
        <w:t xml:space="preserve"> v Ulm</w:t>
      </w:r>
      <w:r w:rsidRPr="00322681">
        <w:rPr>
          <w:rFonts w:ascii="Garamond" w:hAnsi="Garamond"/>
          <w:sz w:val="24"/>
          <w:szCs w:val="24"/>
          <w:lang w:val="en-GB"/>
        </w:rPr>
        <w:t>, Case 29/69</w:t>
      </w:r>
    </w:p>
    <w:p w14:paraId="2B2A6EEF" w14:textId="77777777" w:rsidR="00397B7E" w:rsidRPr="00833326" w:rsidRDefault="00397B7E" w:rsidP="00AE3680">
      <w:pPr>
        <w:spacing w:after="120"/>
        <w:jc w:val="both"/>
        <w:rPr>
          <w:rFonts w:ascii="Garamond" w:hAnsi="Garamond"/>
          <w:sz w:val="24"/>
          <w:szCs w:val="24"/>
          <w:lang w:val="en-GB"/>
        </w:rPr>
      </w:pPr>
    </w:p>
    <w:p w14:paraId="5E423C77" w14:textId="1343C030" w:rsidR="00D23357" w:rsidRPr="00782923" w:rsidRDefault="00782923" w:rsidP="002F7659">
      <w:pPr>
        <w:numPr>
          <w:ilvl w:val="0"/>
          <w:numId w:val="17"/>
        </w:numPr>
        <w:spacing w:after="120"/>
        <w:jc w:val="both"/>
        <w:rPr>
          <w:rFonts w:ascii="Garamond" w:hAnsi="Garamond"/>
          <w:sz w:val="24"/>
          <w:szCs w:val="24"/>
          <w:lang w:val="en-GB"/>
        </w:rPr>
      </w:pPr>
      <w:r>
        <w:rPr>
          <w:rFonts w:ascii="Garamond" w:hAnsi="Garamond"/>
          <w:sz w:val="24"/>
          <w:szCs w:val="24"/>
          <w:lang w:val="en-GB"/>
        </w:rPr>
        <w:t>T</w:t>
      </w:r>
      <w:r w:rsidR="00395643" w:rsidRPr="00782923">
        <w:rPr>
          <w:rFonts w:ascii="Garamond" w:hAnsi="Garamond"/>
          <w:sz w:val="24"/>
          <w:szCs w:val="24"/>
          <w:lang w:val="en-GB"/>
        </w:rPr>
        <w:t xml:space="preserve">his paved the way for one of the most famous cases in EU law, </w:t>
      </w:r>
      <w:r w:rsidR="00395643" w:rsidRPr="00782923">
        <w:rPr>
          <w:rFonts w:ascii="Garamond" w:hAnsi="Garamond"/>
          <w:i/>
          <w:sz w:val="24"/>
          <w:szCs w:val="24"/>
          <w:lang w:val="en-GB"/>
        </w:rPr>
        <w:t xml:space="preserve">Internationale </w:t>
      </w:r>
      <w:proofErr w:type="spellStart"/>
      <w:r w:rsidR="00395643" w:rsidRPr="00782923">
        <w:rPr>
          <w:rFonts w:ascii="Garamond" w:hAnsi="Garamond"/>
          <w:i/>
          <w:sz w:val="24"/>
          <w:szCs w:val="24"/>
          <w:lang w:val="en-GB"/>
        </w:rPr>
        <w:t>Handelsgesellschaft</w:t>
      </w:r>
      <w:proofErr w:type="spellEnd"/>
      <w:r w:rsidR="00395643" w:rsidRPr="00782923">
        <w:rPr>
          <w:rFonts w:ascii="Garamond" w:hAnsi="Garamond"/>
          <w:sz w:val="24"/>
          <w:szCs w:val="24"/>
          <w:lang w:val="en-GB"/>
        </w:rPr>
        <w:t>. Following pressures from the Member States</w:t>
      </w:r>
      <w:r w:rsidR="008944EF" w:rsidRPr="00782923">
        <w:rPr>
          <w:rFonts w:ascii="Garamond" w:hAnsi="Garamond"/>
          <w:sz w:val="24"/>
          <w:szCs w:val="24"/>
          <w:lang w:val="en-GB"/>
        </w:rPr>
        <w:t xml:space="preserve">, specifically the German Constitutional Court </w:t>
      </w:r>
      <w:r w:rsidR="00395643" w:rsidRPr="00782923">
        <w:rPr>
          <w:rFonts w:ascii="Garamond" w:hAnsi="Garamond"/>
          <w:sz w:val="24"/>
          <w:szCs w:val="24"/>
          <w:lang w:val="en-GB"/>
        </w:rPr>
        <w:t xml:space="preserve">(see </w:t>
      </w:r>
      <w:r w:rsidR="007E6964" w:rsidRPr="00782923">
        <w:rPr>
          <w:rFonts w:ascii="Garamond" w:hAnsi="Garamond"/>
          <w:sz w:val="24"/>
          <w:szCs w:val="24"/>
          <w:lang w:val="en-GB"/>
        </w:rPr>
        <w:t xml:space="preserve">the </w:t>
      </w:r>
      <w:r w:rsidR="00395643" w:rsidRPr="00782923">
        <w:rPr>
          <w:rFonts w:ascii="Garamond" w:hAnsi="Garamond"/>
          <w:i/>
          <w:sz w:val="24"/>
          <w:szCs w:val="24"/>
          <w:lang w:val="en-GB"/>
        </w:rPr>
        <w:t xml:space="preserve">So-long </w:t>
      </w:r>
      <w:r w:rsidR="007E6964" w:rsidRPr="00782923">
        <w:rPr>
          <w:rFonts w:ascii="Garamond" w:hAnsi="Garamond"/>
          <w:sz w:val="24"/>
          <w:szCs w:val="24"/>
          <w:lang w:val="en-GB"/>
        </w:rPr>
        <w:t>line of cases in</w:t>
      </w:r>
      <w:r w:rsidR="00395643" w:rsidRPr="00782923">
        <w:rPr>
          <w:rFonts w:ascii="Garamond" w:hAnsi="Garamond"/>
          <w:sz w:val="24"/>
          <w:szCs w:val="24"/>
          <w:lang w:val="en-GB"/>
        </w:rPr>
        <w:t xml:space="preserve"> the </w:t>
      </w:r>
      <w:r>
        <w:rPr>
          <w:rFonts w:ascii="Garamond" w:hAnsi="Garamond"/>
          <w:sz w:val="24"/>
          <w:szCs w:val="24"/>
          <w:lang w:val="en-GB"/>
        </w:rPr>
        <w:t>lecture on primacy</w:t>
      </w:r>
      <w:r w:rsidR="00395643" w:rsidRPr="00782923">
        <w:rPr>
          <w:rFonts w:ascii="Garamond" w:hAnsi="Garamond"/>
          <w:sz w:val="24"/>
          <w:szCs w:val="24"/>
          <w:lang w:val="en-GB"/>
        </w:rPr>
        <w:t xml:space="preserve">), </w:t>
      </w:r>
      <w:r w:rsidR="00395643" w:rsidRPr="00782923">
        <w:rPr>
          <w:rFonts w:ascii="Garamond" w:hAnsi="Garamond"/>
          <w:i/>
          <w:sz w:val="24"/>
          <w:szCs w:val="24"/>
          <w:lang w:val="en-GB"/>
        </w:rPr>
        <w:t xml:space="preserve">Internationale </w:t>
      </w:r>
      <w:proofErr w:type="spellStart"/>
      <w:r w:rsidR="00395643" w:rsidRPr="00782923">
        <w:rPr>
          <w:rFonts w:ascii="Garamond" w:hAnsi="Garamond"/>
          <w:i/>
          <w:sz w:val="24"/>
          <w:szCs w:val="24"/>
          <w:lang w:val="en-GB"/>
        </w:rPr>
        <w:t>Handelsgesellschaft</w:t>
      </w:r>
      <w:proofErr w:type="spellEnd"/>
      <w:r w:rsidR="00395643" w:rsidRPr="00782923">
        <w:rPr>
          <w:rFonts w:ascii="Garamond" w:hAnsi="Garamond"/>
          <w:i/>
          <w:sz w:val="24"/>
          <w:szCs w:val="24"/>
          <w:lang w:val="en-GB"/>
        </w:rPr>
        <w:t xml:space="preserve"> </w:t>
      </w:r>
      <w:r w:rsidR="008944EF" w:rsidRPr="00782923">
        <w:rPr>
          <w:rFonts w:ascii="Garamond" w:hAnsi="Garamond"/>
          <w:sz w:val="24"/>
          <w:szCs w:val="24"/>
          <w:lang w:val="en-GB"/>
        </w:rPr>
        <w:t xml:space="preserve">came to </w:t>
      </w:r>
      <w:r w:rsidR="007E6964" w:rsidRPr="00782923">
        <w:rPr>
          <w:rFonts w:ascii="Garamond" w:hAnsi="Garamond"/>
          <w:sz w:val="24"/>
          <w:szCs w:val="24"/>
          <w:lang w:val="en-GB"/>
        </w:rPr>
        <w:t>solidify</w:t>
      </w:r>
      <w:r w:rsidR="008944EF" w:rsidRPr="00782923">
        <w:rPr>
          <w:rFonts w:ascii="Garamond" w:hAnsi="Garamond"/>
          <w:sz w:val="24"/>
          <w:szCs w:val="24"/>
          <w:lang w:val="en-GB"/>
        </w:rPr>
        <w:t xml:space="preserve"> general principles of EU law as the legal basis for European fundamental rights. </w:t>
      </w:r>
      <w:r w:rsidR="00EB6487" w:rsidRPr="00782923">
        <w:rPr>
          <w:rFonts w:ascii="Garamond" w:hAnsi="Garamond"/>
          <w:sz w:val="24"/>
          <w:szCs w:val="24"/>
          <w:lang w:val="en-GB"/>
        </w:rPr>
        <w:t xml:space="preserve">The Court’s reasoning was that, despite the </w:t>
      </w:r>
      <w:r w:rsidR="006A7D69" w:rsidRPr="00782923">
        <w:rPr>
          <w:rFonts w:ascii="Garamond" w:hAnsi="Garamond"/>
          <w:sz w:val="24"/>
          <w:szCs w:val="24"/>
          <w:lang w:val="en-GB"/>
        </w:rPr>
        <w:t>Treaties being silent</w:t>
      </w:r>
      <w:r w:rsidR="00EB6487" w:rsidRPr="00782923">
        <w:rPr>
          <w:rFonts w:ascii="Garamond" w:hAnsi="Garamond"/>
          <w:sz w:val="24"/>
          <w:szCs w:val="24"/>
          <w:lang w:val="en-GB"/>
        </w:rPr>
        <w:t xml:space="preserve">, </w:t>
      </w:r>
      <w:r w:rsidR="00DA3C1D" w:rsidRPr="00782923">
        <w:rPr>
          <w:rFonts w:ascii="Garamond" w:hAnsi="Garamond"/>
          <w:sz w:val="24"/>
          <w:szCs w:val="24"/>
          <w:lang w:val="en-GB"/>
        </w:rPr>
        <w:t xml:space="preserve">EU law would be </w:t>
      </w:r>
      <w:r>
        <w:rPr>
          <w:rFonts w:ascii="Garamond" w:hAnsi="Garamond"/>
          <w:sz w:val="24"/>
          <w:szCs w:val="24"/>
          <w:lang w:val="en-GB"/>
        </w:rPr>
        <w:t>‘</w:t>
      </w:r>
      <w:r w:rsidR="00DA3C1D" w:rsidRPr="00782923">
        <w:rPr>
          <w:rFonts w:ascii="Garamond" w:hAnsi="Garamond"/>
          <w:sz w:val="24"/>
          <w:szCs w:val="24"/>
          <w:lang w:val="en-GB"/>
        </w:rPr>
        <w:t>inspired</w:t>
      </w:r>
      <w:r>
        <w:rPr>
          <w:rFonts w:ascii="Garamond" w:hAnsi="Garamond"/>
          <w:sz w:val="24"/>
          <w:szCs w:val="24"/>
          <w:lang w:val="en-GB"/>
        </w:rPr>
        <w:t>’</w:t>
      </w:r>
      <w:r w:rsidR="00DA3C1D" w:rsidRPr="00782923">
        <w:rPr>
          <w:rFonts w:ascii="Garamond" w:hAnsi="Garamond"/>
          <w:sz w:val="24"/>
          <w:szCs w:val="24"/>
          <w:lang w:val="en-GB"/>
        </w:rPr>
        <w:t xml:space="preserve"> by the </w:t>
      </w:r>
      <w:r>
        <w:rPr>
          <w:rFonts w:ascii="Garamond" w:hAnsi="Garamond"/>
          <w:sz w:val="24"/>
          <w:szCs w:val="24"/>
          <w:lang w:val="en-GB"/>
        </w:rPr>
        <w:t>‘</w:t>
      </w:r>
      <w:r w:rsidR="00DA3C1D" w:rsidRPr="00782923">
        <w:rPr>
          <w:rFonts w:ascii="Garamond" w:hAnsi="Garamond"/>
          <w:sz w:val="24"/>
          <w:szCs w:val="24"/>
          <w:lang w:val="en-GB"/>
        </w:rPr>
        <w:t>constitutional traditions common to the Member States</w:t>
      </w:r>
      <w:r>
        <w:rPr>
          <w:rFonts w:ascii="Garamond" w:hAnsi="Garamond"/>
          <w:sz w:val="24"/>
          <w:szCs w:val="24"/>
          <w:lang w:val="en-GB"/>
        </w:rPr>
        <w:t>’</w:t>
      </w:r>
      <w:r w:rsidR="00DA3C1D" w:rsidRPr="00782923">
        <w:rPr>
          <w:rFonts w:ascii="Garamond" w:hAnsi="Garamond"/>
          <w:sz w:val="24"/>
          <w:szCs w:val="24"/>
          <w:lang w:val="en-GB"/>
        </w:rPr>
        <w:t xml:space="preserve">. While not a direct source, national constitutional rights constituted an </w:t>
      </w:r>
      <w:r w:rsidR="00DA3C1D" w:rsidRPr="00782923">
        <w:rPr>
          <w:rFonts w:ascii="Garamond" w:hAnsi="Garamond"/>
          <w:i/>
          <w:sz w:val="24"/>
          <w:szCs w:val="24"/>
          <w:lang w:val="en-GB"/>
        </w:rPr>
        <w:t>indirect</w:t>
      </w:r>
      <w:r w:rsidR="00DA3C1D" w:rsidRPr="00782923">
        <w:rPr>
          <w:rFonts w:ascii="Garamond" w:hAnsi="Garamond"/>
          <w:sz w:val="24"/>
          <w:szCs w:val="24"/>
          <w:lang w:val="en-GB"/>
        </w:rPr>
        <w:t xml:space="preserve"> source for the Union’s fundamental rights. </w:t>
      </w:r>
    </w:p>
    <w:p w14:paraId="15D68B79" w14:textId="77777777" w:rsidR="00DA3C1D" w:rsidRPr="00833326" w:rsidRDefault="00DA3C1D" w:rsidP="00AE3680">
      <w:pPr>
        <w:spacing w:after="120"/>
        <w:jc w:val="both"/>
        <w:rPr>
          <w:rFonts w:ascii="Garamond" w:hAnsi="Garamond"/>
          <w:sz w:val="24"/>
          <w:szCs w:val="24"/>
          <w:lang w:val="en-GB"/>
        </w:rPr>
      </w:pPr>
    </w:p>
    <w:p w14:paraId="62B16D62" w14:textId="0FFF18A7" w:rsidR="008944EF" w:rsidRPr="00833326" w:rsidRDefault="008944EF" w:rsidP="00AE3680">
      <w:pPr>
        <w:numPr>
          <w:ilvl w:val="0"/>
          <w:numId w:val="2"/>
        </w:numPr>
        <w:spacing w:after="120"/>
        <w:rPr>
          <w:rFonts w:ascii="Garamond" w:hAnsi="Garamond"/>
          <w:sz w:val="24"/>
          <w:szCs w:val="24"/>
          <w:lang w:val="en-GB"/>
        </w:rPr>
      </w:pPr>
      <w:r w:rsidRPr="00833326">
        <w:rPr>
          <w:rFonts w:ascii="Garamond" w:hAnsi="Garamond"/>
          <w:i/>
          <w:sz w:val="24"/>
          <w:szCs w:val="24"/>
          <w:lang w:val="en-GB"/>
        </w:rPr>
        <w:t xml:space="preserve">Internationale </w:t>
      </w:r>
      <w:proofErr w:type="spellStart"/>
      <w:r w:rsidRPr="00833326">
        <w:rPr>
          <w:rFonts w:ascii="Garamond" w:hAnsi="Garamond"/>
          <w:i/>
          <w:sz w:val="24"/>
          <w:szCs w:val="24"/>
          <w:lang w:val="en-GB"/>
        </w:rPr>
        <w:t>Handelsgesellschaft</w:t>
      </w:r>
      <w:proofErr w:type="spellEnd"/>
      <w:r w:rsidRPr="00833326">
        <w:rPr>
          <w:rFonts w:ascii="Garamond" w:hAnsi="Garamond"/>
          <w:sz w:val="24"/>
          <w:szCs w:val="24"/>
          <w:lang w:val="en-GB"/>
        </w:rPr>
        <w:t>, Case 11/70</w:t>
      </w:r>
    </w:p>
    <w:p w14:paraId="4BBE2CEE" w14:textId="203D49D4" w:rsidR="008944EF" w:rsidRPr="00833326" w:rsidRDefault="00782923" w:rsidP="00AE3680">
      <w:pPr>
        <w:spacing w:after="120"/>
        <w:ind w:left="1004"/>
        <w:jc w:val="both"/>
        <w:rPr>
          <w:rFonts w:ascii="Garamond" w:hAnsi="Garamond"/>
          <w:sz w:val="20"/>
          <w:szCs w:val="20"/>
          <w:u w:val="single"/>
          <w:lang w:val="en-GB"/>
        </w:rPr>
      </w:pPr>
      <w:r>
        <w:rPr>
          <w:rFonts w:ascii="Garamond" w:hAnsi="Garamond"/>
          <w:sz w:val="20"/>
          <w:szCs w:val="20"/>
          <w:lang w:val="en-GB"/>
        </w:rPr>
        <w:t>“</w:t>
      </w:r>
      <w:r w:rsidR="008944EF" w:rsidRPr="00833326">
        <w:rPr>
          <w:rFonts w:ascii="Garamond" w:hAnsi="Garamond"/>
          <w:sz w:val="20"/>
          <w:szCs w:val="20"/>
          <w:lang w:val="en-GB"/>
        </w:rPr>
        <w:t xml:space="preserve">3. Recourse to the legal rules or concepts of national law in order to judge the validity of measures adopted by the institutions of the [Union] would have an adverse effect on the </w:t>
      </w:r>
      <w:r w:rsidR="008944EF" w:rsidRPr="00833326">
        <w:rPr>
          <w:rFonts w:ascii="Garamond" w:hAnsi="Garamond"/>
          <w:sz w:val="20"/>
          <w:szCs w:val="20"/>
          <w:u w:val="single"/>
          <w:lang w:val="en-GB"/>
        </w:rPr>
        <w:t>uniformity and efficiency</w:t>
      </w:r>
      <w:r w:rsidR="008944EF" w:rsidRPr="00833326">
        <w:rPr>
          <w:rFonts w:ascii="Garamond" w:hAnsi="Garamond"/>
          <w:sz w:val="20"/>
          <w:szCs w:val="20"/>
          <w:lang w:val="en-GB"/>
        </w:rPr>
        <w:t xml:space="preserve"> of [European] law. The validity of such measures can only be judged in the light of [</w:t>
      </w:r>
      <w:r>
        <w:rPr>
          <w:rFonts w:ascii="Garamond" w:hAnsi="Garamond"/>
          <w:sz w:val="20"/>
          <w:szCs w:val="20"/>
          <w:lang w:val="en-GB"/>
        </w:rPr>
        <w:t>EU</w:t>
      </w:r>
      <w:r w:rsidR="008944EF" w:rsidRPr="00833326">
        <w:rPr>
          <w:rFonts w:ascii="Garamond" w:hAnsi="Garamond"/>
          <w:sz w:val="20"/>
          <w:szCs w:val="20"/>
          <w:lang w:val="en-GB"/>
        </w:rPr>
        <w:t xml:space="preserve">] law. </w:t>
      </w:r>
      <w:r w:rsidR="008944EF" w:rsidRPr="00833326">
        <w:rPr>
          <w:rFonts w:ascii="Garamond" w:hAnsi="Garamond"/>
          <w:sz w:val="20"/>
          <w:szCs w:val="20"/>
          <w:lang w:val="en-GB"/>
        </w:rPr>
        <w:lastRenderedPageBreak/>
        <w:t>In fact, the law stemming from the Treaty, an independent source of law, cannot because of its very nature be overridden by rules of national law, however framed, without being deprived of its character as [</w:t>
      </w:r>
      <w:r>
        <w:rPr>
          <w:rFonts w:ascii="Garamond" w:hAnsi="Garamond"/>
          <w:sz w:val="20"/>
          <w:szCs w:val="20"/>
          <w:lang w:val="en-GB"/>
        </w:rPr>
        <w:t>EU</w:t>
      </w:r>
      <w:r w:rsidR="008944EF" w:rsidRPr="00833326">
        <w:rPr>
          <w:rFonts w:ascii="Garamond" w:hAnsi="Garamond"/>
          <w:sz w:val="20"/>
          <w:szCs w:val="20"/>
          <w:lang w:val="en-GB"/>
        </w:rPr>
        <w:t xml:space="preserve">] law and without the legal basis of the [Union] itself being called in question. Therefore </w:t>
      </w:r>
      <w:r w:rsidR="008944EF" w:rsidRPr="00833326">
        <w:rPr>
          <w:rFonts w:ascii="Garamond" w:hAnsi="Garamond"/>
          <w:sz w:val="20"/>
          <w:szCs w:val="20"/>
          <w:u w:val="single"/>
          <w:lang w:val="en-GB"/>
        </w:rPr>
        <w:t xml:space="preserve">the validity of a [Union] measure or its effect within a Member State cannot be affected by allegations that it runs counter to either fundamental rights as formulated by the constitution of that State or the principles of a national constitutional structure. </w:t>
      </w:r>
    </w:p>
    <w:p w14:paraId="63C25D8A" w14:textId="78B4292D" w:rsidR="00217D40" w:rsidRPr="00217D40" w:rsidRDefault="008944EF" w:rsidP="00217D40">
      <w:pPr>
        <w:spacing w:after="120"/>
        <w:ind w:left="1004"/>
        <w:jc w:val="both"/>
        <w:rPr>
          <w:rFonts w:ascii="Garamond" w:hAnsi="Garamond"/>
          <w:sz w:val="20"/>
          <w:szCs w:val="20"/>
          <w:lang w:val="en-GB"/>
        </w:rPr>
      </w:pPr>
      <w:r w:rsidRPr="00833326">
        <w:rPr>
          <w:rFonts w:ascii="Garamond" w:hAnsi="Garamond"/>
          <w:sz w:val="20"/>
          <w:szCs w:val="20"/>
          <w:lang w:val="en-GB"/>
        </w:rPr>
        <w:t xml:space="preserve">4. However, an examination should be made as to whether or not any </w:t>
      </w:r>
      <w:r w:rsidRPr="00833326">
        <w:rPr>
          <w:rFonts w:ascii="Garamond" w:hAnsi="Garamond"/>
          <w:sz w:val="20"/>
          <w:szCs w:val="20"/>
          <w:u w:val="single"/>
          <w:lang w:val="en-GB"/>
        </w:rPr>
        <w:t>analogous guarantee inherent in [</w:t>
      </w:r>
      <w:r w:rsidR="00695AC9">
        <w:rPr>
          <w:rFonts w:ascii="Garamond" w:hAnsi="Garamond"/>
          <w:sz w:val="20"/>
          <w:szCs w:val="20"/>
          <w:u w:val="single"/>
          <w:lang w:val="en-GB"/>
        </w:rPr>
        <w:t>EU</w:t>
      </w:r>
      <w:r w:rsidRPr="00833326">
        <w:rPr>
          <w:rFonts w:ascii="Garamond" w:hAnsi="Garamond"/>
          <w:sz w:val="20"/>
          <w:szCs w:val="20"/>
          <w:u w:val="single"/>
          <w:lang w:val="en-GB"/>
        </w:rPr>
        <w:t>] law</w:t>
      </w:r>
      <w:r w:rsidRPr="00833326">
        <w:rPr>
          <w:rFonts w:ascii="Garamond" w:hAnsi="Garamond"/>
          <w:sz w:val="20"/>
          <w:szCs w:val="20"/>
          <w:lang w:val="en-GB"/>
        </w:rPr>
        <w:t xml:space="preserve"> has been disregarded. In fact, respect for </w:t>
      </w:r>
      <w:r w:rsidRPr="00833326">
        <w:rPr>
          <w:rFonts w:ascii="Garamond" w:hAnsi="Garamond"/>
          <w:sz w:val="20"/>
          <w:szCs w:val="20"/>
          <w:u w:val="single"/>
          <w:lang w:val="en-GB"/>
        </w:rPr>
        <w:t>fundamental rights form an integral part of the general principles of law protected by the Court of Justice</w:t>
      </w:r>
      <w:r w:rsidRPr="00833326">
        <w:rPr>
          <w:rFonts w:ascii="Garamond" w:hAnsi="Garamond"/>
          <w:sz w:val="20"/>
          <w:szCs w:val="20"/>
          <w:lang w:val="en-GB"/>
        </w:rPr>
        <w:t xml:space="preserve">. The protection of such rights, whilst </w:t>
      </w:r>
      <w:r w:rsidRPr="00833326">
        <w:rPr>
          <w:rFonts w:ascii="Garamond" w:hAnsi="Garamond"/>
          <w:sz w:val="20"/>
          <w:szCs w:val="20"/>
          <w:u w:val="single"/>
          <w:lang w:val="en-GB"/>
        </w:rPr>
        <w:t>inspired by the constitutional traditions common to the Member States</w:t>
      </w:r>
      <w:r w:rsidRPr="00833326">
        <w:rPr>
          <w:rFonts w:ascii="Garamond" w:hAnsi="Garamond"/>
          <w:sz w:val="20"/>
          <w:szCs w:val="20"/>
          <w:lang w:val="en-GB"/>
        </w:rPr>
        <w:t xml:space="preserve">, must be ensured within the framework of the structure and objectives of the [Union]. It must therefore be ascertained, in the light of the doubts expressed by the </w:t>
      </w:r>
      <w:proofErr w:type="spellStart"/>
      <w:r w:rsidRPr="00833326">
        <w:rPr>
          <w:rFonts w:ascii="Garamond" w:hAnsi="Garamond"/>
          <w:i/>
          <w:sz w:val="20"/>
          <w:szCs w:val="20"/>
          <w:lang w:val="en-GB"/>
        </w:rPr>
        <w:t>Verwaltungsgericht</w:t>
      </w:r>
      <w:proofErr w:type="spellEnd"/>
      <w:r w:rsidRPr="00833326">
        <w:rPr>
          <w:rFonts w:ascii="Garamond" w:hAnsi="Garamond"/>
          <w:sz w:val="20"/>
          <w:szCs w:val="20"/>
          <w:lang w:val="en-GB"/>
        </w:rPr>
        <w:t>, whether the system of deposits has infringed rights of a fundamental nature, respect for which must be ensured in the [</w:t>
      </w:r>
      <w:r w:rsidR="00695AC9">
        <w:rPr>
          <w:rFonts w:ascii="Garamond" w:hAnsi="Garamond"/>
          <w:sz w:val="20"/>
          <w:szCs w:val="20"/>
          <w:lang w:val="en-GB"/>
        </w:rPr>
        <w:t>EU</w:t>
      </w:r>
      <w:r w:rsidRPr="00833326">
        <w:rPr>
          <w:rFonts w:ascii="Garamond" w:hAnsi="Garamond"/>
          <w:sz w:val="20"/>
          <w:szCs w:val="20"/>
          <w:lang w:val="en-GB"/>
        </w:rPr>
        <w:t>] legal system</w:t>
      </w:r>
      <w:r w:rsidR="00782923">
        <w:rPr>
          <w:rFonts w:ascii="Garamond" w:hAnsi="Garamond"/>
          <w:sz w:val="20"/>
          <w:szCs w:val="20"/>
          <w:lang w:val="en-GB"/>
        </w:rPr>
        <w:t>”</w:t>
      </w:r>
      <w:r w:rsidRPr="00833326">
        <w:rPr>
          <w:rFonts w:ascii="Garamond" w:hAnsi="Garamond"/>
          <w:sz w:val="20"/>
          <w:szCs w:val="20"/>
          <w:lang w:val="en-GB"/>
        </w:rPr>
        <w:t>.</w:t>
      </w:r>
    </w:p>
    <w:p w14:paraId="270442BE" w14:textId="77777777" w:rsidR="00217D40" w:rsidRDefault="00217D40" w:rsidP="00AE3680">
      <w:pPr>
        <w:spacing w:after="120"/>
        <w:jc w:val="both"/>
        <w:rPr>
          <w:rFonts w:ascii="Garamond" w:hAnsi="Garamond"/>
          <w:sz w:val="24"/>
          <w:szCs w:val="24"/>
          <w:lang w:val="en-GB"/>
        </w:rPr>
      </w:pPr>
    </w:p>
    <w:p w14:paraId="3ED4F333" w14:textId="0A46203D" w:rsidR="00217D40" w:rsidRPr="00217D40" w:rsidRDefault="00217D40" w:rsidP="00217D40">
      <w:pPr>
        <w:numPr>
          <w:ilvl w:val="0"/>
          <w:numId w:val="17"/>
        </w:numPr>
        <w:spacing w:after="120"/>
        <w:jc w:val="both"/>
        <w:rPr>
          <w:rFonts w:ascii="Garamond" w:hAnsi="Garamond"/>
          <w:sz w:val="24"/>
          <w:szCs w:val="24"/>
          <w:lang w:val="en-GB"/>
        </w:rPr>
      </w:pPr>
      <w:r>
        <w:rPr>
          <w:rFonts w:ascii="Garamond" w:hAnsi="Garamond"/>
          <w:sz w:val="24"/>
          <w:szCs w:val="24"/>
          <w:lang w:val="en-GB"/>
        </w:rPr>
        <w:t>Note the connection between the development of fundamental rights and the primacy of EU law. The CJEU recognised human rights as general principles of EU law ‘at least partly in defence to national constitutional courts challenging the absolute primacy of European law’ (</w:t>
      </w:r>
      <w:proofErr w:type="spellStart"/>
      <w:r>
        <w:rPr>
          <w:rFonts w:ascii="Garamond" w:hAnsi="Garamond"/>
          <w:sz w:val="24"/>
          <w:szCs w:val="24"/>
          <w:lang w:val="en-GB"/>
        </w:rPr>
        <w:t>Schütze</w:t>
      </w:r>
      <w:proofErr w:type="spellEnd"/>
      <w:r>
        <w:rPr>
          <w:rFonts w:ascii="Garamond" w:hAnsi="Garamond"/>
          <w:sz w:val="24"/>
          <w:szCs w:val="24"/>
          <w:lang w:val="en-GB"/>
        </w:rPr>
        <w:t xml:space="preserve">, p. 453). </w:t>
      </w:r>
    </w:p>
    <w:p w14:paraId="58AB0C31" w14:textId="329CAA72" w:rsidR="000306EA" w:rsidRPr="00695AC9" w:rsidRDefault="00833326" w:rsidP="00AE3680">
      <w:pPr>
        <w:numPr>
          <w:ilvl w:val="0"/>
          <w:numId w:val="17"/>
        </w:numPr>
        <w:spacing w:after="120"/>
        <w:jc w:val="both"/>
        <w:rPr>
          <w:rFonts w:ascii="Garamond" w:hAnsi="Garamond"/>
          <w:sz w:val="24"/>
          <w:szCs w:val="24"/>
          <w:lang w:val="en-GB"/>
        </w:rPr>
      </w:pPr>
      <w:r w:rsidRPr="00695AC9">
        <w:rPr>
          <w:rFonts w:ascii="Garamond" w:hAnsi="Garamond"/>
          <w:sz w:val="24"/>
          <w:szCs w:val="24"/>
          <w:lang w:val="en-GB"/>
        </w:rPr>
        <w:t>How do we determine if a particular right forms part of the constitutional traditions common to the Member States? Should this be the majority of the Member States, or is it enough for a smaller group of Member States to recognise the right? One</w:t>
      </w:r>
      <w:r w:rsidR="000306EA" w:rsidRPr="00695AC9">
        <w:rPr>
          <w:rFonts w:ascii="Garamond" w:hAnsi="Garamond"/>
          <w:sz w:val="24"/>
          <w:szCs w:val="24"/>
          <w:lang w:val="en-GB"/>
        </w:rPr>
        <w:t>—i</w:t>
      </w:r>
      <w:r w:rsidRPr="00695AC9">
        <w:rPr>
          <w:rFonts w:ascii="Garamond" w:hAnsi="Garamond"/>
          <w:sz w:val="24"/>
          <w:szCs w:val="24"/>
          <w:lang w:val="en-GB"/>
        </w:rPr>
        <w:t>ngenious</w:t>
      </w:r>
      <w:r w:rsidR="000306EA" w:rsidRPr="00695AC9">
        <w:rPr>
          <w:rFonts w:ascii="Garamond" w:hAnsi="Garamond"/>
          <w:sz w:val="24"/>
          <w:szCs w:val="24"/>
          <w:lang w:val="en-GB"/>
        </w:rPr>
        <w:t>—</w:t>
      </w:r>
      <w:r w:rsidRPr="00695AC9">
        <w:rPr>
          <w:rFonts w:ascii="Garamond" w:hAnsi="Garamond"/>
          <w:sz w:val="24"/>
          <w:szCs w:val="24"/>
          <w:lang w:val="en-GB"/>
        </w:rPr>
        <w:t xml:space="preserve">way of identifying a common </w:t>
      </w:r>
      <w:r w:rsidR="00695AC9">
        <w:rPr>
          <w:rFonts w:ascii="Garamond" w:hAnsi="Garamond"/>
          <w:sz w:val="24"/>
          <w:szCs w:val="24"/>
          <w:lang w:val="en-GB"/>
        </w:rPr>
        <w:t>‘</w:t>
      </w:r>
      <w:r w:rsidRPr="00695AC9">
        <w:rPr>
          <w:rFonts w:ascii="Garamond" w:hAnsi="Garamond"/>
          <w:sz w:val="24"/>
          <w:szCs w:val="24"/>
          <w:lang w:val="en-GB"/>
        </w:rPr>
        <w:t>agreement</w:t>
      </w:r>
      <w:r w:rsidR="00695AC9">
        <w:rPr>
          <w:rFonts w:ascii="Garamond" w:hAnsi="Garamond"/>
          <w:sz w:val="24"/>
          <w:szCs w:val="24"/>
          <w:lang w:val="en-GB"/>
        </w:rPr>
        <w:t>’</w:t>
      </w:r>
      <w:r w:rsidRPr="00695AC9">
        <w:rPr>
          <w:rFonts w:ascii="Garamond" w:hAnsi="Garamond"/>
          <w:sz w:val="24"/>
          <w:szCs w:val="24"/>
          <w:lang w:val="en-GB"/>
        </w:rPr>
        <w:t xml:space="preserve"> between the various national constitutional traditions was to use international agreements of the Member States. </w:t>
      </w:r>
    </w:p>
    <w:p w14:paraId="077DD66C" w14:textId="77777777" w:rsidR="002E5BE8" w:rsidRPr="00833326" w:rsidRDefault="002E5BE8" w:rsidP="002E5BE8">
      <w:pPr>
        <w:spacing w:after="120"/>
        <w:jc w:val="both"/>
        <w:rPr>
          <w:rFonts w:ascii="Garamond" w:hAnsi="Garamond"/>
          <w:sz w:val="24"/>
          <w:szCs w:val="24"/>
          <w:lang w:val="en-GB"/>
        </w:rPr>
      </w:pPr>
    </w:p>
    <w:p w14:paraId="0197A8E2" w14:textId="5391BA15" w:rsidR="002E5BE8" w:rsidRPr="001A5C95" w:rsidRDefault="002E5BE8" w:rsidP="002E5BE8">
      <w:pPr>
        <w:numPr>
          <w:ilvl w:val="0"/>
          <w:numId w:val="2"/>
        </w:numPr>
        <w:spacing w:after="120"/>
        <w:rPr>
          <w:rFonts w:ascii="Garamond" w:hAnsi="Garamond"/>
          <w:sz w:val="24"/>
          <w:szCs w:val="24"/>
        </w:rPr>
      </w:pPr>
      <w:proofErr w:type="spellStart"/>
      <w:r w:rsidRPr="002E5BE8">
        <w:rPr>
          <w:rFonts w:ascii="Garamond" w:hAnsi="Garamond"/>
          <w:i/>
          <w:sz w:val="24"/>
          <w:szCs w:val="24"/>
        </w:rPr>
        <w:t>Nold</w:t>
      </w:r>
      <w:proofErr w:type="spellEnd"/>
      <w:r w:rsidRPr="002E5BE8">
        <w:rPr>
          <w:rFonts w:ascii="Garamond" w:hAnsi="Garamond"/>
          <w:i/>
          <w:sz w:val="24"/>
          <w:szCs w:val="24"/>
        </w:rPr>
        <w:t xml:space="preserve"> v </w:t>
      </w:r>
      <w:r w:rsidRPr="002E5BE8">
        <w:rPr>
          <w:rFonts w:ascii="Garamond" w:hAnsi="Garamond"/>
          <w:i/>
          <w:sz w:val="24"/>
          <w:szCs w:val="24"/>
          <w:lang w:val="en-GB"/>
        </w:rPr>
        <w:t>Commission</w:t>
      </w:r>
      <w:r w:rsidRPr="001A5C95">
        <w:rPr>
          <w:rFonts w:ascii="Garamond" w:hAnsi="Garamond"/>
          <w:sz w:val="24"/>
          <w:szCs w:val="24"/>
        </w:rPr>
        <w:t>, Case 4/73</w:t>
      </w:r>
    </w:p>
    <w:p w14:paraId="3DF8A925" w14:textId="3F4F8054" w:rsidR="002E5BE8" w:rsidRDefault="00695AC9" w:rsidP="00217D40">
      <w:pPr>
        <w:spacing w:after="120"/>
        <w:ind w:left="1004"/>
        <w:jc w:val="both"/>
        <w:rPr>
          <w:rFonts w:ascii="Garamond" w:hAnsi="Garamond"/>
          <w:sz w:val="20"/>
          <w:szCs w:val="20"/>
        </w:rPr>
      </w:pPr>
      <w:r>
        <w:rPr>
          <w:rFonts w:ascii="Garamond" w:hAnsi="Garamond"/>
          <w:sz w:val="20"/>
          <w:szCs w:val="20"/>
        </w:rPr>
        <w:t>“</w:t>
      </w:r>
      <w:r w:rsidR="002E5BE8" w:rsidRPr="001A5C95">
        <w:rPr>
          <w:rFonts w:ascii="Garamond" w:hAnsi="Garamond"/>
          <w:sz w:val="20"/>
          <w:szCs w:val="20"/>
        </w:rPr>
        <w:t>[F]</w:t>
      </w:r>
      <w:proofErr w:type="spellStart"/>
      <w:r w:rsidR="002E5BE8" w:rsidRPr="001A5C95">
        <w:rPr>
          <w:rFonts w:ascii="Garamond" w:hAnsi="Garamond"/>
          <w:sz w:val="20"/>
          <w:szCs w:val="20"/>
        </w:rPr>
        <w:t>undamental</w:t>
      </w:r>
      <w:proofErr w:type="spellEnd"/>
      <w:r w:rsidR="002E5BE8" w:rsidRPr="001A5C95">
        <w:rPr>
          <w:rFonts w:ascii="Garamond" w:hAnsi="Garamond"/>
          <w:sz w:val="20"/>
          <w:szCs w:val="20"/>
        </w:rPr>
        <w:t xml:space="preserve"> rights from an integral part of the general principles of law, the observance of which it ensures. In safeguarding these rights, the Court is bound to draw </w:t>
      </w:r>
      <w:r w:rsidR="002E5BE8" w:rsidRPr="001A5C95">
        <w:rPr>
          <w:rFonts w:ascii="Garamond" w:hAnsi="Garamond"/>
          <w:i/>
          <w:sz w:val="20"/>
          <w:szCs w:val="20"/>
        </w:rPr>
        <w:t>inspiration</w:t>
      </w:r>
      <w:r w:rsidR="002E5BE8" w:rsidRPr="001A5C95">
        <w:rPr>
          <w:rFonts w:ascii="Garamond" w:hAnsi="Garamond"/>
          <w:sz w:val="20"/>
          <w:szCs w:val="20"/>
        </w:rPr>
        <w:t xml:space="preserve"> from constitutional traditions common to the Member States, and it cannot therefore uphold measures which are incompatible with fundamental rights recognized and protected by the constitution</w:t>
      </w:r>
      <w:r w:rsidR="002E5BE8" w:rsidRPr="001A5C95">
        <w:rPr>
          <w:rFonts w:ascii="Garamond" w:hAnsi="Garamond"/>
          <w:i/>
          <w:sz w:val="20"/>
          <w:szCs w:val="20"/>
        </w:rPr>
        <w:t>s</w:t>
      </w:r>
      <w:r w:rsidR="002E5BE8" w:rsidRPr="001A5C95">
        <w:rPr>
          <w:rFonts w:ascii="Garamond" w:hAnsi="Garamond"/>
          <w:sz w:val="20"/>
          <w:szCs w:val="20"/>
        </w:rPr>
        <w:t xml:space="preserve"> of those States. Similarly, </w:t>
      </w:r>
      <w:r w:rsidR="002E5BE8" w:rsidRPr="000306EA">
        <w:rPr>
          <w:rFonts w:ascii="Garamond" w:hAnsi="Garamond"/>
          <w:sz w:val="20"/>
          <w:szCs w:val="20"/>
          <w:u w:val="single"/>
        </w:rPr>
        <w:t xml:space="preserve">international treaties for the protection of human rights on which the Member States have collaborated or which they are signatories, can supply </w:t>
      </w:r>
      <w:r w:rsidR="002E5BE8" w:rsidRPr="000306EA">
        <w:rPr>
          <w:rFonts w:ascii="Garamond" w:hAnsi="Garamond"/>
          <w:i/>
          <w:sz w:val="20"/>
          <w:szCs w:val="20"/>
          <w:u w:val="single"/>
        </w:rPr>
        <w:t>guidelines</w:t>
      </w:r>
      <w:r w:rsidR="002E5BE8" w:rsidRPr="001A5C95">
        <w:rPr>
          <w:rFonts w:ascii="Garamond" w:hAnsi="Garamond"/>
          <w:sz w:val="20"/>
          <w:szCs w:val="20"/>
        </w:rPr>
        <w:t xml:space="preserve"> which should be followed within the framework of [</w:t>
      </w:r>
      <w:r>
        <w:rPr>
          <w:rFonts w:ascii="Garamond" w:hAnsi="Garamond"/>
          <w:sz w:val="20"/>
          <w:szCs w:val="20"/>
        </w:rPr>
        <w:t>EU</w:t>
      </w:r>
      <w:r w:rsidR="002E5BE8" w:rsidRPr="001A5C95">
        <w:rPr>
          <w:rFonts w:ascii="Garamond" w:hAnsi="Garamond"/>
          <w:sz w:val="20"/>
          <w:szCs w:val="20"/>
        </w:rPr>
        <w:t>] law</w:t>
      </w:r>
      <w:r>
        <w:rPr>
          <w:rFonts w:ascii="Garamond" w:hAnsi="Garamond"/>
          <w:sz w:val="20"/>
          <w:szCs w:val="20"/>
        </w:rPr>
        <w:t>”</w:t>
      </w:r>
      <w:r w:rsidR="002E5BE8" w:rsidRPr="001A5C95">
        <w:rPr>
          <w:rFonts w:ascii="Garamond" w:hAnsi="Garamond"/>
          <w:sz w:val="20"/>
          <w:szCs w:val="20"/>
        </w:rPr>
        <w:t>.</w:t>
      </w:r>
      <w:r w:rsidR="00CD5BEA">
        <w:rPr>
          <w:rFonts w:ascii="Garamond" w:hAnsi="Garamond"/>
          <w:sz w:val="20"/>
          <w:szCs w:val="20"/>
        </w:rPr>
        <w:t xml:space="preserve"> </w:t>
      </w:r>
    </w:p>
    <w:p w14:paraId="2011CE2C" w14:textId="77777777" w:rsidR="00217D40" w:rsidRPr="00217D40" w:rsidRDefault="00217D40" w:rsidP="00217D40">
      <w:pPr>
        <w:spacing w:after="120"/>
        <w:ind w:left="1004"/>
        <w:jc w:val="both"/>
        <w:rPr>
          <w:rFonts w:ascii="Garamond" w:hAnsi="Garamond"/>
          <w:sz w:val="20"/>
          <w:szCs w:val="20"/>
        </w:rPr>
      </w:pPr>
    </w:p>
    <w:p w14:paraId="34FFAB9D" w14:textId="0E52705A" w:rsidR="00833326" w:rsidRPr="00695AC9" w:rsidRDefault="00833326" w:rsidP="00AE3680">
      <w:pPr>
        <w:numPr>
          <w:ilvl w:val="0"/>
          <w:numId w:val="17"/>
        </w:numPr>
        <w:spacing w:after="120"/>
        <w:jc w:val="both"/>
        <w:rPr>
          <w:rFonts w:ascii="Garamond" w:hAnsi="Garamond"/>
          <w:sz w:val="24"/>
          <w:szCs w:val="24"/>
          <w:lang w:val="en-GB"/>
        </w:rPr>
      </w:pPr>
      <w:r w:rsidRPr="00695AC9">
        <w:rPr>
          <w:rFonts w:ascii="Garamond" w:hAnsi="Garamond"/>
          <w:sz w:val="24"/>
          <w:szCs w:val="24"/>
          <w:lang w:val="en-GB"/>
        </w:rPr>
        <w:t>One such international agreement was the European Convention of Human Rights. Having been ratified by all Member States and dealing specially with human rights, the Convention would soon assume a “</w:t>
      </w:r>
      <w:r w:rsidR="00B958D6" w:rsidRPr="00695AC9">
        <w:rPr>
          <w:rFonts w:ascii="Garamond" w:hAnsi="Garamond"/>
          <w:sz w:val="24"/>
          <w:szCs w:val="24"/>
          <w:lang w:val="en-GB"/>
        </w:rPr>
        <w:t>special</w:t>
      </w:r>
      <w:r w:rsidRPr="00695AC9">
        <w:rPr>
          <w:rFonts w:ascii="Garamond" w:hAnsi="Garamond"/>
          <w:sz w:val="24"/>
          <w:szCs w:val="24"/>
          <w:lang w:val="en-GB"/>
        </w:rPr>
        <w:t xml:space="preserve"> significance”</w:t>
      </w:r>
      <w:r w:rsidR="003B07D5" w:rsidRPr="00695AC9">
        <w:rPr>
          <w:rFonts w:ascii="Garamond" w:hAnsi="Garamond"/>
          <w:sz w:val="24"/>
          <w:szCs w:val="24"/>
          <w:lang w:val="en-GB"/>
        </w:rPr>
        <w:t xml:space="preserve"> (</w:t>
      </w:r>
      <w:r w:rsidR="003B07D5" w:rsidRPr="00695AC9">
        <w:rPr>
          <w:rFonts w:ascii="Garamond" w:hAnsi="Garamond"/>
          <w:i/>
          <w:sz w:val="24"/>
          <w:szCs w:val="24"/>
          <w:lang w:val="en-GB"/>
        </w:rPr>
        <w:t>ERT</w:t>
      </w:r>
      <w:r w:rsidR="003B07D5" w:rsidRPr="00695AC9">
        <w:rPr>
          <w:rFonts w:ascii="Garamond" w:hAnsi="Garamond"/>
          <w:sz w:val="24"/>
          <w:szCs w:val="24"/>
          <w:lang w:val="en-GB"/>
        </w:rPr>
        <w:t>, para 41)</w:t>
      </w:r>
      <w:r w:rsidRPr="00695AC9">
        <w:rPr>
          <w:rFonts w:ascii="Garamond" w:hAnsi="Garamond"/>
          <w:sz w:val="24"/>
          <w:szCs w:val="24"/>
          <w:lang w:val="en-GB"/>
        </w:rPr>
        <w:t xml:space="preserve"> in identifying fundamental rights for the European Union. </w:t>
      </w:r>
      <w:r w:rsidR="00AE0256" w:rsidRPr="00695AC9">
        <w:rPr>
          <w:rFonts w:ascii="Garamond" w:hAnsi="Garamond"/>
          <w:sz w:val="24"/>
          <w:szCs w:val="24"/>
          <w:lang w:val="en-GB"/>
        </w:rPr>
        <w:t>H</w:t>
      </w:r>
      <w:r w:rsidR="002E5BE8" w:rsidRPr="00695AC9">
        <w:rPr>
          <w:rFonts w:ascii="Garamond" w:hAnsi="Garamond"/>
          <w:sz w:val="24"/>
          <w:szCs w:val="24"/>
          <w:lang w:val="en-GB"/>
        </w:rPr>
        <w:t xml:space="preserve">owever, the ECHR remains a source of inspiration—the EU is not directly bound </w:t>
      </w:r>
      <w:r w:rsidR="00AE0256" w:rsidRPr="00695AC9">
        <w:rPr>
          <w:rFonts w:ascii="Garamond" w:hAnsi="Garamond"/>
          <w:sz w:val="24"/>
          <w:szCs w:val="24"/>
          <w:lang w:val="en-GB"/>
        </w:rPr>
        <w:t>to comply with the rights protected by the</w:t>
      </w:r>
      <w:r w:rsidR="002E5BE8" w:rsidRPr="00695AC9">
        <w:rPr>
          <w:rFonts w:ascii="Garamond" w:hAnsi="Garamond"/>
          <w:sz w:val="24"/>
          <w:szCs w:val="24"/>
          <w:lang w:val="en-GB"/>
        </w:rPr>
        <w:t xml:space="preserve"> ECHR. </w:t>
      </w:r>
    </w:p>
    <w:p w14:paraId="36DF88BB" w14:textId="77777777" w:rsidR="002E5BE8" w:rsidRDefault="002E5BE8" w:rsidP="00AE3680">
      <w:pPr>
        <w:spacing w:after="120"/>
        <w:jc w:val="both"/>
        <w:rPr>
          <w:rFonts w:ascii="Garamond" w:hAnsi="Garamond"/>
          <w:sz w:val="24"/>
          <w:szCs w:val="24"/>
          <w:lang w:val="en-GB"/>
        </w:rPr>
      </w:pPr>
    </w:p>
    <w:p w14:paraId="0FF27B03" w14:textId="45916469" w:rsidR="002E5BE8" w:rsidRDefault="002E5BE8" w:rsidP="002E5BE8">
      <w:pPr>
        <w:pStyle w:val="ListParagraph"/>
        <w:numPr>
          <w:ilvl w:val="0"/>
          <w:numId w:val="7"/>
        </w:numPr>
        <w:spacing w:after="120"/>
        <w:jc w:val="both"/>
        <w:rPr>
          <w:rFonts w:ascii="Garamond" w:hAnsi="Garamond"/>
          <w:sz w:val="24"/>
          <w:szCs w:val="24"/>
          <w:lang w:val="en-GB"/>
        </w:rPr>
      </w:pPr>
      <w:proofErr w:type="spellStart"/>
      <w:r w:rsidRPr="002E5BE8">
        <w:rPr>
          <w:rFonts w:ascii="Garamond" w:hAnsi="Garamond"/>
          <w:i/>
          <w:sz w:val="24"/>
          <w:szCs w:val="24"/>
          <w:lang w:val="en-GB"/>
        </w:rPr>
        <w:t>E</w:t>
      </w:r>
      <w:r w:rsidR="003E09AF">
        <w:rPr>
          <w:rFonts w:ascii="Garamond" w:hAnsi="Garamond"/>
          <w:i/>
          <w:sz w:val="24"/>
          <w:szCs w:val="24"/>
          <w:lang w:val="en-GB"/>
        </w:rPr>
        <w:t>lliniki</w:t>
      </w:r>
      <w:proofErr w:type="spellEnd"/>
      <w:r w:rsidR="003E09AF">
        <w:rPr>
          <w:rFonts w:ascii="Garamond" w:hAnsi="Garamond"/>
          <w:i/>
          <w:sz w:val="24"/>
          <w:szCs w:val="24"/>
          <w:lang w:val="en-GB"/>
        </w:rPr>
        <w:t xml:space="preserve"> </w:t>
      </w:r>
      <w:proofErr w:type="spellStart"/>
      <w:r w:rsidRPr="002E5BE8">
        <w:rPr>
          <w:rFonts w:ascii="Garamond" w:hAnsi="Garamond"/>
          <w:i/>
          <w:sz w:val="24"/>
          <w:szCs w:val="24"/>
          <w:lang w:val="en-GB"/>
        </w:rPr>
        <w:t>R</w:t>
      </w:r>
      <w:r w:rsidR="003E09AF">
        <w:rPr>
          <w:rFonts w:ascii="Garamond" w:hAnsi="Garamond"/>
          <w:i/>
          <w:sz w:val="24"/>
          <w:szCs w:val="24"/>
          <w:lang w:val="en-GB"/>
        </w:rPr>
        <w:t>adiofonia</w:t>
      </w:r>
      <w:proofErr w:type="spellEnd"/>
      <w:r w:rsidR="003E09AF">
        <w:rPr>
          <w:rFonts w:ascii="Garamond" w:hAnsi="Garamond"/>
          <w:i/>
          <w:sz w:val="24"/>
          <w:szCs w:val="24"/>
          <w:lang w:val="en-GB"/>
        </w:rPr>
        <w:t xml:space="preserve"> </w:t>
      </w:r>
      <w:proofErr w:type="spellStart"/>
      <w:r w:rsidRPr="002E5BE8">
        <w:rPr>
          <w:rFonts w:ascii="Garamond" w:hAnsi="Garamond"/>
          <w:i/>
          <w:sz w:val="24"/>
          <w:szCs w:val="24"/>
          <w:lang w:val="en-GB"/>
        </w:rPr>
        <w:t>T</w:t>
      </w:r>
      <w:r w:rsidR="003E09AF">
        <w:rPr>
          <w:rFonts w:ascii="Garamond" w:hAnsi="Garamond"/>
          <w:i/>
          <w:sz w:val="24"/>
          <w:szCs w:val="24"/>
          <w:lang w:val="en-GB"/>
        </w:rPr>
        <w:t>ileorasi</w:t>
      </w:r>
      <w:proofErr w:type="spellEnd"/>
      <w:r w:rsidR="003E09AF">
        <w:rPr>
          <w:rFonts w:ascii="Garamond" w:hAnsi="Garamond"/>
          <w:i/>
          <w:sz w:val="24"/>
          <w:szCs w:val="24"/>
          <w:lang w:val="en-GB"/>
        </w:rPr>
        <w:t xml:space="preserve"> </w:t>
      </w:r>
      <w:r w:rsidR="005302C5">
        <w:rPr>
          <w:rFonts w:ascii="Garamond" w:hAnsi="Garamond"/>
          <w:i/>
          <w:sz w:val="24"/>
          <w:szCs w:val="24"/>
          <w:lang w:val="en-GB"/>
        </w:rPr>
        <w:t xml:space="preserve">AE </w:t>
      </w:r>
      <w:r w:rsidR="003E09AF">
        <w:rPr>
          <w:rFonts w:ascii="Garamond" w:hAnsi="Garamond"/>
          <w:i/>
          <w:sz w:val="24"/>
          <w:szCs w:val="24"/>
          <w:lang w:val="en-GB"/>
        </w:rPr>
        <w:t>(ERT)</w:t>
      </w:r>
      <w:r>
        <w:rPr>
          <w:rFonts w:ascii="Garamond" w:hAnsi="Garamond"/>
          <w:sz w:val="24"/>
          <w:szCs w:val="24"/>
          <w:lang w:val="en-GB"/>
        </w:rPr>
        <w:t>, C-260/89</w:t>
      </w:r>
    </w:p>
    <w:p w14:paraId="5A29EB72" w14:textId="77777777" w:rsidR="000609EA" w:rsidRDefault="000609EA" w:rsidP="000609EA">
      <w:pPr>
        <w:spacing w:after="120"/>
        <w:jc w:val="both"/>
        <w:rPr>
          <w:rFonts w:ascii="Garamond" w:hAnsi="Garamond"/>
          <w:sz w:val="24"/>
          <w:szCs w:val="24"/>
          <w:lang w:val="en-GB"/>
        </w:rPr>
      </w:pPr>
    </w:p>
    <w:p w14:paraId="60D85CDA" w14:textId="77777777" w:rsidR="00217D40" w:rsidRDefault="00217D40" w:rsidP="000609EA">
      <w:pPr>
        <w:spacing w:after="120"/>
        <w:jc w:val="both"/>
        <w:rPr>
          <w:rFonts w:ascii="Garamond" w:hAnsi="Garamond"/>
          <w:sz w:val="24"/>
          <w:szCs w:val="24"/>
          <w:lang w:val="en-GB"/>
        </w:rPr>
      </w:pPr>
    </w:p>
    <w:tbl>
      <w:tblPr>
        <w:tblStyle w:val="TableGrid"/>
        <w:tblW w:w="0" w:type="auto"/>
        <w:shd w:val="clear" w:color="auto" w:fill="C6D9F1" w:themeFill="text2" w:themeFillTint="33"/>
        <w:tblLook w:val="04A0" w:firstRow="1" w:lastRow="0" w:firstColumn="1" w:lastColumn="0" w:noHBand="0" w:noVBand="1"/>
      </w:tblPr>
      <w:tblGrid>
        <w:gridCol w:w="9242"/>
      </w:tblGrid>
      <w:tr w:rsidR="000609EA" w14:paraId="459C0509" w14:textId="77777777" w:rsidTr="005F4628">
        <w:tc>
          <w:tcPr>
            <w:tcW w:w="9242" w:type="dxa"/>
            <w:shd w:val="clear" w:color="auto" w:fill="C6D9F1" w:themeFill="text2" w:themeFillTint="33"/>
          </w:tcPr>
          <w:p w14:paraId="411DA803" w14:textId="3ABAF182" w:rsidR="000609EA" w:rsidRDefault="000609EA" w:rsidP="000609EA">
            <w:pPr>
              <w:jc w:val="both"/>
              <w:rPr>
                <w:rFonts w:ascii="Garamond" w:hAnsi="Garamond"/>
                <w:b/>
                <w:sz w:val="24"/>
                <w:szCs w:val="24"/>
              </w:rPr>
            </w:pPr>
          </w:p>
          <w:p w14:paraId="6CE3D9A6" w14:textId="59FA534A" w:rsidR="007D30B1" w:rsidRPr="00C72259" w:rsidRDefault="0094271F" w:rsidP="00C72259">
            <w:pPr>
              <w:numPr>
                <w:ilvl w:val="0"/>
                <w:numId w:val="17"/>
              </w:numPr>
              <w:spacing w:after="120"/>
              <w:jc w:val="both"/>
              <w:rPr>
                <w:rFonts w:ascii="Garamond" w:hAnsi="Garamond"/>
                <w:sz w:val="24"/>
                <w:szCs w:val="24"/>
                <w:lang w:val="en-GB"/>
              </w:rPr>
            </w:pPr>
            <w:r w:rsidRPr="00C72259">
              <w:rPr>
                <w:rFonts w:ascii="Garamond" w:hAnsi="Garamond"/>
                <w:sz w:val="24"/>
                <w:szCs w:val="24"/>
              </w:rPr>
              <w:t>Apart from</w:t>
            </w:r>
            <w:r w:rsidR="000609EA" w:rsidRPr="00C72259">
              <w:rPr>
                <w:rFonts w:ascii="Garamond" w:hAnsi="Garamond"/>
                <w:sz w:val="24"/>
                <w:szCs w:val="24"/>
              </w:rPr>
              <w:t xml:space="preserve"> the ECHR, the Court of Justice has rarely drawn on other international human rights instruments in </w:t>
            </w:r>
            <w:r w:rsidR="007D30B1" w:rsidRPr="00C72259">
              <w:rPr>
                <w:rFonts w:ascii="Garamond" w:hAnsi="Garamond"/>
                <w:sz w:val="24"/>
                <w:szCs w:val="24"/>
              </w:rPr>
              <w:t>determining the scope of</w:t>
            </w:r>
            <w:r w:rsidR="000609EA" w:rsidRPr="00C72259">
              <w:rPr>
                <w:rFonts w:ascii="Garamond" w:hAnsi="Garamond"/>
                <w:sz w:val="24"/>
                <w:szCs w:val="24"/>
              </w:rPr>
              <w:t xml:space="preserve"> EU fundamental rights. </w:t>
            </w:r>
            <w:r w:rsidR="005F4628" w:rsidRPr="00C72259">
              <w:rPr>
                <w:rFonts w:ascii="Garamond" w:hAnsi="Garamond"/>
                <w:sz w:val="24"/>
                <w:szCs w:val="24"/>
              </w:rPr>
              <w:t>Indeed, the</w:t>
            </w:r>
            <w:r w:rsidR="007D30B1" w:rsidRPr="00C72259">
              <w:rPr>
                <w:rFonts w:ascii="Garamond" w:hAnsi="Garamond"/>
                <w:sz w:val="24"/>
                <w:szCs w:val="24"/>
              </w:rPr>
              <w:t xml:space="preserve"> relationship between</w:t>
            </w:r>
            <w:r w:rsidR="005B3B83" w:rsidRPr="00C72259">
              <w:rPr>
                <w:rFonts w:ascii="Garamond" w:hAnsi="Garamond"/>
                <w:sz w:val="24"/>
                <w:szCs w:val="24"/>
              </w:rPr>
              <w:t xml:space="preserve"> the </w:t>
            </w:r>
            <w:r w:rsidR="00C72259">
              <w:rPr>
                <w:rFonts w:ascii="Garamond" w:hAnsi="Garamond"/>
                <w:sz w:val="24"/>
                <w:szCs w:val="24"/>
              </w:rPr>
              <w:t>‘</w:t>
            </w:r>
            <w:r w:rsidR="005B3B83" w:rsidRPr="00C72259">
              <w:rPr>
                <w:rFonts w:ascii="Garamond" w:hAnsi="Garamond"/>
                <w:sz w:val="24"/>
                <w:szCs w:val="24"/>
              </w:rPr>
              <w:t>autonomous</w:t>
            </w:r>
            <w:r w:rsidR="00C72259">
              <w:rPr>
                <w:rFonts w:ascii="Garamond" w:hAnsi="Garamond"/>
                <w:sz w:val="24"/>
                <w:szCs w:val="24"/>
              </w:rPr>
              <w:t>’</w:t>
            </w:r>
            <w:r w:rsidR="005B3B83" w:rsidRPr="00C72259">
              <w:rPr>
                <w:rFonts w:ascii="Garamond" w:hAnsi="Garamond"/>
                <w:sz w:val="24"/>
                <w:szCs w:val="24"/>
              </w:rPr>
              <w:t xml:space="preserve"> </w:t>
            </w:r>
            <w:r w:rsidR="001402FE" w:rsidRPr="00C72259">
              <w:rPr>
                <w:rFonts w:ascii="Garamond" w:hAnsi="Garamond"/>
                <w:sz w:val="24"/>
                <w:szCs w:val="24"/>
              </w:rPr>
              <w:t xml:space="preserve">nature of </w:t>
            </w:r>
            <w:r w:rsidR="005B3B83" w:rsidRPr="00C72259">
              <w:rPr>
                <w:rFonts w:ascii="Garamond" w:hAnsi="Garamond"/>
                <w:sz w:val="24"/>
                <w:szCs w:val="24"/>
              </w:rPr>
              <w:t xml:space="preserve">EU fundamental rights and international law can be a source of controversy, as the case below illustrates. </w:t>
            </w:r>
          </w:p>
          <w:p w14:paraId="39873E26" w14:textId="77777777" w:rsidR="000609EA" w:rsidRDefault="000609EA" w:rsidP="00CA555D">
            <w:pPr>
              <w:spacing w:line="276" w:lineRule="auto"/>
              <w:jc w:val="both"/>
              <w:rPr>
                <w:rFonts w:ascii="Garamond" w:hAnsi="Garamond"/>
                <w:b/>
                <w:sz w:val="24"/>
                <w:szCs w:val="24"/>
              </w:rPr>
            </w:pPr>
          </w:p>
          <w:p w14:paraId="29C364E4" w14:textId="11A1A6DD" w:rsidR="000609EA" w:rsidRPr="008A5F60" w:rsidRDefault="000609EA" w:rsidP="00CA555D">
            <w:pPr>
              <w:spacing w:line="276" w:lineRule="auto"/>
              <w:jc w:val="both"/>
              <w:rPr>
                <w:rFonts w:ascii="Garamond" w:hAnsi="Garamond"/>
                <w:sz w:val="24"/>
                <w:szCs w:val="24"/>
              </w:rPr>
            </w:pPr>
            <w:r>
              <w:rPr>
                <w:rFonts w:ascii="Garamond" w:hAnsi="Garamond"/>
                <w:b/>
                <w:sz w:val="24"/>
                <w:szCs w:val="24"/>
              </w:rPr>
              <w:t>CASE STUDY</w:t>
            </w:r>
            <w:r>
              <w:rPr>
                <w:rFonts w:ascii="Garamond" w:hAnsi="Garamond"/>
                <w:sz w:val="24"/>
                <w:szCs w:val="24"/>
              </w:rPr>
              <w:t xml:space="preserve">: </w:t>
            </w:r>
            <w:r>
              <w:rPr>
                <w:rFonts w:ascii="Garamond" w:hAnsi="Garamond"/>
                <w:i/>
                <w:sz w:val="24"/>
                <w:szCs w:val="24"/>
              </w:rPr>
              <w:t>Kadi</w:t>
            </w:r>
            <w:r>
              <w:rPr>
                <w:rFonts w:ascii="Garamond" w:hAnsi="Garamond"/>
                <w:sz w:val="24"/>
                <w:szCs w:val="24"/>
              </w:rPr>
              <w:t>, C-402/05P</w:t>
            </w:r>
          </w:p>
          <w:p w14:paraId="48024496" w14:textId="77777777" w:rsidR="000609EA" w:rsidRDefault="000609EA" w:rsidP="00CA555D">
            <w:pPr>
              <w:spacing w:line="276" w:lineRule="auto"/>
              <w:jc w:val="both"/>
              <w:rPr>
                <w:rFonts w:ascii="Garamond" w:hAnsi="Garamond"/>
                <w:sz w:val="24"/>
                <w:szCs w:val="24"/>
              </w:rPr>
            </w:pPr>
          </w:p>
          <w:p w14:paraId="7F1F827C" w14:textId="2E226A71" w:rsidR="00C72259" w:rsidRPr="00C72259" w:rsidRDefault="000609EA" w:rsidP="00C72259">
            <w:pPr>
              <w:numPr>
                <w:ilvl w:val="0"/>
                <w:numId w:val="17"/>
              </w:numPr>
              <w:spacing w:after="120"/>
              <w:jc w:val="both"/>
              <w:rPr>
                <w:rFonts w:ascii="Garamond" w:hAnsi="Garamond"/>
                <w:sz w:val="24"/>
                <w:szCs w:val="24"/>
                <w:lang w:val="en-GB"/>
              </w:rPr>
            </w:pPr>
            <w:r w:rsidRPr="00C72259">
              <w:rPr>
                <w:rFonts w:ascii="Garamond" w:hAnsi="Garamond"/>
                <w:sz w:val="24"/>
                <w:szCs w:val="24"/>
              </w:rPr>
              <w:t>Kadi was a Saudi national who had a significant amount of financial assets in Sweden. After the terrorist attack on the WTC in New York in 2001, Kadi was suspected of being involved in the financing of terrorist activities. As</w:t>
            </w:r>
            <w:r w:rsidR="00BE2752" w:rsidRPr="00C72259">
              <w:rPr>
                <w:rFonts w:ascii="Garamond" w:hAnsi="Garamond"/>
                <w:sz w:val="24"/>
                <w:szCs w:val="24"/>
              </w:rPr>
              <w:t xml:space="preserve"> a result, the Security Council</w:t>
            </w:r>
            <w:r w:rsidR="00C72259">
              <w:rPr>
                <w:rFonts w:ascii="Garamond" w:hAnsi="Garamond"/>
                <w:sz w:val="24"/>
                <w:szCs w:val="24"/>
              </w:rPr>
              <w:t xml:space="preserve">, </w:t>
            </w:r>
            <w:r w:rsidRPr="00C72259">
              <w:rPr>
                <w:rFonts w:ascii="Garamond" w:hAnsi="Garamond"/>
                <w:sz w:val="24"/>
                <w:szCs w:val="24"/>
              </w:rPr>
              <w:t xml:space="preserve">the supreme decision-making body of the United Nations (an international law </w:t>
            </w:r>
            <w:proofErr w:type="spellStart"/>
            <w:r w:rsidRPr="00C72259">
              <w:rPr>
                <w:rFonts w:ascii="Garamond" w:hAnsi="Garamond"/>
                <w:sz w:val="24"/>
                <w:szCs w:val="24"/>
              </w:rPr>
              <w:t>organisation</w:t>
            </w:r>
            <w:proofErr w:type="spellEnd"/>
            <w:r w:rsidRPr="00C72259">
              <w:rPr>
                <w:rFonts w:ascii="Garamond" w:hAnsi="Garamond"/>
                <w:sz w:val="24"/>
                <w:szCs w:val="24"/>
              </w:rPr>
              <w:t>)</w:t>
            </w:r>
            <w:r w:rsidR="00C72259">
              <w:rPr>
                <w:rFonts w:ascii="Garamond" w:hAnsi="Garamond"/>
                <w:sz w:val="24"/>
                <w:szCs w:val="24"/>
              </w:rPr>
              <w:t xml:space="preserve">, </w:t>
            </w:r>
            <w:r w:rsidRPr="00C72259">
              <w:rPr>
                <w:rFonts w:ascii="Garamond" w:hAnsi="Garamond"/>
                <w:sz w:val="24"/>
                <w:szCs w:val="24"/>
              </w:rPr>
              <w:t xml:space="preserve">placed him on a blacklist of suspected terrorists. The Security Council adopted a Resolution, which provided that all members of the UN had to block the assets of the individuals included in the blacklist. Under international law, Security Council Resolutions are supreme. The lawfulness of </w:t>
            </w:r>
            <w:r w:rsidR="00A13377">
              <w:rPr>
                <w:rFonts w:ascii="Garamond" w:hAnsi="Garamond"/>
                <w:sz w:val="24"/>
                <w:szCs w:val="24"/>
              </w:rPr>
              <w:t>these</w:t>
            </w:r>
            <w:r w:rsidRPr="00C72259">
              <w:rPr>
                <w:rFonts w:ascii="Garamond" w:hAnsi="Garamond"/>
                <w:sz w:val="24"/>
                <w:szCs w:val="24"/>
              </w:rPr>
              <w:t xml:space="preserve"> resolutions cannot be challenged before </w:t>
            </w:r>
            <w:r w:rsidR="00A13377">
              <w:rPr>
                <w:rFonts w:ascii="Garamond" w:hAnsi="Garamond"/>
                <w:sz w:val="24"/>
                <w:szCs w:val="24"/>
              </w:rPr>
              <w:t xml:space="preserve">the </w:t>
            </w:r>
            <w:r w:rsidRPr="00C72259">
              <w:rPr>
                <w:rFonts w:ascii="Garamond" w:hAnsi="Garamond"/>
                <w:sz w:val="24"/>
                <w:szCs w:val="24"/>
              </w:rPr>
              <w:t>national or international courts. The EU thought that it would be helpful for its Member States</w:t>
            </w:r>
            <w:r w:rsidR="001B62BE" w:rsidRPr="00C72259">
              <w:rPr>
                <w:rFonts w:ascii="Garamond" w:hAnsi="Garamond"/>
                <w:sz w:val="24"/>
                <w:szCs w:val="24"/>
              </w:rPr>
              <w:t xml:space="preserve">, who were all members of the UN, </w:t>
            </w:r>
            <w:r w:rsidRPr="00C72259">
              <w:rPr>
                <w:rFonts w:ascii="Garamond" w:hAnsi="Garamond"/>
                <w:sz w:val="24"/>
                <w:szCs w:val="24"/>
              </w:rPr>
              <w:t xml:space="preserve">to </w:t>
            </w:r>
            <w:r w:rsidR="001B62BE" w:rsidRPr="00C72259">
              <w:rPr>
                <w:rFonts w:ascii="Garamond" w:hAnsi="Garamond"/>
                <w:sz w:val="24"/>
                <w:szCs w:val="24"/>
              </w:rPr>
              <w:t>transpose</w:t>
            </w:r>
            <w:r w:rsidRPr="00C72259">
              <w:rPr>
                <w:rFonts w:ascii="Garamond" w:hAnsi="Garamond"/>
                <w:sz w:val="24"/>
                <w:szCs w:val="24"/>
              </w:rPr>
              <w:t xml:space="preserve"> this piece of international law into an EU law instrument and adopted an EU regulation. </w:t>
            </w:r>
          </w:p>
          <w:p w14:paraId="043CF6DA" w14:textId="154E9D27" w:rsidR="00C72259" w:rsidRPr="00C72259" w:rsidRDefault="000609EA" w:rsidP="00C72259">
            <w:pPr>
              <w:numPr>
                <w:ilvl w:val="0"/>
                <w:numId w:val="17"/>
              </w:numPr>
              <w:spacing w:after="120"/>
              <w:jc w:val="both"/>
              <w:rPr>
                <w:rFonts w:ascii="Garamond" w:hAnsi="Garamond"/>
                <w:sz w:val="24"/>
                <w:szCs w:val="24"/>
                <w:lang w:val="en-GB"/>
              </w:rPr>
            </w:pPr>
            <w:r w:rsidRPr="00C72259">
              <w:rPr>
                <w:rFonts w:ascii="Garamond" w:hAnsi="Garamond"/>
                <w:sz w:val="24"/>
                <w:szCs w:val="24"/>
              </w:rPr>
              <w:t>Kadi understood very well that he had little chance of successfully challenging the Security Council Resolution under international law. For that reason, he decided to challenge the validity of the regulation adopted by the EU. In particular, he claimed that he should have been given the right to be legally represented before the UN Security Council had made its decision. The EU regulation, he submitted, had been adopted in breach of his fundamental rights as protected by EU law. The Member States argued that they had implemented a Security Council Resolution. If that Security Council Resolution was supreme under international law, it would also have to be supreme under EU law. Therefore,</w:t>
            </w:r>
            <w:r w:rsidR="001B62BE" w:rsidRPr="00C72259">
              <w:rPr>
                <w:rFonts w:ascii="Garamond" w:hAnsi="Garamond"/>
                <w:sz w:val="24"/>
                <w:szCs w:val="24"/>
              </w:rPr>
              <w:t xml:space="preserve"> the Member States submitted that</w:t>
            </w:r>
            <w:r w:rsidRPr="00C72259">
              <w:rPr>
                <w:rFonts w:ascii="Garamond" w:hAnsi="Garamond"/>
                <w:sz w:val="24"/>
                <w:szCs w:val="24"/>
              </w:rPr>
              <w:t xml:space="preserve"> Kadi could not challenge the validity of the EU regulation.</w:t>
            </w:r>
          </w:p>
          <w:p w14:paraId="5B3CA4A6" w14:textId="131D2924" w:rsidR="000609EA" w:rsidRPr="00C72259" w:rsidRDefault="000609EA" w:rsidP="00C72259">
            <w:pPr>
              <w:numPr>
                <w:ilvl w:val="0"/>
                <w:numId w:val="17"/>
              </w:numPr>
              <w:spacing w:after="120"/>
              <w:jc w:val="both"/>
              <w:rPr>
                <w:rFonts w:ascii="Garamond" w:hAnsi="Garamond"/>
                <w:sz w:val="24"/>
                <w:szCs w:val="24"/>
                <w:lang w:val="en-GB"/>
              </w:rPr>
            </w:pPr>
            <w:r w:rsidRPr="00C72259">
              <w:rPr>
                <w:rFonts w:ascii="Garamond" w:hAnsi="Garamond"/>
                <w:sz w:val="24"/>
                <w:szCs w:val="24"/>
              </w:rPr>
              <w:t xml:space="preserve">The Court of Justice disagreed. </w:t>
            </w:r>
            <w:r w:rsidR="001402FE" w:rsidRPr="00C72259">
              <w:rPr>
                <w:rFonts w:ascii="Garamond" w:hAnsi="Garamond"/>
                <w:sz w:val="24"/>
                <w:szCs w:val="24"/>
              </w:rPr>
              <w:t xml:space="preserve">It </w:t>
            </w:r>
            <w:r w:rsidR="00C72259">
              <w:rPr>
                <w:rFonts w:ascii="Garamond" w:hAnsi="Garamond"/>
                <w:sz w:val="24"/>
                <w:szCs w:val="24"/>
              </w:rPr>
              <w:t>reiterated</w:t>
            </w:r>
            <w:r w:rsidR="001402FE" w:rsidRPr="00C72259">
              <w:rPr>
                <w:rFonts w:ascii="Garamond" w:hAnsi="Garamond"/>
                <w:sz w:val="24"/>
                <w:szCs w:val="24"/>
              </w:rPr>
              <w:t xml:space="preserve"> that the EU legal order is autonomous, and that fundamental rights (as general principles of EU law) occupy a central role within this system. Thus, if the </w:t>
            </w:r>
            <w:r w:rsidRPr="00C72259">
              <w:rPr>
                <w:rFonts w:ascii="Garamond" w:hAnsi="Garamond"/>
                <w:sz w:val="24"/>
                <w:szCs w:val="24"/>
              </w:rPr>
              <w:t xml:space="preserve">EU decides to </w:t>
            </w:r>
            <w:r w:rsidR="0072547D" w:rsidRPr="00C72259">
              <w:rPr>
                <w:rFonts w:ascii="Garamond" w:hAnsi="Garamond"/>
                <w:sz w:val="24"/>
                <w:szCs w:val="24"/>
              </w:rPr>
              <w:t>transpose</w:t>
            </w:r>
            <w:r w:rsidRPr="00C72259">
              <w:rPr>
                <w:rFonts w:ascii="Garamond" w:hAnsi="Garamond"/>
                <w:sz w:val="24"/>
                <w:szCs w:val="24"/>
              </w:rPr>
              <w:t xml:space="preserve"> an instrument of international law into EU law, it will have to accept that </w:t>
            </w:r>
            <w:r w:rsidR="0072547D" w:rsidRPr="00C72259">
              <w:rPr>
                <w:rFonts w:ascii="Garamond" w:hAnsi="Garamond"/>
                <w:sz w:val="24"/>
                <w:szCs w:val="24"/>
              </w:rPr>
              <w:t>this</w:t>
            </w:r>
            <w:r w:rsidR="002235E1" w:rsidRPr="00C72259">
              <w:rPr>
                <w:rFonts w:ascii="Garamond" w:hAnsi="Garamond"/>
                <w:sz w:val="24"/>
                <w:szCs w:val="24"/>
              </w:rPr>
              <w:t xml:space="preserve"> EU law</w:t>
            </w:r>
            <w:r w:rsidR="0072547D" w:rsidRPr="00C72259">
              <w:rPr>
                <w:rFonts w:ascii="Garamond" w:hAnsi="Garamond"/>
                <w:sz w:val="24"/>
                <w:szCs w:val="24"/>
              </w:rPr>
              <w:t xml:space="preserve"> instrument will become</w:t>
            </w:r>
            <w:r w:rsidRPr="00C72259">
              <w:rPr>
                <w:rFonts w:ascii="Garamond" w:hAnsi="Garamond"/>
                <w:sz w:val="24"/>
                <w:szCs w:val="24"/>
              </w:rPr>
              <w:t xml:space="preserve"> subject to the EU’s own fundamental rights standards. The international law origins of the instrument are </w:t>
            </w:r>
            <w:r w:rsidR="00C72259">
              <w:rPr>
                <w:rFonts w:ascii="Garamond" w:hAnsi="Garamond"/>
                <w:sz w:val="24"/>
                <w:szCs w:val="24"/>
              </w:rPr>
              <w:t>ir</w:t>
            </w:r>
            <w:r w:rsidRPr="00C72259">
              <w:rPr>
                <w:rFonts w:ascii="Garamond" w:hAnsi="Garamond"/>
                <w:sz w:val="24"/>
                <w:szCs w:val="24"/>
              </w:rPr>
              <w:t xml:space="preserve">relevant. The Court found that Kadi’s right to be heard had been breached as he had not </w:t>
            </w:r>
            <w:r w:rsidR="00A13377">
              <w:rPr>
                <w:rFonts w:ascii="Garamond" w:hAnsi="Garamond"/>
                <w:sz w:val="24"/>
                <w:szCs w:val="24"/>
              </w:rPr>
              <w:t xml:space="preserve">been </w:t>
            </w:r>
            <w:r w:rsidRPr="00C72259">
              <w:rPr>
                <w:rFonts w:ascii="Garamond" w:hAnsi="Garamond"/>
                <w:sz w:val="24"/>
                <w:szCs w:val="24"/>
              </w:rPr>
              <w:t xml:space="preserve">represented before the Security Council. As a result, the EU regulation implementing the resolution was unlawful. Many international lawyers have argued that this judgment of the Court of Justice </w:t>
            </w:r>
            <w:r w:rsidR="00C72259">
              <w:rPr>
                <w:rFonts w:ascii="Garamond" w:hAnsi="Garamond"/>
                <w:sz w:val="24"/>
                <w:szCs w:val="24"/>
              </w:rPr>
              <w:t>is</w:t>
            </w:r>
            <w:r w:rsidRPr="00C72259">
              <w:rPr>
                <w:rFonts w:ascii="Garamond" w:hAnsi="Garamond"/>
                <w:sz w:val="24"/>
                <w:szCs w:val="24"/>
              </w:rPr>
              <w:t xml:space="preserve"> </w:t>
            </w:r>
            <w:r w:rsidR="00C72259">
              <w:rPr>
                <w:rFonts w:ascii="Garamond" w:hAnsi="Garamond"/>
                <w:sz w:val="24"/>
                <w:szCs w:val="24"/>
              </w:rPr>
              <w:t>very problematic</w:t>
            </w:r>
            <w:r w:rsidR="00A13377">
              <w:rPr>
                <w:rFonts w:ascii="Garamond" w:hAnsi="Garamond"/>
                <w:sz w:val="24"/>
                <w:szCs w:val="24"/>
              </w:rPr>
              <w:t xml:space="preserve"> from an international law standpoint. </w:t>
            </w:r>
          </w:p>
          <w:p w14:paraId="0764EB1A" w14:textId="4485C753" w:rsidR="002235E1" w:rsidRDefault="002235E1" w:rsidP="002235E1">
            <w:pPr>
              <w:spacing w:line="276" w:lineRule="auto"/>
              <w:jc w:val="both"/>
              <w:rPr>
                <w:rFonts w:ascii="Garamond" w:hAnsi="Garamond"/>
                <w:sz w:val="24"/>
                <w:szCs w:val="24"/>
                <w:lang w:val="en-GB"/>
              </w:rPr>
            </w:pPr>
          </w:p>
        </w:tc>
      </w:tr>
    </w:tbl>
    <w:p w14:paraId="127D5B32" w14:textId="77777777" w:rsidR="007F039B" w:rsidRPr="00833326" w:rsidRDefault="007F039B" w:rsidP="00AE3680">
      <w:pPr>
        <w:widowControl w:val="0"/>
        <w:autoSpaceDE w:val="0"/>
        <w:autoSpaceDN w:val="0"/>
        <w:adjustRightInd w:val="0"/>
        <w:spacing w:after="0"/>
        <w:rPr>
          <w:rFonts w:ascii="Garamond" w:hAnsi="Garamond"/>
          <w:b/>
          <w:sz w:val="24"/>
          <w:szCs w:val="24"/>
          <w:lang w:val="en-GB"/>
        </w:rPr>
      </w:pPr>
    </w:p>
    <w:p w14:paraId="6E2058D7" w14:textId="5AAA31A0" w:rsidR="00867E6D" w:rsidRPr="00E0220C" w:rsidRDefault="002E4FA1" w:rsidP="00A37136">
      <w:pPr>
        <w:pStyle w:val="Heading1"/>
      </w:pPr>
      <w:r>
        <w:t>3</w:t>
      </w:r>
      <w:r w:rsidR="007F039B" w:rsidRPr="00833326">
        <w:t xml:space="preserve">. </w:t>
      </w:r>
      <w:r w:rsidR="00583B0A">
        <w:t>The European Convention of Human Rights</w:t>
      </w:r>
      <w:r w:rsidR="00E0220C">
        <w:t xml:space="preserve">: the </w:t>
      </w:r>
      <w:r w:rsidR="00E0220C">
        <w:rPr>
          <w:i/>
        </w:rPr>
        <w:t>external</w:t>
      </w:r>
      <w:r w:rsidR="00E0220C">
        <w:t xml:space="preserve"> “bill of rights”</w:t>
      </w:r>
    </w:p>
    <w:p w14:paraId="23F041A0" w14:textId="77777777" w:rsidR="00D54FA7" w:rsidRDefault="00C92E8D" w:rsidP="00D54FA7">
      <w:pPr>
        <w:numPr>
          <w:ilvl w:val="0"/>
          <w:numId w:val="17"/>
        </w:numPr>
        <w:spacing w:after="120"/>
        <w:jc w:val="both"/>
        <w:rPr>
          <w:rFonts w:ascii="Garamond" w:hAnsi="Garamond"/>
          <w:sz w:val="24"/>
          <w:szCs w:val="24"/>
          <w:lang w:val="en-GB"/>
        </w:rPr>
      </w:pPr>
      <w:r w:rsidRPr="00D54FA7">
        <w:rPr>
          <w:rFonts w:ascii="Garamond" w:hAnsi="Garamond"/>
          <w:sz w:val="24"/>
          <w:szCs w:val="24"/>
        </w:rPr>
        <w:t xml:space="preserve">We have already seen that the ECHR provides an important source of inspiration for the development of general principles of EU law. From the Treaty of Maastricht onwards, the EU has </w:t>
      </w:r>
      <w:r w:rsidR="001C7546" w:rsidRPr="00D54FA7">
        <w:rPr>
          <w:rFonts w:ascii="Garamond" w:hAnsi="Garamond"/>
          <w:sz w:val="24"/>
          <w:szCs w:val="24"/>
        </w:rPr>
        <w:t>expressly</w:t>
      </w:r>
      <w:r w:rsidRPr="00D54FA7">
        <w:rPr>
          <w:rFonts w:ascii="Garamond" w:hAnsi="Garamond"/>
          <w:sz w:val="24"/>
          <w:szCs w:val="24"/>
        </w:rPr>
        <w:t xml:space="preserve"> </w:t>
      </w:r>
      <w:proofErr w:type="spellStart"/>
      <w:r w:rsidRPr="00D54FA7">
        <w:rPr>
          <w:rFonts w:ascii="Garamond" w:hAnsi="Garamond"/>
          <w:sz w:val="24"/>
          <w:szCs w:val="24"/>
        </w:rPr>
        <w:t>recognised</w:t>
      </w:r>
      <w:proofErr w:type="spellEnd"/>
      <w:r w:rsidRPr="00D54FA7">
        <w:rPr>
          <w:rFonts w:ascii="Garamond" w:hAnsi="Garamond"/>
          <w:sz w:val="24"/>
          <w:szCs w:val="24"/>
        </w:rPr>
        <w:t xml:space="preserve"> the importance of the ECHR in the Treaties. Nevertheless, the Court will always translate </w:t>
      </w:r>
      <w:r w:rsidR="001C7546" w:rsidRPr="00D54FA7">
        <w:rPr>
          <w:rFonts w:ascii="Garamond" w:hAnsi="Garamond"/>
          <w:sz w:val="24"/>
          <w:szCs w:val="24"/>
        </w:rPr>
        <w:t>ECHR</w:t>
      </w:r>
      <w:r w:rsidRPr="00D54FA7">
        <w:rPr>
          <w:rFonts w:ascii="Garamond" w:hAnsi="Garamond"/>
          <w:sz w:val="24"/>
          <w:szCs w:val="24"/>
        </w:rPr>
        <w:t xml:space="preserve"> rights into EU law (through the concept of general </w:t>
      </w:r>
      <w:r w:rsidRPr="00D54FA7">
        <w:rPr>
          <w:rFonts w:ascii="Garamond" w:hAnsi="Garamond"/>
          <w:sz w:val="24"/>
          <w:szCs w:val="24"/>
        </w:rPr>
        <w:lastRenderedPageBreak/>
        <w:t>principles of EU law) and will not directly assess the conduct of the EU or the Member States against the rights protected by the ECHR.</w:t>
      </w:r>
    </w:p>
    <w:p w14:paraId="0637539A" w14:textId="77777777" w:rsidR="002A18ED" w:rsidRPr="002A18ED" w:rsidRDefault="00D54FA7" w:rsidP="002A18ED">
      <w:pPr>
        <w:numPr>
          <w:ilvl w:val="0"/>
          <w:numId w:val="17"/>
        </w:numPr>
        <w:spacing w:after="120"/>
        <w:jc w:val="both"/>
        <w:rPr>
          <w:rFonts w:ascii="Garamond" w:hAnsi="Garamond"/>
          <w:sz w:val="24"/>
          <w:szCs w:val="24"/>
          <w:lang w:val="en-GB"/>
        </w:rPr>
      </w:pPr>
      <w:r>
        <w:rPr>
          <w:rFonts w:ascii="Garamond" w:hAnsi="Garamond"/>
          <w:sz w:val="24"/>
          <w:szCs w:val="24"/>
        </w:rPr>
        <w:t>Th</w:t>
      </w:r>
      <w:r w:rsidR="002A18ED">
        <w:rPr>
          <w:rFonts w:ascii="Garamond" w:hAnsi="Garamond"/>
          <w:sz w:val="24"/>
          <w:szCs w:val="24"/>
        </w:rPr>
        <w:t>is is because the</w:t>
      </w:r>
      <w:r w:rsidR="001C7546" w:rsidRPr="00D54FA7">
        <w:rPr>
          <w:rFonts w:ascii="Garamond" w:hAnsi="Garamond"/>
          <w:sz w:val="24"/>
          <w:szCs w:val="24"/>
        </w:rPr>
        <w:t xml:space="preserve"> EU is not (yet) a member of the Council of Europe. However, all Member States are members of the Council of Europe and, as such, bound to comply with the provisions of the ECHR. This raised the question of whether the Member States could </w:t>
      </w:r>
      <w:r w:rsidR="00FB0B68" w:rsidRPr="00D54FA7">
        <w:rPr>
          <w:rFonts w:ascii="Garamond" w:hAnsi="Garamond"/>
          <w:sz w:val="24"/>
          <w:szCs w:val="24"/>
        </w:rPr>
        <w:t>invoke</w:t>
      </w:r>
      <w:r w:rsidR="001C7546" w:rsidRPr="00D54FA7">
        <w:rPr>
          <w:rFonts w:ascii="Garamond" w:hAnsi="Garamond"/>
          <w:sz w:val="24"/>
          <w:szCs w:val="24"/>
        </w:rPr>
        <w:t xml:space="preserve"> EU law to escape individual liability under the ECHR</w:t>
      </w:r>
      <w:r w:rsidR="00FB0B68" w:rsidRPr="00D54FA7">
        <w:rPr>
          <w:rFonts w:ascii="Garamond" w:hAnsi="Garamond"/>
          <w:sz w:val="24"/>
          <w:szCs w:val="24"/>
        </w:rPr>
        <w:t>, and sparked a dialogue between the Court of Justice and the ECtHR</w:t>
      </w:r>
      <w:r w:rsidR="001C7546" w:rsidRPr="00D54FA7">
        <w:rPr>
          <w:rFonts w:ascii="Garamond" w:hAnsi="Garamond"/>
          <w:sz w:val="24"/>
          <w:szCs w:val="24"/>
        </w:rPr>
        <w:t xml:space="preserve">. </w:t>
      </w:r>
      <w:r w:rsidR="00FB0B68" w:rsidRPr="00D54FA7">
        <w:rPr>
          <w:rFonts w:ascii="Garamond" w:hAnsi="Garamond"/>
          <w:sz w:val="24"/>
          <w:szCs w:val="24"/>
        </w:rPr>
        <w:t xml:space="preserve">Ultimately, the ECtHR was prepared to create </w:t>
      </w:r>
      <w:r w:rsidR="00FB0B68" w:rsidRPr="00D54FA7">
        <w:rPr>
          <w:rFonts w:ascii="Garamond" w:hAnsi="Garamond"/>
          <w:sz w:val="24"/>
          <w:szCs w:val="24"/>
          <w:u w:val="single"/>
        </w:rPr>
        <w:t>a presumption that EU Member States act in compliance</w:t>
      </w:r>
      <w:r w:rsidR="00FB0B68" w:rsidRPr="00D54FA7">
        <w:rPr>
          <w:rFonts w:ascii="Garamond" w:hAnsi="Garamond"/>
          <w:sz w:val="24"/>
          <w:szCs w:val="24"/>
        </w:rPr>
        <w:t xml:space="preserve"> with the rights protected by the ECHR when implementing EU law. This presumption was laid down in the </w:t>
      </w:r>
      <w:proofErr w:type="spellStart"/>
      <w:r w:rsidR="00FB0B68" w:rsidRPr="00D54FA7">
        <w:rPr>
          <w:rFonts w:ascii="Garamond" w:hAnsi="Garamond"/>
          <w:i/>
          <w:sz w:val="24"/>
          <w:szCs w:val="24"/>
        </w:rPr>
        <w:t>Bosphorus</w:t>
      </w:r>
      <w:proofErr w:type="spellEnd"/>
      <w:r w:rsidR="00FB0B68" w:rsidRPr="00D54FA7">
        <w:rPr>
          <w:rFonts w:ascii="Garamond" w:hAnsi="Garamond"/>
          <w:sz w:val="24"/>
          <w:szCs w:val="24"/>
        </w:rPr>
        <w:t xml:space="preserve"> case</w:t>
      </w:r>
      <w:r w:rsidR="002A18ED">
        <w:rPr>
          <w:rFonts w:ascii="Garamond" w:hAnsi="Garamond"/>
          <w:sz w:val="24"/>
          <w:szCs w:val="24"/>
        </w:rPr>
        <w:t>, which signifies</w:t>
      </w:r>
      <w:r w:rsidR="00FB0B68" w:rsidRPr="00D54FA7">
        <w:rPr>
          <w:rFonts w:ascii="Garamond" w:hAnsi="Garamond"/>
          <w:sz w:val="24"/>
          <w:szCs w:val="24"/>
        </w:rPr>
        <w:t xml:space="preserve"> acceptance </w:t>
      </w:r>
      <w:r w:rsidR="002A18ED">
        <w:rPr>
          <w:rFonts w:ascii="Garamond" w:hAnsi="Garamond"/>
          <w:sz w:val="24"/>
          <w:szCs w:val="24"/>
        </w:rPr>
        <w:t>on the part of</w:t>
      </w:r>
      <w:r w:rsidR="00FB0B68" w:rsidRPr="00D54FA7">
        <w:rPr>
          <w:rFonts w:ascii="Garamond" w:hAnsi="Garamond"/>
          <w:sz w:val="24"/>
          <w:szCs w:val="24"/>
        </w:rPr>
        <w:t xml:space="preserve"> the ECtHR that EU law provides equivalent human rights protection to the ECHR (</w:t>
      </w:r>
      <w:r w:rsidR="006A4539" w:rsidRPr="00D54FA7">
        <w:rPr>
          <w:rFonts w:ascii="Garamond" w:hAnsi="Garamond"/>
          <w:sz w:val="24"/>
          <w:szCs w:val="24"/>
        </w:rPr>
        <w:t>(2006) 42 EHRR 1</w:t>
      </w:r>
      <w:r w:rsidR="00FB0B68" w:rsidRPr="00D54FA7">
        <w:rPr>
          <w:rFonts w:ascii="Garamond" w:hAnsi="Garamond"/>
          <w:sz w:val="24"/>
          <w:szCs w:val="24"/>
        </w:rPr>
        <w:t xml:space="preserve">). The </w:t>
      </w:r>
      <w:proofErr w:type="spellStart"/>
      <w:r w:rsidR="00FB0B68" w:rsidRPr="00D54FA7">
        <w:rPr>
          <w:rFonts w:ascii="Garamond" w:hAnsi="Garamond"/>
          <w:sz w:val="24"/>
          <w:szCs w:val="24"/>
        </w:rPr>
        <w:t>Bosphorus</w:t>
      </w:r>
      <w:proofErr w:type="spellEnd"/>
      <w:r w:rsidR="00FB0B68" w:rsidRPr="00D54FA7">
        <w:rPr>
          <w:rFonts w:ascii="Garamond" w:hAnsi="Garamond"/>
          <w:sz w:val="24"/>
          <w:szCs w:val="24"/>
        </w:rPr>
        <w:t xml:space="preserve"> presumption can be rebutted by a claimant, but only if the</w:t>
      </w:r>
      <w:r w:rsidR="002A18ED">
        <w:rPr>
          <w:rFonts w:ascii="Garamond" w:hAnsi="Garamond"/>
          <w:sz w:val="24"/>
          <w:szCs w:val="24"/>
        </w:rPr>
        <w:t>y</w:t>
      </w:r>
      <w:r w:rsidR="00FB0B68" w:rsidRPr="00D54FA7">
        <w:rPr>
          <w:rFonts w:ascii="Garamond" w:hAnsi="Garamond"/>
          <w:sz w:val="24"/>
          <w:szCs w:val="24"/>
        </w:rPr>
        <w:t xml:space="preserve"> show that the level of protection provided under EU law was </w:t>
      </w:r>
      <w:r w:rsidR="00FB0B68" w:rsidRPr="00D54FA7">
        <w:rPr>
          <w:rFonts w:ascii="Garamond" w:hAnsi="Garamond"/>
          <w:sz w:val="24"/>
          <w:szCs w:val="24"/>
          <w:u w:val="single"/>
        </w:rPr>
        <w:t>manifestly deficient</w:t>
      </w:r>
      <w:r w:rsidR="00FB0B68" w:rsidRPr="00D54FA7">
        <w:rPr>
          <w:rFonts w:ascii="Garamond" w:hAnsi="Garamond"/>
          <w:sz w:val="24"/>
          <w:szCs w:val="24"/>
        </w:rPr>
        <w:t xml:space="preserve">. This is quite a high threshold for claimants to meet. </w:t>
      </w:r>
    </w:p>
    <w:p w14:paraId="04EB55AB" w14:textId="3C50E393" w:rsidR="00CB0F9B" w:rsidRPr="002A18ED" w:rsidRDefault="00CB0F9B" w:rsidP="002A18ED">
      <w:pPr>
        <w:numPr>
          <w:ilvl w:val="0"/>
          <w:numId w:val="17"/>
        </w:numPr>
        <w:spacing w:after="120"/>
        <w:jc w:val="both"/>
        <w:rPr>
          <w:rFonts w:ascii="Garamond" w:hAnsi="Garamond"/>
          <w:sz w:val="24"/>
          <w:szCs w:val="24"/>
          <w:lang w:val="en-GB"/>
        </w:rPr>
      </w:pPr>
      <w:r w:rsidRPr="002A18ED">
        <w:rPr>
          <w:rFonts w:ascii="Garamond" w:hAnsi="Garamond"/>
          <w:sz w:val="24"/>
          <w:szCs w:val="24"/>
        </w:rPr>
        <w:t xml:space="preserve">Despite the “working mode” between the Court of Justice and the ECtHR which had been established after </w:t>
      </w:r>
      <w:proofErr w:type="spellStart"/>
      <w:r w:rsidRPr="002A18ED">
        <w:rPr>
          <w:rFonts w:ascii="Garamond" w:hAnsi="Garamond"/>
          <w:i/>
          <w:sz w:val="24"/>
          <w:szCs w:val="24"/>
        </w:rPr>
        <w:t>Bosphorus</w:t>
      </w:r>
      <w:proofErr w:type="spellEnd"/>
      <w:r w:rsidRPr="002A18ED">
        <w:rPr>
          <w:rFonts w:ascii="Garamond" w:hAnsi="Garamond"/>
          <w:sz w:val="24"/>
          <w:szCs w:val="24"/>
        </w:rPr>
        <w:t xml:space="preserve">, it was still felt that it would be a good idea for the EU to join the Council of Europe, and in doing so to be formally bound by the ECHR. As such, the Treaty of Lisbon for the first time imposed </w:t>
      </w:r>
      <w:r w:rsidR="00154EE3" w:rsidRPr="002A18ED">
        <w:rPr>
          <w:rFonts w:ascii="Garamond" w:hAnsi="Garamond"/>
          <w:sz w:val="24"/>
          <w:szCs w:val="24"/>
        </w:rPr>
        <w:t>a</w:t>
      </w:r>
      <w:r w:rsidRPr="002A18ED">
        <w:rPr>
          <w:rFonts w:ascii="Garamond" w:hAnsi="Garamond"/>
          <w:sz w:val="24"/>
          <w:szCs w:val="24"/>
        </w:rPr>
        <w:t xml:space="preserve">n obligation on the EU to accede to the ECHR. </w:t>
      </w:r>
      <w:r w:rsidRPr="002A18ED">
        <w:rPr>
          <w:rFonts w:ascii="Garamond" w:hAnsi="Garamond"/>
          <w:sz w:val="24"/>
          <w:szCs w:val="24"/>
          <w:u w:val="single"/>
        </w:rPr>
        <w:t>Article 6(2) TEU</w:t>
      </w:r>
      <w:r w:rsidRPr="002A18ED">
        <w:rPr>
          <w:rFonts w:ascii="Garamond" w:hAnsi="Garamond"/>
          <w:sz w:val="24"/>
          <w:szCs w:val="24"/>
        </w:rPr>
        <w:t xml:space="preserve"> provides that “the Union shall accede to the European Convention for the Protection of Human Rights”</w:t>
      </w:r>
      <w:r w:rsidR="00154EE3" w:rsidRPr="002A18ED">
        <w:rPr>
          <w:rFonts w:ascii="Garamond" w:hAnsi="Garamond"/>
          <w:sz w:val="24"/>
          <w:szCs w:val="24"/>
        </w:rPr>
        <w:t xml:space="preserve">. As this provision is formulated in clear and unequivocal terms, accession to the ECHR is not a matter of choice: </w:t>
      </w:r>
      <w:r w:rsidRPr="002A18ED">
        <w:rPr>
          <w:rFonts w:ascii="Garamond" w:hAnsi="Garamond"/>
          <w:sz w:val="24"/>
          <w:szCs w:val="24"/>
        </w:rPr>
        <w:t xml:space="preserve">the EU has imposed an obligation on itself to accede to the ECHR. This was necessary because the Court of Justice had held in </w:t>
      </w:r>
      <w:r w:rsidRPr="002A18ED">
        <w:rPr>
          <w:rFonts w:ascii="Garamond" w:hAnsi="Garamond"/>
          <w:i/>
          <w:sz w:val="24"/>
          <w:szCs w:val="24"/>
        </w:rPr>
        <w:t>Opinion 2/94</w:t>
      </w:r>
      <w:r w:rsidRPr="002A18ED">
        <w:rPr>
          <w:rFonts w:ascii="Garamond" w:hAnsi="Garamond"/>
          <w:sz w:val="24"/>
          <w:szCs w:val="24"/>
        </w:rPr>
        <w:t xml:space="preserve"> that the EU could not accede to the ECHR without having been given the competence to do so by the Treaties.</w:t>
      </w:r>
    </w:p>
    <w:p w14:paraId="417AD7D8" w14:textId="77777777" w:rsidR="00041DBD" w:rsidRDefault="00041DBD" w:rsidP="00CB0F9B">
      <w:pPr>
        <w:spacing w:after="160"/>
        <w:jc w:val="both"/>
        <w:rPr>
          <w:rFonts w:ascii="Garamond" w:hAnsi="Garamond"/>
          <w:sz w:val="24"/>
          <w:szCs w:val="24"/>
        </w:rPr>
      </w:pPr>
    </w:p>
    <w:p w14:paraId="0FCEFDF2" w14:textId="19BE1F5E" w:rsidR="00154EE3" w:rsidRPr="00316FF6" w:rsidRDefault="00154EE3" w:rsidP="00154EE3">
      <w:pPr>
        <w:pStyle w:val="ListParagraph"/>
        <w:numPr>
          <w:ilvl w:val="0"/>
          <w:numId w:val="7"/>
        </w:numPr>
        <w:spacing w:after="160"/>
        <w:jc w:val="both"/>
        <w:rPr>
          <w:rFonts w:ascii="Garamond" w:hAnsi="Garamond"/>
          <w:sz w:val="24"/>
          <w:szCs w:val="24"/>
        </w:rPr>
      </w:pPr>
      <w:r w:rsidRPr="00316FF6">
        <w:rPr>
          <w:rFonts w:ascii="Garamond" w:hAnsi="Garamond"/>
          <w:i/>
          <w:sz w:val="24"/>
          <w:szCs w:val="24"/>
        </w:rPr>
        <w:t>Opinion 2/94</w:t>
      </w:r>
      <w:r w:rsidR="00A63EAB" w:rsidRPr="00316FF6">
        <w:rPr>
          <w:rFonts w:ascii="Garamond" w:hAnsi="Garamond"/>
          <w:i/>
          <w:sz w:val="24"/>
          <w:szCs w:val="24"/>
        </w:rPr>
        <w:t xml:space="preserve"> on the Accession of the European </w:t>
      </w:r>
      <w:r w:rsidR="00316FF6">
        <w:rPr>
          <w:rFonts w:ascii="Garamond" w:hAnsi="Garamond"/>
          <w:i/>
          <w:sz w:val="24"/>
          <w:szCs w:val="24"/>
        </w:rPr>
        <w:t>Community</w:t>
      </w:r>
      <w:r w:rsidR="00A63EAB" w:rsidRPr="00316FF6">
        <w:rPr>
          <w:rFonts w:ascii="Garamond" w:hAnsi="Garamond"/>
          <w:i/>
          <w:sz w:val="24"/>
          <w:szCs w:val="24"/>
        </w:rPr>
        <w:t xml:space="preserve"> to the European Convention for the Protection of Human Rights and Fundamental Freedoms</w:t>
      </w:r>
      <w:r w:rsidR="002A18ED">
        <w:rPr>
          <w:rFonts w:ascii="Garamond" w:hAnsi="Garamond"/>
          <w:sz w:val="24"/>
          <w:szCs w:val="24"/>
        </w:rPr>
        <w:t xml:space="preserve"> (</w:t>
      </w:r>
      <w:r w:rsidRPr="00154EE3">
        <w:rPr>
          <w:rFonts w:ascii="Garamond" w:hAnsi="Garamond"/>
          <w:sz w:val="24"/>
          <w:szCs w:val="24"/>
          <w:shd w:val="clear" w:color="auto" w:fill="FFFFFF"/>
        </w:rPr>
        <w:t>1996</w:t>
      </w:r>
      <w:r w:rsidR="002A18ED">
        <w:rPr>
          <w:rFonts w:ascii="Garamond" w:hAnsi="Garamond"/>
          <w:sz w:val="24"/>
          <w:szCs w:val="24"/>
          <w:shd w:val="clear" w:color="auto" w:fill="FFFFFF"/>
        </w:rPr>
        <w:t>)</w:t>
      </w:r>
    </w:p>
    <w:p w14:paraId="56523451" w14:textId="77777777" w:rsidR="00316FF6" w:rsidRPr="00525198" w:rsidRDefault="00316FF6" w:rsidP="00316FF6">
      <w:pPr>
        <w:pStyle w:val="ListParagraph"/>
        <w:spacing w:after="160"/>
        <w:ind w:left="1080"/>
        <w:jc w:val="both"/>
        <w:rPr>
          <w:rFonts w:ascii="Garamond" w:hAnsi="Garamond"/>
          <w:sz w:val="24"/>
          <w:szCs w:val="24"/>
        </w:rPr>
      </w:pPr>
    </w:p>
    <w:p w14:paraId="7875D4E6" w14:textId="77777777" w:rsidR="002A18ED" w:rsidRDefault="00F621DC" w:rsidP="002A18ED">
      <w:pPr>
        <w:numPr>
          <w:ilvl w:val="0"/>
          <w:numId w:val="17"/>
        </w:numPr>
        <w:spacing w:after="120"/>
        <w:jc w:val="both"/>
        <w:rPr>
          <w:rFonts w:ascii="Garamond" w:hAnsi="Garamond"/>
          <w:sz w:val="24"/>
          <w:szCs w:val="24"/>
          <w:lang w:val="en-GB"/>
        </w:rPr>
      </w:pPr>
      <w:r w:rsidRPr="002A18ED">
        <w:rPr>
          <w:rFonts w:ascii="Garamond" w:hAnsi="Garamond"/>
          <w:sz w:val="24"/>
          <w:szCs w:val="24"/>
        </w:rPr>
        <w:t xml:space="preserve">After the coming into force of the Treaty of Lisbon in 2009, the EU and the Council of Europe did not want to take too long to start to prepare the accession of the EU to the ECHR. In 2013, the EU and the Council of Europe had reached a draft accession agreement. The draft accession agreement sought to achieve a balance between two objectives. On the one hand, it aimed to protect the supremacy and autonomy of EU law. On the other hand, it tried to give the ECtHR a real role in reviewing the compliance with the ECHR by the EU. The agreement contained two main features. First of all, it created </w:t>
      </w:r>
      <w:r w:rsidRPr="002A18ED">
        <w:rPr>
          <w:rFonts w:ascii="Garamond" w:hAnsi="Garamond"/>
          <w:sz w:val="24"/>
          <w:szCs w:val="24"/>
          <w:u w:val="single"/>
        </w:rPr>
        <w:t>a mechanism for the prior involvement</w:t>
      </w:r>
      <w:r w:rsidRPr="002A18ED">
        <w:rPr>
          <w:rFonts w:ascii="Garamond" w:hAnsi="Garamond"/>
          <w:sz w:val="24"/>
          <w:szCs w:val="24"/>
        </w:rPr>
        <w:t xml:space="preserve"> of the Court of Justice in cases before the ECtHR to guarantee that the Court would be given the opportunity to rule on the compatibility of EU law with the ECHR before the ECtHR would do so. You could see this as some sort of preliminary reference from the ECtHR to the Court of Justice. Secondly, the accession agreement contained a </w:t>
      </w:r>
      <w:r w:rsidRPr="002A18ED">
        <w:rPr>
          <w:rFonts w:ascii="Garamond" w:hAnsi="Garamond"/>
          <w:sz w:val="24"/>
          <w:szCs w:val="24"/>
          <w:u w:val="single"/>
        </w:rPr>
        <w:t>co-respondent mechanism</w:t>
      </w:r>
      <w:r w:rsidRPr="002A18ED">
        <w:rPr>
          <w:rFonts w:ascii="Garamond" w:hAnsi="Garamond"/>
          <w:sz w:val="24"/>
          <w:szCs w:val="24"/>
        </w:rPr>
        <w:t xml:space="preserve">, which enabled the EU to join cases in which Member States were brought before the ECtHR for alleged breaches of the </w:t>
      </w:r>
      <w:r w:rsidR="002A18ED">
        <w:rPr>
          <w:rFonts w:ascii="Garamond" w:hAnsi="Garamond"/>
          <w:sz w:val="24"/>
          <w:szCs w:val="24"/>
        </w:rPr>
        <w:t>Convention</w:t>
      </w:r>
      <w:r w:rsidRPr="002A18ED">
        <w:rPr>
          <w:rFonts w:ascii="Garamond" w:hAnsi="Garamond"/>
          <w:sz w:val="24"/>
          <w:szCs w:val="24"/>
        </w:rPr>
        <w:t xml:space="preserve"> committed in the implementation of EU law. It also enabled Member States to intervene in cases where the EU was a defendant before the ECtHR. </w:t>
      </w:r>
    </w:p>
    <w:p w14:paraId="177B7026" w14:textId="0096EF02" w:rsidR="002A18ED" w:rsidRDefault="00DC7F29" w:rsidP="002A18ED">
      <w:pPr>
        <w:numPr>
          <w:ilvl w:val="0"/>
          <w:numId w:val="17"/>
        </w:numPr>
        <w:spacing w:after="120"/>
        <w:jc w:val="both"/>
        <w:rPr>
          <w:rFonts w:ascii="Garamond" w:hAnsi="Garamond"/>
          <w:sz w:val="24"/>
          <w:szCs w:val="24"/>
          <w:lang w:val="en-GB"/>
        </w:rPr>
      </w:pPr>
      <w:r w:rsidRPr="002A18ED">
        <w:rPr>
          <w:rFonts w:ascii="Garamond" w:hAnsi="Garamond"/>
          <w:sz w:val="24"/>
          <w:szCs w:val="24"/>
        </w:rPr>
        <w:lastRenderedPageBreak/>
        <w:t xml:space="preserve">Although the EU and the Council of Europe had tried </w:t>
      </w:r>
      <w:proofErr w:type="gramStart"/>
      <w:r w:rsidRPr="002A18ED">
        <w:rPr>
          <w:rFonts w:ascii="Garamond" w:hAnsi="Garamond"/>
          <w:sz w:val="24"/>
          <w:szCs w:val="24"/>
        </w:rPr>
        <w:t>really hard</w:t>
      </w:r>
      <w:proofErr w:type="gramEnd"/>
      <w:r w:rsidRPr="002A18ED">
        <w:rPr>
          <w:rFonts w:ascii="Garamond" w:hAnsi="Garamond"/>
          <w:sz w:val="24"/>
          <w:szCs w:val="24"/>
        </w:rPr>
        <w:t xml:space="preserve"> to please the Court of Justice, the </w:t>
      </w:r>
      <w:r w:rsidR="002A18ED">
        <w:rPr>
          <w:rFonts w:ascii="Garamond" w:hAnsi="Garamond"/>
          <w:sz w:val="24"/>
          <w:szCs w:val="24"/>
        </w:rPr>
        <w:t>CJEU</w:t>
      </w:r>
      <w:r w:rsidRPr="002A18ED">
        <w:rPr>
          <w:rFonts w:ascii="Garamond" w:hAnsi="Garamond"/>
          <w:sz w:val="24"/>
          <w:szCs w:val="24"/>
        </w:rPr>
        <w:t xml:space="preserve"> was not convinced that the accession agreement sufficiently respected the autonomy and </w:t>
      </w:r>
      <w:r w:rsidR="00257E4E">
        <w:rPr>
          <w:rFonts w:ascii="Garamond" w:hAnsi="Garamond"/>
          <w:sz w:val="24"/>
          <w:szCs w:val="24"/>
        </w:rPr>
        <w:t>primacy</w:t>
      </w:r>
      <w:r w:rsidRPr="002A18ED">
        <w:rPr>
          <w:rFonts w:ascii="Garamond" w:hAnsi="Garamond"/>
          <w:sz w:val="24"/>
          <w:szCs w:val="24"/>
        </w:rPr>
        <w:t xml:space="preserve"> of EU law. In </w:t>
      </w:r>
      <w:r w:rsidRPr="002A18ED">
        <w:rPr>
          <w:rFonts w:ascii="Garamond" w:hAnsi="Garamond"/>
          <w:i/>
          <w:sz w:val="24"/>
          <w:szCs w:val="24"/>
        </w:rPr>
        <w:t>Opinion 2/13</w:t>
      </w:r>
      <w:r w:rsidRPr="002A18ED">
        <w:rPr>
          <w:rFonts w:ascii="Garamond" w:hAnsi="Garamond"/>
          <w:sz w:val="24"/>
          <w:szCs w:val="24"/>
        </w:rPr>
        <w:t xml:space="preserve">, delivered just a week before Christmas 2014, the Court of Justice held that the draft accession agreement was incompatible with EU law. As a result, the EU could not accede to the ECHR on the terms of the agreement. The main criticism of the Court was simple: EU law is </w:t>
      </w:r>
      <w:proofErr w:type="gramStart"/>
      <w:r w:rsidRPr="002A18ED">
        <w:rPr>
          <w:rFonts w:ascii="Garamond" w:hAnsi="Garamond"/>
          <w:sz w:val="24"/>
          <w:szCs w:val="24"/>
        </w:rPr>
        <w:t>special</w:t>
      </w:r>
      <w:proofErr w:type="gramEnd"/>
      <w:r w:rsidRPr="002A18ED">
        <w:rPr>
          <w:rFonts w:ascii="Garamond" w:hAnsi="Garamond"/>
          <w:sz w:val="24"/>
          <w:szCs w:val="24"/>
        </w:rPr>
        <w:t xml:space="preserve"> and this agreement did not sufficiently respect </w:t>
      </w:r>
      <w:r w:rsidRPr="002A18ED">
        <w:rPr>
          <w:rFonts w:ascii="Garamond" w:hAnsi="Garamond"/>
          <w:sz w:val="24"/>
          <w:szCs w:val="24"/>
          <w:u w:val="single"/>
        </w:rPr>
        <w:t>the special characteristics of EU law</w:t>
      </w:r>
      <w:r w:rsidRPr="002A18ED">
        <w:rPr>
          <w:rFonts w:ascii="Garamond" w:hAnsi="Garamond"/>
          <w:sz w:val="24"/>
          <w:szCs w:val="24"/>
        </w:rPr>
        <w:t>.</w:t>
      </w:r>
    </w:p>
    <w:p w14:paraId="7AB9C8F4" w14:textId="4E5EC8C9" w:rsidR="00956620" w:rsidRPr="00BB6E49" w:rsidRDefault="00880BCB" w:rsidP="00BB6E49">
      <w:pPr>
        <w:numPr>
          <w:ilvl w:val="0"/>
          <w:numId w:val="17"/>
        </w:numPr>
        <w:spacing w:after="120"/>
        <w:jc w:val="both"/>
        <w:rPr>
          <w:rFonts w:ascii="Garamond" w:hAnsi="Garamond"/>
          <w:sz w:val="24"/>
          <w:szCs w:val="24"/>
          <w:lang w:val="en-GB"/>
        </w:rPr>
      </w:pPr>
      <w:r>
        <w:rPr>
          <w:rFonts w:ascii="Garamond" w:hAnsi="Garamond"/>
          <w:sz w:val="24"/>
          <w:szCs w:val="24"/>
        </w:rPr>
        <w:t>For example, with</w:t>
      </w:r>
      <w:r w:rsidR="00DC7F29" w:rsidRPr="002A18ED">
        <w:rPr>
          <w:rFonts w:ascii="Garamond" w:hAnsi="Garamond"/>
          <w:sz w:val="24"/>
          <w:szCs w:val="24"/>
        </w:rPr>
        <w:t xml:space="preserve"> respect to the prior involvement mechanism</w:t>
      </w:r>
      <w:r w:rsidR="00DD56F2">
        <w:rPr>
          <w:rFonts w:ascii="Garamond" w:hAnsi="Garamond"/>
          <w:sz w:val="24"/>
          <w:szCs w:val="24"/>
        </w:rPr>
        <w:t>,</w:t>
      </w:r>
      <w:r w:rsidR="00DC7F29" w:rsidRPr="002A18ED">
        <w:rPr>
          <w:rFonts w:ascii="Garamond" w:hAnsi="Garamond"/>
          <w:sz w:val="24"/>
          <w:szCs w:val="24"/>
        </w:rPr>
        <w:t xml:space="preserve"> the </w:t>
      </w:r>
      <w:r w:rsidR="00BB6E49">
        <w:rPr>
          <w:rFonts w:ascii="Garamond" w:hAnsi="Garamond"/>
          <w:sz w:val="24"/>
          <w:szCs w:val="24"/>
        </w:rPr>
        <w:t>CJEU</w:t>
      </w:r>
      <w:r w:rsidR="00DC7F29" w:rsidRPr="002A18ED">
        <w:rPr>
          <w:rFonts w:ascii="Garamond" w:hAnsi="Garamond"/>
          <w:sz w:val="24"/>
          <w:szCs w:val="24"/>
        </w:rPr>
        <w:t xml:space="preserve"> held that this mechanism was dependent on a finding by the ECtHR that it was necessary to get a ruling </w:t>
      </w:r>
      <w:r w:rsidR="00BB6E49">
        <w:rPr>
          <w:rFonts w:ascii="Garamond" w:hAnsi="Garamond"/>
          <w:sz w:val="24"/>
          <w:szCs w:val="24"/>
        </w:rPr>
        <w:t>from</w:t>
      </w:r>
      <w:r w:rsidR="00DC7F29" w:rsidRPr="002A18ED">
        <w:rPr>
          <w:rFonts w:ascii="Garamond" w:hAnsi="Garamond"/>
          <w:sz w:val="24"/>
          <w:szCs w:val="24"/>
        </w:rPr>
        <w:t xml:space="preserve"> the </w:t>
      </w:r>
      <w:r w:rsidR="00BB6E49">
        <w:rPr>
          <w:rFonts w:ascii="Garamond" w:hAnsi="Garamond"/>
          <w:sz w:val="24"/>
          <w:szCs w:val="24"/>
        </w:rPr>
        <w:t>CJEU</w:t>
      </w:r>
      <w:r w:rsidR="00686ADC">
        <w:rPr>
          <w:rFonts w:ascii="Garamond" w:hAnsi="Garamond"/>
          <w:sz w:val="24"/>
          <w:szCs w:val="24"/>
        </w:rPr>
        <w:t xml:space="preserve"> in the first place</w:t>
      </w:r>
      <w:r w:rsidR="00DC7F29" w:rsidRPr="002A18ED">
        <w:rPr>
          <w:rFonts w:ascii="Garamond" w:hAnsi="Garamond"/>
          <w:sz w:val="24"/>
          <w:szCs w:val="24"/>
        </w:rPr>
        <w:t>. It would only be necessary to do this if the</w:t>
      </w:r>
      <w:r w:rsidR="00686ADC">
        <w:rPr>
          <w:rFonts w:ascii="Garamond" w:hAnsi="Garamond"/>
          <w:sz w:val="24"/>
          <w:szCs w:val="24"/>
        </w:rPr>
        <w:t xml:space="preserve"> ECtHR reached the conclusion that the CJEU had not yet </w:t>
      </w:r>
      <w:r>
        <w:rPr>
          <w:rFonts w:ascii="Garamond" w:hAnsi="Garamond"/>
          <w:sz w:val="24"/>
          <w:szCs w:val="24"/>
        </w:rPr>
        <w:t>addressed th</w:t>
      </w:r>
      <w:r w:rsidR="00BB6E49">
        <w:rPr>
          <w:rFonts w:ascii="Garamond" w:hAnsi="Garamond"/>
          <w:sz w:val="24"/>
          <w:szCs w:val="24"/>
        </w:rPr>
        <w:t xml:space="preserve">e </w:t>
      </w:r>
      <w:r>
        <w:rPr>
          <w:rFonts w:ascii="Garamond" w:hAnsi="Garamond"/>
          <w:sz w:val="24"/>
          <w:szCs w:val="24"/>
        </w:rPr>
        <w:t xml:space="preserve">legal issue </w:t>
      </w:r>
      <w:r w:rsidR="00257E4E">
        <w:rPr>
          <w:rFonts w:ascii="Garamond" w:hAnsi="Garamond"/>
          <w:sz w:val="24"/>
          <w:szCs w:val="24"/>
        </w:rPr>
        <w:t>as a matter of</w:t>
      </w:r>
      <w:r>
        <w:rPr>
          <w:rFonts w:ascii="Garamond" w:hAnsi="Garamond"/>
          <w:sz w:val="24"/>
          <w:szCs w:val="24"/>
        </w:rPr>
        <w:t xml:space="preserve"> EU law</w:t>
      </w:r>
      <w:r w:rsidR="00686ADC">
        <w:rPr>
          <w:rFonts w:ascii="Garamond" w:hAnsi="Garamond"/>
          <w:sz w:val="24"/>
          <w:szCs w:val="24"/>
        </w:rPr>
        <w:t>, which implies that the ECtHR could give a binding interpretation of EU law itself</w:t>
      </w:r>
      <w:r>
        <w:rPr>
          <w:rFonts w:ascii="Garamond" w:hAnsi="Garamond"/>
          <w:sz w:val="24"/>
          <w:szCs w:val="24"/>
        </w:rPr>
        <w:t xml:space="preserve"> (on whether the issue was</w:t>
      </w:r>
      <w:r w:rsidR="00DD56F2">
        <w:rPr>
          <w:rFonts w:ascii="Garamond" w:hAnsi="Garamond"/>
          <w:sz w:val="24"/>
          <w:szCs w:val="24"/>
        </w:rPr>
        <w:t xml:space="preserve"> already</w:t>
      </w:r>
      <w:r>
        <w:rPr>
          <w:rFonts w:ascii="Garamond" w:hAnsi="Garamond"/>
          <w:sz w:val="24"/>
          <w:szCs w:val="24"/>
        </w:rPr>
        <w:t xml:space="preserve"> sufficiently addressed by the CJEU)</w:t>
      </w:r>
      <w:r w:rsidR="00686ADC">
        <w:rPr>
          <w:rFonts w:ascii="Garamond" w:hAnsi="Garamond"/>
          <w:sz w:val="24"/>
          <w:szCs w:val="24"/>
        </w:rPr>
        <w:t xml:space="preserve">. This was seen as incompatible </w:t>
      </w:r>
      <w:r w:rsidR="00DC7F29" w:rsidRPr="00686ADC">
        <w:rPr>
          <w:rFonts w:ascii="Garamond" w:hAnsi="Garamond"/>
          <w:sz w:val="24"/>
          <w:szCs w:val="24"/>
        </w:rPr>
        <w:t>with the autonomy of EU law</w:t>
      </w:r>
      <w:r w:rsidR="00BB6E49">
        <w:rPr>
          <w:rFonts w:ascii="Garamond" w:hAnsi="Garamond"/>
          <w:sz w:val="24"/>
          <w:szCs w:val="24"/>
        </w:rPr>
        <w:t xml:space="preserve"> because the only institution with the power to interpret EU law is the CJEU</w:t>
      </w:r>
      <w:r w:rsidR="00DC7F29" w:rsidRPr="00BB6E49">
        <w:rPr>
          <w:rFonts w:ascii="Garamond" w:hAnsi="Garamond"/>
          <w:sz w:val="24"/>
          <w:szCs w:val="24"/>
        </w:rPr>
        <w:t>. Similarly, the co-respondent mechanism was incompatible with EU law</w:t>
      </w:r>
      <w:r w:rsidRPr="00BB6E49">
        <w:rPr>
          <w:rFonts w:ascii="Garamond" w:hAnsi="Garamond"/>
          <w:sz w:val="24"/>
          <w:szCs w:val="24"/>
        </w:rPr>
        <w:t xml:space="preserve"> </w:t>
      </w:r>
      <w:r w:rsidR="00DC7F29" w:rsidRPr="00BB6E49">
        <w:rPr>
          <w:rFonts w:ascii="Garamond" w:hAnsi="Garamond"/>
          <w:sz w:val="24"/>
          <w:szCs w:val="24"/>
        </w:rPr>
        <w:t xml:space="preserve">because </w:t>
      </w:r>
      <w:r w:rsidR="00C13884" w:rsidRPr="00BB6E49">
        <w:rPr>
          <w:rFonts w:ascii="Garamond" w:hAnsi="Garamond"/>
          <w:sz w:val="24"/>
          <w:szCs w:val="24"/>
        </w:rPr>
        <w:t xml:space="preserve">giving the ECtHR the power to decide if the EU should be added as co-respondent would interfere with </w:t>
      </w:r>
      <w:r w:rsidR="00DC7F29" w:rsidRPr="00BB6E49">
        <w:rPr>
          <w:rFonts w:ascii="Garamond" w:hAnsi="Garamond"/>
          <w:sz w:val="24"/>
          <w:szCs w:val="24"/>
        </w:rPr>
        <w:t xml:space="preserve">the exclusive power of the </w:t>
      </w:r>
      <w:r w:rsidRPr="00BB6E49">
        <w:rPr>
          <w:rFonts w:ascii="Garamond" w:hAnsi="Garamond"/>
          <w:sz w:val="24"/>
          <w:szCs w:val="24"/>
        </w:rPr>
        <w:t>CJEU</w:t>
      </w:r>
      <w:r w:rsidR="00DC7F29" w:rsidRPr="00BB6E49">
        <w:rPr>
          <w:rFonts w:ascii="Garamond" w:hAnsi="Garamond"/>
          <w:sz w:val="24"/>
          <w:szCs w:val="24"/>
        </w:rPr>
        <w:t xml:space="preserve"> to </w:t>
      </w:r>
      <w:r w:rsidRPr="00BB6E49">
        <w:rPr>
          <w:rFonts w:ascii="Garamond" w:hAnsi="Garamond"/>
          <w:sz w:val="24"/>
          <w:szCs w:val="24"/>
        </w:rPr>
        <w:t xml:space="preserve">decide </w:t>
      </w:r>
      <w:r w:rsidR="00DC7F29" w:rsidRPr="00BB6E49">
        <w:rPr>
          <w:rFonts w:ascii="Garamond" w:hAnsi="Garamond"/>
          <w:sz w:val="24"/>
          <w:szCs w:val="24"/>
        </w:rPr>
        <w:t>the division of competences between the EU and its Member States.</w:t>
      </w:r>
    </w:p>
    <w:p w14:paraId="3096E441" w14:textId="52472856" w:rsidR="00956620" w:rsidRPr="00BB6E49" w:rsidRDefault="00DC7F29" w:rsidP="00BB6E49">
      <w:pPr>
        <w:numPr>
          <w:ilvl w:val="0"/>
          <w:numId w:val="17"/>
        </w:numPr>
        <w:spacing w:after="160" w:line="259" w:lineRule="auto"/>
        <w:jc w:val="both"/>
        <w:rPr>
          <w:rFonts w:ascii="Garamond" w:hAnsi="Garamond"/>
          <w:sz w:val="24"/>
          <w:szCs w:val="24"/>
        </w:rPr>
      </w:pPr>
      <w:r w:rsidRPr="00956620">
        <w:rPr>
          <w:rFonts w:ascii="Garamond" w:hAnsi="Garamond"/>
          <w:sz w:val="24"/>
          <w:szCs w:val="24"/>
        </w:rPr>
        <w:t>The Opinion of the Court of Justice has r</w:t>
      </w:r>
      <w:r w:rsidR="00066CD1" w:rsidRPr="00956620">
        <w:rPr>
          <w:rFonts w:ascii="Garamond" w:hAnsi="Garamond"/>
          <w:sz w:val="24"/>
          <w:szCs w:val="24"/>
        </w:rPr>
        <w:t>eceived very strong criticism—i</w:t>
      </w:r>
      <w:r w:rsidRPr="00956620">
        <w:rPr>
          <w:rFonts w:ascii="Garamond" w:hAnsi="Garamond"/>
          <w:sz w:val="24"/>
          <w:szCs w:val="24"/>
        </w:rPr>
        <w:t xml:space="preserve">t was regarded as </w:t>
      </w:r>
      <w:r w:rsidRPr="00BB6E49">
        <w:rPr>
          <w:rFonts w:ascii="Garamond" w:hAnsi="Garamond"/>
          <w:sz w:val="24"/>
          <w:szCs w:val="24"/>
        </w:rPr>
        <w:t xml:space="preserve">based more on political considerations than on proper legal arguments. Above all, it was felt that the Court of Justice sacrificed human rights protection to be able to protect its own powers. Do you agree? </w:t>
      </w:r>
    </w:p>
    <w:p w14:paraId="159E96A6" w14:textId="77777777" w:rsidR="00956620" w:rsidRPr="00956620" w:rsidRDefault="00956620" w:rsidP="00956620">
      <w:pPr>
        <w:spacing w:after="160" w:line="259" w:lineRule="auto"/>
        <w:ind w:left="360"/>
        <w:jc w:val="both"/>
        <w:rPr>
          <w:rFonts w:ascii="Garamond" w:hAnsi="Garamond"/>
          <w:sz w:val="24"/>
          <w:szCs w:val="24"/>
        </w:rPr>
      </w:pPr>
    </w:p>
    <w:p w14:paraId="278D7D98" w14:textId="1923D1E3" w:rsidR="00BC1D12" w:rsidRDefault="00BC1D12" w:rsidP="00BC1D12">
      <w:pPr>
        <w:pStyle w:val="ListParagraph"/>
        <w:numPr>
          <w:ilvl w:val="0"/>
          <w:numId w:val="7"/>
        </w:numPr>
        <w:spacing w:after="160" w:line="259" w:lineRule="auto"/>
        <w:jc w:val="both"/>
        <w:rPr>
          <w:rFonts w:ascii="Garamond" w:hAnsi="Garamond"/>
          <w:sz w:val="24"/>
          <w:szCs w:val="24"/>
        </w:rPr>
      </w:pPr>
      <w:r w:rsidRPr="00316FF6">
        <w:rPr>
          <w:rFonts w:ascii="Garamond" w:hAnsi="Garamond"/>
          <w:i/>
          <w:sz w:val="24"/>
          <w:szCs w:val="24"/>
        </w:rPr>
        <w:t>Opinion 2/13</w:t>
      </w:r>
      <w:r w:rsidR="00A63EAB" w:rsidRPr="00316FF6">
        <w:rPr>
          <w:rFonts w:ascii="Garamond" w:hAnsi="Garamond"/>
          <w:i/>
          <w:sz w:val="24"/>
          <w:szCs w:val="24"/>
        </w:rPr>
        <w:t xml:space="preserve"> on the Accession of the European Union to the European Convention for the Protection of Human Rights and Fundamental Freedoms</w:t>
      </w:r>
      <w:r w:rsidR="00316FF6" w:rsidRPr="00316FF6">
        <w:rPr>
          <w:rFonts w:ascii="Garamond" w:hAnsi="Garamond"/>
          <w:i/>
          <w:sz w:val="24"/>
          <w:szCs w:val="24"/>
        </w:rPr>
        <w:t xml:space="preserve"> – Compatibility of the Draft Agreement with the EU and FEU Treaties</w:t>
      </w:r>
      <w:r w:rsidR="00BB6E49">
        <w:rPr>
          <w:rFonts w:ascii="Garamond" w:hAnsi="Garamond"/>
          <w:i/>
          <w:sz w:val="24"/>
          <w:szCs w:val="24"/>
        </w:rPr>
        <w:t xml:space="preserve"> </w:t>
      </w:r>
      <w:r w:rsidR="00BB6E49">
        <w:rPr>
          <w:rFonts w:ascii="Garamond" w:hAnsi="Garamond"/>
          <w:iCs/>
          <w:sz w:val="24"/>
          <w:szCs w:val="24"/>
        </w:rPr>
        <w:t>(2013)</w:t>
      </w:r>
    </w:p>
    <w:p w14:paraId="4C023979" w14:textId="77777777" w:rsidR="00BC6D3F" w:rsidRDefault="00BC6D3F" w:rsidP="002C0D75">
      <w:pPr>
        <w:spacing w:after="160" w:line="259" w:lineRule="auto"/>
        <w:jc w:val="both"/>
        <w:rPr>
          <w:rFonts w:ascii="Garamond" w:hAnsi="Garamond"/>
          <w:sz w:val="24"/>
          <w:szCs w:val="24"/>
        </w:rPr>
      </w:pPr>
    </w:p>
    <w:p w14:paraId="1E7A6648" w14:textId="6B915C91" w:rsidR="00956620" w:rsidRPr="00077A22" w:rsidRDefault="00956620" w:rsidP="00B57A5A">
      <w:pPr>
        <w:numPr>
          <w:ilvl w:val="0"/>
          <w:numId w:val="17"/>
        </w:numPr>
        <w:spacing w:after="160" w:line="259" w:lineRule="auto"/>
        <w:jc w:val="both"/>
        <w:rPr>
          <w:rFonts w:ascii="Garamond" w:hAnsi="Garamond"/>
          <w:sz w:val="24"/>
          <w:szCs w:val="24"/>
        </w:rPr>
      </w:pPr>
      <w:r w:rsidRPr="00077A22">
        <w:rPr>
          <w:rFonts w:ascii="Garamond" w:hAnsi="Garamond"/>
          <w:sz w:val="24"/>
          <w:szCs w:val="24"/>
          <w:lang w:val="en-GB"/>
        </w:rPr>
        <w:t>The EU remains bound by the obligation in Article 6(2) TEU to accede to the ECHR. Recently, negotiations between the EU and the Council of Europe have recommenced and a technical agreement</w:t>
      </w:r>
      <w:r w:rsidR="00D744B8" w:rsidRPr="00077A22">
        <w:rPr>
          <w:rFonts w:ascii="Garamond" w:hAnsi="Garamond"/>
          <w:sz w:val="24"/>
          <w:szCs w:val="24"/>
          <w:lang w:val="en-GB"/>
        </w:rPr>
        <w:t xml:space="preserve"> between the </w:t>
      </w:r>
      <w:r w:rsidR="004D205A" w:rsidRPr="00077A22">
        <w:rPr>
          <w:rFonts w:ascii="Garamond" w:hAnsi="Garamond"/>
          <w:sz w:val="24"/>
          <w:szCs w:val="24"/>
          <w:lang w:val="en-GB"/>
        </w:rPr>
        <w:t>two sides</w:t>
      </w:r>
      <w:r w:rsidRPr="00077A22">
        <w:rPr>
          <w:rFonts w:ascii="Garamond" w:hAnsi="Garamond"/>
          <w:sz w:val="24"/>
          <w:szCs w:val="24"/>
          <w:lang w:val="en-GB"/>
        </w:rPr>
        <w:t xml:space="preserve"> was reached in March 2023. This is seen as “major progress”</w:t>
      </w:r>
      <w:r w:rsidR="004D205A" w:rsidRPr="00077A22">
        <w:rPr>
          <w:rFonts w:ascii="Garamond" w:hAnsi="Garamond"/>
          <w:sz w:val="24"/>
          <w:szCs w:val="24"/>
          <w:lang w:val="en-GB"/>
        </w:rPr>
        <w:t xml:space="preserve"> </w:t>
      </w:r>
      <w:r w:rsidR="003972F2" w:rsidRPr="00077A22">
        <w:rPr>
          <w:rFonts w:ascii="Garamond" w:hAnsi="Garamond"/>
          <w:sz w:val="24"/>
          <w:szCs w:val="24"/>
          <w:lang w:val="en-GB"/>
        </w:rPr>
        <w:t xml:space="preserve">after years </w:t>
      </w:r>
      <w:r w:rsidR="00257E4E">
        <w:rPr>
          <w:rFonts w:ascii="Garamond" w:hAnsi="Garamond"/>
          <w:sz w:val="24"/>
          <w:szCs w:val="24"/>
          <w:lang w:val="en-GB"/>
        </w:rPr>
        <w:t>in</w:t>
      </w:r>
      <w:r w:rsidR="003972F2" w:rsidRPr="00077A22">
        <w:rPr>
          <w:rFonts w:ascii="Garamond" w:hAnsi="Garamond"/>
          <w:sz w:val="24"/>
          <w:szCs w:val="24"/>
          <w:lang w:val="en-GB"/>
        </w:rPr>
        <w:t xml:space="preserve"> standstill</w:t>
      </w:r>
      <w:r w:rsidR="005E381B" w:rsidRPr="00077A22">
        <w:rPr>
          <w:rFonts w:ascii="Garamond" w:hAnsi="Garamond"/>
          <w:sz w:val="24"/>
          <w:szCs w:val="24"/>
          <w:lang w:val="en-GB"/>
        </w:rPr>
        <w:t xml:space="preserve">, but there are important steps remaining, including </w:t>
      </w:r>
      <w:r w:rsidR="00077A22" w:rsidRPr="00077A22">
        <w:rPr>
          <w:rFonts w:ascii="Garamond" w:hAnsi="Garamond"/>
          <w:sz w:val="24"/>
          <w:szCs w:val="24"/>
          <w:lang w:val="en-GB"/>
        </w:rPr>
        <w:t>the CJEU giving a positive opinion</w:t>
      </w:r>
      <w:r w:rsidR="00077A22">
        <w:rPr>
          <w:rFonts w:ascii="Garamond" w:hAnsi="Garamond"/>
          <w:sz w:val="24"/>
          <w:szCs w:val="24"/>
          <w:lang w:val="en-GB"/>
        </w:rPr>
        <w:t xml:space="preserve">. </w:t>
      </w:r>
    </w:p>
    <w:p w14:paraId="09736F02" w14:textId="5057F285" w:rsidR="00541AFF" w:rsidRPr="0053290B" w:rsidRDefault="00A37136" w:rsidP="00A37136">
      <w:pPr>
        <w:pStyle w:val="Heading1"/>
      </w:pPr>
      <w:r>
        <w:t xml:space="preserve">4. </w:t>
      </w:r>
      <w:r w:rsidR="00541AFF" w:rsidRPr="00541AFF">
        <w:t>The Charter of Fundamental Rights of the EU</w:t>
      </w:r>
      <w:r w:rsidR="0053290B">
        <w:t xml:space="preserve">: the </w:t>
      </w:r>
      <w:r w:rsidR="0053290B">
        <w:rPr>
          <w:i/>
        </w:rPr>
        <w:t>written</w:t>
      </w:r>
      <w:r w:rsidR="0053290B">
        <w:t xml:space="preserve"> “bill of rights”</w:t>
      </w:r>
    </w:p>
    <w:p w14:paraId="60264D8F" w14:textId="12734264" w:rsidR="001A6EE1" w:rsidRDefault="00673466" w:rsidP="00F870E0">
      <w:pPr>
        <w:numPr>
          <w:ilvl w:val="0"/>
          <w:numId w:val="17"/>
        </w:numPr>
        <w:spacing w:after="120"/>
        <w:jc w:val="both"/>
        <w:rPr>
          <w:rFonts w:ascii="Garamond" w:hAnsi="Garamond"/>
          <w:sz w:val="24"/>
          <w:szCs w:val="24"/>
          <w:lang w:val="en-GB"/>
        </w:rPr>
      </w:pPr>
      <w:r w:rsidRPr="00485242">
        <w:rPr>
          <w:rFonts w:ascii="Garamond" w:hAnsi="Garamond"/>
          <w:sz w:val="24"/>
          <w:szCs w:val="24"/>
          <w:lang w:val="en-GB"/>
        </w:rPr>
        <w:t xml:space="preserve">The desire for a </w:t>
      </w:r>
      <w:r w:rsidRPr="00485242">
        <w:rPr>
          <w:rFonts w:ascii="Garamond" w:hAnsi="Garamond"/>
          <w:i/>
          <w:sz w:val="24"/>
          <w:szCs w:val="24"/>
          <w:lang w:val="en-GB"/>
        </w:rPr>
        <w:t>written</w:t>
      </w:r>
      <w:r w:rsidRPr="00485242">
        <w:rPr>
          <w:rFonts w:ascii="Garamond" w:hAnsi="Garamond"/>
          <w:sz w:val="24"/>
          <w:szCs w:val="24"/>
          <w:lang w:val="en-GB"/>
        </w:rPr>
        <w:t xml:space="preserve"> </w:t>
      </w:r>
      <w:r w:rsidR="00EB53C9" w:rsidRPr="00485242">
        <w:rPr>
          <w:rFonts w:ascii="Garamond" w:hAnsi="Garamond"/>
          <w:sz w:val="24"/>
          <w:szCs w:val="24"/>
          <w:lang w:val="en-GB"/>
        </w:rPr>
        <w:t>“</w:t>
      </w:r>
      <w:r w:rsidRPr="00485242">
        <w:rPr>
          <w:rFonts w:ascii="Garamond" w:hAnsi="Garamond"/>
          <w:sz w:val="24"/>
          <w:szCs w:val="24"/>
          <w:lang w:val="en-GB"/>
        </w:rPr>
        <w:t>bill of rights</w:t>
      </w:r>
      <w:r w:rsidR="00EB53C9" w:rsidRPr="00485242">
        <w:rPr>
          <w:rFonts w:ascii="Garamond" w:hAnsi="Garamond"/>
          <w:sz w:val="24"/>
          <w:szCs w:val="24"/>
          <w:lang w:val="en-GB"/>
        </w:rPr>
        <w:t>”</w:t>
      </w:r>
      <w:r w:rsidRPr="00485242">
        <w:rPr>
          <w:rFonts w:ascii="Garamond" w:hAnsi="Garamond"/>
          <w:sz w:val="24"/>
          <w:szCs w:val="24"/>
          <w:lang w:val="en-GB"/>
        </w:rPr>
        <w:t xml:space="preserve"> for the European Union first expressed itself in arguments favouring accession to the European Convention of Human Right</w:t>
      </w:r>
      <w:r w:rsidR="007F1A0D">
        <w:rPr>
          <w:rFonts w:ascii="Garamond" w:hAnsi="Garamond"/>
          <w:sz w:val="24"/>
          <w:szCs w:val="24"/>
          <w:lang w:val="en-GB"/>
        </w:rPr>
        <w:t>s</w:t>
      </w:r>
      <w:r w:rsidRPr="00485242">
        <w:rPr>
          <w:rFonts w:ascii="Garamond" w:hAnsi="Garamond"/>
          <w:sz w:val="24"/>
          <w:szCs w:val="24"/>
          <w:lang w:val="en-GB"/>
        </w:rPr>
        <w:t xml:space="preserve">. Yet an alternative strategy became prominent in the </w:t>
      </w:r>
      <w:r w:rsidR="00EB53C9" w:rsidRPr="00485242">
        <w:rPr>
          <w:rFonts w:ascii="Garamond" w:hAnsi="Garamond"/>
          <w:sz w:val="24"/>
          <w:szCs w:val="24"/>
          <w:lang w:val="en-GB"/>
        </w:rPr>
        <w:t>1990s</w:t>
      </w:r>
      <w:r w:rsidRPr="00485242">
        <w:rPr>
          <w:rFonts w:ascii="Garamond" w:hAnsi="Garamond"/>
          <w:sz w:val="24"/>
          <w:szCs w:val="24"/>
          <w:lang w:val="en-GB"/>
        </w:rPr>
        <w:t>: the Union</w:t>
      </w:r>
      <w:r w:rsidR="00EB53C9" w:rsidRPr="00485242">
        <w:rPr>
          <w:rFonts w:ascii="Garamond" w:hAnsi="Garamond"/>
          <w:sz w:val="24"/>
          <w:szCs w:val="24"/>
          <w:lang w:val="en-GB"/>
        </w:rPr>
        <w:t>’s</w:t>
      </w:r>
      <w:r w:rsidRPr="00485242">
        <w:rPr>
          <w:rFonts w:ascii="Garamond" w:hAnsi="Garamond"/>
          <w:sz w:val="24"/>
          <w:szCs w:val="24"/>
          <w:lang w:val="en-GB"/>
        </w:rPr>
        <w:t xml:space="preserve"> own </w:t>
      </w:r>
      <w:r w:rsidR="00EB53C9" w:rsidRPr="00485242">
        <w:rPr>
          <w:rFonts w:ascii="Garamond" w:hAnsi="Garamond"/>
          <w:sz w:val="24"/>
          <w:szCs w:val="24"/>
          <w:lang w:val="en-GB"/>
        </w:rPr>
        <w:t>human rights instrument</w:t>
      </w:r>
      <w:r w:rsidRPr="00485242">
        <w:rPr>
          <w:rFonts w:ascii="Garamond" w:hAnsi="Garamond"/>
          <w:sz w:val="24"/>
          <w:szCs w:val="24"/>
          <w:lang w:val="en-GB"/>
        </w:rPr>
        <w:t xml:space="preserve">. The initiative for a “Charter of Fundamental Rights” came from the European Council. The Charter was proclaimed in 2000, but it was </w:t>
      </w:r>
      <w:r w:rsidRPr="00485242">
        <w:rPr>
          <w:rFonts w:ascii="Garamond" w:hAnsi="Garamond"/>
          <w:i/>
          <w:sz w:val="24"/>
          <w:szCs w:val="24"/>
          <w:lang w:val="en-GB"/>
        </w:rPr>
        <w:t>not</w:t>
      </w:r>
      <w:r w:rsidRPr="00485242">
        <w:rPr>
          <w:rFonts w:ascii="Garamond" w:hAnsi="Garamond"/>
          <w:sz w:val="24"/>
          <w:szCs w:val="24"/>
          <w:lang w:val="en-GB"/>
        </w:rPr>
        <w:t xml:space="preserve"> legally binding. Its status was similar to the European Convention of Human Rights</w:t>
      </w:r>
      <w:r w:rsidR="007F1A0D">
        <w:rPr>
          <w:rFonts w:ascii="Garamond" w:hAnsi="Garamond"/>
          <w:sz w:val="24"/>
          <w:szCs w:val="24"/>
          <w:lang w:val="en-GB"/>
        </w:rPr>
        <w:t>,</w:t>
      </w:r>
      <w:r w:rsidRPr="00485242">
        <w:rPr>
          <w:rFonts w:ascii="Garamond" w:hAnsi="Garamond"/>
          <w:sz w:val="24"/>
          <w:szCs w:val="24"/>
          <w:lang w:val="en-GB"/>
        </w:rPr>
        <w:t xml:space="preserve"> it provided a valuable inspiration</w:t>
      </w:r>
      <w:r w:rsidRPr="00485242">
        <w:rPr>
          <w:rFonts w:ascii="Garamond" w:hAnsi="Garamond"/>
          <w:i/>
          <w:sz w:val="24"/>
          <w:szCs w:val="24"/>
          <w:lang w:val="en-GB"/>
        </w:rPr>
        <w:t xml:space="preserve"> </w:t>
      </w:r>
      <w:r w:rsidRPr="00485242">
        <w:rPr>
          <w:rFonts w:ascii="Garamond" w:hAnsi="Garamond"/>
          <w:sz w:val="24"/>
          <w:szCs w:val="24"/>
          <w:lang w:val="en-GB"/>
        </w:rPr>
        <w:t xml:space="preserve">but </w:t>
      </w:r>
      <w:r w:rsidRPr="00485242">
        <w:rPr>
          <w:rFonts w:ascii="Garamond" w:hAnsi="Garamond"/>
          <w:sz w:val="24"/>
          <w:szCs w:val="24"/>
          <w:lang w:val="en-GB"/>
        </w:rPr>
        <w:lastRenderedPageBreak/>
        <w:t>imposed no formal obligation on the European institutions. This ambivalent status was immediately perceived as a constitutional problem</w:t>
      </w:r>
      <w:r w:rsidR="00A1130E" w:rsidRPr="00485242">
        <w:rPr>
          <w:rFonts w:ascii="Garamond" w:hAnsi="Garamond"/>
          <w:sz w:val="24"/>
          <w:szCs w:val="24"/>
          <w:lang w:val="en-GB"/>
        </w:rPr>
        <w:t>. Eventually,</w:t>
      </w:r>
      <w:r w:rsidRPr="00485242">
        <w:rPr>
          <w:rFonts w:ascii="Garamond" w:hAnsi="Garamond"/>
          <w:sz w:val="24"/>
          <w:szCs w:val="24"/>
          <w:lang w:val="en-GB"/>
        </w:rPr>
        <w:t xml:space="preserve"> the Lisbon Treaty recognise</w:t>
      </w:r>
      <w:r w:rsidR="00A1130E" w:rsidRPr="00485242">
        <w:rPr>
          <w:rFonts w:ascii="Garamond" w:hAnsi="Garamond"/>
          <w:sz w:val="24"/>
          <w:szCs w:val="24"/>
          <w:lang w:val="en-GB"/>
        </w:rPr>
        <w:t>d</w:t>
      </w:r>
      <w:r w:rsidRPr="00485242">
        <w:rPr>
          <w:rFonts w:ascii="Garamond" w:hAnsi="Garamond"/>
          <w:sz w:val="24"/>
          <w:szCs w:val="24"/>
          <w:lang w:val="en-GB"/>
        </w:rPr>
        <w:t xml:space="preserve"> the Charter as having “the same legal value as the Treaties”</w:t>
      </w:r>
      <w:r w:rsidR="00AD410E" w:rsidRPr="00485242">
        <w:rPr>
          <w:rFonts w:ascii="Garamond" w:hAnsi="Garamond"/>
          <w:sz w:val="24"/>
          <w:szCs w:val="24"/>
          <w:lang w:val="en-GB"/>
        </w:rPr>
        <w:t xml:space="preserve"> (Art 6(1) TEU)</w:t>
      </w:r>
      <w:r w:rsidRPr="00485242">
        <w:rPr>
          <w:rFonts w:ascii="Garamond" w:hAnsi="Garamond"/>
          <w:sz w:val="24"/>
          <w:szCs w:val="24"/>
          <w:lang w:val="en-GB"/>
        </w:rPr>
        <w:t>.</w:t>
      </w:r>
      <w:r w:rsidR="00F870E0" w:rsidRPr="00485242">
        <w:rPr>
          <w:rFonts w:ascii="Garamond" w:hAnsi="Garamond"/>
          <w:sz w:val="24"/>
          <w:szCs w:val="24"/>
          <w:lang w:val="en-GB"/>
        </w:rPr>
        <w:t xml:space="preserve"> </w:t>
      </w:r>
    </w:p>
    <w:p w14:paraId="1156C5A0" w14:textId="375B61D7" w:rsidR="00920883" w:rsidRDefault="00AD410E" w:rsidP="00673466">
      <w:pPr>
        <w:numPr>
          <w:ilvl w:val="0"/>
          <w:numId w:val="17"/>
        </w:numPr>
        <w:spacing w:after="120"/>
        <w:jc w:val="both"/>
        <w:rPr>
          <w:rFonts w:ascii="Garamond" w:hAnsi="Garamond"/>
          <w:sz w:val="24"/>
          <w:szCs w:val="24"/>
          <w:lang w:val="en-GB"/>
        </w:rPr>
      </w:pPr>
      <w:r w:rsidRPr="001A6EE1">
        <w:rPr>
          <w:rFonts w:ascii="Garamond" w:hAnsi="Garamond"/>
          <w:sz w:val="24"/>
          <w:szCs w:val="24"/>
          <w:lang w:val="en-GB"/>
        </w:rPr>
        <w:t>It is important to remember that the</w:t>
      </w:r>
      <w:r w:rsidR="00F870E0" w:rsidRPr="001A6EE1">
        <w:rPr>
          <w:rFonts w:ascii="Garamond" w:hAnsi="Garamond"/>
          <w:sz w:val="24"/>
          <w:szCs w:val="24"/>
          <w:lang w:val="en-GB"/>
        </w:rPr>
        <w:t xml:space="preserve"> Charter of Fundamental Rights did not create any “new” rights. The intention of the EU was to make human rights “</w:t>
      </w:r>
      <w:r w:rsidR="00F870E0" w:rsidRPr="001A6EE1">
        <w:rPr>
          <w:rFonts w:ascii="Garamond" w:hAnsi="Garamond"/>
          <w:sz w:val="24"/>
          <w:szCs w:val="24"/>
          <w:u w:val="single"/>
          <w:lang w:val="en-GB"/>
        </w:rPr>
        <w:t>more visible</w:t>
      </w:r>
      <w:r w:rsidR="00F870E0" w:rsidRPr="001A6EE1">
        <w:rPr>
          <w:rFonts w:ascii="Garamond" w:hAnsi="Garamond"/>
          <w:sz w:val="24"/>
          <w:szCs w:val="24"/>
          <w:lang w:val="en-GB"/>
        </w:rPr>
        <w:t xml:space="preserve">”. </w:t>
      </w:r>
      <w:r w:rsidR="00DE24FC" w:rsidRPr="001A6EE1">
        <w:rPr>
          <w:rFonts w:ascii="Garamond" w:hAnsi="Garamond"/>
          <w:sz w:val="24"/>
          <w:szCs w:val="24"/>
          <w:lang w:val="en-GB"/>
        </w:rPr>
        <w:t>The Charter</w:t>
      </w:r>
      <w:r w:rsidR="00F870E0" w:rsidRPr="001A6EE1">
        <w:rPr>
          <w:rFonts w:ascii="Garamond" w:hAnsi="Garamond"/>
          <w:sz w:val="24"/>
          <w:szCs w:val="24"/>
          <w:lang w:val="en-GB"/>
        </w:rPr>
        <w:t xml:space="preserve"> essentially codifies some of the general principles of EU law</w:t>
      </w:r>
      <w:r w:rsidR="00920883">
        <w:rPr>
          <w:rFonts w:ascii="Garamond" w:hAnsi="Garamond"/>
          <w:sz w:val="24"/>
          <w:szCs w:val="24"/>
          <w:lang w:val="en-GB"/>
        </w:rPr>
        <w:t>,</w:t>
      </w:r>
      <w:r w:rsidR="00F870E0" w:rsidRPr="001A6EE1">
        <w:rPr>
          <w:rFonts w:ascii="Garamond" w:hAnsi="Garamond"/>
          <w:sz w:val="24"/>
          <w:szCs w:val="24"/>
          <w:lang w:val="en-GB"/>
        </w:rPr>
        <w:t xml:space="preserve"> which continue to co-exist with the Charter. To some extent, this can also be seen as a “marketing” strategy</w:t>
      </w:r>
      <w:r w:rsidR="00920883">
        <w:rPr>
          <w:rFonts w:ascii="Garamond" w:hAnsi="Garamond"/>
          <w:sz w:val="24"/>
          <w:szCs w:val="24"/>
          <w:lang w:val="en-GB"/>
        </w:rPr>
        <w:t>,</w:t>
      </w:r>
      <w:r w:rsidR="00F870E0" w:rsidRPr="001A6EE1">
        <w:rPr>
          <w:rFonts w:ascii="Garamond" w:hAnsi="Garamond"/>
          <w:sz w:val="24"/>
          <w:szCs w:val="24"/>
          <w:lang w:val="en-GB"/>
        </w:rPr>
        <w:t xml:space="preserve"> the EU wanted to show that it took fundamental rights seriously. </w:t>
      </w:r>
      <w:r w:rsidR="008C4492">
        <w:rPr>
          <w:rFonts w:ascii="Garamond" w:hAnsi="Garamond"/>
          <w:sz w:val="24"/>
          <w:szCs w:val="24"/>
          <w:lang w:val="en-GB"/>
        </w:rPr>
        <w:t>Even so, there are unique elements of the Charter</w:t>
      </w:r>
      <w:r w:rsidR="006B61EE">
        <w:rPr>
          <w:rFonts w:ascii="Garamond" w:hAnsi="Garamond"/>
          <w:sz w:val="24"/>
          <w:szCs w:val="24"/>
          <w:lang w:val="en-GB"/>
        </w:rPr>
        <w:t>:</w:t>
      </w:r>
      <w:r w:rsidR="008C4492">
        <w:rPr>
          <w:rFonts w:ascii="Garamond" w:hAnsi="Garamond"/>
          <w:sz w:val="24"/>
          <w:szCs w:val="24"/>
          <w:lang w:val="en-GB"/>
        </w:rPr>
        <w:t xml:space="preserve"> </w:t>
      </w:r>
      <w:proofErr w:type="spellStart"/>
      <w:r w:rsidR="008C4492">
        <w:rPr>
          <w:rFonts w:ascii="Garamond" w:hAnsi="Garamond"/>
          <w:sz w:val="24"/>
          <w:szCs w:val="24"/>
          <w:lang w:val="en-GB"/>
        </w:rPr>
        <w:t>eg</w:t>
      </w:r>
      <w:proofErr w:type="spellEnd"/>
      <w:r w:rsidR="008C4492">
        <w:rPr>
          <w:rFonts w:ascii="Garamond" w:hAnsi="Garamond"/>
          <w:sz w:val="24"/>
          <w:szCs w:val="24"/>
          <w:lang w:val="en-GB"/>
        </w:rPr>
        <w:t xml:space="preserve">, Title IV: Solidarity is important because it codifies labour rights that are missing from </w:t>
      </w:r>
      <w:r w:rsidR="006B61EE">
        <w:rPr>
          <w:rFonts w:ascii="Garamond" w:hAnsi="Garamond"/>
          <w:sz w:val="24"/>
          <w:szCs w:val="24"/>
          <w:lang w:val="en-GB"/>
        </w:rPr>
        <w:t xml:space="preserve">other international agreements, including from the ECHR.   </w:t>
      </w:r>
    </w:p>
    <w:p w14:paraId="585D52B2" w14:textId="342F3025" w:rsidR="001D2E11" w:rsidRPr="00920883" w:rsidRDefault="001D2E11" w:rsidP="00673466">
      <w:pPr>
        <w:numPr>
          <w:ilvl w:val="0"/>
          <w:numId w:val="17"/>
        </w:numPr>
        <w:spacing w:after="120"/>
        <w:jc w:val="both"/>
        <w:rPr>
          <w:rFonts w:ascii="Garamond" w:hAnsi="Garamond"/>
          <w:sz w:val="24"/>
          <w:szCs w:val="24"/>
          <w:lang w:val="en-GB"/>
        </w:rPr>
      </w:pPr>
      <w:r w:rsidRPr="00920883">
        <w:rPr>
          <w:rFonts w:ascii="Garamond" w:hAnsi="Garamond"/>
          <w:sz w:val="24"/>
          <w:szCs w:val="24"/>
          <w:lang w:val="en-GB"/>
        </w:rPr>
        <w:t>The structure of the Charter is as follows:</w:t>
      </w:r>
    </w:p>
    <w:p w14:paraId="4B6F926D" w14:textId="77777777" w:rsidR="001D2E11" w:rsidRDefault="001D2E11" w:rsidP="00673466">
      <w:pPr>
        <w:spacing w:after="120"/>
        <w:jc w:val="both"/>
        <w:rPr>
          <w:rFonts w:ascii="Garamond" w:hAnsi="Garamond"/>
          <w:sz w:val="24"/>
          <w:szCs w:val="24"/>
          <w:lang w:val="en-GB"/>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3543"/>
      </w:tblGrid>
      <w:tr w:rsidR="001D2E11" w:rsidRPr="00EC033A" w14:paraId="4E72F41C" w14:textId="77777777" w:rsidTr="00604C6D">
        <w:tc>
          <w:tcPr>
            <w:tcW w:w="7229" w:type="dxa"/>
            <w:gridSpan w:val="2"/>
          </w:tcPr>
          <w:p w14:paraId="725BFFD8" w14:textId="77777777" w:rsidR="001D2E11" w:rsidRPr="00EC033A" w:rsidRDefault="001D2E11" w:rsidP="00604C6D">
            <w:pPr>
              <w:tabs>
                <w:tab w:val="left" w:pos="3478"/>
                <w:tab w:val="center" w:pos="3954"/>
              </w:tabs>
              <w:spacing w:after="120"/>
              <w:jc w:val="center"/>
              <w:rPr>
                <w:rFonts w:ascii="Garamond" w:hAnsi="Garamond"/>
                <w:sz w:val="20"/>
                <w:szCs w:val="20"/>
                <w:lang w:val="en-GB"/>
              </w:rPr>
            </w:pPr>
            <w:r w:rsidRPr="00EC033A">
              <w:rPr>
                <w:rFonts w:ascii="Garamond" w:hAnsi="Garamond"/>
                <w:b/>
                <w:sz w:val="20"/>
                <w:szCs w:val="20"/>
                <w:lang w:val="en-GB"/>
              </w:rPr>
              <w:t>Preamble</w:t>
            </w:r>
          </w:p>
        </w:tc>
      </w:tr>
      <w:tr w:rsidR="001D2E11" w:rsidRPr="00EC033A" w14:paraId="3016C30B" w14:textId="77777777" w:rsidTr="00604C6D">
        <w:tc>
          <w:tcPr>
            <w:tcW w:w="3686" w:type="dxa"/>
            <w:shd w:val="clear" w:color="auto" w:fill="D9D9D9"/>
          </w:tcPr>
          <w:p w14:paraId="2B0BACB7" w14:textId="77777777" w:rsidR="001D2E11" w:rsidRPr="00EC033A" w:rsidRDefault="001D2E11" w:rsidP="00604C6D">
            <w:pPr>
              <w:spacing w:after="120"/>
              <w:jc w:val="center"/>
              <w:rPr>
                <w:rFonts w:ascii="Garamond" w:hAnsi="Garamond"/>
                <w:b/>
                <w:sz w:val="20"/>
                <w:szCs w:val="20"/>
                <w:lang w:val="en-GB"/>
              </w:rPr>
            </w:pPr>
            <w:r w:rsidRPr="00EC033A">
              <w:rPr>
                <w:rFonts w:ascii="Garamond" w:hAnsi="Garamond"/>
                <w:b/>
                <w:sz w:val="20"/>
                <w:szCs w:val="20"/>
                <w:lang w:val="en-GB"/>
              </w:rPr>
              <w:t>Title I – Dignity</w:t>
            </w:r>
          </w:p>
        </w:tc>
        <w:tc>
          <w:tcPr>
            <w:tcW w:w="3543" w:type="dxa"/>
            <w:shd w:val="clear" w:color="auto" w:fill="D9D9D9"/>
          </w:tcPr>
          <w:p w14:paraId="79EDBA73" w14:textId="77777777" w:rsidR="001D2E11" w:rsidRPr="00EC033A" w:rsidRDefault="001D2E11" w:rsidP="00604C6D">
            <w:pPr>
              <w:spacing w:after="120"/>
              <w:jc w:val="center"/>
              <w:rPr>
                <w:rFonts w:ascii="Garamond" w:hAnsi="Garamond"/>
                <w:b/>
                <w:sz w:val="20"/>
                <w:szCs w:val="20"/>
                <w:lang w:val="en-GB"/>
              </w:rPr>
            </w:pPr>
            <w:r w:rsidRPr="00EC033A">
              <w:rPr>
                <w:rFonts w:ascii="Garamond" w:hAnsi="Garamond"/>
                <w:b/>
                <w:sz w:val="20"/>
                <w:szCs w:val="20"/>
                <w:lang w:val="en-GB"/>
              </w:rPr>
              <w:t>Title IV – Solidarity</w:t>
            </w:r>
          </w:p>
        </w:tc>
      </w:tr>
      <w:tr w:rsidR="001D2E11" w:rsidRPr="00EC033A" w14:paraId="2E2D05CA" w14:textId="77777777" w:rsidTr="00604C6D">
        <w:tc>
          <w:tcPr>
            <w:tcW w:w="3686" w:type="dxa"/>
            <w:shd w:val="clear" w:color="auto" w:fill="D9D9D9"/>
          </w:tcPr>
          <w:p w14:paraId="74453ACF" w14:textId="77777777" w:rsidR="001D2E11" w:rsidRPr="00EC033A" w:rsidRDefault="001D2E11" w:rsidP="00604C6D">
            <w:pPr>
              <w:spacing w:after="120"/>
              <w:jc w:val="center"/>
              <w:rPr>
                <w:rFonts w:ascii="Garamond" w:hAnsi="Garamond"/>
                <w:b/>
                <w:sz w:val="20"/>
                <w:szCs w:val="20"/>
                <w:lang w:val="en-GB"/>
              </w:rPr>
            </w:pPr>
            <w:r w:rsidRPr="00EC033A">
              <w:rPr>
                <w:rFonts w:ascii="Garamond" w:hAnsi="Garamond"/>
                <w:b/>
                <w:sz w:val="20"/>
                <w:szCs w:val="20"/>
                <w:lang w:val="en-GB"/>
              </w:rPr>
              <w:t>Title II – Freedoms</w:t>
            </w:r>
          </w:p>
        </w:tc>
        <w:tc>
          <w:tcPr>
            <w:tcW w:w="3543" w:type="dxa"/>
            <w:shd w:val="clear" w:color="auto" w:fill="D9D9D9"/>
          </w:tcPr>
          <w:p w14:paraId="1EEE11C9" w14:textId="77777777" w:rsidR="001D2E11" w:rsidRPr="00EC033A" w:rsidRDefault="001D2E11" w:rsidP="00604C6D">
            <w:pPr>
              <w:spacing w:after="120"/>
              <w:jc w:val="center"/>
              <w:rPr>
                <w:rFonts w:ascii="Garamond" w:hAnsi="Garamond"/>
                <w:b/>
                <w:sz w:val="20"/>
                <w:szCs w:val="20"/>
                <w:lang w:val="en-GB"/>
              </w:rPr>
            </w:pPr>
            <w:r w:rsidRPr="00EC033A">
              <w:rPr>
                <w:rFonts w:ascii="Garamond" w:hAnsi="Garamond"/>
                <w:b/>
                <w:sz w:val="20"/>
                <w:szCs w:val="20"/>
                <w:lang w:val="en-GB"/>
              </w:rPr>
              <w:t>Title V – Citizens’ Rights</w:t>
            </w:r>
          </w:p>
        </w:tc>
      </w:tr>
      <w:tr w:rsidR="001D2E11" w:rsidRPr="00EC033A" w14:paraId="0360C21E" w14:textId="77777777" w:rsidTr="00604C6D">
        <w:tc>
          <w:tcPr>
            <w:tcW w:w="3686" w:type="dxa"/>
            <w:shd w:val="clear" w:color="auto" w:fill="D9D9D9"/>
          </w:tcPr>
          <w:p w14:paraId="1043F1F3" w14:textId="77777777" w:rsidR="001D2E11" w:rsidRPr="00EC033A" w:rsidRDefault="001D2E11" w:rsidP="00604C6D">
            <w:pPr>
              <w:spacing w:after="120"/>
              <w:jc w:val="center"/>
              <w:rPr>
                <w:rFonts w:ascii="Garamond" w:hAnsi="Garamond"/>
                <w:b/>
                <w:sz w:val="20"/>
                <w:szCs w:val="20"/>
                <w:lang w:val="en-GB"/>
              </w:rPr>
            </w:pPr>
            <w:r w:rsidRPr="00EC033A">
              <w:rPr>
                <w:rFonts w:ascii="Garamond" w:hAnsi="Garamond"/>
                <w:b/>
                <w:sz w:val="20"/>
                <w:szCs w:val="20"/>
                <w:lang w:val="en-GB"/>
              </w:rPr>
              <w:t>Title III – Equality</w:t>
            </w:r>
          </w:p>
        </w:tc>
        <w:tc>
          <w:tcPr>
            <w:tcW w:w="3543" w:type="dxa"/>
            <w:shd w:val="clear" w:color="auto" w:fill="D9D9D9"/>
          </w:tcPr>
          <w:p w14:paraId="19A5A968" w14:textId="77777777" w:rsidR="001D2E11" w:rsidRPr="00EC033A" w:rsidRDefault="001D2E11" w:rsidP="00604C6D">
            <w:pPr>
              <w:spacing w:after="120"/>
              <w:jc w:val="center"/>
              <w:rPr>
                <w:rFonts w:ascii="Garamond" w:hAnsi="Garamond"/>
                <w:b/>
                <w:sz w:val="20"/>
                <w:szCs w:val="20"/>
                <w:lang w:val="en-GB"/>
              </w:rPr>
            </w:pPr>
            <w:r w:rsidRPr="00EC033A">
              <w:rPr>
                <w:rFonts w:ascii="Garamond" w:hAnsi="Garamond"/>
                <w:b/>
                <w:sz w:val="20"/>
                <w:szCs w:val="20"/>
                <w:lang w:val="en-GB"/>
              </w:rPr>
              <w:t>Title VI – Justice</w:t>
            </w:r>
          </w:p>
        </w:tc>
      </w:tr>
      <w:tr w:rsidR="001D2E11" w:rsidRPr="00EC033A" w14:paraId="169E95A0" w14:textId="77777777" w:rsidTr="00604C6D">
        <w:tc>
          <w:tcPr>
            <w:tcW w:w="7229" w:type="dxa"/>
            <w:gridSpan w:val="2"/>
          </w:tcPr>
          <w:p w14:paraId="3203A961" w14:textId="77777777" w:rsidR="001D2E11" w:rsidRPr="00EC033A" w:rsidRDefault="001D2E11" w:rsidP="00604C6D">
            <w:pPr>
              <w:spacing w:before="120" w:after="120"/>
              <w:jc w:val="center"/>
              <w:rPr>
                <w:rFonts w:ascii="Garamond" w:hAnsi="Garamond"/>
                <w:b/>
                <w:sz w:val="20"/>
                <w:szCs w:val="20"/>
                <w:lang w:val="en-GB"/>
              </w:rPr>
            </w:pPr>
            <w:r w:rsidRPr="00EC033A">
              <w:rPr>
                <w:rFonts w:ascii="Garamond" w:hAnsi="Garamond"/>
                <w:b/>
                <w:sz w:val="20"/>
                <w:szCs w:val="20"/>
                <w:lang w:val="en-GB"/>
              </w:rPr>
              <w:t>Title VII – General Provisions</w:t>
            </w:r>
          </w:p>
          <w:p w14:paraId="5185B5B8" w14:textId="77777777" w:rsidR="001D2E11" w:rsidRPr="00EC033A" w:rsidRDefault="001D2E11" w:rsidP="00604C6D">
            <w:pPr>
              <w:spacing w:after="120"/>
              <w:jc w:val="center"/>
              <w:rPr>
                <w:rFonts w:ascii="Garamond" w:hAnsi="Garamond"/>
                <w:sz w:val="20"/>
                <w:szCs w:val="20"/>
                <w:lang w:val="en-GB"/>
              </w:rPr>
            </w:pPr>
            <w:r w:rsidRPr="00EC033A">
              <w:rPr>
                <w:rFonts w:ascii="Garamond" w:hAnsi="Garamond"/>
                <w:sz w:val="20"/>
                <w:szCs w:val="20"/>
                <w:lang w:val="en-GB"/>
              </w:rPr>
              <w:t>Article 51 – Field of Application</w:t>
            </w:r>
          </w:p>
          <w:p w14:paraId="119938A0" w14:textId="77777777" w:rsidR="001D2E11" w:rsidRPr="00EC033A" w:rsidRDefault="001D2E11" w:rsidP="00604C6D">
            <w:pPr>
              <w:spacing w:after="120"/>
              <w:jc w:val="center"/>
              <w:rPr>
                <w:rFonts w:ascii="Garamond" w:hAnsi="Garamond"/>
                <w:sz w:val="20"/>
                <w:szCs w:val="20"/>
                <w:lang w:val="en-GB"/>
              </w:rPr>
            </w:pPr>
            <w:r w:rsidRPr="00EC033A">
              <w:rPr>
                <w:rFonts w:ascii="Garamond" w:hAnsi="Garamond"/>
                <w:sz w:val="20"/>
                <w:szCs w:val="20"/>
                <w:lang w:val="en-GB"/>
              </w:rPr>
              <w:t>Article 52 – Scope and Interpretation of Rights and Principles</w:t>
            </w:r>
          </w:p>
          <w:p w14:paraId="3E1E115D" w14:textId="77777777" w:rsidR="001D2E11" w:rsidRPr="00EC033A" w:rsidRDefault="001D2E11" w:rsidP="00604C6D">
            <w:pPr>
              <w:spacing w:after="120"/>
              <w:jc w:val="center"/>
              <w:rPr>
                <w:rFonts w:ascii="Garamond" w:hAnsi="Garamond"/>
                <w:sz w:val="20"/>
                <w:szCs w:val="20"/>
                <w:lang w:val="en-GB"/>
              </w:rPr>
            </w:pPr>
            <w:r w:rsidRPr="00EC033A">
              <w:rPr>
                <w:rFonts w:ascii="Garamond" w:hAnsi="Garamond"/>
                <w:sz w:val="20"/>
                <w:szCs w:val="20"/>
                <w:lang w:val="en-GB"/>
              </w:rPr>
              <w:t>Article 53 – Level of Protection</w:t>
            </w:r>
          </w:p>
          <w:p w14:paraId="228D0251" w14:textId="77777777" w:rsidR="001D2E11" w:rsidRPr="00EC033A" w:rsidRDefault="001D2E11" w:rsidP="00604C6D">
            <w:pPr>
              <w:spacing w:after="240"/>
              <w:jc w:val="center"/>
              <w:rPr>
                <w:rFonts w:ascii="Garamond" w:hAnsi="Garamond"/>
                <w:sz w:val="20"/>
                <w:szCs w:val="20"/>
                <w:lang w:val="en-GB"/>
              </w:rPr>
            </w:pPr>
            <w:r w:rsidRPr="00EC033A">
              <w:rPr>
                <w:rFonts w:ascii="Garamond" w:hAnsi="Garamond"/>
                <w:sz w:val="20"/>
                <w:szCs w:val="20"/>
                <w:lang w:val="en-GB"/>
              </w:rPr>
              <w:t>Article 54 – Prohibition of Abuse of Rights</w:t>
            </w:r>
          </w:p>
        </w:tc>
      </w:tr>
      <w:tr w:rsidR="001D2E11" w:rsidRPr="00EC033A" w14:paraId="6BFBEC5B" w14:textId="77777777" w:rsidTr="00604C6D">
        <w:tc>
          <w:tcPr>
            <w:tcW w:w="7229" w:type="dxa"/>
            <w:gridSpan w:val="2"/>
            <w:shd w:val="clear" w:color="auto" w:fill="E0E0E0"/>
          </w:tcPr>
          <w:p w14:paraId="5CDED771" w14:textId="77777777" w:rsidR="001D2E11" w:rsidRPr="00EC033A" w:rsidRDefault="001D2E11" w:rsidP="00604C6D">
            <w:pPr>
              <w:spacing w:after="120"/>
              <w:jc w:val="center"/>
              <w:rPr>
                <w:rFonts w:ascii="Garamond" w:hAnsi="Garamond"/>
                <w:b/>
                <w:sz w:val="20"/>
                <w:szCs w:val="20"/>
                <w:lang w:val="en-GB"/>
              </w:rPr>
            </w:pPr>
            <w:r>
              <w:rPr>
                <w:rFonts w:ascii="Garamond" w:hAnsi="Garamond"/>
                <w:b/>
                <w:sz w:val="20"/>
                <w:szCs w:val="20"/>
                <w:lang w:val="en-GB"/>
              </w:rPr>
              <w:t>Protocol No.30 on Poland &amp; the United Kingdom</w:t>
            </w:r>
          </w:p>
        </w:tc>
      </w:tr>
      <w:tr w:rsidR="001D2E11" w:rsidRPr="00EC033A" w14:paraId="3E0A8C9C" w14:textId="77777777" w:rsidTr="00604C6D">
        <w:tc>
          <w:tcPr>
            <w:tcW w:w="7229" w:type="dxa"/>
            <w:gridSpan w:val="2"/>
            <w:shd w:val="clear" w:color="auto" w:fill="FFFFFF"/>
          </w:tcPr>
          <w:p w14:paraId="3AA744E3" w14:textId="77777777" w:rsidR="001D2E11" w:rsidRPr="00EC033A" w:rsidRDefault="001D2E11" w:rsidP="00604C6D">
            <w:pPr>
              <w:spacing w:after="120"/>
              <w:jc w:val="center"/>
              <w:rPr>
                <w:rFonts w:ascii="Garamond" w:hAnsi="Garamond"/>
                <w:b/>
                <w:sz w:val="20"/>
                <w:szCs w:val="20"/>
                <w:lang w:val="en-GB"/>
              </w:rPr>
            </w:pPr>
            <w:r w:rsidRPr="00C015CC">
              <w:rPr>
                <w:rFonts w:ascii="Garamond" w:hAnsi="Garamond"/>
                <w:sz w:val="20"/>
                <w:szCs w:val="20"/>
                <w:lang w:val="en-GB"/>
              </w:rPr>
              <w:t>Explanations</w:t>
            </w:r>
          </w:p>
        </w:tc>
      </w:tr>
    </w:tbl>
    <w:p w14:paraId="0C8556B4" w14:textId="77777777" w:rsidR="001D2E11" w:rsidRDefault="001D2E11" w:rsidP="00673466">
      <w:pPr>
        <w:spacing w:after="120"/>
        <w:jc w:val="both"/>
        <w:rPr>
          <w:rFonts w:ascii="Garamond" w:hAnsi="Garamond"/>
          <w:sz w:val="24"/>
          <w:szCs w:val="24"/>
          <w:lang w:val="en-GB"/>
        </w:rPr>
      </w:pPr>
    </w:p>
    <w:p w14:paraId="3EE63D03" w14:textId="77777777" w:rsidR="00D93450" w:rsidRDefault="00D93450" w:rsidP="00673466">
      <w:pPr>
        <w:spacing w:after="120"/>
        <w:jc w:val="both"/>
        <w:rPr>
          <w:rFonts w:ascii="Garamond" w:hAnsi="Garamond"/>
          <w:sz w:val="24"/>
          <w:szCs w:val="24"/>
          <w:lang w:val="en-GB"/>
        </w:rPr>
      </w:pPr>
    </w:p>
    <w:tbl>
      <w:tblPr>
        <w:tblStyle w:val="TableGrid"/>
        <w:tblW w:w="0" w:type="auto"/>
        <w:shd w:val="clear" w:color="auto" w:fill="C6D9F1" w:themeFill="text2" w:themeFillTint="33"/>
        <w:tblLook w:val="04A0" w:firstRow="1" w:lastRow="0" w:firstColumn="1" w:lastColumn="0" w:noHBand="0" w:noVBand="1"/>
      </w:tblPr>
      <w:tblGrid>
        <w:gridCol w:w="9242"/>
      </w:tblGrid>
      <w:tr w:rsidR="00A1130E" w:rsidRPr="00A1130E" w14:paraId="6E97D393" w14:textId="77777777" w:rsidTr="00A1130E">
        <w:tc>
          <w:tcPr>
            <w:tcW w:w="9242" w:type="dxa"/>
            <w:shd w:val="clear" w:color="auto" w:fill="C6D9F1" w:themeFill="text2" w:themeFillTint="33"/>
          </w:tcPr>
          <w:p w14:paraId="4CC53ADE" w14:textId="69331518" w:rsidR="001F3873" w:rsidRDefault="001F3873" w:rsidP="00604C6D">
            <w:pPr>
              <w:spacing w:after="120"/>
              <w:jc w:val="both"/>
              <w:rPr>
                <w:rFonts w:ascii="Garamond" w:hAnsi="Garamond"/>
                <w:b/>
                <w:sz w:val="24"/>
                <w:szCs w:val="24"/>
                <w:lang w:val="en-GB"/>
              </w:rPr>
            </w:pPr>
          </w:p>
          <w:p w14:paraId="76424621" w14:textId="0001A5BF" w:rsidR="00F870E0" w:rsidRDefault="00AB1576" w:rsidP="00AB03D7">
            <w:pPr>
              <w:spacing w:after="120" w:line="276" w:lineRule="auto"/>
              <w:jc w:val="both"/>
              <w:rPr>
                <w:rFonts w:ascii="Garamond" w:hAnsi="Garamond"/>
                <w:b/>
                <w:sz w:val="24"/>
                <w:szCs w:val="24"/>
                <w:lang w:val="en-GB"/>
              </w:rPr>
            </w:pPr>
            <w:r>
              <w:rPr>
                <w:rFonts w:ascii="Garamond" w:hAnsi="Garamond"/>
                <w:b/>
                <w:sz w:val="24"/>
                <w:szCs w:val="24"/>
                <w:lang w:val="en-GB"/>
              </w:rPr>
              <w:t xml:space="preserve">4.1 </w:t>
            </w:r>
            <w:r w:rsidR="00F870E0">
              <w:rPr>
                <w:rFonts w:ascii="Garamond" w:hAnsi="Garamond"/>
                <w:b/>
                <w:sz w:val="24"/>
                <w:szCs w:val="24"/>
                <w:lang w:val="en-GB"/>
              </w:rPr>
              <w:t>Relationship between the Charter and other sources</w:t>
            </w:r>
          </w:p>
          <w:p w14:paraId="392B26DC" w14:textId="77777777" w:rsidR="00CF14EB" w:rsidRDefault="00CF14EB" w:rsidP="00AB03D7">
            <w:pPr>
              <w:spacing w:after="120" w:line="276" w:lineRule="auto"/>
              <w:jc w:val="both"/>
              <w:rPr>
                <w:rFonts w:ascii="Garamond" w:hAnsi="Garamond"/>
                <w:b/>
                <w:sz w:val="24"/>
                <w:szCs w:val="24"/>
                <w:lang w:val="en-GB"/>
              </w:rPr>
            </w:pPr>
          </w:p>
          <w:p w14:paraId="1D1F1F42" w14:textId="02816323" w:rsidR="00F870E0" w:rsidRPr="003466F9" w:rsidRDefault="00F870E0" w:rsidP="00AB03D7">
            <w:pPr>
              <w:spacing w:after="120" w:line="276" w:lineRule="auto"/>
              <w:jc w:val="both"/>
              <w:rPr>
                <w:rFonts w:ascii="Garamond" w:hAnsi="Garamond"/>
                <w:b/>
                <w:sz w:val="24"/>
                <w:szCs w:val="24"/>
                <w:u w:val="single"/>
                <w:lang w:val="en-GB"/>
              </w:rPr>
            </w:pPr>
            <w:r w:rsidRPr="003466F9">
              <w:rPr>
                <w:rFonts w:ascii="Garamond" w:hAnsi="Garamond"/>
                <w:b/>
                <w:sz w:val="24"/>
                <w:szCs w:val="24"/>
                <w:u w:val="single"/>
                <w:lang w:val="en-GB"/>
              </w:rPr>
              <w:t>Charter &amp; General Principles</w:t>
            </w:r>
          </w:p>
          <w:p w14:paraId="6B1962F7" w14:textId="2FC45D0B" w:rsidR="00D93450" w:rsidRPr="00920883" w:rsidRDefault="00D93450" w:rsidP="00AB03D7">
            <w:pPr>
              <w:numPr>
                <w:ilvl w:val="0"/>
                <w:numId w:val="17"/>
              </w:numPr>
              <w:spacing w:after="120"/>
              <w:jc w:val="both"/>
              <w:rPr>
                <w:rFonts w:ascii="Garamond" w:hAnsi="Garamond"/>
                <w:sz w:val="24"/>
                <w:szCs w:val="24"/>
                <w:lang w:val="en-GB"/>
              </w:rPr>
            </w:pPr>
            <w:r w:rsidRPr="00920883">
              <w:rPr>
                <w:rFonts w:ascii="Garamond" w:hAnsi="Garamond"/>
                <w:sz w:val="24"/>
                <w:szCs w:val="24"/>
                <w:lang w:val="en-GB"/>
              </w:rPr>
              <w:t xml:space="preserve">Although not directly clear from reading the provisions of the Charter, the Charter makes a distinction between </w:t>
            </w:r>
            <w:r w:rsidRPr="00920883">
              <w:rPr>
                <w:rFonts w:ascii="Garamond" w:hAnsi="Garamond"/>
                <w:b/>
                <w:sz w:val="24"/>
                <w:szCs w:val="24"/>
                <w:lang w:val="en-GB"/>
              </w:rPr>
              <w:t>rights and principles</w:t>
            </w:r>
            <w:r w:rsidRPr="00920883">
              <w:rPr>
                <w:rFonts w:ascii="Garamond" w:hAnsi="Garamond"/>
                <w:sz w:val="24"/>
                <w:szCs w:val="24"/>
                <w:lang w:val="en-GB"/>
              </w:rPr>
              <w:t xml:space="preserve">. Rights are precisely formulated and can be relied </w:t>
            </w:r>
            <w:r w:rsidR="001F5EA4" w:rsidRPr="00920883">
              <w:rPr>
                <w:rFonts w:ascii="Garamond" w:hAnsi="Garamond"/>
                <w:sz w:val="24"/>
                <w:szCs w:val="24"/>
                <w:lang w:val="en-GB"/>
              </w:rPr>
              <w:t>on</w:t>
            </w:r>
            <w:r w:rsidRPr="00920883">
              <w:rPr>
                <w:rFonts w:ascii="Garamond" w:hAnsi="Garamond"/>
                <w:sz w:val="24"/>
                <w:szCs w:val="24"/>
                <w:lang w:val="en-GB"/>
              </w:rPr>
              <w:t xml:space="preserve"> by individuals before their national courts or before the Court of Justice. Principles are more generally defined and cannot be directly relied </w:t>
            </w:r>
            <w:r w:rsidR="00222209">
              <w:rPr>
                <w:rFonts w:ascii="Garamond" w:hAnsi="Garamond"/>
                <w:sz w:val="24"/>
                <w:szCs w:val="24"/>
                <w:lang w:val="en-GB"/>
              </w:rPr>
              <w:t>upon</w:t>
            </w:r>
            <w:r w:rsidRPr="00920883">
              <w:rPr>
                <w:rFonts w:ascii="Garamond" w:hAnsi="Garamond"/>
                <w:sz w:val="24"/>
                <w:szCs w:val="24"/>
                <w:lang w:val="en-GB"/>
              </w:rPr>
              <w:t xml:space="preserve"> by individuals. </w:t>
            </w:r>
            <w:r w:rsidR="001F5EA4" w:rsidRPr="00920883">
              <w:rPr>
                <w:rFonts w:ascii="Garamond" w:hAnsi="Garamond"/>
                <w:sz w:val="24"/>
                <w:szCs w:val="24"/>
              </w:rPr>
              <w:t xml:space="preserve">This was confirmed by the Court of Justice in </w:t>
            </w:r>
            <w:r w:rsidR="001F5EA4" w:rsidRPr="00920883">
              <w:rPr>
                <w:rFonts w:ascii="Garamond" w:hAnsi="Garamond"/>
                <w:i/>
                <w:sz w:val="24"/>
                <w:szCs w:val="24"/>
              </w:rPr>
              <w:t xml:space="preserve">Association de </w:t>
            </w:r>
            <w:proofErr w:type="spellStart"/>
            <w:r w:rsidR="001F5EA4" w:rsidRPr="00920883">
              <w:rPr>
                <w:rFonts w:ascii="Garamond" w:hAnsi="Garamond"/>
                <w:i/>
                <w:sz w:val="24"/>
                <w:szCs w:val="24"/>
              </w:rPr>
              <w:t>Médiation</w:t>
            </w:r>
            <w:proofErr w:type="spellEnd"/>
            <w:r w:rsidR="001F5EA4" w:rsidRPr="00920883">
              <w:rPr>
                <w:rFonts w:ascii="Garamond" w:hAnsi="Garamond"/>
                <w:i/>
                <w:sz w:val="24"/>
                <w:szCs w:val="24"/>
              </w:rPr>
              <w:t xml:space="preserve"> </w:t>
            </w:r>
            <w:proofErr w:type="spellStart"/>
            <w:r w:rsidR="001F5EA4" w:rsidRPr="00920883">
              <w:rPr>
                <w:rFonts w:ascii="Garamond" w:hAnsi="Garamond"/>
                <w:i/>
                <w:sz w:val="24"/>
                <w:szCs w:val="24"/>
              </w:rPr>
              <w:t>Sociale</w:t>
            </w:r>
            <w:proofErr w:type="spellEnd"/>
            <w:r w:rsidR="001F5EA4" w:rsidRPr="00920883">
              <w:rPr>
                <w:rFonts w:ascii="Garamond" w:hAnsi="Garamond"/>
                <w:sz w:val="24"/>
                <w:szCs w:val="24"/>
              </w:rPr>
              <w:t xml:space="preserve"> (C-176/12). </w:t>
            </w:r>
            <w:r w:rsidRPr="00920883">
              <w:rPr>
                <w:rFonts w:ascii="Garamond" w:hAnsi="Garamond"/>
                <w:sz w:val="24"/>
                <w:szCs w:val="24"/>
                <w:lang w:val="en-GB"/>
              </w:rPr>
              <w:t>Interestingly, this means that principles in the Charter do not have horizontal direct effect</w:t>
            </w:r>
            <w:r w:rsidR="006114EC" w:rsidRPr="00920883">
              <w:rPr>
                <w:rFonts w:ascii="Garamond" w:hAnsi="Garamond"/>
                <w:sz w:val="24"/>
                <w:szCs w:val="24"/>
                <w:lang w:val="en-GB"/>
              </w:rPr>
              <w:t>, while general principles of EU law can apply horizontally</w:t>
            </w:r>
            <w:r w:rsidR="003E7216" w:rsidRPr="00920883">
              <w:rPr>
                <w:rFonts w:ascii="Garamond" w:hAnsi="Garamond"/>
                <w:sz w:val="24"/>
                <w:szCs w:val="24"/>
                <w:lang w:val="en-GB"/>
              </w:rPr>
              <w:t xml:space="preserve"> between individuals</w:t>
            </w:r>
            <w:r w:rsidR="006114EC" w:rsidRPr="00920883">
              <w:rPr>
                <w:rFonts w:ascii="Garamond" w:hAnsi="Garamond"/>
                <w:sz w:val="24"/>
                <w:szCs w:val="24"/>
                <w:lang w:val="en-GB"/>
              </w:rPr>
              <w:t xml:space="preserve"> (</w:t>
            </w:r>
            <w:r w:rsidR="006114EC" w:rsidRPr="00920883">
              <w:rPr>
                <w:rFonts w:ascii="Garamond" w:hAnsi="Garamond"/>
                <w:i/>
                <w:sz w:val="24"/>
                <w:szCs w:val="24"/>
                <w:lang w:val="en-GB"/>
              </w:rPr>
              <w:t>Mangold</w:t>
            </w:r>
            <w:r w:rsidR="006114EC" w:rsidRPr="00920883">
              <w:rPr>
                <w:rFonts w:ascii="Garamond" w:hAnsi="Garamond"/>
                <w:sz w:val="24"/>
                <w:szCs w:val="24"/>
                <w:lang w:val="en-GB"/>
              </w:rPr>
              <w:t>). Thus, although a litigant</w:t>
            </w:r>
            <w:r w:rsidR="003E7216" w:rsidRPr="00920883">
              <w:rPr>
                <w:rFonts w:ascii="Garamond" w:hAnsi="Garamond"/>
                <w:sz w:val="24"/>
                <w:szCs w:val="24"/>
                <w:lang w:val="en-GB"/>
              </w:rPr>
              <w:t xml:space="preserve"> </w:t>
            </w:r>
            <w:r w:rsidR="00920883">
              <w:rPr>
                <w:rFonts w:ascii="Garamond" w:hAnsi="Garamond"/>
                <w:sz w:val="24"/>
                <w:szCs w:val="24"/>
                <w:lang w:val="en-GB"/>
              </w:rPr>
              <w:t>would</w:t>
            </w:r>
            <w:r w:rsidR="003E7216" w:rsidRPr="00920883">
              <w:rPr>
                <w:rFonts w:ascii="Garamond" w:hAnsi="Garamond"/>
                <w:sz w:val="24"/>
                <w:szCs w:val="24"/>
                <w:lang w:val="en-GB"/>
              </w:rPr>
              <w:t xml:space="preserve"> primarily rely </w:t>
            </w:r>
            <w:r w:rsidR="006114EC" w:rsidRPr="00920883">
              <w:rPr>
                <w:rFonts w:ascii="Garamond" w:hAnsi="Garamond"/>
                <w:sz w:val="24"/>
                <w:szCs w:val="24"/>
                <w:lang w:val="en-GB"/>
              </w:rPr>
              <w:t xml:space="preserve">on the Charter, general principles remain relevant. </w:t>
            </w:r>
          </w:p>
          <w:p w14:paraId="0AD65ABD" w14:textId="77777777" w:rsidR="001A7E8D" w:rsidRDefault="001A7E8D" w:rsidP="00AB03D7">
            <w:pPr>
              <w:spacing w:after="120" w:line="276" w:lineRule="auto"/>
              <w:jc w:val="both"/>
              <w:rPr>
                <w:rFonts w:ascii="Garamond" w:hAnsi="Garamond"/>
                <w:sz w:val="24"/>
                <w:szCs w:val="24"/>
                <w:lang w:val="en-GB"/>
              </w:rPr>
            </w:pPr>
          </w:p>
          <w:p w14:paraId="350AD03D" w14:textId="7E9609BE" w:rsidR="00D8700C" w:rsidRPr="003466F9" w:rsidRDefault="00D8700C" w:rsidP="00AB03D7">
            <w:pPr>
              <w:spacing w:after="120" w:line="276" w:lineRule="auto"/>
              <w:jc w:val="both"/>
              <w:rPr>
                <w:rFonts w:ascii="Garamond" w:hAnsi="Garamond" w:cs="Helvetica"/>
                <w:b/>
                <w:color w:val="141215"/>
                <w:sz w:val="24"/>
                <w:szCs w:val="24"/>
                <w:u w:val="single"/>
              </w:rPr>
            </w:pPr>
            <w:r w:rsidRPr="003466F9">
              <w:rPr>
                <w:rFonts w:ascii="Garamond" w:hAnsi="Garamond" w:cs="Helvetica"/>
                <w:b/>
                <w:color w:val="141215"/>
                <w:sz w:val="24"/>
                <w:szCs w:val="24"/>
                <w:u w:val="single"/>
              </w:rPr>
              <w:t>Charter &amp; National Constitutions</w:t>
            </w:r>
            <w:r w:rsidR="00B73A73" w:rsidRPr="003466F9">
              <w:rPr>
                <w:rFonts w:ascii="Garamond" w:hAnsi="Garamond" w:cs="Helvetica"/>
                <w:b/>
                <w:color w:val="141215"/>
                <w:sz w:val="24"/>
                <w:szCs w:val="24"/>
                <w:u w:val="single"/>
              </w:rPr>
              <w:t xml:space="preserve"> </w:t>
            </w:r>
          </w:p>
          <w:p w14:paraId="338B844C" w14:textId="590D31DD" w:rsidR="001B2C4D" w:rsidRPr="00572C88" w:rsidRDefault="00D8700C" w:rsidP="00572C88">
            <w:pPr>
              <w:numPr>
                <w:ilvl w:val="0"/>
                <w:numId w:val="17"/>
              </w:numPr>
              <w:spacing w:after="120"/>
              <w:jc w:val="both"/>
              <w:rPr>
                <w:rFonts w:ascii="Garamond" w:hAnsi="Garamond"/>
                <w:sz w:val="24"/>
                <w:szCs w:val="24"/>
                <w:lang w:val="en-GB"/>
              </w:rPr>
            </w:pPr>
            <w:r w:rsidRPr="00D6539F">
              <w:rPr>
                <w:rFonts w:ascii="Garamond" w:hAnsi="Garamond"/>
                <w:sz w:val="24"/>
                <w:szCs w:val="24"/>
              </w:rPr>
              <w:t xml:space="preserve">Article 53 </w:t>
            </w:r>
            <w:r w:rsidR="001B2C4D">
              <w:rPr>
                <w:rFonts w:ascii="Garamond" w:hAnsi="Garamond"/>
                <w:sz w:val="24"/>
                <w:szCs w:val="24"/>
              </w:rPr>
              <w:t xml:space="preserve">of the Charter </w:t>
            </w:r>
            <w:r w:rsidRPr="00D6539F">
              <w:rPr>
                <w:rFonts w:ascii="Garamond" w:hAnsi="Garamond"/>
                <w:sz w:val="24"/>
                <w:szCs w:val="24"/>
              </w:rPr>
              <w:t xml:space="preserve">provides that the Charter shall not be interpreted in such a way as to restrict or adversely affect human rights and fundamental freedoms </w:t>
            </w:r>
            <w:proofErr w:type="spellStart"/>
            <w:r w:rsidRPr="00D6539F">
              <w:rPr>
                <w:rFonts w:ascii="Garamond" w:hAnsi="Garamond"/>
                <w:sz w:val="24"/>
                <w:szCs w:val="24"/>
              </w:rPr>
              <w:t>recognised</w:t>
            </w:r>
            <w:proofErr w:type="spellEnd"/>
            <w:r w:rsidRPr="00D6539F">
              <w:rPr>
                <w:rFonts w:ascii="Garamond" w:hAnsi="Garamond"/>
                <w:sz w:val="24"/>
                <w:szCs w:val="24"/>
              </w:rPr>
              <w:t xml:space="preserve"> by the Member States</w:t>
            </w:r>
            <w:r w:rsidR="001B2C4D">
              <w:rPr>
                <w:rFonts w:ascii="Garamond" w:hAnsi="Garamond"/>
                <w:sz w:val="24"/>
                <w:szCs w:val="24"/>
              </w:rPr>
              <w:t>’</w:t>
            </w:r>
            <w:r w:rsidRPr="00D6539F">
              <w:rPr>
                <w:rFonts w:ascii="Garamond" w:hAnsi="Garamond"/>
                <w:sz w:val="24"/>
                <w:szCs w:val="24"/>
              </w:rPr>
              <w:t xml:space="preserve"> constitutions.</w:t>
            </w:r>
            <w:r w:rsidR="00572C88">
              <w:rPr>
                <w:rFonts w:ascii="Garamond" w:hAnsi="Garamond"/>
                <w:sz w:val="24"/>
                <w:szCs w:val="24"/>
              </w:rPr>
              <w:t xml:space="preserve"> This is a curious provision because we already know that EU law prevails over domestic constitutional law (primacy). What happens if the EU law standard of protection is lower than the domestic standard? Can Article 53 be interpreted as an exception to the absolute primacy of EU law? </w:t>
            </w:r>
            <w:r w:rsidR="00572C88" w:rsidRPr="00572C88">
              <w:rPr>
                <w:rFonts w:ascii="Garamond" w:hAnsi="Garamond"/>
                <w:sz w:val="24"/>
                <w:szCs w:val="24"/>
              </w:rPr>
              <w:t xml:space="preserve">The answer is no. </w:t>
            </w:r>
            <w:r w:rsidR="001B2C4D" w:rsidRPr="00572C88">
              <w:rPr>
                <w:rFonts w:ascii="Garamond" w:hAnsi="Garamond"/>
                <w:sz w:val="24"/>
                <w:szCs w:val="24"/>
              </w:rPr>
              <w:t xml:space="preserve">When the CJEU applies Article 53 of the Charter, it </w:t>
            </w:r>
            <w:proofErr w:type="gramStart"/>
            <w:r w:rsidR="001B2C4D" w:rsidRPr="00572C88">
              <w:rPr>
                <w:rFonts w:ascii="Garamond" w:hAnsi="Garamond"/>
                <w:sz w:val="24"/>
                <w:szCs w:val="24"/>
              </w:rPr>
              <w:t>takes into account</w:t>
            </w:r>
            <w:proofErr w:type="gramEnd"/>
            <w:r w:rsidR="001B2C4D" w:rsidRPr="00572C88">
              <w:rPr>
                <w:rFonts w:ascii="Garamond" w:hAnsi="Garamond"/>
                <w:sz w:val="24"/>
                <w:szCs w:val="24"/>
              </w:rPr>
              <w:t xml:space="preserve"> </w:t>
            </w:r>
            <w:r w:rsidR="001B2C4D" w:rsidRPr="0001319C">
              <w:rPr>
                <w:rFonts w:ascii="Garamond" w:hAnsi="Garamond"/>
                <w:bCs/>
                <w:sz w:val="24"/>
                <w:szCs w:val="24"/>
              </w:rPr>
              <w:t>how much discretion EU law leaves to the Member States in that particular situation.</w:t>
            </w:r>
            <w:r w:rsidR="001B2C4D" w:rsidRPr="00572C88">
              <w:rPr>
                <w:rFonts w:ascii="Garamond" w:hAnsi="Garamond"/>
                <w:sz w:val="24"/>
                <w:szCs w:val="24"/>
              </w:rPr>
              <w:t xml:space="preserve"> If EU</w:t>
            </w:r>
            <w:r w:rsidR="00222209">
              <w:rPr>
                <w:rFonts w:ascii="Garamond" w:hAnsi="Garamond"/>
                <w:sz w:val="24"/>
                <w:szCs w:val="24"/>
              </w:rPr>
              <w:t xml:space="preserve"> law</w:t>
            </w:r>
            <w:r w:rsidR="001B2C4D" w:rsidRPr="00572C88">
              <w:rPr>
                <w:rFonts w:ascii="Garamond" w:hAnsi="Garamond"/>
                <w:sz w:val="24"/>
                <w:szCs w:val="24"/>
              </w:rPr>
              <w:t xml:space="preserve"> completely determines the actions of the Member States, the Charter must be applied instead of national fundamental rights</w:t>
            </w:r>
            <w:r w:rsidR="00572C88">
              <w:rPr>
                <w:rFonts w:ascii="Garamond" w:hAnsi="Garamond"/>
                <w:sz w:val="24"/>
                <w:szCs w:val="24"/>
              </w:rPr>
              <w:t>,</w:t>
            </w:r>
            <w:r w:rsidR="001B2C4D" w:rsidRPr="00572C88">
              <w:rPr>
                <w:rFonts w:ascii="Garamond" w:hAnsi="Garamond"/>
                <w:sz w:val="24"/>
                <w:szCs w:val="24"/>
              </w:rPr>
              <w:t xml:space="preserve"> even if the level of protection under national fundamental rights is higher than under EU fundamental rights. This was confirmed in </w:t>
            </w:r>
            <w:proofErr w:type="spellStart"/>
            <w:r w:rsidR="001B2C4D" w:rsidRPr="00572C88">
              <w:rPr>
                <w:rFonts w:ascii="Garamond" w:hAnsi="Garamond"/>
                <w:i/>
                <w:iCs/>
                <w:sz w:val="24"/>
                <w:szCs w:val="24"/>
              </w:rPr>
              <w:t>Melloni</w:t>
            </w:r>
            <w:proofErr w:type="spellEnd"/>
            <w:r w:rsidR="001B2C4D" w:rsidRPr="00572C88">
              <w:rPr>
                <w:rFonts w:ascii="Garamond" w:hAnsi="Garamond"/>
                <w:sz w:val="24"/>
                <w:szCs w:val="24"/>
              </w:rPr>
              <w:t xml:space="preserve"> </w:t>
            </w:r>
            <w:r w:rsidRPr="00572C88">
              <w:rPr>
                <w:rFonts w:ascii="Garamond" w:hAnsi="Garamond"/>
                <w:sz w:val="24"/>
                <w:szCs w:val="24"/>
              </w:rPr>
              <w:t xml:space="preserve">(C-399/11). </w:t>
            </w:r>
          </w:p>
          <w:p w14:paraId="1F58460D" w14:textId="0A7E7011" w:rsidR="001B2C4D" w:rsidRPr="00BA1E42" w:rsidRDefault="00572C88" w:rsidP="00BA1E42">
            <w:pPr>
              <w:numPr>
                <w:ilvl w:val="0"/>
                <w:numId w:val="17"/>
              </w:numPr>
              <w:spacing w:after="120"/>
              <w:jc w:val="both"/>
              <w:rPr>
                <w:rFonts w:ascii="Garamond" w:hAnsi="Garamond"/>
                <w:sz w:val="24"/>
                <w:szCs w:val="24"/>
                <w:lang w:val="en-GB"/>
              </w:rPr>
            </w:pPr>
            <w:r w:rsidRPr="00BA1E42">
              <w:rPr>
                <w:rFonts w:ascii="Garamond" w:hAnsi="Garamond"/>
                <w:sz w:val="24"/>
                <w:szCs w:val="24"/>
              </w:rPr>
              <w:t xml:space="preserve">This is a complicated case that you should read in full. </w:t>
            </w:r>
            <w:r w:rsidR="001B2C4D" w:rsidRPr="00BA1E42">
              <w:rPr>
                <w:rFonts w:ascii="Garamond" w:hAnsi="Garamond"/>
                <w:sz w:val="24"/>
                <w:szCs w:val="24"/>
              </w:rPr>
              <w:t>In summary</w:t>
            </w:r>
            <w:r w:rsidR="00D8700C" w:rsidRPr="00BA1E42">
              <w:rPr>
                <w:rFonts w:ascii="Garamond" w:hAnsi="Garamond"/>
                <w:sz w:val="24"/>
                <w:szCs w:val="24"/>
              </w:rPr>
              <w:t xml:space="preserve">, </w:t>
            </w:r>
            <w:proofErr w:type="spellStart"/>
            <w:r w:rsidR="00D8700C" w:rsidRPr="00BA1E42">
              <w:rPr>
                <w:rFonts w:ascii="Garamond" w:hAnsi="Garamond"/>
                <w:sz w:val="24"/>
                <w:szCs w:val="24"/>
              </w:rPr>
              <w:t>Melloni</w:t>
            </w:r>
            <w:proofErr w:type="spellEnd"/>
            <w:r w:rsidR="00D8700C" w:rsidRPr="00BA1E42">
              <w:rPr>
                <w:rFonts w:ascii="Garamond" w:hAnsi="Garamond"/>
                <w:sz w:val="24"/>
                <w:szCs w:val="24"/>
              </w:rPr>
              <w:t xml:space="preserve"> </w:t>
            </w:r>
            <w:r w:rsidR="00995911" w:rsidRPr="00BA1E42">
              <w:rPr>
                <w:rFonts w:ascii="Garamond" w:hAnsi="Garamond"/>
                <w:sz w:val="24"/>
                <w:szCs w:val="24"/>
              </w:rPr>
              <w:t xml:space="preserve">was convicted </w:t>
            </w:r>
            <w:r w:rsidR="00995911" w:rsidRPr="00BA1E42">
              <w:rPr>
                <w:rFonts w:ascii="Garamond" w:hAnsi="Garamond"/>
                <w:i/>
                <w:iCs/>
                <w:sz w:val="24"/>
                <w:szCs w:val="24"/>
              </w:rPr>
              <w:t>in absentia</w:t>
            </w:r>
            <w:r w:rsidR="00995911" w:rsidRPr="00BA1E42">
              <w:rPr>
                <w:rFonts w:ascii="Garamond" w:hAnsi="Garamond"/>
                <w:sz w:val="24"/>
                <w:szCs w:val="24"/>
              </w:rPr>
              <w:t xml:space="preserve"> in Italy, who then asked for his extradition from Spain</w:t>
            </w:r>
            <w:r w:rsidR="001B2C4D" w:rsidRPr="00BA1E42">
              <w:rPr>
                <w:rFonts w:ascii="Garamond" w:hAnsi="Garamond"/>
                <w:sz w:val="24"/>
                <w:szCs w:val="24"/>
              </w:rPr>
              <w:t xml:space="preserve"> under the Framework Decision 2002/584 of the European Arrest Warrant. The Spanish Constitution was more protective of the rights of a convicted person than the Framework Decision</w:t>
            </w:r>
            <w:r w:rsidR="00BE7263" w:rsidRPr="00BA1E42">
              <w:rPr>
                <w:rFonts w:ascii="Garamond" w:hAnsi="Garamond"/>
                <w:sz w:val="24"/>
                <w:szCs w:val="24"/>
              </w:rPr>
              <w:t xml:space="preserve">. Spanish </w:t>
            </w:r>
            <w:r w:rsidR="00B91228" w:rsidRPr="00BA1E42">
              <w:rPr>
                <w:rFonts w:ascii="Garamond" w:hAnsi="Garamond"/>
                <w:sz w:val="24"/>
                <w:szCs w:val="24"/>
              </w:rPr>
              <w:t>case law established</w:t>
            </w:r>
            <w:r w:rsidR="00BE7263" w:rsidRPr="00BA1E42">
              <w:rPr>
                <w:rFonts w:ascii="Garamond" w:hAnsi="Garamond"/>
                <w:sz w:val="24"/>
                <w:szCs w:val="24"/>
              </w:rPr>
              <w:t xml:space="preserve"> that persons tried </w:t>
            </w:r>
            <w:r w:rsidR="00BE7263" w:rsidRPr="00BA1E42">
              <w:rPr>
                <w:rFonts w:ascii="Garamond" w:hAnsi="Garamond"/>
                <w:i/>
                <w:iCs/>
                <w:sz w:val="24"/>
                <w:szCs w:val="24"/>
              </w:rPr>
              <w:t>in absentia</w:t>
            </w:r>
            <w:r w:rsidR="00BE7263" w:rsidRPr="00BA1E42">
              <w:rPr>
                <w:rFonts w:ascii="Garamond" w:hAnsi="Garamond"/>
                <w:sz w:val="24"/>
                <w:szCs w:val="24"/>
              </w:rPr>
              <w:t xml:space="preserve"> </w:t>
            </w:r>
            <w:r w:rsidR="00BA1E42">
              <w:rPr>
                <w:rFonts w:ascii="Garamond" w:hAnsi="Garamond"/>
                <w:sz w:val="24"/>
                <w:szCs w:val="24"/>
              </w:rPr>
              <w:t>could</w:t>
            </w:r>
            <w:r w:rsidR="00BE7263" w:rsidRPr="00BA1E42">
              <w:rPr>
                <w:rFonts w:ascii="Garamond" w:hAnsi="Garamond"/>
                <w:sz w:val="24"/>
                <w:szCs w:val="24"/>
              </w:rPr>
              <w:t xml:space="preserve"> only be extradited if </w:t>
            </w:r>
            <w:r w:rsidR="00BA1E42">
              <w:rPr>
                <w:rFonts w:ascii="Garamond" w:hAnsi="Garamond"/>
                <w:sz w:val="24"/>
                <w:szCs w:val="24"/>
              </w:rPr>
              <w:t>they could challenge their conviction in the receiving country; whereas the Framework Decision stated that any such condition</w:t>
            </w:r>
            <w:r w:rsidR="00392A8C">
              <w:rPr>
                <w:rFonts w:ascii="Garamond" w:hAnsi="Garamond"/>
                <w:sz w:val="24"/>
                <w:szCs w:val="24"/>
              </w:rPr>
              <w:t>s were allowed</w:t>
            </w:r>
            <w:r w:rsidR="00BA1E42">
              <w:rPr>
                <w:rFonts w:ascii="Garamond" w:hAnsi="Garamond"/>
                <w:sz w:val="24"/>
                <w:szCs w:val="24"/>
              </w:rPr>
              <w:t xml:space="preserve"> only if the convicted person was not represented by a lawyer at trial (</w:t>
            </w:r>
            <w:proofErr w:type="spellStart"/>
            <w:r w:rsidR="00BA1E42">
              <w:rPr>
                <w:rFonts w:ascii="Garamond" w:hAnsi="Garamond"/>
                <w:sz w:val="24"/>
                <w:szCs w:val="24"/>
              </w:rPr>
              <w:t>Melloni</w:t>
            </w:r>
            <w:proofErr w:type="spellEnd"/>
            <w:r w:rsidR="00BA1E42">
              <w:rPr>
                <w:rFonts w:ascii="Garamond" w:hAnsi="Garamond"/>
                <w:sz w:val="24"/>
                <w:szCs w:val="24"/>
              </w:rPr>
              <w:t xml:space="preserve"> had intentionally sent his lawyers to represent him </w:t>
            </w:r>
            <w:proofErr w:type="gramStart"/>
            <w:r w:rsidR="00BA1E42">
              <w:rPr>
                <w:rFonts w:ascii="Garamond" w:hAnsi="Garamond"/>
                <w:sz w:val="24"/>
                <w:szCs w:val="24"/>
              </w:rPr>
              <w:t>in order to</w:t>
            </w:r>
            <w:proofErr w:type="gramEnd"/>
            <w:r w:rsidR="00BA1E42">
              <w:rPr>
                <w:rFonts w:ascii="Garamond" w:hAnsi="Garamond"/>
                <w:sz w:val="24"/>
                <w:szCs w:val="24"/>
              </w:rPr>
              <w:t xml:space="preserve"> escape). </w:t>
            </w:r>
            <w:r w:rsidR="00BE7263" w:rsidRPr="00BA1E42">
              <w:rPr>
                <w:rFonts w:ascii="Garamond" w:hAnsi="Garamond"/>
                <w:sz w:val="24"/>
                <w:szCs w:val="24"/>
              </w:rPr>
              <w:t>So</w:t>
            </w:r>
            <w:r w:rsidR="00B91228" w:rsidRPr="00BA1E42">
              <w:rPr>
                <w:rFonts w:ascii="Garamond" w:hAnsi="Garamond"/>
                <w:sz w:val="24"/>
                <w:szCs w:val="24"/>
              </w:rPr>
              <w:t>,</w:t>
            </w:r>
            <w:r w:rsidR="00BE7263" w:rsidRPr="00BA1E42">
              <w:rPr>
                <w:rFonts w:ascii="Garamond" w:hAnsi="Garamond"/>
                <w:sz w:val="24"/>
                <w:szCs w:val="24"/>
              </w:rPr>
              <w:t xml:space="preserve"> the question was whether </w:t>
            </w:r>
            <w:r w:rsidR="001B2C4D" w:rsidRPr="00BA1E42">
              <w:rPr>
                <w:rFonts w:ascii="Garamond" w:hAnsi="Garamond"/>
                <w:sz w:val="24"/>
                <w:szCs w:val="24"/>
              </w:rPr>
              <w:t xml:space="preserve">Spain could apply the higher national standard of protection and refuse to surrender </w:t>
            </w:r>
            <w:proofErr w:type="spellStart"/>
            <w:r w:rsidR="001B2C4D" w:rsidRPr="00BA1E42">
              <w:rPr>
                <w:rFonts w:ascii="Garamond" w:hAnsi="Garamond"/>
                <w:sz w:val="24"/>
                <w:szCs w:val="24"/>
              </w:rPr>
              <w:t>Melloni</w:t>
            </w:r>
            <w:proofErr w:type="spellEnd"/>
            <w:r w:rsidR="001B2C4D" w:rsidRPr="00BA1E42">
              <w:rPr>
                <w:rFonts w:ascii="Garamond" w:hAnsi="Garamond"/>
                <w:sz w:val="24"/>
                <w:szCs w:val="24"/>
              </w:rPr>
              <w:t xml:space="preserve"> to the Italian authorities. </w:t>
            </w:r>
          </w:p>
          <w:p w14:paraId="628F2503" w14:textId="322B1590" w:rsidR="00392A8C" w:rsidRPr="00E32BE1" w:rsidRDefault="00D8700C" w:rsidP="00E32BE1">
            <w:pPr>
              <w:numPr>
                <w:ilvl w:val="0"/>
                <w:numId w:val="17"/>
              </w:numPr>
              <w:spacing w:after="120"/>
              <w:jc w:val="both"/>
              <w:rPr>
                <w:rFonts w:ascii="Garamond" w:hAnsi="Garamond"/>
                <w:sz w:val="24"/>
                <w:szCs w:val="24"/>
                <w:lang w:val="en-GB"/>
              </w:rPr>
            </w:pPr>
            <w:r w:rsidRPr="00B91228">
              <w:rPr>
                <w:rFonts w:ascii="Garamond" w:hAnsi="Garamond"/>
                <w:sz w:val="24"/>
                <w:szCs w:val="24"/>
              </w:rPr>
              <w:t xml:space="preserve">The message of the Court was very clear: </w:t>
            </w:r>
            <w:r w:rsidR="00B91228">
              <w:rPr>
                <w:rFonts w:ascii="Garamond" w:hAnsi="Garamond"/>
                <w:sz w:val="24"/>
                <w:szCs w:val="24"/>
              </w:rPr>
              <w:t>Article 53 of the Charter did not allow Spain to apply national fundamental rights instead of EU fundamental rights</w:t>
            </w:r>
            <w:r w:rsidR="00BA1E42">
              <w:rPr>
                <w:rFonts w:ascii="Garamond" w:hAnsi="Garamond"/>
                <w:sz w:val="24"/>
                <w:szCs w:val="24"/>
              </w:rPr>
              <w:t xml:space="preserve"> in this case. </w:t>
            </w:r>
            <w:r w:rsidR="00392A8C">
              <w:rPr>
                <w:rFonts w:ascii="Garamond" w:hAnsi="Garamond"/>
                <w:sz w:val="24"/>
                <w:szCs w:val="24"/>
              </w:rPr>
              <w:t>In subsequent case law (Eg,</w:t>
            </w:r>
            <w:r w:rsidR="00B91228" w:rsidRPr="00392A8C">
              <w:rPr>
                <w:rFonts w:ascii="Garamond" w:hAnsi="Garamond"/>
                <w:sz w:val="24"/>
                <w:szCs w:val="24"/>
              </w:rPr>
              <w:t xml:space="preserve"> </w:t>
            </w:r>
            <w:proofErr w:type="spellStart"/>
            <w:r w:rsidR="00B91228" w:rsidRPr="00392A8C">
              <w:rPr>
                <w:rFonts w:ascii="Garamond" w:hAnsi="Garamond"/>
                <w:i/>
                <w:sz w:val="24"/>
                <w:szCs w:val="24"/>
              </w:rPr>
              <w:t>Åkerberg</w:t>
            </w:r>
            <w:proofErr w:type="spellEnd"/>
            <w:r w:rsidR="00B91228" w:rsidRPr="00392A8C">
              <w:rPr>
                <w:rFonts w:ascii="Garamond" w:hAnsi="Garamond"/>
                <w:i/>
                <w:sz w:val="24"/>
                <w:szCs w:val="24"/>
              </w:rPr>
              <w:t xml:space="preserve"> </w:t>
            </w:r>
            <w:proofErr w:type="spellStart"/>
            <w:r w:rsidR="00B91228" w:rsidRPr="00392A8C">
              <w:rPr>
                <w:rFonts w:ascii="Garamond" w:hAnsi="Garamond"/>
                <w:iCs/>
                <w:sz w:val="24"/>
                <w:szCs w:val="24"/>
              </w:rPr>
              <w:t>Fransson</w:t>
            </w:r>
            <w:proofErr w:type="spellEnd"/>
            <w:r w:rsidR="00392A8C">
              <w:rPr>
                <w:rFonts w:ascii="Garamond" w:hAnsi="Garamond"/>
                <w:iCs/>
                <w:sz w:val="24"/>
                <w:szCs w:val="24"/>
              </w:rPr>
              <w:t xml:space="preserve">, </w:t>
            </w:r>
            <w:r w:rsidR="00B91228" w:rsidRPr="00392A8C">
              <w:rPr>
                <w:rFonts w:ascii="Garamond" w:hAnsi="Garamond"/>
                <w:iCs/>
                <w:sz w:val="24"/>
                <w:szCs w:val="24"/>
              </w:rPr>
              <w:t xml:space="preserve">C-617/10, para 29), </w:t>
            </w:r>
            <w:r w:rsidR="00392A8C">
              <w:rPr>
                <w:rFonts w:ascii="Garamond" w:hAnsi="Garamond"/>
                <w:iCs/>
                <w:sz w:val="24"/>
                <w:szCs w:val="24"/>
              </w:rPr>
              <w:t>the CJEU</w:t>
            </w:r>
            <w:r w:rsidR="00B91228" w:rsidRPr="00392A8C">
              <w:rPr>
                <w:rFonts w:ascii="Garamond" w:hAnsi="Garamond"/>
                <w:iCs/>
                <w:sz w:val="24"/>
                <w:szCs w:val="24"/>
              </w:rPr>
              <w:t xml:space="preserve"> </w:t>
            </w:r>
            <w:r w:rsidR="00392A8C">
              <w:rPr>
                <w:rFonts w:ascii="Garamond" w:hAnsi="Garamond"/>
                <w:iCs/>
                <w:sz w:val="24"/>
                <w:szCs w:val="24"/>
              </w:rPr>
              <w:t>explains</w:t>
            </w:r>
            <w:r w:rsidR="00B91228" w:rsidRPr="00392A8C">
              <w:rPr>
                <w:rFonts w:ascii="Garamond" w:hAnsi="Garamond"/>
                <w:iCs/>
                <w:sz w:val="24"/>
                <w:szCs w:val="24"/>
              </w:rPr>
              <w:t xml:space="preserve"> that the Member States can invoke the higher national standard of fundamental rights protection instead of the Charter only if two conditions are met: </w:t>
            </w:r>
            <w:r w:rsidR="00B91228" w:rsidRPr="0001319C">
              <w:rPr>
                <w:rFonts w:ascii="Garamond" w:hAnsi="Garamond"/>
                <w:iCs/>
                <w:sz w:val="24"/>
                <w:szCs w:val="24"/>
                <w:u w:val="single"/>
              </w:rPr>
              <w:t>(</w:t>
            </w:r>
            <w:proofErr w:type="spellStart"/>
            <w:r w:rsidR="00B91228" w:rsidRPr="0001319C">
              <w:rPr>
                <w:rFonts w:ascii="Garamond" w:hAnsi="Garamond"/>
                <w:iCs/>
                <w:sz w:val="24"/>
                <w:szCs w:val="24"/>
                <w:u w:val="single"/>
              </w:rPr>
              <w:t>i</w:t>
            </w:r>
            <w:proofErr w:type="spellEnd"/>
            <w:r w:rsidR="00B91228" w:rsidRPr="0001319C">
              <w:rPr>
                <w:rFonts w:ascii="Garamond" w:hAnsi="Garamond"/>
                <w:iCs/>
                <w:sz w:val="24"/>
                <w:szCs w:val="24"/>
                <w:u w:val="single"/>
              </w:rPr>
              <w:t xml:space="preserve">) the action of the Member States is not entirely determined by EU law, </w:t>
            </w:r>
            <w:proofErr w:type="spellStart"/>
            <w:r w:rsidR="00B91228" w:rsidRPr="0001319C">
              <w:rPr>
                <w:rFonts w:ascii="Garamond" w:hAnsi="Garamond"/>
                <w:iCs/>
                <w:sz w:val="24"/>
                <w:szCs w:val="24"/>
                <w:u w:val="single"/>
              </w:rPr>
              <w:t>ie</w:t>
            </w:r>
            <w:proofErr w:type="spellEnd"/>
            <w:r w:rsidR="00B91228" w:rsidRPr="0001319C">
              <w:rPr>
                <w:rFonts w:ascii="Garamond" w:hAnsi="Garamond"/>
                <w:iCs/>
                <w:sz w:val="24"/>
                <w:szCs w:val="24"/>
                <w:u w:val="single"/>
              </w:rPr>
              <w:t xml:space="preserve">, Member States have </w:t>
            </w:r>
            <w:r w:rsidR="00392A8C" w:rsidRPr="0001319C">
              <w:rPr>
                <w:rFonts w:ascii="Garamond" w:hAnsi="Garamond"/>
                <w:iCs/>
                <w:sz w:val="24"/>
                <w:szCs w:val="24"/>
                <w:u w:val="single"/>
              </w:rPr>
              <w:t xml:space="preserve">some </w:t>
            </w:r>
            <w:r w:rsidR="00B91228" w:rsidRPr="0001319C">
              <w:rPr>
                <w:rFonts w:ascii="Garamond" w:hAnsi="Garamond"/>
                <w:iCs/>
                <w:sz w:val="24"/>
                <w:szCs w:val="24"/>
                <w:u w:val="single"/>
              </w:rPr>
              <w:t>discretion, (ii) the application of the higher national standard does not compromise the primacy, unity, and effectiveness of EU law</w:t>
            </w:r>
            <w:r w:rsidR="00E32BE1" w:rsidRPr="0001319C">
              <w:rPr>
                <w:rFonts w:ascii="Garamond" w:hAnsi="Garamond"/>
                <w:iCs/>
                <w:sz w:val="24"/>
                <w:szCs w:val="24"/>
                <w:u w:val="single"/>
              </w:rPr>
              <w:t>.</w:t>
            </w:r>
            <w:r w:rsidR="00E32BE1">
              <w:rPr>
                <w:rFonts w:ascii="Garamond" w:hAnsi="Garamond"/>
                <w:iCs/>
                <w:sz w:val="24"/>
                <w:szCs w:val="24"/>
              </w:rPr>
              <w:t xml:space="preserve"> </w:t>
            </w:r>
          </w:p>
          <w:p w14:paraId="5C63C878" w14:textId="77777777" w:rsidR="001A7E8D" w:rsidRDefault="001A7E8D" w:rsidP="00AB03D7">
            <w:pPr>
              <w:spacing w:after="160" w:line="276" w:lineRule="auto"/>
              <w:jc w:val="both"/>
              <w:rPr>
                <w:rFonts w:ascii="Garamond" w:hAnsi="Garamond"/>
                <w:sz w:val="24"/>
                <w:szCs w:val="24"/>
              </w:rPr>
            </w:pPr>
          </w:p>
          <w:p w14:paraId="773AB96B" w14:textId="77777777" w:rsidR="00F870E0" w:rsidRPr="003466F9" w:rsidRDefault="00F870E0" w:rsidP="00AB03D7">
            <w:pPr>
              <w:spacing w:after="120" w:line="276" w:lineRule="auto"/>
              <w:jc w:val="both"/>
              <w:rPr>
                <w:rFonts w:ascii="Garamond" w:hAnsi="Garamond"/>
                <w:b/>
                <w:sz w:val="24"/>
                <w:szCs w:val="24"/>
                <w:u w:val="single"/>
                <w:lang w:val="en-GB"/>
              </w:rPr>
            </w:pPr>
            <w:r w:rsidRPr="003466F9">
              <w:rPr>
                <w:rFonts w:ascii="Garamond" w:hAnsi="Garamond"/>
                <w:b/>
                <w:sz w:val="24"/>
                <w:szCs w:val="24"/>
                <w:u w:val="single"/>
                <w:lang w:val="en-GB"/>
              </w:rPr>
              <w:t>Charter &amp; ECHR</w:t>
            </w:r>
          </w:p>
          <w:p w14:paraId="7236EB22" w14:textId="77777777" w:rsidR="008A78F9" w:rsidRDefault="00DE24FC" w:rsidP="00DE17F0">
            <w:pPr>
              <w:numPr>
                <w:ilvl w:val="0"/>
                <w:numId w:val="17"/>
              </w:numPr>
              <w:spacing w:after="120"/>
              <w:jc w:val="both"/>
              <w:rPr>
                <w:rFonts w:ascii="Garamond" w:eastAsiaTheme="minorHAnsi" w:hAnsi="Garamond" w:cs="AdvALBR"/>
                <w:sz w:val="24"/>
                <w:szCs w:val="24"/>
                <w:lang w:val="en-GB"/>
              </w:rPr>
            </w:pPr>
            <w:r w:rsidRPr="008A78F9">
              <w:rPr>
                <w:rFonts w:ascii="Garamond" w:hAnsi="Garamond"/>
                <w:sz w:val="24"/>
                <w:szCs w:val="24"/>
                <w:lang w:val="en-GB"/>
              </w:rPr>
              <w:t>The relationship between the Charter and the ECHR</w:t>
            </w:r>
            <w:r w:rsidR="00F870E0" w:rsidRPr="008A78F9">
              <w:rPr>
                <w:rFonts w:ascii="Garamond" w:hAnsi="Garamond"/>
                <w:sz w:val="24"/>
                <w:szCs w:val="24"/>
                <w:lang w:val="en-GB"/>
              </w:rPr>
              <w:t xml:space="preserve"> is determined by</w:t>
            </w:r>
            <w:r w:rsidR="00AB03D7" w:rsidRPr="008A78F9">
              <w:rPr>
                <w:rFonts w:ascii="Garamond" w:hAnsi="Garamond"/>
                <w:sz w:val="24"/>
                <w:szCs w:val="24"/>
                <w:lang w:val="en-GB"/>
              </w:rPr>
              <w:t xml:space="preserve"> Article 52(3) of the Charter, which states that</w:t>
            </w:r>
            <w:r w:rsidRPr="008A78F9">
              <w:rPr>
                <w:rFonts w:ascii="Garamond" w:hAnsi="Garamond"/>
                <w:sz w:val="24"/>
                <w:szCs w:val="24"/>
                <w:lang w:val="en-GB"/>
              </w:rPr>
              <w:t>:</w:t>
            </w:r>
            <w:r w:rsidR="00AB03D7" w:rsidRPr="008A78F9">
              <w:rPr>
                <w:rFonts w:ascii="Garamond" w:hAnsi="Garamond"/>
                <w:sz w:val="24"/>
                <w:szCs w:val="24"/>
                <w:lang w:val="en-GB"/>
              </w:rPr>
              <w:t xml:space="preserve"> </w:t>
            </w:r>
            <w:r w:rsidR="009902C2" w:rsidRPr="008A78F9">
              <w:rPr>
                <w:rFonts w:ascii="Garamond" w:hAnsi="Garamond"/>
                <w:sz w:val="24"/>
                <w:szCs w:val="24"/>
                <w:lang w:val="en-GB"/>
              </w:rPr>
              <w:t>‘</w:t>
            </w:r>
            <w:r w:rsidR="00F870E0" w:rsidRPr="008A78F9">
              <w:rPr>
                <w:rFonts w:ascii="Garamond" w:eastAsiaTheme="minorHAnsi" w:hAnsi="Garamond" w:cs="AdvALBR"/>
                <w:sz w:val="24"/>
                <w:szCs w:val="24"/>
                <w:lang w:val="en-GB"/>
              </w:rPr>
              <w:t>In so far as this Charter contains rights which correspond to rights guaranteed by the Convention for the Protection of Human Rights and Fundamental Freedoms, the meaning and scope of those rights shall be the same as those laid down by the said Convention. This provision shall not prevent Union law providing more extensive protection</w:t>
            </w:r>
            <w:r w:rsidR="009902C2" w:rsidRPr="008A78F9">
              <w:rPr>
                <w:rFonts w:ascii="Garamond" w:eastAsiaTheme="minorHAnsi" w:hAnsi="Garamond" w:cs="AdvALBR"/>
                <w:sz w:val="24"/>
                <w:szCs w:val="24"/>
                <w:lang w:val="en-GB"/>
              </w:rPr>
              <w:t>’</w:t>
            </w:r>
            <w:r w:rsidR="00F870E0" w:rsidRPr="008A78F9">
              <w:rPr>
                <w:rFonts w:ascii="Garamond" w:eastAsiaTheme="minorHAnsi" w:hAnsi="Garamond" w:cs="AdvALBR"/>
                <w:sz w:val="24"/>
                <w:szCs w:val="24"/>
                <w:lang w:val="en-GB"/>
              </w:rPr>
              <w:t>.</w:t>
            </w:r>
            <w:r w:rsidR="008A78F9" w:rsidRPr="008A78F9">
              <w:rPr>
                <w:rFonts w:ascii="Garamond" w:eastAsiaTheme="minorHAnsi" w:hAnsi="Garamond" w:cs="AdvALBR"/>
                <w:sz w:val="24"/>
                <w:szCs w:val="24"/>
                <w:lang w:val="en-GB"/>
              </w:rPr>
              <w:t xml:space="preserve"> </w:t>
            </w:r>
          </w:p>
          <w:p w14:paraId="7B0E8C31" w14:textId="3D8BA7EB" w:rsidR="001A7E8D" w:rsidRDefault="008A78F9" w:rsidP="00DE17F0">
            <w:pPr>
              <w:numPr>
                <w:ilvl w:val="0"/>
                <w:numId w:val="17"/>
              </w:numPr>
              <w:spacing w:after="120"/>
              <w:jc w:val="both"/>
              <w:rPr>
                <w:rFonts w:ascii="Garamond" w:eastAsiaTheme="minorHAnsi" w:hAnsi="Garamond" w:cs="AdvALBR"/>
                <w:sz w:val="24"/>
                <w:szCs w:val="24"/>
                <w:lang w:val="en-GB"/>
              </w:rPr>
            </w:pPr>
            <w:r w:rsidRPr="008A78F9">
              <w:rPr>
                <w:rFonts w:ascii="Garamond" w:eastAsiaTheme="minorHAnsi" w:hAnsi="Garamond" w:cs="AdvALBR"/>
                <w:sz w:val="24"/>
                <w:szCs w:val="24"/>
                <w:lang w:val="en-GB"/>
              </w:rPr>
              <w:t xml:space="preserve">This appears to suggest that, where there is overlap, the ECtHR case law will serve as a minimum standard for the CJEU. In </w:t>
            </w:r>
            <w:r>
              <w:rPr>
                <w:rFonts w:ascii="Garamond" w:eastAsiaTheme="minorHAnsi" w:hAnsi="Garamond" w:cs="AdvALBR"/>
                <w:sz w:val="24"/>
                <w:szCs w:val="24"/>
                <w:lang w:val="en-GB"/>
              </w:rPr>
              <w:t>practice, EU law may diverge from the ECHR standard because (as we saw in Opinion 2/13) EU law has “special” characteristics that complicate the situation. Over the years, the CJEU has received a lot of criticism for diverging from the ECtHR standard especially in asylum</w:t>
            </w:r>
            <w:r w:rsidR="00AF3002">
              <w:rPr>
                <w:rFonts w:ascii="Garamond" w:eastAsiaTheme="minorHAnsi" w:hAnsi="Garamond" w:cs="AdvALBR"/>
                <w:sz w:val="24"/>
                <w:szCs w:val="24"/>
                <w:lang w:val="en-GB"/>
              </w:rPr>
              <w:t xml:space="preserve"> </w:t>
            </w:r>
            <w:r>
              <w:rPr>
                <w:rFonts w:ascii="Garamond" w:eastAsiaTheme="minorHAnsi" w:hAnsi="Garamond" w:cs="AdvALBR"/>
                <w:sz w:val="24"/>
                <w:szCs w:val="24"/>
                <w:lang w:val="en-GB"/>
              </w:rPr>
              <w:t>cases. If the EU were to join the ECHR,</w:t>
            </w:r>
            <w:r w:rsidR="00E6691D">
              <w:rPr>
                <w:rFonts w:ascii="Garamond" w:eastAsiaTheme="minorHAnsi" w:hAnsi="Garamond" w:cs="AdvALBR"/>
                <w:sz w:val="24"/>
                <w:szCs w:val="24"/>
                <w:lang w:val="en-GB"/>
              </w:rPr>
              <w:t xml:space="preserve"> </w:t>
            </w:r>
            <w:r>
              <w:rPr>
                <w:rFonts w:ascii="Garamond" w:eastAsiaTheme="minorHAnsi" w:hAnsi="Garamond" w:cs="AdvALBR"/>
                <w:sz w:val="24"/>
                <w:szCs w:val="24"/>
                <w:lang w:val="en-GB"/>
              </w:rPr>
              <w:t xml:space="preserve">these inconsistencies would be resolved. </w:t>
            </w:r>
          </w:p>
          <w:p w14:paraId="73EDBA9D" w14:textId="77777777" w:rsidR="008A78F9" w:rsidRPr="008A78F9" w:rsidRDefault="008A78F9" w:rsidP="008A78F9">
            <w:pPr>
              <w:spacing w:after="120"/>
              <w:ind w:left="360"/>
              <w:jc w:val="both"/>
              <w:rPr>
                <w:rFonts w:ascii="Garamond" w:eastAsiaTheme="minorHAnsi" w:hAnsi="Garamond" w:cs="AdvALBR"/>
                <w:sz w:val="24"/>
                <w:szCs w:val="24"/>
                <w:lang w:val="en-GB"/>
              </w:rPr>
            </w:pPr>
          </w:p>
          <w:p w14:paraId="4FC2FBA3" w14:textId="77777777" w:rsidR="00F870E0" w:rsidRDefault="00F870E0" w:rsidP="00AB03D7">
            <w:pPr>
              <w:autoSpaceDE w:val="0"/>
              <w:autoSpaceDN w:val="0"/>
              <w:adjustRightInd w:val="0"/>
              <w:spacing w:line="276" w:lineRule="auto"/>
              <w:jc w:val="both"/>
              <w:rPr>
                <w:rFonts w:ascii="Garamond" w:eastAsiaTheme="minorHAnsi" w:hAnsi="Garamond" w:cs="AdvALBR"/>
                <w:b/>
                <w:sz w:val="24"/>
                <w:szCs w:val="24"/>
                <w:u w:val="single"/>
                <w:lang w:val="en-GB"/>
              </w:rPr>
            </w:pPr>
            <w:r w:rsidRPr="003466F9">
              <w:rPr>
                <w:rFonts w:ascii="Garamond" w:eastAsiaTheme="minorHAnsi" w:hAnsi="Garamond" w:cs="AdvALBR"/>
                <w:b/>
                <w:sz w:val="24"/>
                <w:szCs w:val="24"/>
                <w:u w:val="single"/>
                <w:lang w:val="en-GB"/>
              </w:rPr>
              <w:t>Charter &amp; EU Treaties</w:t>
            </w:r>
          </w:p>
          <w:p w14:paraId="0F3D4C07" w14:textId="77777777" w:rsidR="009902C2" w:rsidRPr="003466F9" w:rsidRDefault="009902C2" w:rsidP="00AB03D7">
            <w:pPr>
              <w:autoSpaceDE w:val="0"/>
              <w:autoSpaceDN w:val="0"/>
              <w:adjustRightInd w:val="0"/>
              <w:spacing w:line="276" w:lineRule="auto"/>
              <w:jc w:val="both"/>
              <w:rPr>
                <w:rFonts w:ascii="Garamond" w:eastAsiaTheme="minorHAnsi" w:hAnsi="Garamond" w:cs="AdvALBR"/>
                <w:b/>
                <w:sz w:val="24"/>
                <w:szCs w:val="24"/>
                <w:u w:val="single"/>
                <w:lang w:val="en-GB"/>
              </w:rPr>
            </w:pPr>
          </w:p>
          <w:p w14:paraId="28520BB4" w14:textId="3D19043F" w:rsidR="00DF7705" w:rsidRPr="00DF7705" w:rsidRDefault="00DF7705" w:rsidP="004A0EE7">
            <w:pPr>
              <w:numPr>
                <w:ilvl w:val="0"/>
                <w:numId w:val="17"/>
              </w:numPr>
              <w:spacing w:after="120"/>
              <w:jc w:val="both"/>
              <w:rPr>
                <w:rFonts w:ascii="Garamond" w:hAnsi="Garamond"/>
                <w:sz w:val="24"/>
                <w:szCs w:val="24"/>
                <w:lang w:val="en-GB"/>
              </w:rPr>
            </w:pPr>
            <w:r w:rsidRPr="0017127F">
              <w:rPr>
                <w:rFonts w:ascii="Garamond" w:hAnsi="Garamond" w:cs="Helvetica"/>
                <w:color w:val="141215"/>
                <w:sz w:val="24"/>
                <w:szCs w:val="24"/>
                <w:lang w:val="en-GB"/>
              </w:rPr>
              <w:t xml:space="preserve">According to Article 6(1) TEU, the Charter and the Treaties have the same legal value. </w:t>
            </w:r>
            <w:r w:rsidR="0017127F" w:rsidRPr="0017127F">
              <w:rPr>
                <w:rFonts w:ascii="Garamond" w:hAnsi="Garamond" w:cs="Helvetica"/>
                <w:color w:val="141215"/>
                <w:sz w:val="24"/>
                <w:szCs w:val="24"/>
                <w:lang w:val="en-GB"/>
              </w:rPr>
              <w:t xml:space="preserve">What happens if the same right can be found in both sources? </w:t>
            </w:r>
            <w:r w:rsidRPr="0017127F">
              <w:rPr>
                <w:rFonts w:ascii="Garamond" w:hAnsi="Garamond" w:cs="Helvetica"/>
                <w:color w:val="141215"/>
                <w:sz w:val="24"/>
                <w:szCs w:val="24"/>
                <w:lang w:val="en-GB"/>
              </w:rPr>
              <w:t xml:space="preserve"> </w:t>
            </w:r>
            <w:r w:rsidR="0017127F" w:rsidRPr="0017127F">
              <w:rPr>
                <w:rFonts w:ascii="Garamond" w:hAnsi="Garamond" w:cs="Helvetica"/>
                <w:color w:val="141215"/>
                <w:sz w:val="24"/>
                <w:szCs w:val="24"/>
                <w:lang w:val="en-GB"/>
              </w:rPr>
              <w:t xml:space="preserve">Article 52(2) of the Charter states that all rights must be exercised ‘under the conditions and within the limits’ of the Treaties. </w:t>
            </w:r>
            <w:r w:rsidR="00827F86">
              <w:rPr>
                <w:rFonts w:ascii="Garamond" w:hAnsi="Garamond" w:cs="Helvetica"/>
                <w:color w:val="141215"/>
                <w:sz w:val="24"/>
                <w:szCs w:val="24"/>
                <w:lang w:val="en-GB"/>
              </w:rPr>
              <w:t xml:space="preserve">Thus, the more specific rights in the Charter take precedence over the general rights in the Treaties. This </w:t>
            </w:r>
            <w:r w:rsidR="00827F86" w:rsidRPr="00827F86">
              <w:rPr>
                <w:rFonts w:ascii="Garamond" w:hAnsi="Garamond" w:cs="Helvetica"/>
                <w:color w:val="141215"/>
                <w:sz w:val="24"/>
                <w:szCs w:val="24"/>
                <w:lang w:val="en-GB"/>
              </w:rPr>
              <w:t xml:space="preserve">echoes the Roman principle of </w:t>
            </w:r>
            <w:r w:rsidR="0017127F" w:rsidRPr="00827F86">
              <w:rPr>
                <w:rFonts w:ascii="Garamond" w:hAnsi="Garamond" w:cs="Helvetica"/>
                <w:i/>
                <w:iCs/>
                <w:color w:val="141215"/>
                <w:sz w:val="24"/>
                <w:szCs w:val="24"/>
                <w:lang w:val="en-GB"/>
              </w:rPr>
              <w:t xml:space="preserve">lex </w:t>
            </w:r>
            <w:proofErr w:type="spellStart"/>
            <w:r w:rsidR="0017127F" w:rsidRPr="00827F86">
              <w:rPr>
                <w:rFonts w:ascii="Garamond" w:hAnsi="Garamond" w:cs="Helvetica"/>
                <w:i/>
                <w:iCs/>
                <w:color w:val="141215"/>
                <w:sz w:val="24"/>
                <w:szCs w:val="24"/>
                <w:lang w:val="en-GB"/>
              </w:rPr>
              <w:t>specialis</w:t>
            </w:r>
            <w:proofErr w:type="spellEnd"/>
            <w:r w:rsidR="0017127F" w:rsidRPr="00827F86">
              <w:rPr>
                <w:rFonts w:ascii="Garamond" w:hAnsi="Garamond" w:cs="Helvetica"/>
                <w:color w:val="141215"/>
                <w:sz w:val="24"/>
                <w:szCs w:val="24"/>
                <w:lang w:val="en-GB"/>
              </w:rPr>
              <w:t xml:space="preserve"> </w:t>
            </w:r>
            <w:proofErr w:type="spellStart"/>
            <w:r w:rsidR="0017127F" w:rsidRPr="00827F86">
              <w:rPr>
                <w:rFonts w:ascii="Garamond" w:hAnsi="Garamond" w:cs="Helvetica"/>
                <w:i/>
                <w:iCs/>
                <w:color w:val="141215"/>
                <w:sz w:val="24"/>
                <w:szCs w:val="24"/>
                <w:lang w:val="en-GB"/>
              </w:rPr>
              <w:t>derogat</w:t>
            </w:r>
            <w:proofErr w:type="spellEnd"/>
            <w:r w:rsidR="0017127F" w:rsidRPr="00827F86">
              <w:rPr>
                <w:rFonts w:ascii="Garamond" w:hAnsi="Garamond" w:cs="Helvetica"/>
                <w:i/>
                <w:iCs/>
                <w:color w:val="141215"/>
                <w:sz w:val="24"/>
                <w:szCs w:val="24"/>
                <w:lang w:val="en-GB"/>
              </w:rPr>
              <w:t xml:space="preserve"> </w:t>
            </w:r>
            <w:proofErr w:type="spellStart"/>
            <w:r w:rsidR="0017127F" w:rsidRPr="00827F86">
              <w:rPr>
                <w:rFonts w:ascii="Garamond" w:hAnsi="Garamond" w:cs="Helvetica"/>
                <w:i/>
                <w:iCs/>
                <w:color w:val="141215"/>
                <w:sz w:val="24"/>
                <w:szCs w:val="24"/>
                <w:lang w:val="en-GB"/>
              </w:rPr>
              <w:t>le</w:t>
            </w:r>
            <w:r w:rsidR="00827F86" w:rsidRPr="00827F86">
              <w:rPr>
                <w:rFonts w:ascii="Garamond" w:hAnsi="Garamond" w:cs="Helvetica"/>
                <w:i/>
                <w:iCs/>
                <w:color w:val="141215"/>
                <w:sz w:val="24"/>
                <w:szCs w:val="24"/>
                <w:lang w:val="en-GB"/>
              </w:rPr>
              <w:t>gi</w:t>
            </w:r>
            <w:proofErr w:type="spellEnd"/>
            <w:r w:rsidR="0017127F" w:rsidRPr="00827F86">
              <w:rPr>
                <w:rFonts w:ascii="Garamond" w:hAnsi="Garamond" w:cs="Helvetica"/>
                <w:i/>
                <w:iCs/>
                <w:color w:val="141215"/>
                <w:sz w:val="24"/>
                <w:szCs w:val="24"/>
                <w:lang w:val="en-GB"/>
              </w:rPr>
              <w:t xml:space="preserve"> </w:t>
            </w:r>
            <w:proofErr w:type="spellStart"/>
            <w:r w:rsidR="0017127F" w:rsidRPr="00827F86">
              <w:rPr>
                <w:rFonts w:ascii="Garamond" w:hAnsi="Garamond" w:cs="Helvetica"/>
                <w:i/>
                <w:iCs/>
                <w:color w:val="141215"/>
                <w:sz w:val="24"/>
                <w:szCs w:val="24"/>
                <w:lang w:val="en-GB"/>
              </w:rPr>
              <w:t>generali</w:t>
            </w:r>
            <w:r w:rsidR="002B1093">
              <w:rPr>
                <w:rFonts w:ascii="Garamond" w:hAnsi="Garamond" w:cs="Helvetica"/>
                <w:i/>
                <w:iCs/>
                <w:color w:val="141215"/>
                <w:sz w:val="24"/>
                <w:szCs w:val="24"/>
                <w:lang w:val="en-GB"/>
              </w:rPr>
              <w:t>s</w:t>
            </w:r>
            <w:proofErr w:type="spellEnd"/>
            <w:r w:rsidR="002B1093">
              <w:rPr>
                <w:rFonts w:ascii="Garamond" w:hAnsi="Garamond" w:cs="Helvetica"/>
                <w:color w:val="141215"/>
                <w:sz w:val="24"/>
                <w:szCs w:val="24"/>
                <w:lang w:val="en-GB"/>
              </w:rPr>
              <w:t xml:space="preserve">, which is commonly applied in international law. </w:t>
            </w:r>
          </w:p>
        </w:tc>
      </w:tr>
    </w:tbl>
    <w:p w14:paraId="4799963A" w14:textId="72971CA7" w:rsidR="005270F1" w:rsidRDefault="005270F1">
      <w:pPr>
        <w:rPr>
          <w:rFonts w:ascii="Garamond" w:eastAsiaTheme="majorEastAsia" w:hAnsi="Garamond" w:cstheme="majorBidi"/>
          <w:b/>
          <w:bCs/>
          <w:sz w:val="28"/>
          <w:szCs w:val="28"/>
          <w:lang w:val="en-GB"/>
        </w:rPr>
      </w:pPr>
    </w:p>
    <w:p w14:paraId="7CDCEE37" w14:textId="42A6450F" w:rsidR="00216737" w:rsidRPr="00702992" w:rsidRDefault="00702992" w:rsidP="00702992">
      <w:pPr>
        <w:pStyle w:val="Heading1"/>
      </w:pPr>
      <w:r>
        <w:t xml:space="preserve">5. </w:t>
      </w:r>
      <w:r w:rsidR="006E249B">
        <w:t xml:space="preserve">Who is bound by EU fundamental rights? </w:t>
      </w:r>
    </w:p>
    <w:p w14:paraId="480A5F3B" w14:textId="38A7D1FF" w:rsidR="003466F9" w:rsidRPr="00547EE8" w:rsidRDefault="003466F9" w:rsidP="003466F9">
      <w:pPr>
        <w:numPr>
          <w:ilvl w:val="0"/>
          <w:numId w:val="17"/>
        </w:numPr>
        <w:spacing w:after="120"/>
        <w:jc w:val="both"/>
        <w:rPr>
          <w:rFonts w:ascii="Garamond" w:hAnsi="Garamond"/>
          <w:sz w:val="24"/>
          <w:szCs w:val="24"/>
          <w:lang w:val="en-GB"/>
        </w:rPr>
      </w:pPr>
      <w:r w:rsidRPr="00C053C1">
        <w:rPr>
          <w:rFonts w:ascii="Garamond" w:hAnsi="Garamond"/>
          <w:sz w:val="24"/>
          <w:szCs w:val="24"/>
        </w:rPr>
        <w:t>So far, we</w:t>
      </w:r>
      <w:r w:rsidR="00654BC1" w:rsidRPr="00C053C1">
        <w:rPr>
          <w:rFonts w:ascii="Garamond" w:hAnsi="Garamond"/>
          <w:sz w:val="24"/>
          <w:szCs w:val="24"/>
        </w:rPr>
        <w:t xml:space="preserve"> have</w:t>
      </w:r>
      <w:r w:rsidRPr="00C053C1">
        <w:rPr>
          <w:rFonts w:ascii="Garamond" w:hAnsi="Garamond"/>
          <w:sz w:val="24"/>
          <w:szCs w:val="24"/>
        </w:rPr>
        <w:t xml:space="preserve"> looked at the sources of fundamental rights and examples of specific rights which are protected in the EU legal order. But what is the scope of application of EU fundamental rights? Who do they apply to?</w:t>
      </w:r>
    </w:p>
    <w:p w14:paraId="21B1DD2C" w14:textId="77777777" w:rsidR="00547EE8" w:rsidRPr="00C053C1" w:rsidRDefault="00547EE8" w:rsidP="00547EE8">
      <w:pPr>
        <w:spacing w:after="120"/>
        <w:ind w:left="360"/>
        <w:jc w:val="both"/>
        <w:rPr>
          <w:rFonts w:ascii="Garamond" w:hAnsi="Garamond"/>
          <w:sz w:val="24"/>
          <w:szCs w:val="24"/>
          <w:lang w:val="en-GB"/>
        </w:rPr>
      </w:pPr>
    </w:p>
    <w:p w14:paraId="5FE1F6FA" w14:textId="0B2C92DA" w:rsidR="000C0105" w:rsidRPr="00FC336B" w:rsidRDefault="00FC336B" w:rsidP="00FC336B">
      <w:pPr>
        <w:pStyle w:val="Heading2"/>
      </w:pPr>
      <w:r w:rsidRPr="00FC336B">
        <w:t xml:space="preserve">5.1 </w:t>
      </w:r>
      <w:r w:rsidR="000C0105" w:rsidRPr="00FC336B">
        <w:t>EU Institutions</w:t>
      </w:r>
    </w:p>
    <w:p w14:paraId="0499C512" w14:textId="524F0B4E" w:rsidR="00C053C1" w:rsidRDefault="00794B9E" w:rsidP="00794B9E">
      <w:pPr>
        <w:numPr>
          <w:ilvl w:val="0"/>
          <w:numId w:val="17"/>
        </w:numPr>
        <w:spacing w:after="120"/>
        <w:jc w:val="both"/>
        <w:rPr>
          <w:rFonts w:ascii="Garamond" w:hAnsi="Garamond"/>
          <w:sz w:val="24"/>
          <w:szCs w:val="24"/>
          <w:lang w:val="en-GB"/>
        </w:rPr>
      </w:pPr>
      <w:r w:rsidRPr="00C053C1">
        <w:rPr>
          <w:rFonts w:ascii="Garamond" w:hAnsi="Garamond"/>
          <w:sz w:val="24"/>
          <w:szCs w:val="24"/>
          <w:lang w:val="en-GB"/>
        </w:rPr>
        <w:t xml:space="preserve">As you may </w:t>
      </w:r>
      <w:r w:rsidR="001F3873" w:rsidRPr="00C053C1">
        <w:rPr>
          <w:rFonts w:ascii="Garamond" w:hAnsi="Garamond"/>
          <w:sz w:val="24"/>
          <w:szCs w:val="24"/>
          <w:lang w:val="en-GB"/>
        </w:rPr>
        <w:t>remember</w:t>
      </w:r>
      <w:r w:rsidR="002C54DD" w:rsidRPr="00C053C1">
        <w:rPr>
          <w:rFonts w:ascii="Garamond" w:hAnsi="Garamond"/>
          <w:sz w:val="24"/>
          <w:szCs w:val="24"/>
          <w:lang w:val="en-GB"/>
        </w:rPr>
        <w:t xml:space="preserve"> from the early case law</w:t>
      </w:r>
      <w:r w:rsidRPr="00C053C1">
        <w:rPr>
          <w:rFonts w:ascii="Garamond" w:hAnsi="Garamond"/>
          <w:sz w:val="24"/>
          <w:szCs w:val="24"/>
          <w:lang w:val="en-GB"/>
        </w:rPr>
        <w:t xml:space="preserve">, </w:t>
      </w:r>
      <w:r w:rsidR="00C053C1">
        <w:rPr>
          <w:rFonts w:ascii="Garamond" w:hAnsi="Garamond"/>
          <w:sz w:val="24"/>
          <w:szCs w:val="24"/>
          <w:lang w:val="en-GB"/>
        </w:rPr>
        <w:t>EU</w:t>
      </w:r>
      <w:r w:rsidRPr="00C053C1">
        <w:rPr>
          <w:rFonts w:ascii="Garamond" w:hAnsi="Garamond"/>
          <w:sz w:val="24"/>
          <w:szCs w:val="24"/>
          <w:lang w:val="en-GB"/>
        </w:rPr>
        <w:t xml:space="preserve"> human rights had been developed to bind the EU institutions. Thus, the question of whether Union institutions are bound by fundamental rights is relatively straightforward: the institutions must always </w:t>
      </w:r>
      <w:r w:rsidR="00594EA3" w:rsidRPr="00C053C1">
        <w:rPr>
          <w:rFonts w:ascii="Garamond" w:hAnsi="Garamond"/>
          <w:sz w:val="24"/>
          <w:szCs w:val="24"/>
          <w:lang w:val="en-GB"/>
        </w:rPr>
        <w:t>com</w:t>
      </w:r>
      <w:r w:rsidR="002C54DD" w:rsidRPr="00C053C1">
        <w:rPr>
          <w:rFonts w:ascii="Garamond" w:hAnsi="Garamond"/>
          <w:sz w:val="24"/>
          <w:szCs w:val="24"/>
          <w:lang w:val="en-GB"/>
        </w:rPr>
        <w:t>ply with EU fundamental rights.</w:t>
      </w:r>
      <w:r w:rsidR="00660888" w:rsidRPr="00C053C1">
        <w:rPr>
          <w:rFonts w:ascii="Garamond" w:hAnsi="Garamond"/>
          <w:sz w:val="24"/>
          <w:szCs w:val="24"/>
          <w:lang w:val="en-GB"/>
        </w:rPr>
        <w:t xml:space="preserve"> </w:t>
      </w:r>
      <w:r w:rsidR="00AF54FD" w:rsidRPr="00C053C1">
        <w:rPr>
          <w:rFonts w:ascii="Garamond" w:hAnsi="Garamond"/>
          <w:sz w:val="24"/>
          <w:szCs w:val="24"/>
          <w:lang w:val="en-GB"/>
        </w:rPr>
        <w:t xml:space="preserve">An example </w:t>
      </w:r>
      <w:r w:rsidR="002C75B4" w:rsidRPr="00C053C1">
        <w:rPr>
          <w:rFonts w:ascii="Garamond" w:hAnsi="Garamond"/>
          <w:sz w:val="24"/>
          <w:szCs w:val="24"/>
          <w:lang w:val="en-GB"/>
        </w:rPr>
        <w:t>that</w:t>
      </w:r>
      <w:r w:rsidR="00AF54FD" w:rsidRPr="00C053C1">
        <w:rPr>
          <w:rFonts w:ascii="Garamond" w:hAnsi="Garamond"/>
          <w:sz w:val="24"/>
          <w:szCs w:val="24"/>
          <w:lang w:val="en-GB"/>
        </w:rPr>
        <w:t xml:space="preserve"> is often discussed in the literature is </w:t>
      </w:r>
      <w:r w:rsidR="00660888" w:rsidRPr="00C053C1">
        <w:rPr>
          <w:rFonts w:ascii="Garamond" w:hAnsi="Garamond"/>
          <w:i/>
          <w:sz w:val="24"/>
          <w:szCs w:val="24"/>
          <w:lang w:val="en-GB"/>
        </w:rPr>
        <w:t>Kadi</w:t>
      </w:r>
      <w:r w:rsidR="00C053C1">
        <w:rPr>
          <w:rFonts w:ascii="Garamond" w:hAnsi="Garamond"/>
          <w:sz w:val="24"/>
          <w:szCs w:val="24"/>
          <w:lang w:val="en-GB"/>
        </w:rPr>
        <w:t xml:space="preserve">, where the CJEU ruled that EU institutions are bound by the Charter even if they are implementing a UN Security Council resolution. </w:t>
      </w:r>
      <w:r w:rsidR="004E488B" w:rsidRPr="00C053C1">
        <w:rPr>
          <w:rFonts w:ascii="Garamond" w:hAnsi="Garamond"/>
          <w:sz w:val="24"/>
          <w:szCs w:val="24"/>
          <w:lang w:val="en-GB"/>
        </w:rPr>
        <w:t xml:space="preserve">In addition, Article 51(1) of the Charter clearly specifies that the provisions of the Charter are </w:t>
      </w:r>
      <w:r w:rsidR="00156FEC">
        <w:rPr>
          <w:rFonts w:ascii="Garamond" w:hAnsi="Garamond"/>
          <w:sz w:val="24"/>
          <w:szCs w:val="24"/>
          <w:lang w:val="en-GB"/>
        </w:rPr>
        <w:t>‘</w:t>
      </w:r>
      <w:r w:rsidR="004E488B" w:rsidRPr="00C053C1">
        <w:rPr>
          <w:rFonts w:ascii="Garamond" w:hAnsi="Garamond"/>
          <w:sz w:val="24"/>
          <w:szCs w:val="24"/>
          <w:lang w:val="en-GB"/>
        </w:rPr>
        <w:t>addressed to the institutions and bodies of the Union</w:t>
      </w:r>
      <w:r w:rsidR="00156FEC">
        <w:rPr>
          <w:rFonts w:ascii="Garamond" w:hAnsi="Garamond"/>
          <w:sz w:val="24"/>
          <w:szCs w:val="24"/>
          <w:lang w:val="en-GB"/>
        </w:rPr>
        <w:t>’</w:t>
      </w:r>
      <w:r w:rsidR="004E488B" w:rsidRPr="00C053C1">
        <w:rPr>
          <w:rFonts w:ascii="Garamond" w:hAnsi="Garamond"/>
          <w:sz w:val="24"/>
          <w:szCs w:val="24"/>
          <w:lang w:val="en-GB"/>
        </w:rPr>
        <w:t xml:space="preserve">.   </w:t>
      </w:r>
    </w:p>
    <w:p w14:paraId="63222E89" w14:textId="4170B129" w:rsidR="00C053C1" w:rsidRDefault="00C053C1" w:rsidP="00794B9E">
      <w:pPr>
        <w:numPr>
          <w:ilvl w:val="0"/>
          <w:numId w:val="17"/>
        </w:numPr>
        <w:spacing w:after="120"/>
        <w:jc w:val="both"/>
        <w:rPr>
          <w:rFonts w:ascii="Garamond" w:hAnsi="Garamond"/>
          <w:sz w:val="24"/>
          <w:szCs w:val="24"/>
          <w:lang w:val="en-GB"/>
        </w:rPr>
      </w:pPr>
      <w:r>
        <w:rPr>
          <w:rFonts w:ascii="Garamond" w:hAnsi="Garamond"/>
          <w:sz w:val="24"/>
          <w:szCs w:val="24"/>
          <w:lang w:val="en-GB"/>
        </w:rPr>
        <w:t>This issue was revisited during the financial crisis of the 2010s. Many of the bailout</w:t>
      </w:r>
      <w:r w:rsidR="004E488B">
        <w:rPr>
          <w:rFonts w:ascii="Garamond" w:hAnsi="Garamond"/>
          <w:sz w:val="24"/>
          <w:szCs w:val="24"/>
          <w:lang w:val="en-GB"/>
        </w:rPr>
        <w:t xml:space="preserve"> arrangements</w:t>
      </w:r>
      <w:r>
        <w:rPr>
          <w:rFonts w:ascii="Garamond" w:hAnsi="Garamond"/>
          <w:sz w:val="24"/>
          <w:szCs w:val="24"/>
          <w:lang w:val="en-GB"/>
        </w:rPr>
        <w:t xml:space="preserve"> (</w:t>
      </w:r>
      <w:r w:rsidR="00156FEC">
        <w:rPr>
          <w:rFonts w:ascii="Garamond" w:hAnsi="Garamond"/>
          <w:sz w:val="24"/>
          <w:szCs w:val="24"/>
          <w:lang w:val="en-GB"/>
        </w:rPr>
        <w:t xml:space="preserve">extraordinary </w:t>
      </w:r>
      <w:r>
        <w:rPr>
          <w:rFonts w:ascii="Garamond" w:hAnsi="Garamond"/>
          <w:sz w:val="24"/>
          <w:szCs w:val="24"/>
          <w:lang w:val="en-GB"/>
        </w:rPr>
        <w:t>financial assistance</w:t>
      </w:r>
      <w:r w:rsidR="00156FEC">
        <w:rPr>
          <w:rFonts w:ascii="Garamond" w:hAnsi="Garamond"/>
          <w:sz w:val="24"/>
          <w:szCs w:val="24"/>
          <w:lang w:val="en-GB"/>
        </w:rPr>
        <w:t xml:space="preserve"> given to Eurozone countries</w:t>
      </w:r>
      <w:r>
        <w:rPr>
          <w:rFonts w:ascii="Garamond" w:hAnsi="Garamond"/>
          <w:sz w:val="24"/>
          <w:szCs w:val="24"/>
          <w:lang w:val="en-GB"/>
        </w:rPr>
        <w:t xml:space="preserve">) during this time were created outside of EU law, but with the involvement of EU institutions. In </w:t>
      </w:r>
      <w:proofErr w:type="spellStart"/>
      <w:r w:rsidRPr="00C053C1">
        <w:rPr>
          <w:rFonts w:ascii="Garamond" w:hAnsi="Garamond"/>
          <w:i/>
          <w:iCs/>
          <w:sz w:val="24"/>
          <w:szCs w:val="24"/>
          <w:lang w:val="en-GB"/>
        </w:rPr>
        <w:t>Ledra</w:t>
      </w:r>
      <w:proofErr w:type="spellEnd"/>
      <w:r w:rsidRPr="00C053C1">
        <w:rPr>
          <w:rFonts w:ascii="Garamond" w:hAnsi="Garamond"/>
          <w:i/>
          <w:iCs/>
          <w:sz w:val="24"/>
          <w:szCs w:val="24"/>
          <w:lang w:val="en-GB"/>
        </w:rPr>
        <w:t xml:space="preserve"> Advertising</w:t>
      </w:r>
      <w:r>
        <w:rPr>
          <w:rFonts w:ascii="Garamond" w:hAnsi="Garamond"/>
          <w:i/>
          <w:iCs/>
          <w:sz w:val="24"/>
          <w:szCs w:val="24"/>
          <w:lang w:val="en-GB"/>
        </w:rPr>
        <w:t xml:space="preserve"> </w:t>
      </w:r>
      <w:r>
        <w:rPr>
          <w:rFonts w:ascii="Garamond" w:hAnsi="Garamond"/>
          <w:sz w:val="24"/>
          <w:szCs w:val="24"/>
          <w:lang w:val="en-GB"/>
        </w:rPr>
        <w:t xml:space="preserve">(C-8/15), </w:t>
      </w:r>
      <w:r w:rsidR="00156FEC">
        <w:rPr>
          <w:rFonts w:ascii="Garamond" w:hAnsi="Garamond"/>
          <w:sz w:val="24"/>
          <w:szCs w:val="24"/>
          <w:lang w:val="en-GB"/>
        </w:rPr>
        <w:t xml:space="preserve">a case </w:t>
      </w:r>
      <w:r w:rsidR="004E488B">
        <w:rPr>
          <w:rFonts w:ascii="Garamond" w:hAnsi="Garamond"/>
          <w:sz w:val="24"/>
          <w:szCs w:val="24"/>
          <w:lang w:val="en-GB"/>
        </w:rPr>
        <w:t xml:space="preserve">dealing with the “trimming” of bank deposits in Cyprus, the CJEU reiterated that EU institutions are bound by the Charter of Fundamental Rights at all times, even if they are acting outside of EU law. In principle, this ensures that EU institutions cannot use international law to circumvent their obligations under the Treaties. In reality, this is a bit more complicated because being bound by fundamental rights does not mean that the CJEU </w:t>
      </w:r>
      <w:r w:rsidR="00F16822">
        <w:rPr>
          <w:rFonts w:ascii="Garamond" w:hAnsi="Garamond"/>
          <w:sz w:val="24"/>
          <w:szCs w:val="24"/>
          <w:lang w:val="en-GB"/>
        </w:rPr>
        <w:t>will</w:t>
      </w:r>
      <w:r w:rsidR="004E488B">
        <w:rPr>
          <w:rFonts w:ascii="Garamond" w:hAnsi="Garamond"/>
          <w:sz w:val="24"/>
          <w:szCs w:val="24"/>
          <w:lang w:val="en-GB"/>
        </w:rPr>
        <w:t xml:space="preserve"> find a </w:t>
      </w:r>
      <w:r w:rsidR="004E488B" w:rsidRPr="004E488B">
        <w:rPr>
          <w:rFonts w:ascii="Garamond" w:hAnsi="Garamond"/>
          <w:i/>
          <w:iCs/>
          <w:sz w:val="24"/>
          <w:szCs w:val="24"/>
          <w:lang w:val="en-GB"/>
        </w:rPr>
        <w:t>breach</w:t>
      </w:r>
      <w:r w:rsidR="004E488B">
        <w:rPr>
          <w:rFonts w:ascii="Garamond" w:hAnsi="Garamond"/>
          <w:sz w:val="24"/>
          <w:szCs w:val="24"/>
          <w:lang w:val="en-GB"/>
        </w:rPr>
        <w:t xml:space="preserve"> of fundamental rights! </w:t>
      </w:r>
    </w:p>
    <w:p w14:paraId="76EDA160" w14:textId="77777777" w:rsidR="004E488B" w:rsidRDefault="004E488B" w:rsidP="004E488B">
      <w:pPr>
        <w:spacing w:after="120"/>
        <w:ind w:left="360"/>
        <w:jc w:val="both"/>
        <w:rPr>
          <w:rFonts w:ascii="Garamond" w:hAnsi="Garamond"/>
          <w:sz w:val="24"/>
          <w:szCs w:val="24"/>
          <w:lang w:val="en-GB"/>
        </w:rPr>
      </w:pPr>
    </w:p>
    <w:p w14:paraId="355886D7" w14:textId="563AAFA9" w:rsidR="000C0105" w:rsidRPr="00977EBD" w:rsidRDefault="00FC336B" w:rsidP="00FC336B">
      <w:pPr>
        <w:pStyle w:val="Heading2"/>
      </w:pPr>
      <w:r>
        <w:t xml:space="preserve">5.2 </w:t>
      </w:r>
      <w:r w:rsidR="000C0105" w:rsidRPr="00977EBD">
        <w:t>Member States</w:t>
      </w:r>
    </w:p>
    <w:p w14:paraId="08C87841" w14:textId="7BF64A0E" w:rsidR="00734210" w:rsidRDefault="00594EA3" w:rsidP="005E1D06">
      <w:pPr>
        <w:numPr>
          <w:ilvl w:val="0"/>
          <w:numId w:val="17"/>
        </w:numPr>
        <w:spacing w:after="120"/>
        <w:jc w:val="both"/>
        <w:rPr>
          <w:rFonts w:ascii="Garamond" w:hAnsi="Garamond"/>
          <w:sz w:val="24"/>
          <w:szCs w:val="24"/>
          <w:lang w:val="en-GB"/>
        </w:rPr>
      </w:pPr>
      <w:r w:rsidRPr="00547EE8">
        <w:rPr>
          <w:rFonts w:ascii="Garamond" w:hAnsi="Garamond"/>
          <w:sz w:val="24"/>
          <w:szCs w:val="24"/>
          <w:lang w:val="en-GB"/>
        </w:rPr>
        <w:t>A more interesting question is</w:t>
      </w:r>
      <w:r w:rsidR="000C0105" w:rsidRPr="00547EE8">
        <w:rPr>
          <w:rFonts w:ascii="Garamond" w:hAnsi="Garamond"/>
          <w:sz w:val="24"/>
          <w:szCs w:val="24"/>
          <w:lang w:val="en-GB"/>
        </w:rPr>
        <w:t xml:space="preserve"> whether</w:t>
      </w:r>
      <w:r w:rsidRPr="00547EE8">
        <w:rPr>
          <w:rFonts w:ascii="Garamond" w:hAnsi="Garamond"/>
          <w:sz w:val="24"/>
          <w:szCs w:val="24"/>
          <w:lang w:val="en-GB"/>
        </w:rPr>
        <w:t xml:space="preserve"> Member States</w:t>
      </w:r>
      <w:r w:rsidR="000C0105" w:rsidRPr="00547EE8">
        <w:rPr>
          <w:rFonts w:ascii="Garamond" w:hAnsi="Garamond"/>
          <w:sz w:val="24"/>
          <w:szCs w:val="24"/>
          <w:lang w:val="en-GB"/>
        </w:rPr>
        <w:t xml:space="preserve"> are</w:t>
      </w:r>
      <w:r w:rsidRPr="00547EE8">
        <w:rPr>
          <w:rFonts w:ascii="Garamond" w:hAnsi="Garamond"/>
          <w:sz w:val="24"/>
          <w:szCs w:val="24"/>
          <w:lang w:val="en-GB"/>
        </w:rPr>
        <w:t xml:space="preserve"> bound by EU fundamental rights</w:t>
      </w:r>
      <w:r w:rsidR="000C0105" w:rsidRPr="00547EE8">
        <w:rPr>
          <w:rFonts w:ascii="Garamond" w:hAnsi="Garamond"/>
          <w:sz w:val="24"/>
          <w:szCs w:val="24"/>
          <w:lang w:val="en-GB"/>
        </w:rPr>
        <w:t>.</w:t>
      </w:r>
      <w:r w:rsidRPr="00547EE8">
        <w:rPr>
          <w:rFonts w:ascii="Garamond" w:hAnsi="Garamond"/>
          <w:sz w:val="24"/>
          <w:szCs w:val="24"/>
          <w:lang w:val="en-GB"/>
        </w:rPr>
        <w:t xml:space="preserve"> We have seen that </w:t>
      </w:r>
      <w:r w:rsidR="00547EE8">
        <w:rPr>
          <w:rFonts w:ascii="Garamond" w:hAnsi="Garamond"/>
          <w:sz w:val="24"/>
          <w:szCs w:val="24"/>
          <w:lang w:val="en-GB"/>
        </w:rPr>
        <w:t>fundamental rights</w:t>
      </w:r>
      <w:r w:rsidRPr="00547EE8">
        <w:rPr>
          <w:rFonts w:ascii="Garamond" w:hAnsi="Garamond"/>
          <w:sz w:val="24"/>
          <w:szCs w:val="24"/>
          <w:lang w:val="en-GB"/>
        </w:rPr>
        <w:t xml:space="preserve"> emerge from the </w:t>
      </w:r>
      <w:r w:rsidR="007A19AA">
        <w:rPr>
          <w:rFonts w:ascii="Garamond" w:hAnsi="Garamond"/>
          <w:sz w:val="24"/>
          <w:szCs w:val="24"/>
          <w:lang w:val="en-GB"/>
        </w:rPr>
        <w:t>‘</w:t>
      </w:r>
      <w:r w:rsidRPr="00547EE8">
        <w:rPr>
          <w:rFonts w:ascii="Garamond" w:hAnsi="Garamond"/>
          <w:sz w:val="24"/>
          <w:szCs w:val="24"/>
          <w:lang w:val="en-GB"/>
        </w:rPr>
        <w:t>constitutional traditions common to the Member States</w:t>
      </w:r>
      <w:r w:rsidR="007A19AA">
        <w:rPr>
          <w:rFonts w:ascii="Garamond" w:hAnsi="Garamond"/>
          <w:sz w:val="24"/>
          <w:szCs w:val="24"/>
          <w:lang w:val="en-GB"/>
        </w:rPr>
        <w:t>’</w:t>
      </w:r>
      <w:r w:rsidRPr="00547EE8">
        <w:rPr>
          <w:rFonts w:ascii="Garamond" w:hAnsi="Garamond"/>
          <w:sz w:val="24"/>
          <w:szCs w:val="24"/>
          <w:lang w:val="en-GB"/>
        </w:rPr>
        <w:t xml:space="preserve">. </w:t>
      </w:r>
      <w:r w:rsidR="00C22844" w:rsidRPr="00547EE8">
        <w:rPr>
          <w:rFonts w:ascii="Garamond" w:hAnsi="Garamond"/>
          <w:sz w:val="24"/>
          <w:szCs w:val="24"/>
          <w:lang w:val="en-GB"/>
        </w:rPr>
        <w:t xml:space="preserve">However, it is conceivable that </w:t>
      </w:r>
      <w:r w:rsidR="00547EE8">
        <w:rPr>
          <w:rFonts w:ascii="Garamond" w:hAnsi="Garamond"/>
          <w:sz w:val="24"/>
          <w:szCs w:val="24"/>
          <w:lang w:val="en-GB"/>
        </w:rPr>
        <w:t>EU</w:t>
      </w:r>
      <w:r w:rsidR="00C22844" w:rsidRPr="00547EE8">
        <w:rPr>
          <w:rFonts w:ascii="Garamond" w:hAnsi="Garamond"/>
          <w:sz w:val="24"/>
          <w:szCs w:val="24"/>
          <w:lang w:val="en-GB"/>
        </w:rPr>
        <w:t xml:space="preserve"> rights are not always matched by identical rights in the national constitutions. What</w:t>
      </w:r>
      <w:r w:rsidRPr="00547EE8">
        <w:rPr>
          <w:rFonts w:ascii="Garamond" w:hAnsi="Garamond"/>
          <w:sz w:val="24"/>
          <w:szCs w:val="24"/>
          <w:lang w:val="en-GB"/>
        </w:rPr>
        <w:t xml:space="preserve"> </w:t>
      </w:r>
      <w:r w:rsidR="00C22844" w:rsidRPr="00547EE8">
        <w:rPr>
          <w:rFonts w:ascii="Garamond" w:hAnsi="Garamond"/>
          <w:sz w:val="24"/>
          <w:szCs w:val="24"/>
          <w:lang w:val="en-GB"/>
        </w:rPr>
        <w:t>should the Union</w:t>
      </w:r>
      <w:r w:rsidRPr="00547EE8">
        <w:rPr>
          <w:rFonts w:ascii="Garamond" w:hAnsi="Garamond"/>
          <w:sz w:val="24"/>
          <w:szCs w:val="24"/>
          <w:lang w:val="en-GB"/>
        </w:rPr>
        <w:t xml:space="preserve"> do in such a situation? </w:t>
      </w:r>
      <w:r w:rsidR="00C22844" w:rsidRPr="00547EE8">
        <w:rPr>
          <w:rFonts w:ascii="Garamond" w:hAnsi="Garamond"/>
          <w:sz w:val="24"/>
          <w:szCs w:val="24"/>
          <w:lang w:val="en-GB"/>
        </w:rPr>
        <w:lastRenderedPageBreak/>
        <w:t>Should</w:t>
      </w:r>
      <w:r w:rsidRPr="00547EE8">
        <w:rPr>
          <w:rFonts w:ascii="Garamond" w:hAnsi="Garamond"/>
          <w:sz w:val="24"/>
          <w:szCs w:val="24"/>
          <w:lang w:val="en-GB"/>
        </w:rPr>
        <w:t xml:space="preserve"> it oblige Member States to incorporate these new </w:t>
      </w:r>
      <w:r w:rsidR="00547EE8">
        <w:rPr>
          <w:rFonts w:ascii="Garamond" w:hAnsi="Garamond"/>
          <w:sz w:val="24"/>
          <w:szCs w:val="24"/>
          <w:lang w:val="en-GB"/>
        </w:rPr>
        <w:t>EU</w:t>
      </w:r>
      <w:r w:rsidRPr="00547EE8">
        <w:rPr>
          <w:rFonts w:ascii="Garamond" w:hAnsi="Garamond"/>
          <w:sz w:val="24"/>
          <w:szCs w:val="24"/>
          <w:lang w:val="en-GB"/>
        </w:rPr>
        <w:t xml:space="preserve"> rights into their national legal order and </w:t>
      </w:r>
      <w:r w:rsidR="00C22844" w:rsidRPr="00547EE8">
        <w:rPr>
          <w:rFonts w:ascii="Garamond" w:hAnsi="Garamond"/>
          <w:sz w:val="24"/>
          <w:szCs w:val="24"/>
          <w:lang w:val="en-GB"/>
        </w:rPr>
        <w:t>force</w:t>
      </w:r>
      <w:r w:rsidRPr="00547EE8">
        <w:rPr>
          <w:rFonts w:ascii="Garamond" w:hAnsi="Garamond"/>
          <w:sz w:val="24"/>
          <w:szCs w:val="24"/>
          <w:lang w:val="en-GB"/>
        </w:rPr>
        <w:t xml:space="preserve"> their public authorities to obey the </w:t>
      </w:r>
      <w:r w:rsidR="005E1D06" w:rsidRPr="00547EE8">
        <w:rPr>
          <w:rFonts w:ascii="Garamond" w:hAnsi="Garamond"/>
          <w:sz w:val="24"/>
          <w:szCs w:val="24"/>
          <w:lang w:val="en-GB"/>
        </w:rPr>
        <w:t>EU</w:t>
      </w:r>
      <w:r w:rsidRPr="00547EE8">
        <w:rPr>
          <w:rFonts w:ascii="Garamond" w:hAnsi="Garamond"/>
          <w:sz w:val="24"/>
          <w:szCs w:val="24"/>
          <w:lang w:val="en-GB"/>
        </w:rPr>
        <w:t xml:space="preserve"> standard</w:t>
      </w:r>
      <w:r w:rsidR="005E1D06" w:rsidRPr="00547EE8">
        <w:rPr>
          <w:rFonts w:ascii="Garamond" w:hAnsi="Garamond"/>
          <w:sz w:val="24"/>
          <w:szCs w:val="24"/>
          <w:lang w:val="en-GB"/>
        </w:rPr>
        <w:t xml:space="preserve"> of protection</w:t>
      </w:r>
      <w:r w:rsidRPr="00547EE8">
        <w:rPr>
          <w:rFonts w:ascii="Garamond" w:hAnsi="Garamond"/>
          <w:sz w:val="24"/>
          <w:szCs w:val="24"/>
          <w:lang w:val="en-GB"/>
        </w:rPr>
        <w:t xml:space="preserve">? Or, alternatively, </w:t>
      </w:r>
      <w:r w:rsidR="00C22844" w:rsidRPr="00547EE8">
        <w:rPr>
          <w:rFonts w:ascii="Garamond" w:hAnsi="Garamond"/>
          <w:sz w:val="24"/>
          <w:szCs w:val="24"/>
          <w:lang w:val="en-GB"/>
        </w:rPr>
        <w:t>should</w:t>
      </w:r>
      <w:r w:rsidRPr="00547EE8">
        <w:rPr>
          <w:rFonts w:ascii="Garamond" w:hAnsi="Garamond"/>
          <w:sz w:val="24"/>
          <w:szCs w:val="24"/>
          <w:lang w:val="en-GB"/>
        </w:rPr>
        <w:t xml:space="preserve"> the EU legal order adopt the less aggressive stance and apply </w:t>
      </w:r>
      <w:r w:rsidR="00547EE8">
        <w:rPr>
          <w:rFonts w:ascii="Garamond" w:hAnsi="Garamond"/>
          <w:sz w:val="24"/>
          <w:szCs w:val="24"/>
          <w:lang w:val="en-GB"/>
        </w:rPr>
        <w:t>fundamental</w:t>
      </w:r>
      <w:r w:rsidRPr="00547EE8">
        <w:rPr>
          <w:rFonts w:ascii="Garamond" w:hAnsi="Garamond"/>
          <w:sz w:val="24"/>
          <w:szCs w:val="24"/>
          <w:lang w:val="en-GB"/>
        </w:rPr>
        <w:t xml:space="preserve"> rights</w:t>
      </w:r>
      <w:r w:rsidR="00547EE8">
        <w:rPr>
          <w:rFonts w:ascii="Garamond" w:hAnsi="Garamond"/>
          <w:sz w:val="24"/>
          <w:szCs w:val="24"/>
          <w:lang w:val="en-GB"/>
        </w:rPr>
        <w:t xml:space="preserve"> obligations</w:t>
      </w:r>
      <w:r w:rsidRPr="00547EE8">
        <w:rPr>
          <w:rFonts w:ascii="Garamond" w:hAnsi="Garamond"/>
          <w:sz w:val="24"/>
          <w:szCs w:val="24"/>
          <w:lang w:val="en-GB"/>
        </w:rPr>
        <w:t xml:space="preserve"> only to its institutions? The Court has steered a middle path between these two extremes. The Court has accepted that Member States can be bound by </w:t>
      </w:r>
      <w:r w:rsidR="00734210">
        <w:rPr>
          <w:rFonts w:ascii="Garamond" w:hAnsi="Garamond"/>
          <w:sz w:val="24"/>
          <w:szCs w:val="24"/>
          <w:lang w:val="en-GB"/>
        </w:rPr>
        <w:t>EU fundamental rights</w:t>
      </w:r>
      <w:r w:rsidRPr="00547EE8">
        <w:rPr>
          <w:rFonts w:ascii="Garamond" w:hAnsi="Garamond"/>
          <w:sz w:val="24"/>
          <w:szCs w:val="24"/>
          <w:lang w:val="en-GB"/>
        </w:rPr>
        <w:t xml:space="preserve">, but only </w:t>
      </w:r>
      <w:r w:rsidR="00734210">
        <w:rPr>
          <w:rFonts w:ascii="Garamond" w:hAnsi="Garamond"/>
          <w:sz w:val="24"/>
          <w:szCs w:val="24"/>
          <w:lang w:val="en-GB"/>
        </w:rPr>
        <w:t xml:space="preserve">in three scenarios. </w:t>
      </w:r>
    </w:p>
    <w:p w14:paraId="321F2C7A" w14:textId="3577D505" w:rsidR="004F0718" w:rsidRPr="002B0924" w:rsidRDefault="00734210" w:rsidP="002B0924">
      <w:pPr>
        <w:numPr>
          <w:ilvl w:val="0"/>
          <w:numId w:val="17"/>
        </w:numPr>
        <w:spacing w:after="120"/>
        <w:jc w:val="both"/>
        <w:rPr>
          <w:rFonts w:ascii="Garamond" w:hAnsi="Garamond"/>
          <w:sz w:val="24"/>
          <w:szCs w:val="24"/>
          <w:lang w:val="en-GB"/>
        </w:rPr>
      </w:pPr>
      <w:r>
        <w:rPr>
          <w:rFonts w:ascii="Garamond" w:hAnsi="Garamond"/>
          <w:sz w:val="24"/>
          <w:szCs w:val="24"/>
          <w:lang w:val="en-GB"/>
        </w:rPr>
        <w:t>As general principles, EU fundamental rights bind the Member States (1) when they are applying human rights legislation, (2) when they are implementing any type of EU legislatio</w:t>
      </w:r>
      <w:r w:rsidR="00C70160">
        <w:rPr>
          <w:rFonts w:ascii="Garamond" w:hAnsi="Garamond"/>
          <w:sz w:val="24"/>
          <w:szCs w:val="24"/>
          <w:lang w:val="en-GB"/>
        </w:rPr>
        <w:t xml:space="preserve">n </w:t>
      </w:r>
      <w:r w:rsidR="00CA654D">
        <w:rPr>
          <w:rFonts w:ascii="Garamond" w:hAnsi="Garamond"/>
          <w:sz w:val="24"/>
          <w:szCs w:val="24"/>
          <w:lang w:val="en-GB"/>
        </w:rPr>
        <w:t>(</w:t>
      </w:r>
      <w:r w:rsidR="00C70160">
        <w:rPr>
          <w:rFonts w:ascii="Garamond" w:hAnsi="Garamond"/>
          <w:sz w:val="24"/>
          <w:szCs w:val="24"/>
          <w:lang w:val="en-GB"/>
        </w:rPr>
        <w:t>even if</w:t>
      </w:r>
      <w:r w:rsidR="00CA654D">
        <w:rPr>
          <w:rFonts w:ascii="Garamond" w:hAnsi="Garamond"/>
          <w:sz w:val="24"/>
          <w:szCs w:val="24"/>
          <w:lang w:val="en-GB"/>
        </w:rPr>
        <w:t xml:space="preserve"> the</w:t>
      </w:r>
      <w:r w:rsidR="00C70160">
        <w:rPr>
          <w:rFonts w:ascii="Garamond" w:hAnsi="Garamond"/>
          <w:sz w:val="24"/>
          <w:szCs w:val="24"/>
          <w:lang w:val="en-GB"/>
        </w:rPr>
        <w:t xml:space="preserve"> </w:t>
      </w:r>
      <w:r w:rsidR="00CA654D">
        <w:rPr>
          <w:rFonts w:ascii="Garamond" w:hAnsi="Garamond"/>
          <w:sz w:val="24"/>
          <w:szCs w:val="24"/>
          <w:lang w:val="en-GB"/>
        </w:rPr>
        <w:t>legislation is seemingly unrelated to fundamental rights)</w:t>
      </w:r>
      <w:r w:rsidRPr="00CA654D">
        <w:rPr>
          <w:rFonts w:ascii="Garamond" w:hAnsi="Garamond"/>
          <w:sz w:val="24"/>
          <w:szCs w:val="24"/>
          <w:lang w:val="en-GB"/>
        </w:rPr>
        <w:t xml:space="preserve">, (3) </w:t>
      </w:r>
      <w:r w:rsidR="00C70160" w:rsidRPr="00CA654D">
        <w:rPr>
          <w:rFonts w:ascii="Garamond" w:hAnsi="Garamond"/>
          <w:sz w:val="24"/>
          <w:szCs w:val="24"/>
          <w:lang w:val="en-GB"/>
        </w:rPr>
        <w:t xml:space="preserve">generally </w:t>
      </w:r>
      <w:r w:rsidRPr="00CA654D">
        <w:rPr>
          <w:rFonts w:ascii="Garamond" w:hAnsi="Garamond"/>
          <w:sz w:val="24"/>
          <w:szCs w:val="24"/>
          <w:lang w:val="en-GB"/>
        </w:rPr>
        <w:t>when they are acting within the scope of EU law</w:t>
      </w:r>
      <w:r w:rsidR="00C70160" w:rsidRPr="00CA654D">
        <w:rPr>
          <w:rFonts w:ascii="Garamond" w:hAnsi="Garamond"/>
          <w:sz w:val="24"/>
          <w:szCs w:val="24"/>
          <w:lang w:val="en-GB"/>
        </w:rPr>
        <w:t xml:space="preserve">. </w:t>
      </w:r>
      <w:r w:rsidR="00CA654D" w:rsidRPr="00CA654D">
        <w:rPr>
          <w:rFonts w:ascii="Garamond" w:hAnsi="Garamond"/>
          <w:sz w:val="24"/>
          <w:szCs w:val="24"/>
          <w:lang w:val="en-GB"/>
        </w:rPr>
        <w:t>The</w:t>
      </w:r>
      <w:r w:rsidR="00C70160" w:rsidRPr="00CA654D">
        <w:rPr>
          <w:rFonts w:ascii="Garamond" w:hAnsi="Garamond"/>
          <w:sz w:val="24"/>
          <w:szCs w:val="24"/>
          <w:lang w:val="en-GB"/>
        </w:rPr>
        <w:t xml:space="preserve"> third scenario</w:t>
      </w:r>
      <w:r w:rsidR="00CA654D" w:rsidRPr="00CA654D">
        <w:rPr>
          <w:rFonts w:ascii="Garamond" w:hAnsi="Garamond"/>
          <w:sz w:val="24"/>
          <w:szCs w:val="24"/>
          <w:lang w:val="en-GB"/>
        </w:rPr>
        <w:t xml:space="preserve"> usually</w:t>
      </w:r>
      <w:r w:rsidR="00C70160" w:rsidRPr="00CA654D">
        <w:rPr>
          <w:rFonts w:ascii="Garamond" w:hAnsi="Garamond"/>
          <w:sz w:val="24"/>
          <w:szCs w:val="24"/>
          <w:lang w:val="en-GB"/>
        </w:rPr>
        <w:t xml:space="preserve"> concerned situations where Member States “derogat</w:t>
      </w:r>
      <w:r w:rsidR="00CA654D" w:rsidRPr="00CA654D">
        <w:rPr>
          <w:rFonts w:ascii="Garamond" w:hAnsi="Garamond"/>
          <w:sz w:val="24"/>
          <w:szCs w:val="24"/>
          <w:lang w:val="en-GB"/>
        </w:rPr>
        <w:t>e</w:t>
      </w:r>
      <w:r w:rsidR="00C70160" w:rsidRPr="00CA654D">
        <w:rPr>
          <w:rFonts w:ascii="Garamond" w:hAnsi="Garamond"/>
          <w:sz w:val="24"/>
          <w:szCs w:val="24"/>
          <w:lang w:val="en-GB"/>
        </w:rPr>
        <w:t xml:space="preserve">” from free movement rules. </w:t>
      </w:r>
      <w:r w:rsidR="00C70160" w:rsidRPr="00CA654D">
        <w:rPr>
          <w:rFonts w:ascii="Garamond" w:hAnsi="Garamond"/>
          <w:sz w:val="24"/>
          <w:szCs w:val="24"/>
          <w:lang w:val="en-GB"/>
        </w:rPr>
        <w:t xml:space="preserve">For example, a Member State may want to stop someone from entering the country due to public security reasons, but they must still offer that person </w:t>
      </w:r>
      <w:r w:rsidR="00D869DD">
        <w:rPr>
          <w:rFonts w:ascii="Garamond" w:hAnsi="Garamond"/>
          <w:sz w:val="24"/>
          <w:szCs w:val="24"/>
          <w:lang w:val="en-GB"/>
        </w:rPr>
        <w:t>basic human rights</w:t>
      </w:r>
      <w:r w:rsidR="00C70160" w:rsidRPr="00CA654D">
        <w:rPr>
          <w:rFonts w:ascii="Garamond" w:hAnsi="Garamond"/>
          <w:sz w:val="24"/>
          <w:szCs w:val="24"/>
          <w:lang w:val="en-GB"/>
        </w:rPr>
        <w:t>, such as a fair trial</w:t>
      </w:r>
      <w:r w:rsidR="00D869DD">
        <w:rPr>
          <w:rFonts w:ascii="Garamond" w:hAnsi="Garamond"/>
          <w:sz w:val="24"/>
          <w:szCs w:val="24"/>
          <w:lang w:val="en-GB"/>
        </w:rPr>
        <w:t xml:space="preserve">, because this is an area </w:t>
      </w:r>
      <w:r w:rsidR="007A19AA">
        <w:rPr>
          <w:rFonts w:ascii="Garamond" w:hAnsi="Garamond"/>
          <w:sz w:val="24"/>
          <w:szCs w:val="24"/>
          <w:lang w:val="en-GB"/>
        </w:rPr>
        <w:t xml:space="preserve">broadly </w:t>
      </w:r>
      <w:r w:rsidR="00D869DD">
        <w:rPr>
          <w:rFonts w:ascii="Garamond" w:hAnsi="Garamond"/>
          <w:sz w:val="24"/>
          <w:szCs w:val="24"/>
          <w:lang w:val="en-GB"/>
        </w:rPr>
        <w:t>captured by EU law</w:t>
      </w:r>
      <w:r w:rsidR="00C70160" w:rsidRPr="00CA654D">
        <w:rPr>
          <w:rFonts w:ascii="Garamond" w:hAnsi="Garamond"/>
          <w:sz w:val="24"/>
          <w:szCs w:val="24"/>
          <w:lang w:val="en-GB"/>
        </w:rPr>
        <w:t>. See</w:t>
      </w:r>
      <w:r w:rsidR="00C70160" w:rsidRPr="00CA654D">
        <w:rPr>
          <w:rFonts w:ascii="Garamond" w:hAnsi="Garamond"/>
          <w:sz w:val="24"/>
          <w:szCs w:val="24"/>
          <w:lang w:val="en-GB"/>
        </w:rPr>
        <w:t xml:space="preserve"> generally</w:t>
      </w:r>
      <w:r w:rsidR="00C70160" w:rsidRPr="00CA654D">
        <w:rPr>
          <w:rFonts w:ascii="Garamond" w:hAnsi="Garamond"/>
          <w:sz w:val="24"/>
          <w:szCs w:val="24"/>
          <w:lang w:val="en-GB"/>
        </w:rPr>
        <w:t xml:space="preserve">, </w:t>
      </w:r>
      <w:r w:rsidR="00C70160" w:rsidRPr="00CA654D">
        <w:rPr>
          <w:rFonts w:ascii="Garamond" w:hAnsi="Garamond"/>
          <w:i/>
          <w:sz w:val="24"/>
          <w:szCs w:val="24"/>
          <w:lang w:val="en-GB"/>
        </w:rPr>
        <w:t>ERT</w:t>
      </w:r>
      <w:r w:rsidR="00C70160" w:rsidRPr="00CA654D">
        <w:rPr>
          <w:rFonts w:ascii="Garamond" w:hAnsi="Garamond"/>
          <w:sz w:val="24"/>
          <w:szCs w:val="24"/>
          <w:lang w:val="en-GB"/>
        </w:rPr>
        <w:t xml:space="preserve"> (Case C-260/89), paras 42-45.</w:t>
      </w:r>
      <w:r w:rsidR="002B0924">
        <w:rPr>
          <w:rFonts w:ascii="Garamond" w:hAnsi="Garamond"/>
          <w:sz w:val="24"/>
          <w:szCs w:val="24"/>
          <w:lang w:val="en-GB"/>
        </w:rPr>
        <w:t xml:space="preserve"> </w:t>
      </w:r>
      <w:r w:rsidR="00CA654D" w:rsidRPr="002B0924">
        <w:rPr>
          <w:rFonts w:ascii="Garamond" w:hAnsi="Garamond"/>
          <w:sz w:val="24"/>
          <w:szCs w:val="24"/>
          <w:lang w:val="en-GB"/>
        </w:rPr>
        <w:t>The introduction of the Charter brought a bit of confusion, because Article 51(1) states that the Charter only applies to the Member States when they</w:t>
      </w:r>
      <w:r w:rsidR="00D869DD" w:rsidRPr="002B0924">
        <w:rPr>
          <w:rFonts w:ascii="Garamond" w:hAnsi="Garamond"/>
          <w:sz w:val="24"/>
          <w:szCs w:val="24"/>
          <w:lang w:val="en-GB"/>
        </w:rPr>
        <w:t xml:space="preserve"> are</w:t>
      </w:r>
      <w:r w:rsidR="00CA654D" w:rsidRPr="002B0924">
        <w:rPr>
          <w:rFonts w:ascii="Garamond" w:hAnsi="Garamond"/>
          <w:sz w:val="24"/>
          <w:szCs w:val="24"/>
          <w:lang w:val="en-GB"/>
        </w:rPr>
        <w:t xml:space="preserve"> ‘implement</w:t>
      </w:r>
      <w:r w:rsidR="00D869DD" w:rsidRPr="002B0924">
        <w:rPr>
          <w:rFonts w:ascii="Garamond" w:hAnsi="Garamond"/>
          <w:sz w:val="24"/>
          <w:szCs w:val="24"/>
          <w:lang w:val="en-GB"/>
        </w:rPr>
        <w:t>ing</w:t>
      </w:r>
      <w:r w:rsidR="00CA654D" w:rsidRPr="002B0924">
        <w:rPr>
          <w:rFonts w:ascii="Garamond" w:hAnsi="Garamond"/>
          <w:sz w:val="24"/>
          <w:szCs w:val="24"/>
          <w:lang w:val="en-GB"/>
        </w:rPr>
        <w:t xml:space="preserve">’ EU law. However, the </w:t>
      </w:r>
      <w:r w:rsidR="00D869DD" w:rsidRPr="002B0924">
        <w:rPr>
          <w:rFonts w:ascii="Garamond" w:hAnsi="Garamond"/>
          <w:sz w:val="24"/>
          <w:szCs w:val="24"/>
          <w:lang w:val="en-GB"/>
        </w:rPr>
        <w:t xml:space="preserve">CJEU </w:t>
      </w:r>
      <w:r w:rsidR="004F0718" w:rsidRPr="002B0924">
        <w:rPr>
          <w:rFonts w:ascii="Garamond" w:hAnsi="Garamond"/>
          <w:sz w:val="24"/>
          <w:szCs w:val="24"/>
          <w:lang w:val="en-GB"/>
        </w:rPr>
        <w:t xml:space="preserve">soon </w:t>
      </w:r>
      <w:r w:rsidR="00D869DD" w:rsidRPr="002B0924">
        <w:rPr>
          <w:rFonts w:ascii="Garamond" w:hAnsi="Garamond"/>
          <w:sz w:val="24"/>
          <w:szCs w:val="24"/>
          <w:lang w:val="en-GB"/>
        </w:rPr>
        <w:t>adopted a broad interpretation of this provision, so the scope of application of the Charter is</w:t>
      </w:r>
      <w:r w:rsidR="001865AD" w:rsidRPr="002B0924">
        <w:rPr>
          <w:rFonts w:ascii="Garamond" w:hAnsi="Garamond"/>
          <w:sz w:val="24"/>
          <w:szCs w:val="24"/>
          <w:lang w:val="en-GB"/>
        </w:rPr>
        <w:t xml:space="preserve"> </w:t>
      </w:r>
      <w:r w:rsidR="00D869DD" w:rsidRPr="002B0924">
        <w:rPr>
          <w:rFonts w:ascii="Garamond" w:hAnsi="Garamond"/>
          <w:sz w:val="24"/>
          <w:szCs w:val="24"/>
          <w:lang w:val="en-GB"/>
        </w:rPr>
        <w:t xml:space="preserve">identical to the scope of application of </w:t>
      </w:r>
      <w:r w:rsidR="007A19AA" w:rsidRPr="002B0924">
        <w:rPr>
          <w:rFonts w:ascii="Garamond" w:hAnsi="Garamond"/>
          <w:sz w:val="24"/>
          <w:szCs w:val="24"/>
          <w:lang w:val="en-GB"/>
        </w:rPr>
        <w:t xml:space="preserve">fundamental rights as </w:t>
      </w:r>
      <w:r w:rsidR="00D869DD" w:rsidRPr="002B0924">
        <w:rPr>
          <w:rFonts w:ascii="Garamond" w:hAnsi="Garamond"/>
          <w:sz w:val="24"/>
          <w:szCs w:val="24"/>
          <w:lang w:val="en-GB"/>
        </w:rPr>
        <w:t xml:space="preserve">general principles. </w:t>
      </w:r>
    </w:p>
    <w:p w14:paraId="742DAB3D" w14:textId="77777777" w:rsidR="001865AD" w:rsidRPr="004F0718" w:rsidRDefault="001865AD" w:rsidP="001865AD">
      <w:pPr>
        <w:spacing w:after="120"/>
        <w:jc w:val="both"/>
        <w:rPr>
          <w:rFonts w:ascii="Garamond" w:hAnsi="Garamond"/>
          <w:sz w:val="24"/>
          <w:szCs w:val="24"/>
          <w:lang w:val="en-GB"/>
        </w:rPr>
      </w:pPr>
    </w:p>
    <w:p w14:paraId="170F2685" w14:textId="77777777" w:rsidR="001865AD" w:rsidRDefault="001865AD" w:rsidP="001865AD">
      <w:pPr>
        <w:pStyle w:val="ListParagraph"/>
        <w:numPr>
          <w:ilvl w:val="0"/>
          <w:numId w:val="7"/>
        </w:numPr>
        <w:spacing w:after="120"/>
        <w:jc w:val="both"/>
        <w:rPr>
          <w:rFonts w:ascii="Garamond" w:hAnsi="Garamond"/>
          <w:sz w:val="24"/>
          <w:szCs w:val="24"/>
          <w:lang w:val="en-GB"/>
        </w:rPr>
      </w:pPr>
      <w:r>
        <w:rPr>
          <w:rFonts w:ascii="Garamond" w:hAnsi="Garamond"/>
          <w:sz w:val="24"/>
          <w:szCs w:val="24"/>
          <w:lang w:val="en-GB"/>
        </w:rPr>
        <w:t>Article 51(1), Charter of Fundamental Rights of the EU</w:t>
      </w:r>
    </w:p>
    <w:p w14:paraId="3B456A66" w14:textId="77777777" w:rsidR="001865AD" w:rsidRPr="00B14243" w:rsidRDefault="001865AD" w:rsidP="001865AD">
      <w:pPr>
        <w:pStyle w:val="ListParagraph"/>
        <w:spacing w:after="120"/>
        <w:ind w:left="1440"/>
        <w:jc w:val="both"/>
        <w:rPr>
          <w:rFonts w:ascii="Garamond" w:hAnsi="Garamond"/>
          <w:sz w:val="20"/>
          <w:szCs w:val="20"/>
          <w:lang w:val="en-GB"/>
        </w:rPr>
      </w:pPr>
    </w:p>
    <w:p w14:paraId="710F99BA" w14:textId="77777777" w:rsidR="001865AD" w:rsidRPr="00B14243" w:rsidRDefault="001865AD" w:rsidP="001865AD">
      <w:pPr>
        <w:pStyle w:val="ListParagraph"/>
        <w:autoSpaceDE w:val="0"/>
        <w:autoSpaceDN w:val="0"/>
        <w:adjustRightInd w:val="0"/>
        <w:spacing w:after="0" w:line="240" w:lineRule="auto"/>
        <w:ind w:left="1080"/>
        <w:jc w:val="both"/>
        <w:rPr>
          <w:rFonts w:ascii="Garamond" w:eastAsiaTheme="minorHAnsi" w:hAnsi="Garamond" w:cs="AdvALBR"/>
          <w:sz w:val="20"/>
          <w:szCs w:val="20"/>
          <w:lang w:val="en-GB"/>
        </w:rPr>
      </w:pPr>
      <w:r w:rsidRPr="00B14243">
        <w:rPr>
          <w:rFonts w:ascii="Garamond" w:eastAsiaTheme="minorHAnsi" w:hAnsi="Garamond" w:cs="AdvALBR"/>
          <w:sz w:val="20"/>
          <w:szCs w:val="20"/>
          <w:lang w:val="en-GB"/>
        </w:rPr>
        <w:t xml:space="preserve">The provisions of this Charter are addressed to the institutions and bodies of the Union with due regard for the principle of subsidiarity and </w:t>
      </w:r>
      <w:r w:rsidRPr="00B14243">
        <w:rPr>
          <w:rFonts w:ascii="Garamond" w:eastAsiaTheme="minorHAnsi" w:hAnsi="Garamond" w:cs="AdvALBR"/>
          <w:sz w:val="20"/>
          <w:szCs w:val="20"/>
          <w:u w:val="single"/>
          <w:lang w:val="en-GB"/>
        </w:rPr>
        <w:t>to the Member States only when they are implementing Union law</w:t>
      </w:r>
      <w:r w:rsidRPr="00B14243">
        <w:rPr>
          <w:rFonts w:ascii="Garamond" w:eastAsiaTheme="minorHAnsi" w:hAnsi="Garamond" w:cs="AdvALBR"/>
          <w:sz w:val="20"/>
          <w:szCs w:val="20"/>
          <w:lang w:val="en-GB"/>
        </w:rPr>
        <w:t xml:space="preserve">. They shall therefore respect the rights, observe the </w:t>
      </w:r>
      <w:proofErr w:type="gramStart"/>
      <w:r w:rsidRPr="00B14243">
        <w:rPr>
          <w:rFonts w:ascii="Garamond" w:eastAsiaTheme="minorHAnsi" w:hAnsi="Garamond" w:cs="AdvALBR"/>
          <w:sz w:val="20"/>
          <w:szCs w:val="20"/>
          <w:lang w:val="en-GB"/>
        </w:rPr>
        <w:t>principles</w:t>
      </w:r>
      <w:proofErr w:type="gramEnd"/>
      <w:r w:rsidRPr="00B14243">
        <w:rPr>
          <w:rFonts w:ascii="Garamond" w:eastAsiaTheme="minorHAnsi" w:hAnsi="Garamond" w:cs="AdvALBR"/>
          <w:sz w:val="20"/>
          <w:szCs w:val="20"/>
          <w:lang w:val="en-GB"/>
        </w:rPr>
        <w:t xml:space="preserve"> and promote the application thereof in accordance with their respective powers</w:t>
      </w:r>
      <w:r>
        <w:rPr>
          <w:rFonts w:ascii="Garamond" w:eastAsiaTheme="minorHAnsi" w:hAnsi="Garamond" w:cs="AdvALBR"/>
          <w:sz w:val="20"/>
          <w:szCs w:val="20"/>
          <w:lang w:val="en-GB"/>
        </w:rPr>
        <w:t>.</w:t>
      </w:r>
    </w:p>
    <w:p w14:paraId="287D90ED" w14:textId="77777777" w:rsidR="001865AD" w:rsidRDefault="001865AD" w:rsidP="001865AD">
      <w:pPr>
        <w:spacing w:after="120"/>
        <w:jc w:val="both"/>
        <w:rPr>
          <w:rFonts w:ascii="Garamond" w:hAnsi="Garamond"/>
          <w:sz w:val="24"/>
          <w:szCs w:val="24"/>
          <w:lang w:val="en-GB"/>
        </w:rPr>
      </w:pPr>
    </w:p>
    <w:p w14:paraId="40DD5615" w14:textId="71615BD3" w:rsidR="00547EE8" w:rsidRDefault="002B0924" w:rsidP="005E1D06">
      <w:pPr>
        <w:numPr>
          <w:ilvl w:val="0"/>
          <w:numId w:val="17"/>
        </w:numPr>
        <w:spacing w:after="120"/>
        <w:jc w:val="both"/>
        <w:rPr>
          <w:rFonts w:ascii="Garamond" w:hAnsi="Garamond"/>
          <w:sz w:val="24"/>
          <w:szCs w:val="24"/>
          <w:lang w:val="en-GB"/>
        </w:rPr>
      </w:pPr>
      <w:r>
        <w:rPr>
          <w:rFonts w:ascii="Garamond" w:hAnsi="Garamond"/>
          <w:iCs/>
          <w:sz w:val="24"/>
          <w:szCs w:val="24"/>
        </w:rPr>
        <w:t xml:space="preserve">This was addressed in </w:t>
      </w:r>
      <w:proofErr w:type="spellStart"/>
      <w:r w:rsidR="004F0718" w:rsidRPr="00DE6A1D">
        <w:rPr>
          <w:rFonts w:ascii="Garamond" w:hAnsi="Garamond"/>
          <w:i/>
          <w:sz w:val="24"/>
          <w:szCs w:val="24"/>
        </w:rPr>
        <w:t>Åkerberg</w:t>
      </w:r>
      <w:proofErr w:type="spellEnd"/>
      <w:r w:rsidR="004F0718" w:rsidRPr="00DE6A1D">
        <w:rPr>
          <w:rFonts w:ascii="Garamond" w:hAnsi="Garamond"/>
          <w:i/>
          <w:sz w:val="24"/>
          <w:szCs w:val="24"/>
        </w:rPr>
        <w:t xml:space="preserve"> </w:t>
      </w:r>
      <w:proofErr w:type="spellStart"/>
      <w:r w:rsidR="004F0718" w:rsidRPr="00DE6A1D">
        <w:rPr>
          <w:rFonts w:ascii="Garamond" w:hAnsi="Garamond"/>
          <w:i/>
          <w:sz w:val="24"/>
          <w:szCs w:val="24"/>
        </w:rPr>
        <w:t>Fransson</w:t>
      </w:r>
      <w:proofErr w:type="spellEnd"/>
      <w:r>
        <w:rPr>
          <w:rFonts w:ascii="Garamond" w:hAnsi="Garamond"/>
          <w:iCs/>
          <w:sz w:val="24"/>
          <w:szCs w:val="24"/>
        </w:rPr>
        <w:t>, which concerned</w:t>
      </w:r>
      <w:r w:rsidR="004F0718" w:rsidRPr="00DE6A1D">
        <w:rPr>
          <w:rFonts w:ascii="Garamond" w:hAnsi="Garamond"/>
          <w:sz w:val="24"/>
          <w:szCs w:val="24"/>
        </w:rPr>
        <w:t xml:space="preserve"> criminal proceedings against</w:t>
      </w:r>
      <w:r w:rsidR="004F0718">
        <w:rPr>
          <w:rFonts w:ascii="Garamond" w:hAnsi="Garamond"/>
          <w:sz w:val="24"/>
          <w:szCs w:val="24"/>
        </w:rPr>
        <w:t xml:space="preserve"> </w:t>
      </w:r>
      <w:proofErr w:type="spellStart"/>
      <w:r w:rsidR="004F0718" w:rsidRPr="00DE6A1D">
        <w:rPr>
          <w:rFonts w:ascii="Garamond" w:hAnsi="Garamond"/>
          <w:sz w:val="24"/>
          <w:szCs w:val="24"/>
        </w:rPr>
        <w:t>Fransson</w:t>
      </w:r>
      <w:proofErr w:type="spellEnd"/>
      <w:r>
        <w:rPr>
          <w:rFonts w:ascii="Garamond" w:hAnsi="Garamond"/>
          <w:sz w:val="24"/>
          <w:szCs w:val="24"/>
        </w:rPr>
        <w:t xml:space="preserve"> </w:t>
      </w:r>
      <w:r w:rsidR="004F0718" w:rsidRPr="00DE6A1D">
        <w:rPr>
          <w:rFonts w:ascii="Garamond" w:hAnsi="Garamond"/>
          <w:sz w:val="24"/>
          <w:szCs w:val="24"/>
        </w:rPr>
        <w:t xml:space="preserve">on the basis that he had provided false information to the Swedish tax authorities. Since he had previously paid a fine, he submitted that the criminal proceedings violated the principle of </w:t>
      </w:r>
      <w:r w:rsidR="004F0718" w:rsidRPr="00DE6A1D">
        <w:rPr>
          <w:rFonts w:ascii="Garamond" w:hAnsi="Garamond"/>
          <w:i/>
          <w:sz w:val="24"/>
          <w:szCs w:val="24"/>
        </w:rPr>
        <w:t>ne bis in idem</w:t>
      </w:r>
      <w:r w:rsidR="004F0718" w:rsidRPr="00DE6A1D">
        <w:rPr>
          <w:rFonts w:ascii="Garamond" w:hAnsi="Garamond"/>
          <w:sz w:val="24"/>
          <w:szCs w:val="24"/>
        </w:rPr>
        <w:t xml:space="preserve"> and that he was being punished twice for the same offence.  The key legal question was whether the Charter applied to his case: while Sweden was acting within the</w:t>
      </w:r>
      <w:r w:rsidR="004F0718">
        <w:rPr>
          <w:rFonts w:ascii="Garamond" w:hAnsi="Garamond"/>
          <w:sz w:val="24"/>
          <w:szCs w:val="24"/>
        </w:rPr>
        <w:t xml:space="preserve"> broad</w:t>
      </w:r>
      <w:r w:rsidR="004F0718" w:rsidRPr="00DE6A1D">
        <w:rPr>
          <w:rFonts w:ascii="Garamond" w:hAnsi="Garamond"/>
          <w:sz w:val="24"/>
          <w:szCs w:val="24"/>
        </w:rPr>
        <w:t xml:space="preserve"> scope of EU law because the relevant VAT Directive required Member States to take necessary measures to collect tax, the administrative and criminal penalties used by Sweden were not</w:t>
      </w:r>
      <w:r w:rsidR="004F0718">
        <w:rPr>
          <w:rFonts w:ascii="Garamond" w:hAnsi="Garamond"/>
          <w:sz w:val="24"/>
          <w:szCs w:val="24"/>
        </w:rPr>
        <w:t xml:space="preserve"> </w:t>
      </w:r>
      <w:r w:rsidR="004F0718" w:rsidRPr="00DE6A1D">
        <w:rPr>
          <w:rFonts w:ascii="Garamond" w:hAnsi="Garamond"/>
          <w:sz w:val="24"/>
          <w:szCs w:val="24"/>
        </w:rPr>
        <w:t>strictly speaking</w:t>
      </w:r>
      <w:r w:rsidR="004F0718">
        <w:rPr>
          <w:rFonts w:ascii="Garamond" w:hAnsi="Garamond"/>
          <w:sz w:val="24"/>
          <w:szCs w:val="24"/>
        </w:rPr>
        <w:t xml:space="preserve"> </w:t>
      </w:r>
      <w:r w:rsidR="004F0718" w:rsidRPr="00DE6A1D">
        <w:rPr>
          <w:rFonts w:ascii="Garamond" w:hAnsi="Garamond"/>
          <w:sz w:val="24"/>
          <w:szCs w:val="24"/>
        </w:rPr>
        <w:t>required by the Directive. Even so, the Court of Justice held that the Charter was applicable</w:t>
      </w:r>
      <w:r w:rsidR="004F0718">
        <w:rPr>
          <w:rFonts w:ascii="Garamond" w:hAnsi="Garamond"/>
          <w:sz w:val="24"/>
          <w:szCs w:val="24"/>
        </w:rPr>
        <w:t>.</w:t>
      </w:r>
      <w:r w:rsidR="004F0718" w:rsidRPr="00DE6A1D">
        <w:rPr>
          <w:rFonts w:ascii="Garamond" w:hAnsi="Garamond"/>
          <w:sz w:val="24"/>
          <w:szCs w:val="24"/>
        </w:rPr>
        <w:t xml:space="preserve"> </w:t>
      </w:r>
    </w:p>
    <w:p w14:paraId="08D2BF39" w14:textId="77777777" w:rsidR="00B14243" w:rsidRPr="00B14243" w:rsidRDefault="00B14243" w:rsidP="00B14243">
      <w:pPr>
        <w:pStyle w:val="ListParagraph"/>
        <w:autoSpaceDE w:val="0"/>
        <w:autoSpaceDN w:val="0"/>
        <w:adjustRightInd w:val="0"/>
        <w:spacing w:after="0" w:line="240" w:lineRule="auto"/>
        <w:rPr>
          <w:rFonts w:ascii="Garamond" w:hAnsi="Garamond"/>
          <w:sz w:val="24"/>
          <w:szCs w:val="24"/>
          <w:lang w:val="en-GB"/>
        </w:rPr>
      </w:pPr>
    </w:p>
    <w:p w14:paraId="1DDBCFF3" w14:textId="69BED86F" w:rsidR="001B1E12" w:rsidRDefault="00CF5A27" w:rsidP="001B1E12">
      <w:pPr>
        <w:numPr>
          <w:ilvl w:val="0"/>
          <w:numId w:val="2"/>
        </w:numPr>
        <w:spacing w:after="120" w:line="240" w:lineRule="auto"/>
        <w:jc w:val="both"/>
        <w:rPr>
          <w:rFonts w:ascii="Garamond" w:hAnsi="Garamond"/>
          <w:sz w:val="24"/>
          <w:szCs w:val="24"/>
          <w:lang w:val="en-GB"/>
        </w:rPr>
      </w:pPr>
      <w:proofErr w:type="spellStart"/>
      <w:r w:rsidRPr="00310864">
        <w:rPr>
          <w:rFonts w:ascii="Garamond" w:hAnsi="Garamond"/>
          <w:i/>
          <w:sz w:val="24"/>
          <w:szCs w:val="24"/>
        </w:rPr>
        <w:t>Åkerberg</w:t>
      </w:r>
      <w:proofErr w:type="spellEnd"/>
      <w:r w:rsidRPr="00310864">
        <w:rPr>
          <w:rFonts w:ascii="Garamond" w:hAnsi="Garamond"/>
          <w:i/>
          <w:sz w:val="24"/>
          <w:szCs w:val="24"/>
        </w:rPr>
        <w:t xml:space="preserve"> </w:t>
      </w:r>
      <w:proofErr w:type="spellStart"/>
      <w:r w:rsidRPr="00310864">
        <w:rPr>
          <w:rFonts w:ascii="Garamond" w:hAnsi="Garamond"/>
          <w:i/>
          <w:sz w:val="24"/>
          <w:szCs w:val="24"/>
        </w:rPr>
        <w:t>Fransson</w:t>
      </w:r>
      <w:proofErr w:type="spellEnd"/>
      <w:r w:rsidR="001B1E12">
        <w:rPr>
          <w:rFonts w:ascii="Garamond" w:hAnsi="Garamond"/>
          <w:sz w:val="24"/>
          <w:szCs w:val="24"/>
          <w:lang w:val="en-GB"/>
        </w:rPr>
        <w:t>, Case C-617/10, ECLI:EU:C:2013:105</w:t>
      </w:r>
    </w:p>
    <w:p w14:paraId="14C57133" w14:textId="1CAD9312" w:rsidR="001B1E12" w:rsidRPr="002B0924" w:rsidRDefault="00B300EE" w:rsidP="002B0924">
      <w:pPr>
        <w:ind w:left="1004"/>
        <w:jc w:val="both"/>
        <w:rPr>
          <w:rFonts w:ascii="Garamond" w:hAnsi="Garamond"/>
          <w:sz w:val="20"/>
          <w:szCs w:val="20"/>
        </w:rPr>
      </w:pPr>
      <w:r>
        <w:rPr>
          <w:rFonts w:ascii="Garamond" w:hAnsi="Garamond"/>
          <w:color w:val="000000" w:themeColor="text1"/>
          <w:sz w:val="20"/>
          <w:szCs w:val="20"/>
        </w:rPr>
        <w:t>“</w:t>
      </w:r>
      <w:r w:rsidR="00D869DD">
        <w:rPr>
          <w:rFonts w:ascii="Garamond" w:hAnsi="Garamond"/>
          <w:sz w:val="20"/>
          <w:szCs w:val="20"/>
        </w:rPr>
        <w:t>19</w:t>
      </w:r>
      <w:r w:rsidR="00D869DD">
        <w:rPr>
          <w:rFonts w:ascii="Garamond" w:hAnsi="Garamond"/>
          <w:sz w:val="20"/>
          <w:szCs w:val="20"/>
        </w:rPr>
        <w:tab/>
      </w:r>
      <w:r w:rsidR="00D869DD" w:rsidRPr="00D869DD">
        <w:rPr>
          <w:rFonts w:ascii="Garamond" w:hAnsi="Garamond"/>
          <w:sz w:val="20"/>
          <w:szCs w:val="20"/>
        </w:rPr>
        <w:t xml:space="preserve">The Court’s settled case-law indeed states, in essence, </w:t>
      </w:r>
      <w:r w:rsidR="00D869DD" w:rsidRPr="00D869DD">
        <w:rPr>
          <w:rFonts w:ascii="Garamond" w:hAnsi="Garamond"/>
          <w:sz w:val="20"/>
          <w:szCs w:val="20"/>
          <w:u w:val="single"/>
        </w:rPr>
        <w:t>that the fundamental rights guaranteed in the legal order of the European Union are applicable in all situations governed by European Union law, but not outside such situations</w:t>
      </w:r>
      <w:r w:rsidR="002B0924">
        <w:rPr>
          <w:rFonts w:ascii="Garamond" w:hAnsi="Garamond"/>
          <w:sz w:val="20"/>
          <w:szCs w:val="20"/>
        </w:rPr>
        <w:t>. […]</w:t>
      </w:r>
    </w:p>
    <w:p w14:paraId="28684F7F" w14:textId="77777777" w:rsidR="00B2295B" w:rsidRPr="004B1FC7" w:rsidRDefault="00B2295B" w:rsidP="002B0924">
      <w:pPr>
        <w:pStyle w:val="NormalWeb"/>
        <w:spacing w:before="0" w:beforeAutospacing="0" w:after="0" w:afterAutospacing="0"/>
        <w:jc w:val="both"/>
        <w:textAlignment w:val="baseline"/>
        <w:rPr>
          <w:rFonts w:ascii="Garamond" w:hAnsi="Garamond"/>
          <w:color w:val="000000" w:themeColor="text1"/>
          <w:sz w:val="20"/>
          <w:szCs w:val="20"/>
          <w:u w:val="single"/>
        </w:rPr>
      </w:pPr>
    </w:p>
    <w:p w14:paraId="653AA41C" w14:textId="021D32B4" w:rsidR="00410B57" w:rsidRDefault="001B1E12" w:rsidP="00FB0E4C">
      <w:pPr>
        <w:pStyle w:val="NormalWeb"/>
        <w:spacing w:before="0" w:beforeAutospacing="0" w:after="0" w:afterAutospacing="0"/>
        <w:ind w:left="1004"/>
        <w:jc w:val="both"/>
        <w:textAlignment w:val="baseline"/>
        <w:rPr>
          <w:rFonts w:ascii="Garamond" w:hAnsi="Garamond"/>
          <w:color w:val="000000" w:themeColor="text1"/>
          <w:sz w:val="20"/>
          <w:szCs w:val="20"/>
        </w:rPr>
      </w:pPr>
      <w:r w:rsidRPr="009E0607">
        <w:rPr>
          <w:rFonts w:ascii="Garamond" w:hAnsi="Garamond"/>
          <w:color w:val="000000" w:themeColor="text1"/>
          <w:sz w:val="20"/>
          <w:szCs w:val="20"/>
        </w:rPr>
        <w:t>21      </w:t>
      </w:r>
      <w:r w:rsidRPr="004B1FC7">
        <w:rPr>
          <w:rFonts w:ascii="Garamond" w:hAnsi="Garamond"/>
          <w:bCs/>
          <w:color w:val="000000" w:themeColor="text1"/>
          <w:sz w:val="20"/>
          <w:szCs w:val="20"/>
          <w:u w:val="single"/>
          <w:bdr w:val="none" w:sz="0" w:space="0" w:color="auto" w:frame="1"/>
        </w:rPr>
        <w:t xml:space="preserve">Since the fundamental rights </w:t>
      </w:r>
      <w:r w:rsidRPr="00D869DD">
        <w:rPr>
          <w:rFonts w:ascii="Garamond" w:hAnsi="Garamond"/>
          <w:bCs/>
          <w:color w:val="000000" w:themeColor="text1"/>
          <w:sz w:val="20"/>
          <w:szCs w:val="20"/>
          <w:u w:val="single"/>
          <w:bdr w:val="none" w:sz="0" w:space="0" w:color="auto" w:frame="1"/>
        </w:rPr>
        <w:t>guaranteed by the Charter must therefore be complied with where national legislation falls within the scope of European Union law,</w:t>
      </w:r>
      <w:r w:rsidRPr="00D869DD">
        <w:rPr>
          <w:rFonts w:ascii="Garamond" w:hAnsi="Garamond"/>
          <w:color w:val="000000" w:themeColor="text1"/>
          <w:sz w:val="20"/>
          <w:szCs w:val="20"/>
          <w:u w:val="single"/>
        </w:rPr>
        <w:t xml:space="preserve"> situations cannot exist which are </w:t>
      </w:r>
      <w:r w:rsidRPr="00D869DD">
        <w:rPr>
          <w:rFonts w:ascii="Garamond" w:hAnsi="Garamond"/>
          <w:color w:val="000000" w:themeColor="text1"/>
          <w:sz w:val="20"/>
          <w:szCs w:val="20"/>
          <w:u w:val="single"/>
        </w:rPr>
        <w:lastRenderedPageBreak/>
        <w:t>covered in that way by European Union law without those fundamental rights being applicable. The applicability of European Union law entails applicability of the fundamental rights guaranteed by the Charter</w:t>
      </w:r>
      <w:r w:rsidR="00B300EE">
        <w:rPr>
          <w:rFonts w:ascii="Garamond" w:hAnsi="Garamond"/>
          <w:color w:val="000000" w:themeColor="text1"/>
          <w:sz w:val="20"/>
          <w:szCs w:val="20"/>
        </w:rPr>
        <w:t>”</w:t>
      </w:r>
      <w:r w:rsidRPr="009E0607">
        <w:rPr>
          <w:rFonts w:ascii="Garamond" w:hAnsi="Garamond"/>
          <w:color w:val="000000" w:themeColor="text1"/>
          <w:sz w:val="20"/>
          <w:szCs w:val="20"/>
        </w:rPr>
        <w:t>.</w:t>
      </w:r>
    </w:p>
    <w:p w14:paraId="4596712F" w14:textId="77777777" w:rsidR="004F0718" w:rsidRDefault="004F0718" w:rsidP="004F0718">
      <w:pPr>
        <w:spacing w:after="120"/>
        <w:jc w:val="both"/>
        <w:rPr>
          <w:rFonts w:ascii="Garamond" w:hAnsi="Garamond"/>
          <w:sz w:val="24"/>
          <w:szCs w:val="24"/>
          <w:lang w:val="en-GB"/>
        </w:rPr>
      </w:pPr>
    </w:p>
    <w:p w14:paraId="3AA55CE5" w14:textId="7B3AF968" w:rsidR="00DF7705" w:rsidRPr="00DF7705" w:rsidRDefault="004F0718" w:rsidP="00DF7705">
      <w:pPr>
        <w:pStyle w:val="ListParagraph"/>
        <w:numPr>
          <w:ilvl w:val="0"/>
          <w:numId w:val="17"/>
        </w:numPr>
        <w:contextualSpacing w:val="0"/>
        <w:jc w:val="both"/>
        <w:rPr>
          <w:rFonts w:ascii="Garamond" w:hAnsi="Garamond"/>
        </w:rPr>
      </w:pPr>
      <w:r w:rsidRPr="004F0718">
        <w:rPr>
          <w:rFonts w:ascii="Garamond" w:hAnsi="Garamond"/>
          <w:sz w:val="24"/>
          <w:szCs w:val="24"/>
        </w:rPr>
        <w:t xml:space="preserve">The CJEU can only review the actions of a Member State </w:t>
      </w:r>
      <w:proofErr w:type="gramStart"/>
      <w:r w:rsidRPr="004F0718">
        <w:rPr>
          <w:rFonts w:ascii="Garamond" w:hAnsi="Garamond"/>
          <w:sz w:val="24"/>
          <w:szCs w:val="24"/>
        </w:rPr>
        <w:t>in light of</w:t>
      </w:r>
      <w:proofErr w:type="gramEnd"/>
      <w:r w:rsidRPr="004F0718">
        <w:rPr>
          <w:rFonts w:ascii="Garamond" w:hAnsi="Garamond"/>
          <w:sz w:val="24"/>
          <w:szCs w:val="24"/>
        </w:rPr>
        <w:t xml:space="preserve"> EU fundamental rights when that Member State acts within the scope of EU law</w:t>
      </w:r>
      <w:r>
        <w:rPr>
          <w:rFonts w:ascii="Garamond" w:hAnsi="Garamond"/>
          <w:sz w:val="24"/>
          <w:szCs w:val="24"/>
        </w:rPr>
        <w:t>—</w:t>
      </w:r>
      <w:r w:rsidRPr="004F0718">
        <w:rPr>
          <w:rFonts w:ascii="Garamond" w:hAnsi="Garamond"/>
          <w:sz w:val="24"/>
          <w:szCs w:val="24"/>
        </w:rPr>
        <w:t>but not otherwise. Because the CJEU is not a human rights court, a mere claim that a Member State has violated EU fundamental rights does not bring the case within the scope of EU law.</w:t>
      </w:r>
      <w:r w:rsidRPr="004F0718">
        <w:rPr>
          <w:rFonts w:ascii="Garamond" w:hAnsi="Garamond"/>
          <w:color w:val="00B0F0"/>
          <w:sz w:val="24"/>
          <w:szCs w:val="24"/>
        </w:rPr>
        <w:t xml:space="preserve"> </w:t>
      </w:r>
      <w:r w:rsidRPr="004F0718">
        <w:rPr>
          <w:rFonts w:ascii="Garamond" w:hAnsi="Garamond"/>
          <w:sz w:val="24"/>
          <w:szCs w:val="24"/>
        </w:rPr>
        <w:t>However, it is not always self-evident when a specific situation falls within the scope of EU law (e.g. Dougan 2015, p. 1220). In practice, the CJEU exercises considerable discretion in defining when a Member State acts within the scope of EU law and when the situation is ‘purely internal’ to that Member State, meaning that the State has no obligation to comply with EU fundamental rights in that situation.</w:t>
      </w:r>
      <w:r w:rsidRPr="004F0718">
        <w:rPr>
          <w:rFonts w:ascii="Garamond" w:hAnsi="Garamond"/>
        </w:rPr>
        <w:t xml:space="preserve"> </w:t>
      </w:r>
    </w:p>
    <w:p w14:paraId="750454EA" w14:textId="65CDD5A5" w:rsidR="009D5839" w:rsidRPr="00864E16" w:rsidRDefault="004C545F" w:rsidP="00DF7705">
      <w:pPr>
        <w:pStyle w:val="ListParagraph"/>
        <w:numPr>
          <w:ilvl w:val="0"/>
          <w:numId w:val="17"/>
        </w:numPr>
        <w:ind w:left="357" w:hanging="357"/>
        <w:contextualSpacing w:val="0"/>
        <w:jc w:val="both"/>
        <w:rPr>
          <w:rFonts w:ascii="Garamond" w:hAnsi="Garamond"/>
          <w:sz w:val="24"/>
          <w:szCs w:val="24"/>
        </w:rPr>
      </w:pPr>
      <w:r w:rsidRPr="004C545F">
        <w:rPr>
          <w:rFonts w:ascii="Garamond" w:hAnsi="Garamond"/>
          <w:sz w:val="24"/>
          <w:szCs w:val="24"/>
        </w:rPr>
        <w:t>The CJEU has confirmed that ‘the mere fact that a national measure comes within an area in which the European Union has powers cannot bring it within the scope of EU law, and, therefore, cannot render the Charter applicable’ (</w:t>
      </w:r>
      <w:r w:rsidRPr="004C545F">
        <w:rPr>
          <w:rFonts w:ascii="Garamond" w:hAnsi="Garamond"/>
          <w:i/>
          <w:iCs/>
          <w:sz w:val="24"/>
          <w:szCs w:val="24"/>
        </w:rPr>
        <w:t>Víctor Manuel Julian Hernández and Others</w:t>
      </w:r>
      <w:r w:rsidRPr="004C545F">
        <w:rPr>
          <w:rFonts w:ascii="Garamond" w:hAnsi="Garamond"/>
          <w:sz w:val="24"/>
          <w:szCs w:val="24"/>
        </w:rPr>
        <w:t>,</w:t>
      </w:r>
      <w:r w:rsidR="006A4CAC">
        <w:rPr>
          <w:rFonts w:ascii="Garamond" w:hAnsi="Garamond"/>
          <w:sz w:val="24"/>
          <w:szCs w:val="24"/>
        </w:rPr>
        <w:t xml:space="preserve"> </w:t>
      </w:r>
      <w:r w:rsidR="006A4CAC" w:rsidRPr="004C545F">
        <w:rPr>
          <w:rFonts w:ascii="Garamond" w:hAnsi="Garamond"/>
          <w:sz w:val="24"/>
          <w:szCs w:val="24"/>
        </w:rPr>
        <w:t>C-198/13</w:t>
      </w:r>
      <w:r w:rsidR="006A4CAC">
        <w:rPr>
          <w:rFonts w:ascii="Garamond" w:hAnsi="Garamond"/>
          <w:sz w:val="24"/>
          <w:szCs w:val="24"/>
        </w:rPr>
        <w:t>,</w:t>
      </w:r>
      <w:r w:rsidRPr="004C545F">
        <w:rPr>
          <w:rFonts w:ascii="Garamond" w:hAnsi="Garamond"/>
          <w:sz w:val="24"/>
          <w:szCs w:val="24"/>
        </w:rPr>
        <w:t xml:space="preserve"> para 31</w:t>
      </w:r>
      <w:r w:rsidR="006A4CAC">
        <w:rPr>
          <w:rFonts w:ascii="Garamond" w:hAnsi="Garamond"/>
          <w:sz w:val="24"/>
          <w:szCs w:val="24"/>
        </w:rPr>
        <w:t>)</w:t>
      </w:r>
      <w:r w:rsidRPr="004C545F">
        <w:rPr>
          <w:rFonts w:ascii="Garamond" w:hAnsi="Garamond"/>
          <w:sz w:val="24"/>
          <w:szCs w:val="24"/>
        </w:rPr>
        <w:t xml:space="preserve">. </w:t>
      </w:r>
      <w:r w:rsidRPr="00864E16">
        <w:rPr>
          <w:rFonts w:ascii="Garamond" w:hAnsi="Garamond"/>
          <w:sz w:val="24"/>
          <w:szCs w:val="24"/>
        </w:rPr>
        <w:t>However, it is possible that the CJEU will use the Charter to redefine what the scope of EU law means. For instance, Dougan observes that the CJEU’s more recent, post-Charter, case law has moved towards ‘a more contextual assessment of the relationship between Union law and national law</w:t>
      </w:r>
      <w:r w:rsidR="009D5839" w:rsidRPr="00864E16">
        <w:rPr>
          <w:rFonts w:ascii="Garamond" w:hAnsi="Garamond"/>
          <w:sz w:val="24"/>
          <w:szCs w:val="24"/>
        </w:rPr>
        <w:t>—</w:t>
      </w:r>
      <w:r w:rsidRPr="00864E16">
        <w:rPr>
          <w:rFonts w:ascii="Garamond" w:hAnsi="Garamond"/>
          <w:sz w:val="24"/>
          <w:szCs w:val="24"/>
        </w:rPr>
        <w:t>taking into account factors such as how far they share objectives, whether they have direct or indirect mutual impacts, perhaps even how far they subject matters overlap’ (Dougan 2015, p. 1229 and 1235). For Dougan, this case law raises the question of whether the CJEU might be ‘over-extending the field of application of Union law’ (Dougan 2015, p. 1216).</w:t>
      </w:r>
    </w:p>
    <w:p w14:paraId="09F47122" w14:textId="40024023" w:rsidR="00427586" w:rsidRDefault="004C545F" w:rsidP="002B0924">
      <w:pPr>
        <w:pStyle w:val="ListParagraph"/>
        <w:numPr>
          <w:ilvl w:val="0"/>
          <w:numId w:val="17"/>
        </w:numPr>
        <w:ind w:left="357" w:hanging="357"/>
        <w:contextualSpacing w:val="0"/>
        <w:jc w:val="both"/>
        <w:rPr>
          <w:rFonts w:ascii="Garamond" w:hAnsi="Garamond"/>
          <w:sz w:val="24"/>
          <w:szCs w:val="24"/>
        </w:rPr>
      </w:pPr>
      <w:r w:rsidRPr="004C545F">
        <w:rPr>
          <w:rFonts w:ascii="Garamond" w:hAnsi="Garamond"/>
          <w:sz w:val="24"/>
          <w:szCs w:val="24"/>
        </w:rPr>
        <w:t xml:space="preserve">How the ‘scope of EU law’ is defined is important because it determines what standard of fundamental rights protection (EU or national) is used in a specific case. </w:t>
      </w:r>
      <w:r w:rsidR="00864E16">
        <w:rPr>
          <w:rFonts w:ascii="Garamond" w:hAnsi="Garamond"/>
          <w:sz w:val="24"/>
          <w:szCs w:val="24"/>
        </w:rPr>
        <w:t xml:space="preserve">The </w:t>
      </w:r>
      <w:r w:rsidRPr="004C545F">
        <w:rPr>
          <w:rFonts w:ascii="Garamond" w:hAnsi="Garamond"/>
          <w:sz w:val="24"/>
          <w:szCs w:val="24"/>
        </w:rPr>
        <w:t xml:space="preserve">situation becomes particularly tricky when national fundamental rights and EU fundamental rights provide different levels of protection. If the standard of protection is higher under national law, Member States might want to rely on national fundamental rights instead of EU fundamental rights. But the principle of </w:t>
      </w:r>
      <w:r w:rsidRPr="004C509D">
        <w:rPr>
          <w:rFonts w:ascii="Garamond" w:hAnsi="Garamond"/>
          <w:sz w:val="24"/>
          <w:szCs w:val="24"/>
          <w:u w:val="single"/>
        </w:rPr>
        <w:t>primacy</w:t>
      </w:r>
      <w:r w:rsidRPr="004C545F">
        <w:rPr>
          <w:rFonts w:ascii="Garamond" w:hAnsi="Garamond"/>
          <w:sz w:val="24"/>
          <w:szCs w:val="24"/>
        </w:rPr>
        <w:t xml:space="preserve"> often prevents them from doing s</w:t>
      </w:r>
      <w:r w:rsidR="004D43CA">
        <w:rPr>
          <w:rFonts w:ascii="Garamond" w:hAnsi="Garamond"/>
          <w:sz w:val="24"/>
          <w:szCs w:val="24"/>
        </w:rPr>
        <w:t>o</w:t>
      </w:r>
      <w:r w:rsidR="00594EA9">
        <w:rPr>
          <w:rFonts w:ascii="Garamond" w:hAnsi="Garamond"/>
          <w:sz w:val="24"/>
          <w:szCs w:val="24"/>
        </w:rPr>
        <w:t>.</w:t>
      </w:r>
    </w:p>
    <w:p w14:paraId="49748656" w14:textId="77777777" w:rsidR="002B0924" w:rsidRPr="002B0924" w:rsidRDefault="002B0924" w:rsidP="002B0924">
      <w:pPr>
        <w:pStyle w:val="ListParagraph"/>
        <w:ind w:left="357"/>
        <w:contextualSpacing w:val="0"/>
        <w:jc w:val="both"/>
        <w:rPr>
          <w:rFonts w:ascii="Garamond" w:hAnsi="Garamond"/>
          <w:sz w:val="24"/>
          <w:szCs w:val="24"/>
        </w:rPr>
      </w:pPr>
    </w:p>
    <w:tbl>
      <w:tblPr>
        <w:tblStyle w:val="TableGrid"/>
        <w:tblW w:w="0" w:type="auto"/>
        <w:tblBorders>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9242"/>
      </w:tblGrid>
      <w:tr w:rsidR="00E465FC" w:rsidRPr="00E465FC" w14:paraId="3CB72216" w14:textId="77777777" w:rsidTr="00E465FC">
        <w:tc>
          <w:tcPr>
            <w:tcW w:w="9242" w:type="dxa"/>
            <w:shd w:val="clear" w:color="auto" w:fill="C6D9F1" w:themeFill="text2" w:themeFillTint="33"/>
          </w:tcPr>
          <w:p w14:paraId="7AD80269" w14:textId="77777777" w:rsidR="00E465FC" w:rsidRPr="00E465FC" w:rsidRDefault="00E465FC" w:rsidP="00897B13">
            <w:pPr>
              <w:jc w:val="both"/>
              <w:rPr>
                <w:rFonts w:ascii="Garamond" w:hAnsi="Garamond"/>
                <w:b/>
                <w:bCs/>
                <w:sz w:val="24"/>
                <w:szCs w:val="24"/>
              </w:rPr>
            </w:pPr>
            <w:r w:rsidRPr="00E465FC">
              <w:rPr>
                <w:rFonts w:ascii="Garamond" w:hAnsi="Garamond"/>
                <w:b/>
                <w:bCs/>
                <w:sz w:val="24"/>
                <w:szCs w:val="24"/>
              </w:rPr>
              <w:t xml:space="preserve">Further Reading: </w:t>
            </w:r>
          </w:p>
          <w:p w14:paraId="656DB49F" w14:textId="77777777" w:rsidR="00E465FC" w:rsidRPr="00E465FC" w:rsidRDefault="00E465FC" w:rsidP="00897B13">
            <w:pPr>
              <w:jc w:val="both"/>
              <w:rPr>
                <w:rFonts w:ascii="Garamond" w:hAnsi="Garamond"/>
                <w:sz w:val="24"/>
                <w:szCs w:val="24"/>
              </w:rPr>
            </w:pPr>
          </w:p>
        </w:tc>
      </w:tr>
      <w:tr w:rsidR="00E465FC" w:rsidRPr="00E465FC" w14:paraId="11F910BD" w14:textId="77777777" w:rsidTr="00E465FC">
        <w:tc>
          <w:tcPr>
            <w:tcW w:w="9242" w:type="dxa"/>
            <w:shd w:val="clear" w:color="auto" w:fill="C6D9F1" w:themeFill="text2" w:themeFillTint="33"/>
          </w:tcPr>
          <w:p w14:paraId="76DCDF86" w14:textId="77777777" w:rsidR="00E465FC" w:rsidRDefault="00E465FC" w:rsidP="00897B13">
            <w:pPr>
              <w:pStyle w:val="NormalWeb"/>
              <w:jc w:val="both"/>
              <w:rPr>
                <w:rFonts w:ascii="Garamond" w:hAnsi="Garamond"/>
              </w:rPr>
            </w:pPr>
            <w:r w:rsidRPr="00E465FC">
              <w:rPr>
                <w:rFonts w:ascii="Garamond" w:hAnsi="Garamond"/>
              </w:rPr>
              <w:t xml:space="preserve">Dougan M, ‘Judicial review of Member State action under the general principles and the Charter: Defining the “scope of Union law”’, (2015) 52(5) </w:t>
            </w:r>
            <w:r w:rsidRPr="00E465FC">
              <w:rPr>
                <w:rFonts w:ascii="Garamond" w:hAnsi="Garamond"/>
                <w:i/>
                <w:iCs/>
              </w:rPr>
              <w:t>Common Market Law Review</w:t>
            </w:r>
            <w:r w:rsidRPr="00E465FC">
              <w:rPr>
                <w:rFonts w:ascii="Garamond" w:hAnsi="Garamond"/>
              </w:rPr>
              <w:t xml:space="preserve"> 1201. </w:t>
            </w:r>
          </w:p>
          <w:p w14:paraId="58A3762A" w14:textId="77777777" w:rsidR="00E465FC" w:rsidRPr="00E465FC" w:rsidRDefault="00E465FC" w:rsidP="00897B13">
            <w:pPr>
              <w:pStyle w:val="NormalWeb"/>
              <w:jc w:val="both"/>
              <w:rPr>
                <w:rFonts w:ascii="Garamond" w:hAnsi="Garamond"/>
              </w:rPr>
            </w:pPr>
          </w:p>
        </w:tc>
      </w:tr>
      <w:tr w:rsidR="00E465FC" w:rsidRPr="00E465FC" w14:paraId="7C57B89A" w14:textId="77777777" w:rsidTr="00E465FC">
        <w:tc>
          <w:tcPr>
            <w:tcW w:w="9242" w:type="dxa"/>
            <w:shd w:val="clear" w:color="auto" w:fill="C6D9F1" w:themeFill="text2" w:themeFillTint="33"/>
          </w:tcPr>
          <w:p w14:paraId="1B03D038" w14:textId="77777777" w:rsidR="00E465FC" w:rsidRPr="00E465FC" w:rsidRDefault="00E465FC" w:rsidP="00897B13">
            <w:pPr>
              <w:pStyle w:val="NormalWeb"/>
              <w:jc w:val="both"/>
              <w:rPr>
                <w:rFonts w:ascii="Garamond" w:hAnsi="Garamond"/>
              </w:rPr>
            </w:pPr>
            <w:r w:rsidRPr="00E465FC">
              <w:rPr>
                <w:rFonts w:ascii="Garamond" w:hAnsi="Garamond"/>
              </w:rPr>
              <w:t xml:space="preserve">Sarmiento S, ‘Who’s Afraid of the Charter? The Court of Justice, National </w:t>
            </w:r>
            <w:proofErr w:type="gramStart"/>
            <w:r w:rsidRPr="00E465FC">
              <w:rPr>
                <w:rFonts w:ascii="Garamond" w:hAnsi="Garamond"/>
              </w:rPr>
              <w:t>Courts</w:t>
            </w:r>
            <w:proofErr w:type="gramEnd"/>
            <w:r w:rsidRPr="00E465FC">
              <w:rPr>
                <w:rFonts w:ascii="Garamond" w:hAnsi="Garamond"/>
              </w:rPr>
              <w:t xml:space="preserve"> and the New Framework of Fundamental Rights Protection in the EU’, (2013) 50 </w:t>
            </w:r>
            <w:r w:rsidRPr="00E465FC">
              <w:rPr>
                <w:rFonts w:ascii="Garamond" w:hAnsi="Garamond"/>
                <w:i/>
                <w:iCs/>
              </w:rPr>
              <w:t>Common Market Law Review</w:t>
            </w:r>
            <w:r w:rsidRPr="00E465FC">
              <w:rPr>
                <w:rFonts w:ascii="Garamond" w:hAnsi="Garamond"/>
              </w:rPr>
              <w:t xml:space="preserve"> 1267. </w:t>
            </w:r>
          </w:p>
        </w:tc>
      </w:tr>
    </w:tbl>
    <w:p w14:paraId="36839AFC" w14:textId="45A85110" w:rsidR="00A4558E" w:rsidRPr="00276ECE" w:rsidRDefault="00276ECE" w:rsidP="00276ECE">
      <w:pPr>
        <w:pStyle w:val="Heading1"/>
      </w:pPr>
      <w:r>
        <w:lastRenderedPageBreak/>
        <w:t xml:space="preserve">6.  </w:t>
      </w:r>
      <w:r w:rsidRPr="00276ECE">
        <w:t>Can</w:t>
      </w:r>
      <w:r w:rsidR="00A4558E" w:rsidRPr="00276ECE">
        <w:t xml:space="preserve"> EU fundamental rights be restricted? </w:t>
      </w:r>
    </w:p>
    <w:p w14:paraId="79E77D40" w14:textId="77777777" w:rsidR="00790E11" w:rsidRDefault="009D7F6F" w:rsidP="009D7F6F">
      <w:pPr>
        <w:numPr>
          <w:ilvl w:val="0"/>
          <w:numId w:val="17"/>
        </w:numPr>
        <w:spacing w:after="120"/>
        <w:jc w:val="both"/>
        <w:rPr>
          <w:rFonts w:ascii="Garamond" w:hAnsi="Garamond"/>
          <w:sz w:val="24"/>
          <w:szCs w:val="24"/>
          <w:lang w:val="en-GB"/>
        </w:rPr>
      </w:pPr>
      <w:r w:rsidRPr="00790E11">
        <w:rPr>
          <w:rFonts w:ascii="Garamond" w:hAnsi="Garamond"/>
          <w:sz w:val="24"/>
          <w:szCs w:val="24"/>
          <w:lang w:val="en-GB"/>
        </w:rPr>
        <w:t>Within the European constitutional tradition, some rights are absolute rights. They cannot</w:t>
      </w:r>
      <w:r w:rsidR="00790E11">
        <w:rPr>
          <w:rFonts w:ascii="Garamond" w:hAnsi="Garamond"/>
          <w:sz w:val="24"/>
          <w:szCs w:val="24"/>
          <w:lang w:val="en-GB"/>
        </w:rPr>
        <w:t xml:space="preserve">, </w:t>
      </w:r>
      <w:r w:rsidRPr="00790E11">
        <w:rPr>
          <w:rFonts w:ascii="Garamond" w:hAnsi="Garamond"/>
          <w:sz w:val="24"/>
          <w:szCs w:val="24"/>
          <w:lang w:val="en-GB"/>
        </w:rPr>
        <w:t>under any circumstances</w:t>
      </w:r>
      <w:r w:rsidR="00790E11">
        <w:rPr>
          <w:rFonts w:ascii="Garamond" w:hAnsi="Garamond"/>
          <w:sz w:val="24"/>
          <w:szCs w:val="24"/>
          <w:lang w:val="en-GB"/>
        </w:rPr>
        <w:t xml:space="preserve">, </w:t>
      </w:r>
      <w:r w:rsidRPr="00790E11">
        <w:rPr>
          <w:rFonts w:ascii="Garamond" w:hAnsi="Garamond"/>
          <w:sz w:val="24"/>
          <w:szCs w:val="24"/>
          <w:lang w:val="en-GB"/>
        </w:rPr>
        <w:t>be limited (</w:t>
      </w:r>
      <w:proofErr w:type="spellStart"/>
      <w:r w:rsidRPr="00790E11">
        <w:rPr>
          <w:rFonts w:ascii="Garamond" w:hAnsi="Garamond"/>
          <w:sz w:val="24"/>
          <w:szCs w:val="24"/>
          <w:lang w:val="en-GB"/>
        </w:rPr>
        <w:t>eg</w:t>
      </w:r>
      <w:proofErr w:type="spellEnd"/>
      <w:r w:rsidRPr="00790E11">
        <w:rPr>
          <w:rFonts w:ascii="Garamond" w:hAnsi="Garamond"/>
          <w:sz w:val="24"/>
          <w:szCs w:val="24"/>
          <w:lang w:val="en-GB"/>
        </w:rPr>
        <w:t xml:space="preserve">, right to life, prohibition of torture). However, most fundamental rights are </w:t>
      </w:r>
      <w:r w:rsidRPr="00790E11">
        <w:rPr>
          <w:rFonts w:ascii="Garamond" w:hAnsi="Garamond"/>
          <w:i/>
          <w:sz w:val="24"/>
          <w:szCs w:val="24"/>
          <w:lang w:val="en-GB"/>
        </w:rPr>
        <w:t>relative</w:t>
      </w:r>
      <w:r w:rsidRPr="00790E11">
        <w:rPr>
          <w:rFonts w:ascii="Garamond" w:hAnsi="Garamond"/>
          <w:sz w:val="24"/>
          <w:szCs w:val="24"/>
          <w:lang w:val="en-GB"/>
        </w:rPr>
        <w:t>: they can be limited in accordance with a public interest.</w:t>
      </w:r>
      <w:r w:rsidR="00966680" w:rsidRPr="00790E11">
        <w:rPr>
          <w:rFonts w:ascii="Garamond" w:hAnsi="Garamond"/>
          <w:sz w:val="24"/>
          <w:szCs w:val="24"/>
          <w:lang w:val="en-GB"/>
        </w:rPr>
        <w:t xml:space="preserve"> EU fundamental rights follow a similar </w:t>
      </w:r>
      <w:proofErr w:type="gramStart"/>
      <w:r w:rsidR="00966680" w:rsidRPr="00790E11">
        <w:rPr>
          <w:rFonts w:ascii="Garamond" w:hAnsi="Garamond"/>
          <w:sz w:val="24"/>
          <w:szCs w:val="24"/>
          <w:lang w:val="en-GB"/>
        </w:rPr>
        <w:t>logic,</w:t>
      </w:r>
      <w:proofErr w:type="gramEnd"/>
      <w:r w:rsidR="00966680" w:rsidRPr="00790E11">
        <w:rPr>
          <w:rFonts w:ascii="Garamond" w:hAnsi="Garamond"/>
          <w:sz w:val="24"/>
          <w:szCs w:val="24"/>
          <w:lang w:val="en-GB"/>
        </w:rPr>
        <w:t xml:space="preserve"> indeed, the Court has long held that EU fundamental rights are </w:t>
      </w:r>
      <w:r w:rsidR="00790E11">
        <w:rPr>
          <w:rFonts w:ascii="Garamond" w:hAnsi="Garamond"/>
          <w:sz w:val="24"/>
          <w:szCs w:val="24"/>
          <w:lang w:val="en-GB"/>
        </w:rPr>
        <w:t>‘</w:t>
      </w:r>
      <w:r w:rsidR="00966680" w:rsidRPr="00790E11">
        <w:rPr>
          <w:rFonts w:ascii="Garamond" w:hAnsi="Garamond"/>
          <w:sz w:val="24"/>
          <w:szCs w:val="24"/>
          <w:lang w:val="en-GB"/>
        </w:rPr>
        <w:t>far from constituting unfettered prerogatives</w:t>
      </w:r>
      <w:r w:rsidR="00790E11">
        <w:rPr>
          <w:rFonts w:ascii="Garamond" w:hAnsi="Garamond"/>
          <w:sz w:val="24"/>
          <w:szCs w:val="24"/>
          <w:lang w:val="en-GB"/>
        </w:rPr>
        <w:t>’</w:t>
      </w:r>
      <w:r w:rsidR="00966680" w:rsidRPr="00790E11">
        <w:rPr>
          <w:rFonts w:ascii="Garamond" w:hAnsi="Garamond"/>
          <w:sz w:val="24"/>
          <w:szCs w:val="24"/>
          <w:lang w:val="en-GB"/>
        </w:rPr>
        <w:t xml:space="preserve"> (</w:t>
      </w:r>
      <w:proofErr w:type="spellStart"/>
      <w:r w:rsidR="00966680" w:rsidRPr="00790E11">
        <w:rPr>
          <w:rFonts w:ascii="Garamond" w:hAnsi="Garamond"/>
          <w:i/>
          <w:sz w:val="24"/>
          <w:szCs w:val="24"/>
          <w:lang w:val="en-GB"/>
        </w:rPr>
        <w:t>Nold</w:t>
      </w:r>
      <w:proofErr w:type="spellEnd"/>
      <w:r w:rsidR="00966680" w:rsidRPr="00790E11">
        <w:rPr>
          <w:rFonts w:ascii="Garamond" w:hAnsi="Garamond"/>
          <w:sz w:val="24"/>
          <w:szCs w:val="24"/>
          <w:lang w:val="en-GB"/>
        </w:rPr>
        <w:t xml:space="preserve">, para 14). </w:t>
      </w:r>
      <w:r w:rsidR="00790E11">
        <w:rPr>
          <w:rFonts w:ascii="Garamond" w:hAnsi="Garamond"/>
          <w:sz w:val="24"/>
          <w:szCs w:val="24"/>
          <w:lang w:val="en-GB"/>
        </w:rPr>
        <w:t>Nevertheless</w:t>
      </w:r>
      <w:r w:rsidR="00966680" w:rsidRPr="00790E11">
        <w:rPr>
          <w:rFonts w:ascii="Garamond" w:hAnsi="Garamond"/>
          <w:sz w:val="24"/>
          <w:szCs w:val="24"/>
          <w:lang w:val="en-GB"/>
        </w:rPr>
        <w:t>, there are limitations</w:t>
      </w:r>
      <w:r w:rsidR="00977458" w:rsidRPr="00790E11">
        <w:rPr>
          <w:rFonts w:ascii="Garamond" w:hAnsi="Garamond"/>
          <w:sz w:val="24"/>
          <w:szCs w:val="24"/>
          <w:lang w:val="en-GB"/>
        </w:rPr>
        <w:t xml:space="preserve"> </w:t>
      </w:r>
      <w:r w:rsidR="00966680" w:rsidRPr="00790E11">
        <w:rPr>
          <w:rFonts w:ascii="Garamond" w:hAnsi="Garamond"/>
          <w:sz w:val="24"/>
          <w:szCs w:val="24"/>
          <w:lang w:val="en-GB"/>
        </w:rPr>
        <w:t xml:space="preserve">to </w:t>
      </w:r>
      <w:r w:rsidR="00977458" w:rsidRPr="00790E11">
        <w:rPr>
          <w:rFonts w:ascii="Garamond" w:hAnsi="Garamond"/>
          <w:sz w:val="24"/>
          <w:szCs w:val="24"/>
          <w:lang w:val="en-GB"/>
        </w:rPr>
        <w:t xml:space="preserve">how far EU fundamental rights can be restricted. </w:t>
      </w:r>
    </w:p>
    <w:p w14:paraId="03D0764A" w14:textId="0CBB5928" w:rsidR="005726C5" w:rsidRDefault="008A46DC" w:rsidP="009D7F6F">
      <w:pPr>
        <w:numPr>
          <w:ilvl w:val="0"/>
          <w:numId w:val="17"/>
        </w:numPr>
        <w:spacing w:after="120"/>
        <w:jc w:val="both"/>
        <w:rPr>
          <w:rFonts w:ascii="Garamond" w:hAnsi="Garamond"/>
          <w:sz w:val="24"/>
          <w:szCs w:val="24"/>
          <w:lang w:val="en-GB"/>
        </w:rPr>
      </w:pPr>
      <w:r w:rsidRPr="00790E11">
        <w:rPr>
          <w:rFonts w:ascii="Garamond" w:hAnsi="Garamond"/>
          <w:sz w:val="24"/>
          <w:szCs w:val="24"/>
          <w:lang w:val="en-GB"/>
        </w:rPr>
        <w:t xml:space="preserve">(1) </w:t>
      </w:r>
      <w:r w:rsidR="00977458" w:rsidRPr="00790E11">
        <w:rPr>
          <w:rFonts w:ascii="Garamond" w:hAnsi="Garamond"/>
          <w:sz w:val="24"/>
          <w:szCs w:val="24"/>
          <w:lang w:val="en-GB"/>
        </w:rPr>
        <w:t xml:space="preserve">The </w:t>
      </w:r>
      <w:r w:rsidR="00977458" w:rsidRPr="00790E11">
        <w:rPr>
          <w:rFonts w:ascii="Garamond" w:hAnsi="Garamond"/>
          <w:sz w:val="24"/>
          <w:szCs w:val="24"/>
          <w:u w:val="single"/>
          <w:lang w:val="en-GB"/>
        </w:rPr>
        <w:t>first</w:t>
      </w:r>
      <w:r w:rsidR="00977458" w:rsidRPr="00790E11">
        <w:rPr>
          <w:rFonts w:ascii="Garamond" w:hAnsi="Garamond"/>
          <w:sz w:val="24"/>
          <w:szCs w:val="24"/>
          <w:lang w:val="en-GB"/>
        </w:rPr>
        <w:t xml:space="preserve"> limitation is that each restriction of a fundamental right must comply with the principle of proportionality. Thus, the restriction must be proportionate to the public interest pursued. A</w:t>
      </w:r>
      <w:r w:rsidR="00790E11">
        <w:rPr>
          <w:rFonts w:ascii="Garamond" w:hAnsi="Garamond"/>
          <w:sz w:val="24"/>
          <w:szCs w:val="24"/>
          <w:lang w:val="en-GB"/>
        </w:rPr>
        <w:t xml:space="preserve">n </w:t>
      </w:r>
      <w:r w:rsidR="00977458" w:rsidRPr="00790E11">
        <w:rPr>
          <w:rFonts w:ascii="Garamond" w:hAnsi="Garamond"/>
          <w:sz w:val="24"/>
          <w:szCs w:val="24"/>
          <w:lang w:val="en-GB"/>
        </w:rPr>
        <w:t xml:space="preserve">example of how proportionality applies in this situation is </w:t>
      </w:r>
      <w:r w:rsidR="00977458" w:rsidRPr="00790E11">
        <w:rPr>
          <w:rFonts w:ascii="Garamond" w:hAnsi="Garamond"/>
          <w:i/>
          <w:sz w:val="24"/>
          <w:szCs w:val="24"/>
          <w:lang w:val="en-GB"/>
        </w:rPr>
        <w:t>Digital Rights Ireland</w:t>
      </w:r>
      <w:r w:rsidR="00977458" w:rsidRPr="00790E11">
        <w:rPr>
          <w:rFonts w:ascii="Garamond" w:hAnsi="Garamond"/>
          <w:sz w:val="24"/>
          <w:szCs w:val="24"/>
          <w:lang w:val="en-GB"/>
        </w:rPr>
        <w:t xml:space="preserve">, a case where the Court found </w:t>
      </w:r>
      <w:r w:rsidR="005726C5" w:rsidRPr="00790E11">
        <w:rPr>
          <w:rFonts w:ascii="Garamond" w:hAnsi="Garamond"/>
          <w:sz w:val="24"/>
          <w:szCs w:val="24"/>
          <w:lang w:val="en-GB"/>
        </w:rPr>
        <w:t xml:space="preserve">the data retention measures in Directive 2006/24 to be disproportionate to the objective of public security. </w:t>
      </w:r>
    </w:p>
    <w:p w14:paraId="02F9DD93" w14:textId="77777777" w:rsidR="00790E11" w:rsidRPr="00790E11" w:rsidRDefault="00790E11" w:rsidP="00790E11">
      <w:pPr>
        <w:spacing w:after="120"/>
        <w:ind w:left="360"/>
        <w:jc w:val="both"/>
        <w:rPr>
          <w:rFonts w:ascii="Garamond" w:hAnsi="Garamond"/>
          <w:sz w:val="24"/>
          <w:szCs w:val="24"/>
          <w:lang w:val="en-GB"/>
        </w:rPr>
      </w:pPr>
    </w:p>
    <w:p w14:paraId="5367CBCC" w14:textId="560B828F" w:rsidR="00D8153C" w:rsidRDefault="00D8153C" w:rsidP="00977458">
      <w:pPr>
        <w:pStyle w:val="ListParagraph"/>
        <w:numPr>
          <w:ilvl w:val="0"/>
          <w:numId w:val="7"/>
        </w:numPr>
        <w:jc w:val="both"/>
        <w:rPr>
          <w:rFonts w:ascii="Garamond" w:hAnsi="Garamond"/>
          <w:sz w:val="24"/>
          <w:szCs w:val="24"/>
          <w:lang w:val="en-GB"/>
        </w:rPr>
      </w:pPr>
      <w:r w:rsidRPr="00C93BD3">
        <w:rPr>
          <w:rFonts w:ascii="Garamond" w:hAnsi="Garamond"/>
          <w:i/>
          <w:sz w:val="24"/>
          <w:szCs w:val="24"/>
          <w:lang w:val="en-GB"/>
        </w:rPr>
        <w:t>Digital Rights Ireland</w:t>
      </w:r>
      <w:r w:rsidRPr="00C93BD3">
        <w:rPr>
          <w:rFonts w:ascii="Garamond" w:hAnsi="Garamond"/>
          <w:sz w:val="24"/>
          <w:szCs w:val="24"/>
          <w:lang w:val="en-GB"/>
        </w:rPr>
        <w:t>, C-</w:t>
      </w:r>
      <w:r w:rsidR="00413EEE" w:rsidRPr="00C93BD3">
        <w:rPr>
          <w:rFonts w:ascii="Garamond" w:hAnsi="Garamond"/>
          <w:sz w:val="24"/>
          <w:szCs w:val="24"/>
          <w:lang w:val="en-GB"/>
        </w:rPr>
        <w:t>293/12, ECLI:EU:C:2014:238</w:t>
      </w:r>
    </w:p>
    <w:p w14:paraId="129C9AE4" w14:textId="77777777" w:rsidR="00C93BD3" w:rsidRPr="00C93BD3" w:rsidRDefault="00C93BD3" w:rsidP="00C93BD3">
      <w:pPr>
        <w:pStyle w:val="ListParagraph"/>
        <w:ind w:left="1080"/>
        <w:jc w:val="both"/>
        <w:rPr>
          <w:rFonts w:ascii="Garamond" w:hAnsi="Garamond"/>
          <w:sz w:val="24"/>
          <w:szCs w:val="24"/>
          <w:lang w:val="en-GB"/>
        </w:rPr>
      </w:pPr>
    </w:p>
    <w:p w14:paraId="0FDEDA93" w14:textId="3D1A6126" w:rsidR="00977458" w:rsidRPr="00790E11" w:rsidRDefault="00790E11" w:rsidP="00790E11">
      <w:pPr>
        <w:pStyle w:val="ListParagraph"/>
        <w:ind w:left="1080"/>
        <w:jc w:val="both"/>
        <w:rPr>
          <w:rFonts w:ascii="Garamond" w:hAnsi="Garamond"/>
          <w:sz w:val="20"/>
          <w:szCs w:val="20"/>
        </w:rPr>
      </w:pPr>
      <w:r>
        <w:rPr>
          <w:rFonts w:ascii="Garamond" w:hAnsi="Garamond"/>
          <w:sz w:val="20"/>
          <w:szCs w:val="20"/>
        </w:rPr>
        <w:t>“</w:t>
      </w:r>
      <w:r w:rsidR="00977458" w:rsidRPr="00C93BD3">
        <w:rPr>
          <w:rFonts w:ascii="Garamond" w:hAnsi="Garamond"/>
          <w:sz w:val="20"/>
          <w:szCs w:val="20"/>
        </w:rPr>
        <w:t xml:space="preserve">51 As regards the necessity for the retention of data required by Directive 2006/24, it must be held that the fight against serious crime, </w:t>
      </w:r>
      <w:proofErr w:type="gramStart"/>
      <w:r w:rsidR="00977458" w:rsidRPr="00C93BD3">
        <w:rPr>
          <w:rFonts w:ascii="Garamond" w:hAnsi="Garamond"/>
          <w:sz w:val="20"/>
          <w:szCs w:val="20"/>
        </w:rPr>
        <w:t>in particular against</w:t>
      </w:r>
      <w:proofErr w:type="gramEnd"/>
      <w:r w:rsidR="00977458" w:rsidRPr="00C93BD3">
        <w:rPr>
          <w:rFonts w:ascii="Garamond" w:hAnsi="Garamond"/>
          <w:sz w:val="20"/>
          <w:szCs w:val="20"/>
        </w:rPr>
        <w:t xml:space="preserve"> </w:t>
      </w:r>
      <w:proofErr w:type="spellStart"/>
      <w:r w:rsidR="00977458" w:rsidRPr="00C93BD3">
        <w:rPr>
          <w:rFonts w:ascii="Garamond" w:hAnsi="Garamond"/>
          <w:sz w:val="20"/>
          <w:szCs w:val="20"/>
        </w:rPr>
        <w:t>organised</w:t>
      </w:r>
      <w:proofErr w:type="spellEnd"/>
      <w:r w:rsidR="00977458" w:rsidRPr="00C93BD3">
        <w:rPr>
          <w:rFonts w:ascii="Garamond" w:hAnsi="Garamond"/>
          <w:sz w:val="20"/>
          <w:szCs w:val="20"/>
        </w:rPr>
        <w:t xml:space="preserve"> crime and terrorism, is indeed of the utmost importance in order to ensure public security and its effectiveness may depend to a great extent on the use of modern investigation techniques. However, such </w:t>
      </w:r>
      <w:r w:rsidR="00977458" w:rsidRPr="005726C5">
        <w:rPr>
          <w:rFonts w:ascii="Garamond" w:hAnsi="Garamond"/>
          <w:sz w:val="20"/>
          <w:szCs w:val="20"/>
          <w:u w:val="single"/>
        </w:rPr>
        <w:t>an objective of general interest, however fundamental it may be, does not</w:t>
      </w:r>
      <w:proofErr w:type="gramStart"/>
      <w:r w:rsidR="00977458" w:rsidRPr="005726C5">
        <w:rPr>
          <w:rFonts w:ascii="Garamond" w:hAnsi="Garamond"/>
          <w:sz w:val="20"/>
          <w:szCs w:val="20"/>
          <w:u w:val="single"/>
        </w:rPr>
        <w:t>, in itself, justify</w:t>
      </w:r>
      <w:proofErr w:type="gramEnd"/>
      <w:r w:rsidR="00977458" w:rsidRPr="005726C5">
        <w:rPr>
          <w:rFonts w:ascii="Garamond" w:hAnsi="Garamond"/>
          <w:sz w:val="20"/>
          <w:szCs w:val="20"/>
          <w:u w:val="single"/>
        </w:rPr>
        <w:t xml:space="preserve"> a retention measure such as that established by Directive 2006/24</w:t>
      </w:r>
      <w:r w:rsidR="00977458" w:rsidRPr="00C93BD3">
        <w:rPr>
          <w:rFonts w:ascii="Garamond" w:hAnsi="Garamond"/>
          <w:sz w:val="20"/>
          <w:szCs w:val="20"/>
        </w:rPr>
        <w:t xml:space="preserve"> being considered to be necessary for the purpose of that fight</w:t>
      </w:r>
      <w:r w:rsidRPr="00790E11">
        <w:rPr>
          <w:rFonts w:ascii="Garamond" w:hAnsi="Garamond"/>
          <w:sz w:val="20"/>
          <w:szCs w:val="20"/>
        </w:rPr>
        <w:t>”.</w:t>
      </w:r>
    </w:p>
    <w:p w14:paraId="769F41F1" w14:textId="308DF1B4" w:rsidR="005C0744" w:rsidRPr="00323215" w:rsidRDefault="008A46DC" w:rsidP="00FA2755">
      <w:pPr>
        <w:numPr>
          <w:ilvl w:val="0"/>
          <w:numId w:val="17"/>
        </w:numPr>
        <w:spacing w:after="120"/>
        <w:jc w:val="both"/>
        <w:rPr>
          <w:rFonts w:ascii="Garamond" w:hAnsi="Garamond"/>
          <w:sz w:val="24"/>
          <w:szCs w:val="24"/>
          <w:lang w:val="en-GB"/>
        </w:rPr>
      </w:pPr>
      <w:r w:rsidRPr="00323215">
        <w:rPr>
          <w:rFonts w:ascii="Garamond" w:hAnsi="Garamond"/>
          <w:sz w:val="24"/>
          <w:szCs w:val="24"/>
          <w:lang w:val="en-GB"/>
        </w:rPr>
        <w:t xml:space="preserve">(2) </w:t>
      </w:r>
      <w:r w:rsidR="00977458" w:rsidRPr="00323215">
        <w:rPr>
          <w:rFonts w:ascii="Garamond" w:hAnsi="Garamond"/>
          <w:sz w:val="24"/>
          <w:szCs w:val="24"/>
          <w:lang w:val="en-GB"/>
        </w:rPr>
        <w:t xml:space="preserve">The </w:t>
      </w:r>
      <w:r w:rsidR="00977458" w:rsidRPr="00323215">
        <w:rPr>
          <w:rFonts w:ascii="Garamond" w:hAnsi="Garamond"/>
          <w:sz w:val="24"/>
          <w:szCs w:val="24"/>
          <w:u w:val="single"/>
          <w:lang w:val="en-GB"/>
        </w:rPr>
        <w:t>second</w:t>
      </w:r>
      <w:r w:rsidR="00977458" w:rsidRPr="00323215">
        <w:rPr>
          <w:rFonts w:ascii="Garamond" w:hAnsi="Garamond"/>
          <w:sz w:val="24"/>
          <w:szCs w:val="24"/>
          <w:lang w:val="en-GB"/>
        </w:rPr>
        <w:t xml:space="preserve"> flows from German </w:t>
      </w:r>
      <w:r w:rsidR="00790E11" w:rsidRPr="00323215">
        <w:rPr>
          <w:rFonts w:ascii="Garamond" w:hAnsi="Garamond"/>
          <w:sz w:val="24"/>
          <w:szCs w:val="24"/>
          <w:lang w:val="en-GB"/>
        </w:rPr>
        <w:t>‘</w:t>
      </w:r>
      <w:r w:rsidR="00977458" w:rsidRPr="00323215">
        <w:rPr>
          <w:rFonts w:ascii="Garamond" w:hAnsi="Garamond"/>
          <w:sz w:val="24"/>
          <w:szCs w:val="24"/>
          <w:lang w:val="en-GB"/>
        </w:rPr>
        <w:t>essentiality theory</w:t>
      </w:r>
      <w:r w:rsidR="00790E11" w:rsidRPr="00323215">
        <w:rPr>
          <w:rFonts w:ascii="Garamond" w:hAnsi="Garamond"/>
          <w:sz w:val="24"/>
          <w:szCs w:val="24"/>
          <w:lang w:val="en-GB"/>
        </w:rPr>
        <w:t>’</w:t>
      </w:r>
      <w:r w:rsidR="00977458" w:rsidRPr="00323215">
        <w:rPr>
          <w:rFonts w:ascii="Garamond" w:hAnsi="Garamond"/>
          <w:sz w:val="24"/>
          <w:szCs w:val="24"/>
          <w:lang w:val="en-GB"/>
        </w:rPr>
        <w:t xml:space="preserve">, which states that human rights can be restricted </w:t>
      </w:r>
      <w:r w:rsidR="00790E11" w:rsidRPr="00323215">
        <w:rPr>
          <w:rFonts w:ascii="Garamond" w:hAnsi="Garamond"/>
          <w:sz w:val="24"/>
          <w:szCs w:val="24"/>
          <w:lang w:val="en-GB"/>
        </w:rPr>
        <w:t>so long</w:t>
      </w:r>
      <w:r w:rsidR="00977458" w:rsidRPr="00323215">
        <w:rPr>
          <w:rFonts w:ascii="Garamond" w:hAnsi="Garamond"/>
          <w:sz w:val="24"/>
          <w:szCs w:val="24"/>
          <w:lang w:val="en-GB"/>
        </w:rPr>
        <w:t xml:space="preserve"> as the “essential core” of those rights is not impaired. </w:t>
      </w:r>
      <w:r w:rsidR="004669B7" w:rsidRPr="00323215">
        <w:rPr>
          <w:rFonts w:ascii="Garamond" w:hAnsi="Garamond"/>
          <w:i/>
          <w:sz w:val="24"/>
          <w:szCs w:val="24"/>
          <w:lang w:val="en-GB"/>
        </w:rPr>
        <w:t>Zambrano</w:t>
      </w:r>
      <w:r w:rsidR="00E91E9F" w:rsidRPr="00323215">
        <w:rPr>
          <w:rFonts w:ascii="Garamond" w:hAnsi="Garamond"/>
          <w:i/>
          <w:sz w:val="24"/>
          <w:szCs w:val="24"/>
          <w:lang w:val="en-GB"/>
        </w:rPr>
        <w:t xml:space="preserve"> </w:t>
      </w:r>
      <w:r w:rsidR="00E91E9F" w:rsidRPr="00323215">
        <w:rPr>
          <w:rFonts w:ascii="Garamond" w:hAnsi="Garamond"/>
          <w:iCs/>
          <w:sz w:val="24"/>
          <w:szCs w:val="24"/>
          <w:lang w:val="en-GB"/>
        </w:rPr>
        <w:t>(C-34/09)</w:t>
      </w:r>
      <w:r w:rsidR="004669B7" w:rsidRPr="00323215">
        <w:rPr>
          <w:rFonts w:ascii="Garamond" w:hAnsi="Garamond"/>
          <w:sz w:val="24"/>
          <w:szCs w:val="24"/>
          <w:lang w:val="en-GB"/>
        </w:rPr>
        <w:t xml:space="preserve"> is an excellent example</w:t>
      </w:r>
      <w:r w:rsidR="005C0744" w:rsidRPr="00323215">
        <w:rPr>
          <w:rFonts w:ascii="Garamond" w:hAnsi="Garamond"/>
          <w:sz w:val="24"/>
          <w:szCs w:val="24"/>
          <w:lang w:val="en-GB"/>
        </w:rPr>
        <w:t>. In</w:t>
      </w:r>
      <w:r w:rsidR="004669B7" w:rsidRPr="00323215">
        <w:rPr>
          <w:rFonts w:ascii="Garamond" w:hAnsi="Garamond"/>
          <w:sz w:val="24"/>
          <w:szCs w:val="24"/>
          <w:lang w:val="en-GB"/>
        </w:rPr>
        <w:t xml:space="preserve"> this case, two Colombian parents </w:t>
      </w:r>
      <w:r w:rsidR="005C0744" w:rsidRPr="00323215">
        <w:rPr>
          <w:rFonts w:ascii="Garamond" w:hAnsi="Garamond"/>
          <w:sz w:val="24"/>
          <w:szCs w:val="24"/>
          <w:lang w:val="en-GB"/>
        </w:rPr>
        <w:t xml:space="preserve">had their </w:t>
      </w:r>
      <w:r w:rsidR="00323215" w:rsidRPr="00323215">
        <w:rPr>
          <w:rFonts w:ascii="Garamond" w:hAnsi="Garamond"/>
          <w:sz w:val="24"/>
          <w:szCs w:val="24"/>
          <w:lang w:val="en-GB"/>
        </w:rPr>
        <w:t>application</w:t>
      </w:r>
      <w:r w:rsidR="005C0744" w:rsidRPr="00323215">
        <w:rPr>
          <w:rFonts w:ascii="Garamond" w:hAnsi="Garamond"/>
          <w:sz w:val="24"/>
          <w:szCs w:val="24"/>
          <w:lang w:val="en-GB"/>
        </w:rPr>
        <w:t xml:space="preserve"> to remain in Belgium rejected. They challenged this decision on the ground that it violated the rights of their children, who were EU citizens, because the children would </w:t>
      </w:r>
      <w:r w:rsidR="00297A5D" w:rsidRPr="00323215">
        <w:rPr>
          <w:rFonts w:ascii="Garamond" w:hAnsi="Garamond"/>
          <w:sz w:val="24"/>
          <w:szCs w:val="24"/>
          <w:lang w:val="en-GB"/>
        </w:rPr>
        <w:t>be forced to</w:t>
      </w:r>
      <w:r w:rsidR="005C0744" w:rsidRPr="00323215">
        <w:rPr>
          <w:rFonts w:ascii="Garamond" w:hAnsi="Garamond"/>
          <w:sz w:val="24"/>
          <w:szCs w:val="24"/>
          <w:lang w:val="en-GB"/>
        </w:rPr>
        <w:t xml:space="preserve"> follow their parents back to Colombia. The </w:t>
      </w:r>
      <w:r w:rsidR="009A0AAA">
        <w:rPr>
          <w:rFonts w:ascii="Garamond" w:hAnsi="Garamond"/>
          <w:sz w:val="24"/>
          <w:szCs w:val="24"/>
          <w:lang w:val="en-GB"/>
        </w:rPr>
        <w:t>CJEU</w:t>
      </w:r>
      <w:r w:rsidR="005C0744" w:rsidRPr="00323215">
        <w:rPr>
          <w:rFonts w:ascii="Garamond" w:hAnsi="Garamond"/>
          <w:sz w:val="24"/>
          <w:szCs w:val="24"/>
          <w:lang w:val="en-GB"/>
        </w:rPr>
        <w:t xml:space="preserve"> held that </w:t>
      </w:r>
      <w:r w:rsidR="00323215" w:rsidRPr="00323215">
        <w:rPr>
          <w:rFonts w:ascii="Garamond" w:hAnsi="Garamond"/>
          <w:sz w:val="24"/>
          <w:szCs w:val="24"/>
          <w:lang w:val="en-GB"/>
        </w:rPr>
        <w:t>Belgium’s refusal to allow the parents to stay in the country</w:t>
      </w:r>
      <w:r w:rsidR="005C0744" w:rsidRPr="00323215">
        <w:rPr>
          <w:rFonts w:ascii="Garamond" w:hAnsi="Garamond"/>
          <w:sz w:val="24"/>
          <w:szCs w:val="24"/>
          <w:lang w:val="en-GB"/>
        </w:rPr>
        <w:t xml:space="preserve"> deprived the children of their </w:t>
      </w:r>
      <w:r w:rsidR="00790E11" w:rsidRPr="00323215">
        <w:rPr>
          <w:rFonts w:ascii="Garamond" w:hAnsi="Garamond"/>
          <w:sz w:val="24"/>
          <w:szCs w:val="24"/>
          <w:lang w:val="en-GB"/>
        </w:rPr>
        <w:t>‘</w:t>
      </w:r>
      <w:r w:rsidR="005C0744" w:rsidRPr="00323215">
        <w:rPr>
          <w:rFonts w:ascii="Garamond" w:hAnsi="Garamond"/>
          <w:sz w:val="24"/>
          <w:szCs w:val="24"/>
          <w:lang w:val="en-GB"/>
        </w:rPr>
        <w:t xml:space="preserve">genuine enjoyment of the </w:t>
      </w:r>
      <w:r w:rsidR="005C0744" w:rsidRPr="00323215">
        <w:rPr>
          <w:rFonts w:ascii="Garamond" w:hAnsi="Garamond"/>
          <w:sz w:val="24"/>
          <w:szCs w:val="24"/>
          <w:u w:val="single"/>
          <w:lang w:val="en-GB"/>
        </w:rPr>
        <w:t>substance of the rights</w:t>
      </w:r>
      <w:r w:rsidR="005C0744" w:rsidRPr="00323215">
        <w:rPr>
          <w:rFonts w:ascii="Garamond" w:hAnsi="Garamond"/>
          <w:sz w:val="24"/>
          <w:szCs w:val="24"/>
          <w:lang w:val="en-GB"/>
        </w:rPr>
        <w:t xml:space="preserve"> conferred by virtue of their status of citizens of the Union</w:t>
      </w:r>
      <w:r w:rsidR="00790E11" w:rsidRPr="00323215">
        <w:rPr>
          <w:rFonts w:ascii="Garamond" w:hAnsi="Garamond"/>
          <w:sz w:val="24"/>
          <w:szCs w:val="24"/>
          <w:lang w:val="en-GB"/>
        </w:rPr>
        <w:t>’</w:t>
      </w:r>
      <w:r w:rsidR="005C0744" w:rsidRPr="00323215">
        <w:rPr>
          <w:rFonts w:ascii="Garamond" w:hAnsi="Garamond"/>
          <w:sz w:val="24"/>
          <w:szCs w:val="24"/>
          <w:lang w:val="en-GB"/>
        </w:rPr>
        <w:t xml:space="preserve">. </w:t>
      </w:r>
    </w:p>
    <w:p w14:paraId="17E0527E" w14:textId="799827A7" w:rsidR="00AD57DB" w:rsidRPr="00D81ED2" w:rsidRDefault="00B2295B" w:rsidP="00CB3FCC">
      <w:pPr>
        <w:numPr>
          <w:ilvl w:val="0"/>
          <w:numId w:val="17"/>
        </w:numPr>
        <w:spacing w:after="120"/>
        <w:jc w:val="both"/>
        <w:rPr>
          <w:rFonts w:ascii="Garamond" w:hAnsi="Garamond"/>
          <w:sz w:val="24"/>
          <w:szCs w:val="24"/>
          <w:lang w:val="en-GB"/>
        </w:rPr>
      </w:pPr>
      <w:r w:rsidRPr="00D81ED2">
        <w:rPr>
          <w:rFonts w:ascii="Garamond" w:hAnsi="Garamond"/>
          <w:sz w:val="24"/>
          <w:szCs w:val="24"/>
          <w:lang w:val="en-GB"/>
        </w:rPr>
        <w:t>See also:</w:t>
      </w:r>
    </w:p>
    <w:p w14:paraId="47AFD8EF" w14:textId="670D7273" w:rsidR="00AD57DB" w:rsidRDefault="00AD57DB" w:rsidP="00F62864">
      <w:pPr>
        <w:pStyle w:val="ListParagraph"/>
        <w:numPr>
          <w:ilvl w:val="0"/>
          <w:numId w:val="7"/>
        </w:numPr>
        <w:jc w:val="both"/>
        <w:rPr>
          <w:rFonts w:ascii="Garamond" w:hAnsi="Garamond"/>
          <w:sz w:val="24"/>
          <w:szCs w:val="24"/>
          <w:lang w:val="en-GB"/>
        </w:rPr>
      </w:pPr>
      <w:r>
        <w:rPr>
          <w:rFonts w:ascii="Garamond" w:hAnsi="Garamond"/>
          <w:sz w:val="24"/>
          <w:szCs w:val="24"/>
          <w:lang w:val="en-GB"/>
        </w:rPr>
        <w:t>Article 52(1) Charter:</w:t>
      </w:r>
    </w:p>
    <w:p w14:paraId="51FCB736" w14:textId="55F44AA4" w:rsidR="00AD57DB" w:rsidRPr="00AD57DB" w:rsidRDefault="00AD57DB" w:rsidP="00AD57DB">
      <w:pPr>
        <w:autoSpaceDE w:val="0"/>
        <w:autoSpaceDN w:val="0"/>
        <w:adjustRightInd w:val="0"/>
        <w:spacing w:after="0" w:line="240" w:lineRule="auto"/>
        <w:ind w:left="720"/>
        <w:jc w:val="both"/>
        <w:rPr>
          <w:rFonts w:ascii="Garamond" w:eastAsiaTheme="minorHAnsi" w:hAnsi="Garamond" w:cs="AdvALBR"/>
          <w:sz w:val="20"/>
          <w:szCs w:val="20"/>
          <w:lang w:val="en-GB"/>
        </w:rPr>
      </w:pPr>
      <w:r w:rsidRPr="00AD57DB">
        <w:rPr>
          <w:rFonts w:ascii="Garamond" w:eastAsiaTheme="minorHAnsi" w:hAnsi="Garamond" w:cs="AdvALBR"/>
          <w:sz w:val="20"/>
          <w:szCs w:val="20"/>
          <w:lang w:val="en-GB"/>
        </w:rPr>
        <w:t xml:space="preserve">Any limitation on the exercise of the rights and freedoms recognised by this Charter must be provided for by law and </w:t>
      </w:r>
      <w:r w:rsidRPr="0004190B">
        <w:rPr>
          <w:rFonts w:ascii="Garamond" w:eastAsiaTheme="minorHAnsi" w:hAnsi="Garamond" w:cs="AdvALBR"/>
          <w:sz w:val="20"/>
          <w:szCs w:val="20"/>
          <w:u w:val="single"/>
          <w:lang w:val="en-GB"/>
        </w:rPr>
        <w:t>respect the essence of those rights and freedoms</w:t>
      </w:r>
      <w:r w:rsidRPr="00AD57DB">
        <w:rPr>
          <w:rFonts w:ascii="Garamond" w:eastAsiaTheme="minorHAnsi" w:hAnsi="Garamond" w:cs="AdvALBR"/>
          <w:sz w:val="20"/>
          <w:szCs w:val="20"/>
          <w:lang w:val="en-GB"/>
        </w:rPr>
        <w:t>. Subject to the principle of proportionality, limitations may be made only if they are necessary and genuinely meet objectives of general interest recognised by the Union or the need to protect the rights and freedoms of others.</w:t>
      </w:r>
    </w:p>
    <w:p w14:paraId="4BE422A4" w14:textId="5C7F18CB" w:rsidR="00EE5DA2" w:rsidRDefault="005C0744" w:rsidP="000A1BD0">
      <w:pPr>
        <w:jc w:val="both"/>
        <w:rPr>
          <w:rFonts w:ascii="Garamond" w:hAnsi="Garamond"/>
          <w:sz w:val="24"/>
          <w:szCs w:val="24"/>
          <w:lang w:val="en-GB"/>
        </w:rPr>
      </w:pPr>
      <w:r>
        <w:rPr>
          <w:rFonts w:ascii="Garamond" w:hAnsi="Garamond"/>
          <w:sz w:val="24"/>
          <w:szCs w:val="24"/>
          <w:lang w:val="en-GB"/>
        </w:rPr>
        <w:t xml:space="preserve"> </w:t>
      </w:r>
    </w:p>
    <w:p w14:paraId="788B1AFC" w14:textId="77777777" w:rsidR="00216B4C" w:rsidRDefault="00216B4C" w:rsidP="000A1BD0">
      <w:pPr>
        <w:jc w:val="both"/>
        <w:rPr>
          <w:rFonts w:ascii="Garamond" w:hAnsi="Garamond"/>
          <w:sz w:val="24"/>
          <w:szCs w:val="24"/>
          <w:lang w:val="en-GB"/>
        </w:rPr>
      </w:pPr>
    </w:p>
    <w:p w14:paraId="04C7F76A" w14:textId="69A602D6" w:rsidR="006E249B" w:rsidRPr="00794B9E" w:rsidRDefault="006E249B" w:rsidP="00DD6EBA">
      <w:pPr>
        <w:rPr>
          <w:rFonts w:ascii="Garamond" w:hAnsi="Garamond"/>
          <w:sz w:val="24"/>
          <w:szCs w:val="24"/>
          <w:lang w:val="en-GB"/>
        </w:rPr>
      </w:pPr>
    </w:p>
    <w:sectPr w:rsidR="006E249B" w:rsidRPr="00794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604020202020204"/>
    <w:charset w:val="00"/>
    <w:family w:val="swiss"/>
    <w:pitch w:val="variable"/>
    <w:sig w:usb0="E5002EFF" w:usb1="C000E47F" w:usb2="00000029" w:usb3="00000000" w:csb0="000001FF" w:csb1="00000000"/>
  </w:font>
  <w:font w:name="AdvALBR">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918"/>
    <w:multiLevelType w:val="hybridMultilevel"/>
    <w:tmpl w:val="7646E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57691"/>
    <w:multiLevelType w:val="hybridMultilevel"/>
    <w:tmpl w:val="CFF47392"/>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AA250F"/>
    <w:multiLevelType w:val="hybridMultilevel"/>
    <w:tmpl w:val="45F8B64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D531D26"/>
    <w:multiLevelType w:val="hybridMultilevel"/>
    <w:tmpl w:val="C07A8E48"/>
    <w:lvl w:ilvl="0" w:tplc="F13C3EC2">
      <w:start w:val="1"/>
      <w:numFmt w:val="bullet"/>
      <w:lvlText w:val=""/>
      <w:lvlJc w:val="left"/>
      <w:pPr>
        <w:tabs>
          <w:tab w:val="num" w:pos="1004"/>
        </w:tabs>
        <w:ind w:left="1004" w:hanging="284"/>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418ABA2C">
      <w:numFmt w:val="bullet"/>
      <w:lvlText w:val="-"/>
      <w:lvlJc w:val="left"/>
      <w:pPr>
        <w:ind w:left="2880" w:hanging="360"/>
      </w:pPr>
      <w:rPr>
        <w:rFonts w:ascii="Garamond" w:eastAsia="Times New Roman" w:hAnsi="Garamond"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DD35ADD"/>
    <w:multiLevelType w:val="hybridMultilevel"/>
    <w:tmpl w:val="50786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8425D5"/>
    <w:multiLevelType w:val="hybridMultilevel"/>
    <w:tmpl w:val="BB2E7C86"/>
    <w:lvl w:ilvl="0" w:tplc="1C1E0806">
      <w:start w:val="1"/>
      <w:numFmt w:val="bullet"/>
      <w:lvlText w:val=""/>
      <w:lvlJc w:val="left"/>
      <w:pPr>
        <w:tabs>
          <w:tab w:val="num" w:pos="284"/>
        </w:tabs>
        <w:ind w:left="284"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655D4C"/>
    <w:multiLevelType w:val="hybridMultilevel"/>
    <w:tmpl w:val="C100C2D6"/>
    <w:lvl w:ilvl="0" w:tplc="4E1867D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F6D1ECA"/>
    <w:multiLevelType w:val="hybridMultilevel"/>
    <w:tmpl w:val="3C5C13F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E77235C"/>
    <w:multiLevelType w:val="hybridMultilevel"/>
    <w:tmpl w:val="25BE2D66"/>
    <w:lvl w:ilvl="0" w:tplc="1C1E0806">
      <w:start w:val="1"/>
      <w:numFmt w:val="bullet"/>
      <w:lvlText w:val=""/>
      <w:lvlJc w:val="left"/>
      <w:pPr>
        <w:tabs>
          <w:tab w:val="num" w:pos="284"/>
        </w:tabs>
        <w:ind w:left="284" w:hanging="284"/>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F13C3EC2">
      <w:start w:val="1"/>
      <w:numFmt w:val="bullet"/>
      <w:lvlText w:val=""/>
      <w:lvlJc w:val="left"/>
      <w:pPr>
        <w:tabs>
          <w:tab w:val="num" w:pos="2084"/>
        </w:tabs>
        <w:ind w:left="2084" w:hanging="284"/>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DE163C"/>
    <w:multiLevelType w:val="hybridMultilevel"/>
    <w:tmpl w:val="28129BE6"/>
    <w:lvl w:ilvl="0" w:tplc="E19A7022">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4D497F"/>
    <w:multiLevelType w:val="hybridMultilevel"/>
    <w:tmpl w:val="04F21B7E"/>
    <w:lvl w:ilvl="0" w:tplc="8D381D9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45230B7E"/>
    <w:multiLevelType w:val="multilevel"/>
    <w:tmpl w:val="F934C19C"/>
    <w:lvl w:ilvl="0">
      <w:start w:val="1"/>
      <w:numFmt w:val="decimal"/>
      <w:lvlText w:val="%1."/>
      <w:lvlJc w:val="left"/>
      <w:pPr>
        <w:ind w:left="560" w:hanging="560"/>
      </w:pPr>
      <w:rPr>
        <w:rFonts w:cs="Times New Roman"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4C801C14"/>
    <w:multiLevelType w:val="hybridMultilevel"/>
    <w:tmpl w:val="19D8FB78"/>
    <w:lvl w:ilvl="0" w:tplc="D3D675D6">
      <w:start w:val="1"/>
      <w:numFmt w:val="decimal"/>
      <w:lvlText w:val="%1."/>
      <w:lvlJc w:val="left"/>
      <w:pPr>
        <w:ind w:left="644" w:hanging="360"/>
      </w:pPr>
      <w:rPr>
        <w:rFonts w:cs="Times New Roman" w:hint="default"/>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13" w15:restartNumberingAfterBreak="0">
    <w:nsid w:val="56A25A0C"/>
    <w:multiLevelType w:val="hybridMultilevel"/>
    <w:tmpl w:val="F6302A94"/>
    <w:lvl w:ilvl="0" w:tplc="CB80A77A">
      <w:start w:val="1"/>
      <w:numFmt w:val="low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8556D72"/>
    <w:multiLevelType w:val="hybridMultilevel"/>
    <w:tmpl w:val="365A6B40"/>
    <w:lvl w:ilvl="0" w:tplc="85A44BCC">
      <w:start w:val="288"/>
      <w:numFmt w:val="bullet"/>
      <w:lvlText w:val="-"/>
      <w:lvlJc w:val="left"/>
      <w:pPr>
        <w:ind w:left="720" w:hanging="360"/>
      </w:pPr>
      <w:rPr>
        <w:rFonts w:ascii="Garamond" w:eastAsiaTheme="minorHAnsi" w:hAnsi="Garamond" w:cstheme="minorBidi" w:hint="default"/>
        <w:i/>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4E4022"/>
    <w:multiLevelType w:val="hybridMultilevel"/>
    <w:tmpl w:val="71369956"/>
    <w:lvl w:ilvl="0" w:tplc="1C1E080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E5C7466"/>
    <w:multiLevelType w:val="hybridMultilevel"/>
    <w:tmpl w:val="5A748930"/>
    <w:lvl w:ilvl="0" w:tplc="8A70797E">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FCF00FB"/>
    <w:multiLevelType w:val="hybridMultilevel"/>
    <w:tmpl w:val="9AF059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6104278">
    <w:abstractNumId w:val="5"/>
  </w:num>
  <w:num w:numId="2" w16cid:durableId="702292038">
    <w:abstractNumId w:val="3"/>
  </w:num>
  <w:num w:numId="3" w16cid:durableId="1147936580">
    <w:abstractNumId w:val="8"/>
  </w:num>
  <w:num w:numId="4" w16cid:durableId="2141417557">
    <w:abstractNumId w:val="11"/>
  </w:num>
  <w:num w:numId="5" w16cid:durableId="871722189">
    <w:abstractNumId w:val="12"/>
  </w:num>
  <w:num w:numId="6" w16cid:durableId="953944607">
    <w:abstractNumId w:val="17"/>
  </w:num>
  <w:num w:numId="7" w16cid:durableId="1838423073">
    <w:abstractNumId w:val="2"/>
  </w:num>
  <w:num w:numId="8" w16cid:durableId="1394431090">
    <w:abstractNumId w:val="6"/>
  </w:num>
  <w:num w:numId="9" w16cid:durableId="1388643874">
    <w:abstractNumId w:val="10"/>
  </w:num>
  <w:num w:numId="10" w16cid:durableId="1943564436">
    <w:abstractNumId w:val="7"/>
  </w:num>
  <w:num w:numId="11" w16cid:durableId="940380587">
    <w:abstractNumId w:val="1"/>
  </w:num>
  <w:num w:numId="12" w16cid:durableId="426658479">
    <w:abstractNumId w:val="0"/>
  </w:num>
  <w:num w:numId="13" w16cid:durableId="75825985">
    <w:abstractNumId w:val="4"/>
  </w:num>
  <w:num w:numId="14" w16cid:durableId="24911945">
    <w:abstractNumId w:val="13"/>
  </w:num>
  <w:num w:numId="15" w16cid:durableId="209535618">
    <w:abstractNumId w:val="16"/>
  </w:num>
  <w:num w:numId="16" w16cid:durableId="2017219876">
    <w:abstractNumId w:val="9"/>
  </w:num>
  <w:num w:numId="17" w16cid:durableId="949167274">
    <w:abstractNumId w:val="15"/>
  </w:num>
  <w:num w:numId="18" w16cid:durableId="20005717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39B"/>
    <w:rsid w:val="000035DD"/>
    <w:rsid w:val="0001319C"/>
    <w:rsid w:val="00024AAF"/>
    <w:rsid w:val="000306EA"/>
    <w:rsid w:val="00036B83"/>
    <w:rsid w:val="00036DB2"/>
    <w:rsid w:val="0004190B"/>
    <w:rsid w:val="00041DBD"/>
    <w:rsid w:val="00043B38"/>
    <w:rsid w:val="00044514"/>
    <w:rsid w:val="000609EA"/>
    <w:rsid w:val="00066CD1"/>
    <w:rsid w:val="000731B1"/>
    <w:rsid w:val="00077A22"/>
    <w:rsid w:val="0008127D"/>
    <w:rsid w:val="00082A5B"/>
    <w:rsid w:val="0009216E"/>
    <w:rsid w:val="000A191B"/>
    <w:rsid w:val="000A1BD0"/>
    <w:rsid w:val="000A3FF2"/>
    <w:rsid w:val="000C0105"/>
    <w:rsid w:val="000D4F7E"/>
    <w:rsid w:val="000E0999"/>
    <w:rsid w:val="001073C7"/>
    <w:rsid w:val="00112FF1"/>
    <w:rsid w:val="00114D65"/>
    <w:rsid w:val="00131BF3"/>
    <w:rsid w:val="001402FE"/>
    <w:rsid w:val="00154EE3"/>
    <w:rsid w:val="00156FEC"/>
    <w:rsid w:val="00160765"/>
    <w:rsid w:val="0017127F"/>
    <w:rsid w:val="00184485"/>
    <w:rsid w:val="001856A5"/>
    <w:rsid w:val="001865AD"/>
    <w:rsid w:val="00190501"/>
    <w:rsid w:val="00197D85"/>
    <w:rsid w:val="001A0CBA"/>
    <w:rsid w:val="001A6EE1"/>
    <w:rsid w:val="001A7E8D"/>
    <w:rsid w:val="001A7EEB"/>
    <w:rsid w:val="001B1E12"/>
    <w:rsid w:val="001B2C4D"/>
    <w:rsid w:val="001B62BE"/>
    <w:rsid w:val="001C7546"/>
    <w:rsid w:val="001D2E11"/>
    <w:rsid w:val="001D5EEB"/>
    <w:rsid w:val="001E76A6"/>
    <w:rsid w:val="001F3873"/>
    <w:rsid w:val="001F5EA4"/>
    <w:rsid w:val="00204D6E"/>
    <w:rsid w:val="00216001"/>
    <w:rsid w:val="00216737"/>
    <w:rsid w:val="00216B4C"/>
    <w:rsid w:val="00217D40"/>
    <w:rsid w:val="00217DE4"/>
    <w:rsid w:val="00222209"/>
    <w:rsid w:val="00223155"/>
    <w:rsid w:val="002235E1"/>
    <w:rsid w:val="00230635"/>
    <w:rsid w:val="00241706"/>
    <w:rsid w:val="002453E5"/>
    <w:rsid w:val="00257E4E"/>
    <w:rsid w:val="00260AA4"/>
    <w:rsid w:val="00276610"/>
    <w:rsid w:val="00276ECE"/>
    <w:rsid w:val="00282BF5"/>
    <w:rsid w:val="00297A5D"/>
    <w:rsid w:val="002A18ED"/>
    <w:rsid w:val="002A7AC9"/>
    <w:rsid w:val="002B0924"/>
    <w:rsid w:val="002B1093"/>
    <w:rsid w:val="002C0D75"/>
    <w:rsid w:val="002C35B7"/>
    <w:rsid w:val="002C3E5E"/>
    <w:rsid w:val="002C54DD"/>
    <w:rsid w:val="002C6C9C"/>
    <w:rsid w:val="002C75B4"/>
    <w:rsid w:val="002D1B54"/>
    <w:rsid w:val="002E4661"/>
    <w:rsid w:val="002E4FA1"/>
    <w:rsid w:val="002E5352"/>
    <w:rsid w:val="002E5BE8"/>
    <w:rsid w:val="002E7475"/>
    <w:rsid w:val="002F6721"/>
    <w:rsid w:val="002F72EF"/>
    <w:rsid w:val="003062E3"/>
    <w:rsid w:val="00316FF6"/>
    <w:rsid w:val="00317644"/>
    <w:rsid w:val="00323215"/>
    <w:rsid w:val="00323555"/>
    <w:rsid w:val="003418B6"/>
    <w:rsid w:val="003432ED"/>
    <w:rsid w:val="003466F9"/>
    <w:rsid w:val="003578D4"/>
    <w:rsid w:val="003732EC"/>
    <w:rsid w:val="0038072E"/>
    <w:rsid w:val="00380876"/>
    <w:rsid w:val="00383B81"/>
    <w:rsid w:val="00392A8C"/>
    <w:rsid w:val="00395643"/>
    <w:rsid w:val="003972F2"/>
    <w:rsid w:val="00397B7E"/>
    <w:rsid w:val="003A7327"/>
    <w:rsid w:val="003B07D5"/>
    <w:rsid w:val="003B2A9F"/>
    <w:rsid w:val="003B38B7"/>
    <w:rsid w:val="003D3282"/>
    <w:rsid w:val="003E09AF"/>
    <w:rsid w:val="003E4E6E"/>
    <w:rsid w:val="003E7216"/>
    <w:rsid w:val="00410B57"/>
    <w:rsid w:val="00413EEE"/>
    <w:rsid w:val="0041688E"/>
    <w:rsid w:val="00427586"/>
    <w:rsid w:val="00440242"/>
    <w:rsid w:val="00441143"/>
    <w:rsid w:val="004457FD"/>
    <w:rsid w:val="004669B7"/>
    <w:rsid w:val="00472B29"/>
    <w:rsid w:val="004752B1"/>
    <w:rsid w:val="004845C0"/>
    <w:rsid w:val="00485242"/>
    <w:rsid w:val="004A0EE7"/>
    <w:rsid w:val="004A4832"/>
    <w:rsid w:val="004B1FC7"/>
    <w:rsid w:val="004C509D"/>
    <w:rsid w:val="004C545F"/>
    <w:rsid w:val="004C75C7"/>
    <w:rsid w:val="004D205A"/>
    <w:rsid w:val="004D43CA"/>
    <w:rsid w:val="004E488B"/>
    <w:rsid w:val="004E6F12"/>
    <w:rsid w:val="004F0718"/>
    <w:rsid w:val="004F39FE"/>
    <w:rsid w:val="004F69B1"/>
    <w:rsid w:val="00511462"/>
    <w:rsid w:val="00515342"/>
    <w:rsid w:val="005204DE"/>
    <w:rsid w:val="00520CF3"/>
    <w:rsid w:val="00525198"/>
    <w:rsid w:val="005270F1"/>
    <w:rsid w:val="005302C5"/>
    <w:rsid w:val="00531818"/>
    <w:rsid w:val="0053290B"/>
    <w:rsid w:val="00537D93"/>
    <w:rsid w:val="00541AFF"/>
    <w:rsid w:val="00547EE8"/>
    <w:rsid w:val="00555417"/>
    <w:rsid w:val="005726C5"/>
    <w:rsid w:val="00572C88"/>
    <w:rsid w:val="00576D41"/>
    <w:rsid w:val="00583B0A"/>
    <w:rsid w:val="0058471A"/>
    <w:rsid w:val="00594EA3"/>
    <w:rsid w:val="00594EA9"/>
    <w:rsid w:val="005A688C"/>
    <w:rsid w:val="005B3B83"/>
    <w:rsid w:val="005C0744"/>
    <w:rsid w:val="005C079F"/>
    <w:rsid w:val="005C14A4"/>
    <w:rsid w:val="005C2FA5"/>
    <w:rsid w:val="005C4946"/>
    <w:rsid w:val="005E1D06"/>
    <w:rsid w:val="005E2D4D"/>
    <w:rsid w:val="005E381B"/>
    <w:rsid w:val="005F0D55"/>
    <w:rsid w:val="005F4628"/>
    <w:rsid w:val="00601BE1"/>
    <w:rsid w:val="00603E0A"/>
    <w:rsid w:val="00604C6D"/>
    <w:rsid w:val="006114EC"/>
    <w:rsid w:val="00614F9B"/>
    <w:rsid w:val="00643F16"/>
    <w:rsid w:val="00654BC1"/>
    <w:rsid w:val="006576D6"/>
    <w:rsid w:val="00660888"/>
    <w:rsid w:val="006728BE"/>
    <w:rsid w:val="00673466"/>
    <w:rsid w:val="00684066"/>
    <w:rsid w:val="00686ADC"/>
    <w:rsid w:val="006954CB"/>
    <w:rsid w:val="00695AC9"/>
    <w:rsid w:val="006A28AF"/>
    <w:rsid w:val="006A4539"/>
    <w:rsid w:val="006A4CAC"/>
    <w:rsid w:val="006A7D69"/>
    <w:rsid w:val="006B61EE"/>
    <w:rsid w:val="006B71E9"/>
    <w:rsid w:val="006C4B46"/>
    <w:rsid w:val="006E1BA9"/>
    <w:rsid w:val="006E249B"/>
    <w:rsid w:val="006E2509"/>
    <w:rsid w:val="006F0971"/>
    <w:rsid w:val="006F194D"/>
    <w:rsid w:val="006F33F5"/>
    <w:rsid w:val="006F669F"/>
    <w:rsid w:val="00702992"/>
    <w:rsid w:val="0072547D"/>
    <w:rsid w:val="00725DBB"/>
    <w:rsid w:val="00734210"/>
    <w:rsid w:val="00760FFC"/>
    <w:rsid w:val="0078003C"/>
    <w:rsid w:val="00782923"/>
    <w:rsid w:val="00790E11"/>
    <w:rsid w:val="00794B9E"/>
    <w:rsid w:val="007A069E"/>
    <w:rsid w:val="007A19AA"/>
    <w:rsid w:val="007A1FE9"/>
    <w:rsid w:val="007A3532"/>
    <w:rsid w:val="007D143E"/>
    <w:rsid w:val="007D30B1"/>
    <w:rsid w:val="007D4335"/>
    <w:rsid w:val="007D7D92"/>
    <w:rsid w:val="007E2441"/>
    <w:rsid w:val="007E6964"/>
    <w:rsid w:val="007F039B"/>
    <w:rsid w:val="007F13C7"/>
    <w:rsid w:val="007F1A0D"/>
    <w:rsid w:val="00801D48"/>
    <w:rsid w:val="00827027"/>
    <w:rsid w:val="00827F86"/>
    <w:rsid w:val="00833326"/>
    <w:rsid w:val="008444A9"/>
    <w:rsid w:val="00850F9C"/>
    <w:rsid w:val="00862BF8"/>
    <w:rsid w:val="00864E16"/>
    <w:rsid w:val="00867E6D"/>
    <w:rsid w:val="00880BCB"/>
    <w:rsid w:val="00883103"/>
    <w:rsid w:val="008944EF"/>
    <w:rsid w:val="008A46DC"/>
    <w:rsid w:val="008A5F60"/>
    <w:rsid w:val="008A78F9"/>
    <w:rsid w:val="008B0CE7"/>
    <w:rsid w:val="008B1F5F"/>
    <w:rsid w:val="008B3E8C"/>
    <w:rsid w:val="008C4492"/>
    <w:rsid w:val="008D7932"/>
    <w:rsid w:val="008E7E3B"/>
    <w:rsid w:val="00907924"/>
    <w:rsid w:val="00915D25"/>
    <w:rsid w:val="00920883"/>
    <w:rsid w:val="00924981"/>
    <w:rsid w:val="00935A20"/>
    <w:rsid w:val="0094271F"/>
    <w:rsid w:val="009450FB"/>
    <w:rsid w:val="00951788"/>
    <w:rsid w:val="00956620"/>
    <w:rsid w:val="009639D2"/>
    <w:rsid w:val="00966680"/>
    <w:rsid w:val="009758BB"/>
    <w:rsid w:val="00977458"/>
    <w:rsid w:val="00977EBD"/>
    <w:rsid w:val="0098755D"/>
    <w:rsid w:val="009902C2"/>
    <w:rsid w:val="00995911"/>
    <w:rsid w:val="009A0AAA"/>
    <w:rsid w:val="009C55DA"/>
    <w:rsid w:val="009D5409"/>
    <w:rsid w:val="009D5839"/>
    <w:rsid w:val="009D7599"/>
    <w:rsid w:val="009D7F6F"/>
    <w:rsid w:val="009E1830"/>
    <w:rsid w:val="009F093C"/>
    <w:rsid w:val="00A1130E"/>
    <w:rsid w:val="00A13377"/>
    <w:rsid w:val="00A14D51"/>
    <w:rsid w:val="00A24F97"/>
    <w:rsid w:val="00A32ECD"/>
    <w:rsid w:val="00A36698"/>
    <w:rsid w:val="00A37136"/>
    <w:rsid w:val="00A44A2A"/>
    <w:rsid w:val="00A4558E"/>
    <w:rsid w:val="00A61E53"/>
    <w:rsid w:val="00A6272B"/>
    <w:rsid w:val="00A63EAB"/>
    <w:rsid w:val="00A64DBE"/>
    <w:rsid w:val="00A67B03"/>
    <w:rsid w:val="00A72CF7"/>
    <w:rsid w:val="00A73D1E"/>
    <w:rsid w:val="00A74D18"/>
    <w:rsid w:val="00A830F9"/>
    <w:rsid w:val="00AB03D7"/>
    <w:rsid w:val="00AB1576"/>
    <w:rsid w:val="00AC5FC2"/>
    <w:rsid w:val="00AD04F5"/>
    <w:rsid w:val="00AD410E"/>
    <w:rsid w:val="00AD57DB"/>
    <w:rsid w:val="00AE0256"/>
    <w:rsid w:val="00AE0C4F"/>
    <w:rsid w:val="00AE3680"/>
    <w:rsid w:val="00AF3002"/>
    <w:rsid w:val="00AF54FD"/>
    <w:rsid w:val="00B010DE"/>
    <w:rsid w:val="00B14243"/>
    <w:rsid w:val="00B168F9"/>
    <w:rsid w:val="00B2295B"/>
    <w:rsid w:val="00B300EE"/>
    <w:rsid w:val="00B30A28"/>
    <w:rsid w:val="00B73A73"/>
    <w:rsid w:val="00B76454"/>
    <w:rsid w:val="00B86DEF"/>
    <w:rsid w:val="00B91228"/>
    <w:rsid w:val="00B958D6"/>
    <w:rsid w:val="00B96B3D"/>
    <w:rsid w:val="00BA1E42"/>
    <w:rsid w:val="00BA3469"/>
    <w:rsid w:val="00BA3B0F"/>
    <w:rsid w:val="00BA678A"/>
    <w:rsid w:val="00BA79FB"/>
    <w:rsid w:val="00BB1AF6"/>
    <w:rsid w:val="00BB6E49"/>
    <w:rsid w:val="00BC1D12"/>
    <w:rsid w:val="00BC6D3F"/>
    <w:rsid w:val="00BE2752"/>
    <w:rsid w:val="00BE7263"/>
    <w:rsid w:val="00BF6417"/>
    <w:rsid w:val="00BF710B"/>
    <w:rsid w:val="00C053C1"/>
    <w:rsid w:val="00C13884"/>
    <w:rsid w:val="00C13991"/>
    <w:rsid w:val="00C170BF"/>
    <w:rsid w:val="00C2000E"/>
    <w:rsid w:val="00C22844"/>
    <w:rsid w:val="00C2508E"/>
    <w:rsid w:val="00C413E5"/>
    <w:rsid w:val="00C42E4C"/>
    <w:rsid w:val="00C679DE"/>
    <w:rsid w:val="00C70160"/>
    <w:rsid w:val="00C72259"/>
    <w:rsid w:val="00C76AB9"/>
    <w:rsid w:val="00C8070A"/>
    <w:rsid w:val="00C92E8D"/>
    <w:rsid w:val="00C93BD3"/>
    <w:rsid w:val="00C94EE1"/>
    <w:rsid w:val="00CA555D"/>
    <w:rsid w:val="00CA654D"/>
    <w:rsid w:val="00CB0F9B"/>
    <w:rsid w:val="00CB57EB"/>
    <w:rsid w:val="00CC60C5"/>
    <w:rsid w:val="00CD24E7"/>
    <w:rsid w:val="00CD5BEA"/>
    <w:rsid w:val="00CE0AA0"/>
    <w:rsid w:val="00CF14EB"/>
    <w:rsid w:val="00CF5A27"/>
    <w:rsid w:val="00CF66B4"/>
    <w:rsid w:val="00D22113"/>
    <w:rsid w:val="00D23357"/>
    <w:rsid w:val="00D2731B"/>
    <w:rsid w:val="00D45C55"/>
    <w:rsid w:val="00D46B5C"/>
    <w:rsid w:val="00D5483C"/>
    <w:rsid w:val="00D54FA7"/>
    <w:rsid w:val="00D6539F"/>
    <w:rsid w:val="00D67B48"/>
    <w:rsid w:val="00D71088"/>
    <w:rsid w:val="00D744B8"/>
    <w:rsid w:val="00D80E89"/>
    <w:rsid w:val="00D8153C"/>
    <w:rsid w:val="00D81ED2"/>
    <w:rsid w:val="00D869DD"/>
    <w:rsid w:val="00D8700C"/>
    <w:rsid w:val="00D93450"/>
    <w:rsid w:val="00DA2D32"/>
    <w:rsid w:val="00DA3C1D"/>
    <w:rsid w:val="00DA3C86"/>
    <w:rsid w:val="00DA50AC"/>
    <w:rsid w:val="00DA7377"/>
    <w:rsid w:val="00DB33ED"/>
    <w:rsid w:val="00DC7F29"/>
    <w:rsid w:val="00DD56F2"/>
    <w:rsid w:val="00DD6EBA"/>
    <w:rsid w:val="00DE1212"/>
    <w:rsid w:val="00DE24FC"/>
    <w:rsid w:val="00DE6A1D"/>
    <w:rsid w:val="00DF1A16"/>
    <w:rsid w:val="00DF71D9"/>
    <w:rsid w:val="00DF7705"/>
    <w:rsid w:val="00E0220C"/>
    <w:rsid w:val="00E23369"/>
    <w:rsid w:val="00E25C13"/>
    <w:rsid w:val="00E3286F"/>
    <w:rsid w:val="00E32BE1"/>
    <w:rsid w:val="00E415BD"/>
    <w:rsid w:val="00E45935"/>
    <w:rsid w:val="00E465FC"/>
    <w:rsid w:val="00E62893"/>
    <w:rsid w:val="00E6691D"/>
    <w:rsid w:val="00E728F1"/>
    <w:rsid w:val="00E75A13"/>
    <w:rsid w:val="00E762E7"/>
    <w:rsid w:val="00E838FE"/>
    <w:rsid w:val="00E91E9F"/>
    <w:rsid w:val="00EA4E50"/>
    <w:rsid w:val="00EB0556"/>
    <w:rsid w:val="00EB349E"/>
    <w:rsid w:val="00EB4D30"/>
    <w:rsid w:val="00EB53C9"/>
    <w:rsid w:val="00EB6487"/>
    <w:rsid w:val="00EC06B7"/>
    <w:rsid w:val="00EC7F23"/>
    <w:rsid w:val="00EE00CC"/>
    <w:rsid w:val="00EE45BD"/>
    <w:rsid w:val="00EE5DA2"/>
    <w:rsid w:val="00EF19F4"/>
    <w:rsid w:val="00EF57C5"/>
    <w:rsid w:val="00EF7FF2"/>
    <w:rsid w:val="00F16444"/>
    <w:rsid w:val="00F16822"/>
    <w:rsid w:val="00F4223D"/>
    <w:rsid w:val="00F451C3"/>
    <w:rsid w:val="00F53A6C"/>
    <w:rsid w:val="00F621DC"/>
    <w:rsid w:val="00F62864"/>
    <w:rsid w:val="00F64CCD"/>
    <w:rsid w:val="00F83308"/>
    <w:rsid w:val="00F870E0"/>
    <w:rsid w:val="00F92C96"/>
    <w:rsid w:val="00F959D5"/>
    <w:rsid w:val="00F95C44"/>
    <w:rsid w:val="00FB0B68"/>
    <w:rsid w:val="00FB0E4C"/>
    <w:rsid w:val="00FC19B2"/>
    <w:rsid w:val="00FC336B"/>
    <w:rsid w:val="00FD16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1B03"/>
  <w15:docId w15:val="{29D5B753-20B5-EC46-B152-FC83C5BB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9B"/>
    <w:rPr>
      <w:rFonts w:ascii="Calibri" w:eastAsia="Times New Roman" w:hAnsi="Calibri" w:cs="Times New Roman"/>
      <w:lang w:val="en-US"/>
    </w:rPr>
  </w:style>
  <w:style w:type="paragraph" w:styleId="Heading1">
    <w:name w:val="heading 1"/>
    <w:basedOn w:val="Normal"/>
    <w:next w:val="Normal"/>
    <w:link w:val="Heading1Char"/>
    <w:uiPriority w:val="9"/>
    <w:qFormat/>
    <w:rsid w:val="00A37136"/>
    <w:pPr>
      <w:keepNext/>
      <w:keepLines/>
      <w:spacing w:before="480" w:after="0" w:line="480" w:lineRule="auto"/>
      <w:outlineLvl w:val="0"/>
    </w:pPr>
    <w:rPr>
      <w:rFonts w:ascii="Garamond" w:eastAsiaTheme="majorEastAsia" w:hAnsi="Garamond" w:cstheme="majorBidi"/>
      <w:b/>
      <w:bCs/>
      <w:sz w:val="28"/>
      <w:szCs w:val="28"/>
      <w:lang w:val="en-GB"/>
    </w:rPr>
  </w:style>
  <w:style w:type="paragraph" w:styleId="Heading2">
    <w:name w:val="heading 2"/>
    <w:basedOn w:val="Normal"/>
    <w:next w:val="Normal"/>
    <w:link w:val="Heading2Char"/>
    <w:uiPriority w:val="9"/>
    <w:unhideWhenUsed/>
    <w:qFormat/>
    <w:rsid w:val="00F870E0"/>
    <w:pPr>
      <w:spacing w:line="360" w:lineRule="auto"/>
      <w:outlineLvl w:val="1"/>
    </w:pPr>
    <w:rPr>
      <w:rFonts w:ascii="Garamond" w:hAnsi="Garamond"/>
      <w:b/>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7F039B"/>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NoSpacing">
    <w:name w:val="No Spacing"/>
    <w:link w:val="NoSpacingChar"/>
    <w:uiPriority w:val="1"/>
    <w:qFormat/>
    <w:rsid w:val="007F039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F039B"/>
    <w:rPr>
      <w:rFonts w:eastAsiaTheme="minorEastAsia"/>
      <w:lang w:val="en-US"/>
    </w:rPr>
  </w:style>
  <w:style w:type="paragraph" w:styleId="BalloonText">
    <w:name w:val="Balloon Text"/>
    <w:basedOn w:val="Normal"/>
    <w:link w:val="BalloonTextChar"/>
    <w:uiPriority w:val="99"/>
    <w:semiHidden/>
    <w:unhideWhenUsed/>
    <w:rsid w:val="007F03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39B"/>
    <w:rPr>
      <w:rFonts w:ascii="Tahoma" w:eastAsia="Times New Roman" w:hAnsi="Tahoma" w:cs="Tahoma"/>
      <w:sz w:val="16"/>
      <w:szCs w:val="16"/>
      <w:lang w:val="en-US"/>
    </w:rPr>
  </w:style>
  <w:style w:type="character" w:customStyle="1" w:styleId="Heading1Char">
    <w:name w:val="Heading 1 Char"/>
    <w:basedOn w:val="DefaultParagraphFont"/>
    <w:link w:val="Heading1"/>
    <w:uiPriority w:val="9"/>
    <w:rsid w:val="00A37136"/>
    <w:rPr>
      <w:rFonts w:ascii="Garamond" w:eastAsiaTheme="majorEastAsia" w:hAnsi="Garamond" w:cstheme="majorBidi"/>
      <w:b/>
      <w:bCs/>
      <w:sz w:val="28"/>
      <w:szCs w:val="28"/>
    </w:rPr>
  </w:style>
  <w:style w:type="paragraph" w:styleId="ListParagraph">
    <w:name w:val="List Paragraph"/>
    <w:basedOn w:val="Normal"/>
    <w:uiPriority w:val="34"/>
    <w:qFormat/>
    <w:rsid w:val="00184485"/>
    <w:pPr>
      <w:ind w:left="720"/>
      <w:contextualSpacing/>
    </w:pPr>
  </w:style>
  <w:style w:type="table" w:styleId="TableGrid">
    <w:name w:val="Table Grid"/>
    <w:basedOn w:val="TableNormal"/>
    <w:uiPriority w:val="59"/>
    <w:rsid w:val="00A11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1E12"/>
    <w:pPr>
      <w:spacing w:before="100" w:beforeAutospacing="1" w:after="100" w:afterAutospacing="1" w:line="240" w:lineRule="auto"/>
    </w:pPr>
    <w:rPr>
      <w:rFonts w:ascii="Times New Roman" w:hAnsi="Times New Roman"/>
      <w:sz w:val="24"/>
      <w:szCs w:val="24"/>
      <w:lang w:val="en-GB"/>
    </w:rPr>
  </w:style>
  <w:style w:type="paragraph" w:customStyle="1" w:styleId="c01pointnumerotealtn">
    <w:name w:val="c01pointnumerotealtn"/>
    <w:basedOn w:val="Normal"/>
    <w:rsid w:val="008B0CE7"/>
    <w:pPr>
      <w:spacing w:before="100" w:beforeAutospacing="1" w:after="100" w:afterAutospacing="1" w:line="240" w:lineRule="auto"/>
    </w:pPr>
    <w:rPr>
      <w:rFonts w:ascii="Times New Roman" w:hAnsi="Times New Roman"/>
      <w:sz w:val="24"/>
      <w:szCs w:val="24"/>
      <w:lang w:val="en-GB" w:eastAsia="en-GB"/>
    </w:rPr>
  </w:style>
  <w:style w:type="character" w:customStyle="1" w:styleId="Heading2Char">
    <w:name w:val="Heading 2 Char"/>
    <w:basedOn w:val="DefaultParagraphFont"/>
    <w:link w:val="Heading2"/>
    <w:uiPriority w:val="9"/>
    <w:rsid w:val="00F870E0"/>
    <w:rPr>
      <w:rFonts w:ascii="Garamond" w:eastAsia="Times New Roman" w:hAnsi="Garamond" w:cs="Times New Roman"/>
      <w:b/>
      <w:sz w:val="24"/>
    </w:rPr>
  </w:style>
  <w:style w:type="character" w:styleId="Hyperlink">
    <w:name w:val="Hyperlink"/>
    <w:basedOn w:val="DefaultParagraphFont"/>
    <w:uiPriority w:val="99"/>
    <w:unhideWhenUsed/>
    <w:rsid w:val="00DA2D32"/>
    <w:rPr>
      <w:color w:val="0000FF" w:themeColor="hyperlink"/>
      <w:u w:val="single"/>
    </w:rPr>
  </w:style>
  <w:style w:type="character" w:styleId="FollowedHyperlink">
    <w:name w:val="FollowedHyperlink"/>
    <w:basedOn w:val="DefaultParagraphFont"/>
    <w:uiPriority w:val="99"/>
    <w:semiHidden/>
    <w:unhideWhenUsed/>
    <w:rsid w:val="00E415BD"/>
    <w:rPr>
      <w:color w:val="800080" w:themeColor="followedHyperlink"/>
      <w:u w:val="single"/>
    </w:rPr>
  </w:style>
  <w:style w:type="paragraph" w:styleId="Revision">
    <w:name w:val="Revision"/>
    <w:hidden/>
    <w:uiPriority w:val="99"/>
    <w:semiHidden/>
    <w:rsid w:val="003466F9"/>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7685">
      <w:bodyDiv w:val="1"/>
      <w:marLeft w:val="0"/>
      <w:marRight w:val="0"/>
      <w:marTop w:val="0"/>
      <w:marBottom w:val="0"/>
      <w:divBdr>
        <w:top w:val="none" w:sz="0" w:space="0" w:color="auto"/>
        <w:left w:val="none" w:sz="0" w:space="0" w:color="auto"/>
        <w:bottom w:val="none" w:sz="0" w:space="0" w:color="auto"/>
        <w:right w:val="none" w:sz="0" w:space="0" w:color="auto"/>
      </w:divBdr>
      <w:divsChild>
        <w:div w:id="1681928349">
          <w:marLeft w:val="0"/>
          <w:marRight w:val="0"/>
          <w:marTop w:val="0"/>
          <w:marBottom w:val="0"/>
          <w:divBdr>
            <w:top w:val="none" w:sz="0" w:space="0" w:color="auto"/>
            <w:left w:val="none" w:sz="0" w:space="0" w:color="auto"/>
            <w:bottom w:val="none" w:sz="0" w:space="0" w:color="auto"/>
            <w:right w:val="none" w:sz="0" w:space="0" w:color="auto"/>
          </w:divBdr>
          <w:divsChild>
            <w:div w:id="529686867">
              <w:marLeft w:val="0"/>
              <w:marRight w:val="0"/>
              <w:marTop w:val="0"/>
              <w:marBottom w:val="0"/>
              <w:divBdr>
                <w:top w:val="none" w:sz="0" w:space="0" w:color="auto"/>
                <w:left w:val="none" w:sz="0" w:space="0" w:color="auto"/>
                <w:bottom w:val="none" w:sz="0" w:space="0" w:color="auto"/>
                <w:right w:val="none" w:sz="0" w:space="0" w:color="auto"/>
              </w:divBdr>
              <w:divsChild>
                <w:div w:id="9662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551276">
      <w:bodyDiv w:val="1"/>
      <w:marLeft w:val="0"/>
      <w:marRight w:val="0"/>
      <w:marTop w:val="0"/>
      <w:marBottom w:val="0"/>
      <w:divBdr>
        <w:top w:val="none" w:sz="0" w:space="0" w:color="auto"/>
        <w:left w:val="none" w:sz="0" w:space="0" w:color="auto"/>
        <w:bottom w:val="none" w:sz="0" w:space="0" w:color="auto"/>
        <w:right w:val="none" w:sz="0" w:space="0" w:color="auto"/>
      </w:divBdr>
      <w:divsChild>
        <w:div w:id="1392535844">
          <w:marLeft w:val="0"/>
          <w:marRight w:val="0"/>
          <w:marTop w:val="0"/>
          <w:marBottom w:val="0"/>
          <w:divBdr>
            <w:top w:val="none" w:sz="0" w:space="0" w:color="auto"/>
            <w:left w:val="none" w:sz="0" w:space="0" w:color="auto"/>
            <w:bottom w:val="none" w:sz="0" w:space="0" w:color="auto"/>
            <w:right w:val="none" w:sz="0" w:space="0" w:color="auto"/>
          </w:divBdr>
          <w:divsChild>
            <w:div w:id="20594471">
              <w:marLeft w:val="0"/>
              <w:marRight w:val="0"/>
              <w:marTop w:val="0"/>
              <w:marBottom w:val="0"/>
              <w:divBdr>
                <w:top w:val="none" w:sz="0" w:space="0" w:color="auto"/>
                <w:left w:val="none" w:sz="0" w:space="0" w:color="auto"/>
                <w:bottom w:val="none" w:sz="0" w:space="0" w:color="auto"/>
                <w:right w:val="none" w:sz="0" w:space="0" w:color="auto"/>
              </w:divBdr>
              <w:divsChild>
                <w:div w:id="20473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24466">
      <w:bodyDiv w:val="1"/>
      <w:marLeft w:val="0"/>
      <w:marRight w:val="0"/>
      <w:marTop w:val="0"/>
      <w:marBottom w:val="0"/>
      <w:divBdr>
        <w:top w:val="none" w:sz="0" w:space="0" w:color="auto"/>
        <w:left w:val="none" w:sz="0" w:space="0" w:color="auto"/>
        <w:bottom w:val="none" w:sz="0" w:space="0" w:color="auto"/>
        <w:right w:val="none" w:sz="0" w:space="0" w:color="auto"/>
      </w:divBdr>
    </w:div>
    <w:div w:id="1402095014">
      <w:bodyDiv w:val="1"/>
      <w:marLeft w:val="0"/>
      <w:marRight w:val="0"/>
      <w:marTop w:val="0"/>
      <w:marBottom w:val="0"/>
      <w:divBdr>
        <w:top w:val="none" w:sz="0" w:space="0" w:color="auto"/>
        <w:left w:val="none" w:sz="0" w:space="0" w:color="auto"/>
        <w:bottom w:val="none" w:sz="0" w:space="0" w:color="auto"/>
        <w:right w:val="none" w:sz="0" w:space="0" w:color="auto"/>
      </w:divBdr>
    </w:div>
    <w:div w:id="1837569884">
      <w:bodyDiv w:val="1"/>
      <w:marLeft w:val="0"/>
      <w:marRight w:val="0"/>
      <w:marTop w:val="0"/>
      <w:marBottom w:val="0"/>
      <w:divBdr>
        <w:top w:val="none" w:sz="0" w:space="0" w:color="auto"/>
        <w:left w:val="none" w:sz="0" w:space="0" w:color="auto"/>
        <w:bottom w:val="none" w:sz="0" w:space="0" w:color="auto"/>
        <w:right w:val="none" w:sz="0" w:space="0" w:color="auto"/>
      </w:divBdr>
      <w:divsChild>
        <w:div w:id="2003971218">
          <w:marLeft w:val="0"/>
          <w:marRight w:val="0"/>
          <w:marTop w:val="0"/>
          <w:marBottom w:val="0"/>
          <w:divBdr>
            <w:top w:val="none" w:sz="0" w:space="0" w:color="auto"/>
            <w:left w:val="none" w:sz="0" w:space="0" w:color="auto"/>
            <w:bottom w:val="none" w:sz="0" w:space="0" w:color="auto"/>
            <w:right w:val="none" w:sz="0" w:space="0" w:color="auto"/>
          </w:divBdr>
          <w:divsChild>
            <w:div w:id="2000422175">
              <w:marLeft w:val="0"/>
              <w:marRight w:val="0"/>
              <w:marTop w:val="0"/>
              <w:marBottom w:val="0"/>
              <w:divBdr>
                <w:top w:val="none" w:sz="0" w:space="0" w:color="auto"/>
                <w:left w:val="none" w:sz="0" w:space="0" w:color="auto"/>
                <w:bottom w:val="none" w:sz="0" w:space="0" w:color="auto"/>
                <w:right w:val="none" w:sz="0" w:space="0" w:color="auto"/>
              </w:divBdr>
              <w:divsChild>
                <w:div w:id="20803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990705">
      <w:bodyDiv w:val="1"/>
      <w:marLeft w:val="0"/>
      <w:marRight w:val="0"/>
      <w:marTop w:val="0"/>
      <w:marBottom w:val="0"/>
      <w:divBdr>
        <w:top w:val="none" w:sz="0" w:space="0" w:color="auto"/>
        <w:left w:val="none" w:sz="0" w:space="0" w:color="auto"/>
        <w:bottom w:val="none" w:sz="0" w:space="0" w:color="auto"/>
        <w:right w:val="none" w:sz="0" w:space="0" w:color="auto"/>
      </w:divBdr>
      <w:divsChild>
        <w:div w:id="691541350">
          <w:marLeft w:val="0"/>
          <w:marRight w:val="0"/>
          <w:marTop w:val="0"/>
          <w:marBottom w:val="0"/>
          <w:divBdr>
            <w:top w:val="none" w:sz="0" w:space="0" w:color="auto"/>
            <w:left w:val="none" w:sz="0" w:space="0" w:color="auto"/>
            <w:bottom w:val="none" w:sz="0" w:space="0" w:color="auto"/>
            <w:right w:val="none" w:sz="0" w:space="0" w:color="auto"/>
          </w:divBdr>
          <w:divsChild>
            <w:div w:id="1046642181">
              <w:marLeft w:val="0"/>
              <w:marRight w:val="0"/>
              <w:marTop w:val="0"/>
              <w:marBottom w:val="0"/>
              <w:divBdr>
                <w:top w:val="none" w:sz="0" w:space="0" w:color="auto"/>
                <w:left w:val="none" w:sz="0" w:space="0" w:color="auto"/>
                <w:bottom w:val="none" w:sz="0" w:space="0" w:color="auto"/>
                <w:right w:val="none" w:sz="0" w:space="0" w:color="auto"/>
              </w:divBdr>
              <w:divsChild>
                <w:div w:id="13907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ndreas.georgiou@durham.ac.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9B203-0412-1840-AAC6-B6314C761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13</Pages>
  <Words>5318</Words>
  <Characters>30313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35560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GEORGIOU, ANDREAS</dc:creator>
  <cp:lastModifiedBy>Microsoft Office User</cp:lastModifiedBy>
  <cp:revision>99</cp:revision>
  <cp:lastPrinted>2019-02-20T13:05:00Z</cp:lastPrinted>
  <dcterms:created xsi:type="dcterms:W3CDTF">2019-02-20T14:45:00Z</dcterms:created>
  <dcterms:modified xsi:type="dcterms:W3CDTF">2024-01-23T14:51:00Z</dcterms:modified>
</cp:coreProperties>
</file>