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F60FC" w14:textId="77777777" w:rsidR="000510FD" w:rsidRDefault="000510FD"/>
    <w:p w14:paraId="43D88F5E" w14:textId="77777777" w:rsidR="00EA4B50" w:rsidRDefault="005E1DB9">
      <w:r>
        <w:rPr>
          <w:noProof/>
          <w:lang w:eastAsia="en-GB"/>
        </w:rPr>
        <w:drawing>
          <wp:inline distT="0" distB="0" distL="0" distR="0" wp14:anchorId="01FC779C" wp14:editId="4D855CDC">
            <wp:extent cx="2305050" cy="1038225"/>
            <wp:effectExtent l="0" t="0" r="0" b="9525"/>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6600F1AC" w14:textId="77777777" w:rsidR="00EA4B50" w:rsidRDefault="00EA4B50"/>
    <w:p w14:paraId="4D443C3C" w14:textId="77777777" w:rsidR="00EA4B50" w:rsidRDefault="00EA4B50"/>
    <w:p w14:paraId="4DC7A116" w14:textId="13DFE3D0" w:rsidR="00EC6A53" w:rsidRPr="00FB21DD" w:rsidRDefault="00EC6A53" w:rsidP="00EA4B50">
      <w:pPr>
        <w:jc w:val="center"/>
        <w:rPr>
          <w:rFonts w:ascii="Garamond" w:hAnsi="Garamond"/>
          <w:b/>
          <w:sz w:val="56"/>
          <w:szCs w:val="56"/>
          <w:lang w:val="fr-FR"/>
        </w:rPr>
      </w:pPr>
      <w:r w:rsidRPr="00FB21DD">
        <w:rPr>
          <w:rFonts w:ascii="Garamond" w:hAnsi="Garamond"/>
          <w:b/>
          <w:sz w:val="56"/>
          <w:szCs w:val="56"/>
          <w:lang w:val="fr-FR"/>
        </w:rPr>
        <w:t>EU</w:t>
      </w:r>
      <w:r w:rsidR="00623D25">
        <w:rPr>
          <w:rFonts w:ascii="Garamond" w:hAnsi="Garamond"/>
          <w:b/>
          <w:sz w:val="56"/>
          <w:szCs w:val="56"/>
          <w:lang w:val="fr-FR"/>
        </w:rPr>
        <w:t>ROPEAN UNION</w:t>
      </w:r>
      <w:r w:rsidRPr="00FB21DD">
        <w:rPr>
          <w:rFonts w:ascii="Garamond" w:hAnsi="Garamond"/>
          <w:b/>
          <w:sz w:val="56"/>
          <w:szCs w:val="56"/>
          <w:lang w:val="fr-FR"/>
        </w:rPr>
        <w:t xml:space="preserve"> LAW </w:t>
      </w:r>
    </w:p>
    <w:p w14:paraId="7E7BBA48" w14:textId="480934BD" w:rsidR="00EA4B50" w:rsidRPr="00FB21DD" w:rsidRDefault="008B3327" w:rsidP="00EA4B50">
      <w:pPr>
        <w:jc w:val="center"/>
        <w:rPr>
          <w:rFonts w:ascii="Garamond" w:hAnsi="Garamond"/>
          <w:b/>
          <w:sz w:val="56"/>
          <w:szCs w:val="56"/>
          <w:lang w:val="fr-FR"/>
        </w:rPr>
      </w:pPr>
      <w:r>
        <w:rPr>
          <w:rFonts w:ascii="Garamond" w:hAnsi="Garamond"/>
          <w:b/>
          <w:sz w:val="56"/>
          <w:szCs w:val="56"/>
          <w:lang w:val="fr-FR"/>
        </w:rPr>
        <w:t>202</w:t>
      </w:r>
      <w:r w:rsidR="00623D25">
        <w:rPr>
          <w:rFonts w:ascii="Garamond" w:hAnsi="Garamond"/>
          <w:b/>
          <w:sz w:val="56"/>
          <w:szCs w:val="56"/>
          <w:lang w:val="fr-FR"/>
        </w:rPr>
        <w:t>3</w:t>
      </w:r>
      <w:r>
        <w:rPr>
          <w:rFonts w:ascii="Garamond" w:hAnsi="Garamond"/>
          <w:b/>
          <w:sz w:val="56"/>
          <w:szCs w:val="56"/>
          <w:lang w:val="fr-FR"/>
        </w:rPr>
        <w:t>-202</w:t>
      </w:r>
      <w:r w:rsidR="00623D25">
        <w:rPr>
          <w:rFonts w:ascii="Garamond" w:hAnsi="Garamond"/>
          <w:b/>
          <w:sz w:val="56"/>
          <w:szCs w:val="56"/>
          <w:lang w:val="fr-FR"/>
        </w:rPr>
        <w:t>4</w:t>
      </w:r>
    </w:p>
    <w:p w14:paraId="6BA64E92" w14:textId="77777777" w:rsidR="00EA4B50" w:rsidRPr="00FB21DD" w:rsidRDefault="00EA4B50" w:rsidP="00EA4B50">
      <w:pPr>
        <w:jc w:val="center"/>
        <w:rPr>
          <w:rFonts w:ascii="Garamond" w:hAnsi="Garamond"/>
          <w:b/>
          <w:sz w:val="40"/>
          <w:szCs w:val="40"/>
          <w:lang w:val="fr-FR"/>
        </w:rPr>
      </w:pPr>
    </w:p>
    <w:p w14:paraId="66211EF6" w14:textId="42A474E6" w:rsidR="00EA4B50" w:rsidRPr="00FB21DD" w:rsidRDefault="009057BE" w:rsidP="00EC6A53">
      <w:pPr>
        <w:jc w:val="center"/>
        <w:rPr>
          <w:rFonts w:ascii="Garamond" w:hAnsi="Garamond"/>
          <w:b/>
          <w:sz w:val="40"/>
          <w:szCs w:val="40"/>
          <w:u w:val="single"/>
          <w:lang w:val="fr-FR"/>
        </w:rPr>
      </w:pPr>
      <w:r w:rsidRPr="00FB21DD">
        <w:rPr>
          <w:rFonts w:ascii="Garamond" w:hAnsi="Garamond"/>
          <w:b/>
          <w:sz w:val="40"/>
          <w:szCs w:val="40"/>
          <w:u w:val="single"/>
          <w:lang w:val="fr-FR"/>
        </w:rPr>
        <w:t xml:space="preserve">HANDOUT </w:t>
      </w:r>
      <w:r w:rsidR="0097057B">
        <w:rPr>
          <w:rFonts w:ascii="Garamond" w:hAnsi="Garamond"/>
          <w:b/>
          <w:sz w:val="40"/>
          <w:szCs w:val="40"/>
          <w:u w:val="single"/>
          <w:lang w:val="fr-FR"/>
        </w:rPr>
        <w:t>6</w:t>
      </w:r>
      <w:r w:rsidR="00EA4B50" w:rsidRPr="00FB21DD">
        <w:rPr>
          <w:rFonts w:ascii="Garamond" w:hAnsi="Garamond"/>
          <w:b/>
          <w:sz w:val="40"/>
          <w:szCs w:val="40"/>
          <w:u w:val="single"/>
          <w:lang w:val="fr-FR"/>
        </w:rPr>
        <w:t xml:space="preserve">  </w:t>
      </w:r>
    </w:p>
    <w:p w14:paraId="1FADC12D" w14:textId="18F85A57" w:rsidR="00EC6A53" w:rsidRPr="00FB21DD" w:rsidRDefault="00344136" w:rsidP="00EC6A53">
      <w:pPr>
        <w:jc w:val="center"/>
        <w:rPr>
          <w:rFonts w:ascii="Garamond" w:hAnsi="Garamond"/>
          <w:sz w:val="40"/>
          <w:szCs w:val="40"/>
          <w:lang w:val="fr-FR"/>
        </w:rPr>
      </w:pPr>
      <w:r w:rsidRPr="00FB21DD">
        <w:rPr>
          <w:rFonts w:ascii="Garamond" w:hAnsi="Garamond"/>
          <w:sz w:val="40"/>
          <w:szCs w:val="40"/>
          <w:lang w:val="fr-FR"/>
        </w:rPr>
        <w:t>(Lectures 1</w:t>
      </w:r>
      <w:r w:rsidR="008B3327">
        <w:rPr>
          <w:rFonts w:ascii="Garamond" w:hAnsi="Garamond"/>
          <w:sz w:val="40"/>
          <w:szCs w:val="40"/>
          <w:lang w:val="fr-FR"/>
        </w:rPr>
        <w:t>7-18</w:t>
      </w:r>
      <w:r w:rsidR="00EC6A53" w:rsidRPr="00FB21DD">
        <w:rPr>
          <w:rFonts w:ascii="Garamond" w:hAnsi="Garamond"/>
          <w:sz w:val="40"/>
          <w:szCs w:val="40"/>
          <w:lang w:val="fr-FR"/>
        </w:rPr>
        <w:t>)</w:t>
      </w:r>
    </w:p>
    <w:p w14:paraId="67D88DD9" w14:textId="77777777" w:rsidR="00EC6A53" w:rsidRPr="00FB21DD" w:rsidRDefault="00EC6A53" w:rsidP="00EC6A53">
      <w:pPr>
        <w:jc w:val="center"/>
        <w:rPr>
          <w:rFonts w:ascii="Garamond" w:hAnsi="Garamond"/>
          <w:sz w:val="40"/>
          <w:szCs w:val="40"/>
          <w:lang w:val="fr-FR"/>
        </w:rPr>
      </w:pPr>
    </w:p>
    <w:p w14:paraId="79C6A801" w14:textId="77777777" w:rsidR="00EA4B50" w:rsidRPr="00EA4B50" w:rsidRDefault="00EA4B50" w:rsidP="00EA4B50">
      <w:pPr>
        <w:rPr>
          <w:rFonts w:ascii="Garamond" w:hAnsi="Garamond"/>
          <w:sz w:val="28"/>
          <w:szCs w:val="28"/>
          <w:lang w:val="nl-NL"/>
        </w:rPr>
      </w:pPr>
      <w:r w:rsidRPr="00EA4B50">
        <w:rPr>
          <w:rFonts w:ascii="Garamond" w:hAnsi="Garamond"/>
          <w:sz w:val="28"/>
          <w:szCs w:val="28"/>
          <w:lang w:val="nl-NL"/>
        </w:rPr>
        <w:t>Barend van Leeuwen</w:t>
      </w:r>
    </w:p>
    <w:p w14:paraId="552816F6" w14:textId="77777777" w:rsidR="00EA4B50" w:rsidRPr="007D750B" w:rsidRDefault="00EA4B50" w:rsidP="00EA4B50">
      <w:pPr>
        <w:rPr>
          <w:rFonts w:ascii="Garamond" w:hAnsi="Garamond"/>
          <w:sz w:val="28"/>
          <w:szCs w:val="28"/>
          <w:lang w:val="nl-NL"/>
        </w:rPr>
      </w:pPr>
      <w:r w:rsidRPr="007D750B">
        <w:rPr>
          <w:rFonts w:ascii="Garamond" w:hAnsi="Garamond"/>
          <w:sz w:val="28"/>
          <w:szCs w:val="28"/>
          <w:lang w:val="nl-NL"/>
        </w:rPr>
        <w:t>Durham Law School</w:t>
      </w:r>
    </w:p>
    <w:p w14:paraId="7E05CB15" w14:textId="77777777" w:rsidR="00EA4B50" w:rsidRPr="007D750B" w:rsidRDefault="00000000" w:rsidP="00EA4B50">
      <w:pPr>
        <w:rPr>
          <w:rFonts w:ascii="Garamond" w:hAnsi="Garamond"/>
          <w:sz w:val="28"/>
          <w:szCs w:val="28"/>
          <w:lang w:val="nl-NL"/>
        </w:rPr>
      </w:pPr>
      <w:hyperlink r:id="rId9" w:history="1">
        <w:r w:rsidR="00EA4B50" w:rsidRPr="007D750B">
          <w:rPr>
            <w:rStyle w:val="Hyperlink"/>
            <w:rFonts w:ascii="Garamond" w:hAnsi="Garamond"/>
            <w:sz w:val="28"/>
            <w:szCs w:val="28"/>
            <w:lang w:val="nl-NL"/>
          </w:rPr>
          <w:t>barend.j.van-leeuwen@durham.ac.uk</w:t>
        </w:r>
      </w:hyperlink>
      <w:r w:rsidR="00EA4B50" w:rsidRPr="007D750B">
        <w:rPr>
          <w:rFonts w:ascii="Garamond" w:hAnsi="Garamond"/>
          <w:sz w:val="28"/>
          <w:szCs w:val="28"/>
          <w:lang w:val="nl-NL"/>
        </w:rPr>
        <w:t xml:space="preserve"> </w:t>
      </w:r>
    </w:p>
    <w:p w14:paraId="3F4CDE2A" w14:textId="77777777" w:rsidR="00EA4B50" w:rsidRPr="007D750B" w:rsidRDefault="00EA4B50" w:rsidP="00EA4B50">
      <w:pPr>
        <w:rPr>
          <w:rFonts w:ascii="Garamond" w:hAnsi="Garamond"/>
          <w:sz w:val="28"/>
          <w:szCs w:val="28"/>
          <w:lang w:val="nl-NL"/>
        </w:rPr>
      </w:pPr>
    </w:p>
    <w:p w14:paraId="02F3BCB7" w14:textId="77777777" w:rsidR="00EA4B50" w:rsidRPr="007D750B" w:rsidRDefault="00EA4B50" w:rsidP="00EA4B50">
      <w:pPr>
        <w:rPr>
          <w:rFonts w:ascii="Garamond" w:hAnsi="Garamond"/>
          <w:sz w:val="28"/>
          <w:szCs w:val="28"/>
          <w:lang w:val="nl-NL"/>
        </w:rPr>
      </w:pPr>
    </w:p>
    <w:p w14:paraId="5B9B6895" w14:textId="77777777" w:rsidR="00EA4B50" w:rsidRPr="007D750B" w:rsidRDefault="00EA4B50" w:rsidP="00EA4B50">
      <w:pPr>
        <w:rPr>
          <w:rFonts w:ascii="Garamond" w:hAnsi="Garamond"/>
          <w:sz w:val="28"/>
          <w:szCs w:val="28"/>
          <w:lang w:val="nl-NL"/>
        </w:rPr>
      </w:pPr>
    </w:p>
    <w:p w14:paraId="74080D7F" w14:textId="77777777" w:rsidR="00EA4B50" w:rsidRPr="007D750B" w:rsidRDefault="00EA4B50" w:rsidP="00EA4B50">
      <w:pPr>
        <w:rPr>
          <w:rFonts w:ascii="Garamond" w:hAnsi="Garamond"/>
          <w:sz w:val="28"/>
          <w:szCs w:val="28"/>
          <w:lang w:val="nl-NL"/>
        </w:rPr>
      </w:pPr>
    </w:p>
    <w:p w14:paraId="73FAAB28" w14:textId="77777777" w:rsidR="00EA4B50" w:rsidRPr="007D750B" w:rsidRDefault="00EA4B50" w:rsidP="00EA4B50">
      <w:pPr>
        <w:rPr>
          <w:rFonts w:ascii="Garamond" w:hAnsi="Garamond"/>
          <w:sz w:val="28"/>
          <w:szCs w:val="28"/>
          <w:lang w:val="nl-NL"/>
        </w:rPr>
      </w:pPr>
    </w:p>
    <w:p w14:paraId="72851EA1" w14:textId="77777777" w:rsidR="00EA4B50" w:rsidRPr="007D750B" w:rsidRDefault="00EA4B50" w:rsidP="00EA4B50">
      <w:pPr>
        <w:rPr>
          <w:rFonts w:ascii="Garamond" w:hAnsi="Garamond"/>
          <w:sz w:val="28"/>
          <w:szCs w:val="28"/>
          <w:lang w:val="nl-NL"/>
        </w:rPr>
      </w:pPr>
    </w:p>
    <w:p w14:paraId="77F5057D" w14:textId="77777777" w:rsidR="00EC6A53" w:rsidRPr="007D750B" w:rsidRDefault="00EC6A53" w:rsidP="00EA4B50">
      <w:pPr>
        <w:rPr>
          <w:rFonts w:ascii="Garamond" w:hAnsi="Garamond"/>
          <w:sz w:val="28"/>
          <w:szCs w:val="28"/>
          <w:lang w:val="nl-NL"/>
        </w:rPr>
      </w:pPr>
    </w:p>
    <w:p w14:paraId="0DE0881F" w14:textId="77777777" w:rsidR="00EA4B50" w:rsidRPr="007D750B" w:rsidRDefault="00EA4B50" w:rsidP="00EA4B50">
      <w:pPr>
        <w:rPr>
          <w:rFonts w:ascii="Garamond" w:hAnsi="Garamond"/>
          <w:sz w:val="28"/>
          <w:szCs w:val="28"/>
          <w:lang w:val="nl-NL"/>
        </w:rPr>
      </w:pPr>
    </w:p>
    <w:p w14:paraId="79D2BC8A" w14:textId="77777777" w:rsidR="00EA4B50" w:rsidRPr="007D750B" w:rsidRDefault="00EA4B50" w:rsidP="00EA4B50">
      <w:pPr>
        <w:rPr>
          <w:rFonts w:ascii="Garamond" w:hAnsi="Garamond"/>
          <w:sz w:val="28"/>
          <w:szCs w:val="28"/>
          <w:lang w:val="nl-NL"/>
        </w:rPr>
      </w:pPr>
    </w:p>
    <w:p w14:paraId="2497EB94" w14:textId="77777777" w:rsidR="009B1A4A" w:rsidRPr="00E4029B" w:rsidRDefault="009B1A4A" w:rsidP="009B1A4A">
      <w:pPr>
        <w:jc w:val="both"/>
        <w:rPr>
          <w:rFonts w:ascii="Garamond" w:hAnsi="Garamond"/>
          <w:b/>
          <w:sz w:val="40"/>
          <w:szCs w:val="40"/>
          <w:lang w:val="nl-NL"/>
        </w:rPr>
      </w:pPr>
    </w:p>
    <w:p w14:paraId="7FACCCBF" w14:textId="586C5736" w:rsidR="00FB21DD" w:rsidRDefault="00FB21DD" w:rsidP="00FB21DD">
      <w:pPr>
        <w:jc w:val="center"/>
        <w:rPr>
          <w:rFonts w:ascii="Garamond" w:hAnsi="Garamond"/>
          <w:b/>
          <w:sz w:val="40"/>
          <w:szCs w:val="40"/>
        </w:rPr>
      </w:pPr>
      <w:r>
        <w:rPr>
          <w:rFonts w:ascii="Garamond" w:hAnsi="Garamond"/>
          <w:b/>
          <w:sz w:val="40"/>
          <w:szCs w:val="40"/>
        </w:rPr>
        <w:lastRenderedPageBreak/>
        <w:t xml:space="preserve">INTRODUCTION TO THE EU THE INTERNAL MARKET </w:t>
      </w:r>
    </w:p>
    <w:p w14:paraId="2337BC6A" w14:textId="77777777" w:rsidR="00FB21DD" w:rsidRPr="00916C3F" w:rsidRDefault="00FB21DD" w:rsidP="00FB21DD">
      <w:pPr>
        <w:pStyle w:val="ListParagraph"/>
        <w:numPr>
          <w:ilvl w:val="0"/>
          <w:numId w:val="2"/>
        </w:numPr>
        <w:rPr>
          <w:rFonts w:ascii="Garamond" w:hAnsi="Garamond"/>
          <w:b/>
          <w:sz w:val="24"/>
          <w:szCs w:val="24"/>
        </w:rPr>
      </w:pPr>
      <w:r w:rsidRPr="00916C3F">
        <w:rPr>
          <w:rFonts w:ascii="Garamond" w:hAnsi="Garamond"/>
          <w:b/>
          <w:sz w:val="24"/>
          <w:szCs w:val="24"/>
        </w:rPr>
        <w:t>The concept of an internal market</w:t>
      </w:r>
    </w:p>
    <w:p w14:paraId="2C440042" w14:textId="77777777" w:rsidR="00FB21DD" w:rsidRPr="005C6AFE" w:rsidRDefault="00FB21DD" w:rsidP="00FB21DD">
      <w:pPr>
        <w:pStyle w:val="ListParagraph"/>
        <w:ind w:left="1080"/>
        <w:rPr>
          <w:rFonts w:ascii="Garamond" w:hAnsi="Garamond"/>
          <w:sz w:val="24"/>
          <w:szCs w:val="24"/>
        </w:rPr>
      </w:pPr>
    </w:p>
    <w:p w14:paraId="47CA9DF9" w14:textId="77777777" w:rsidR="00FB21DD" w:rsidRPr="00916C3F" w:rsidRDefault="00FB21DD" w:rsidP="00FB21DD">
      <w:pPr>
        <w:pStyle w:val="ListParagraph"/>
        <w:numPr>
          <w:ilvl w:val="0"/>
          <w:numId w:val="1"/>
        </w:numPr>
        <w:jc w:val="both"/>
        <w:rPr>
          <w:rFonts w:ascii="Garamond" w:hAnsi="Garamond"/>
          <w:sz w:val="24"/>
          <w:szCs w:val="24"/>
        </w:rPr>
      </w:pPr>
      <w:r w:rsidRPr="00916C3F">
        <w:rPr>
          <w:rFonts w:ascii="Garamond" w:hAnsi="Garamond"/>
          <w:sz w:val="24"/>
          <w:szCs w:val="24"/>
        </w:rPr>
        <w:t>Article 3 TEU: “The Union shall establish an internal market”</w:t>
      </w:r>
    </w:p>
    <w:p w14:paraId="431B2390" w14:textId="77777777" w:rsidR="00FB21DD" w:rsidRPr="00916C3F" w:rsidRDefault="00FB21DD" w:rsidP="00FB21DD">
      <w:pPr>
        <w:pStyle w:val="ListParagraph"/>
        <w:jc w:val="both"/>
        <w:rPr>
          <w:rFonts w:ascii="Garamond" w:hAnsi="Garamond"/>
          <w:sz w:val="24"/>
          <w:szCs w:val="24"/>
        </w:rPr>
      </w:pPr>
    </w:p>
    <w:p w14:paraId="03301772" w14:textId="77777777" w:rsidR="00FB21DD" w:rsidRPr="00916C3F" w:rsidRDefault="00FB21DD" w:rsidP="00FB21DD">
      <w:pPr>
        <w:pStyle w:val="ListParagraph"/>
        <w:numPr>
          <w:ilvl w:val="0"/>
          <w:numId w:val="1"/>
        </w:numPr>
        <w:jc w:val="both"/>
        <w:rPr>
          <w:rFonts w:ascii="Garamond" w:hAnsi="Garamond"/>
          <w:sz w:val="24"/>
          <w:szCs w:val="24"/>
        </w:rPr>
      </w:pPr>
      <w:r w:rsidRPr="00916C3F">
        <w:rPr>
          <w:rFonts w:ascii="Garamond" w:hAnsi="Garamond"/>
          <w:sz w:val="24"/>
          <w:szCs w:val="24"/>
        </w:rPr>
        <w:t>Article 3-4 TFEU: the EU’s competence</w:t>
      </w:r>
      <w:r>
        <w:rPr>
          <w:rFonts w:ascii="Garamond" w:hAnsi="Garamond"/>
          <w:sz w:val="24"/>
          <w:szCs w:val="24"/>
        </w:rPr>
        <w:t>s</w:t>
      </w:r>
      <w:r w:rsidRPr="00916C3F">
        <w:rPr>
          <w:rFonts w:ascii="Garamond" w:hAnsi="Garamond"/>
          <w:sz w:val="24"/>
          <w:szCs w:val="24"/>
        </w:rPr>
        <w:t xml:space="preserve"> in the internal market</w:t>
      </w:r>
    </w:p>
    <w:p w14:paraId="67001281" w14:textId="77777777" w:rsidR="00FB21DD" w:rsidRPr="00916C3F" w:rsidRDefault="00FB21DD" w:rsidP="00FB21DD">
      <w:pPr>
        <w:pStyle w:val="ListParagraph"/>
        <w:jc w:val="both"/>
        <w:rPr>
          <w:rFonts w:ascii="Garamond" w:hAnsi="Garamond"/>
          <w:sz w:val="24"/>
          <w:szCs w:val="24"/>
        </w:rPr>
      </w:pPr>
    </w:p>
    <w:p w14:paraId="08D2D182" w14:textId="77777777" w:rsidR="00FB21DD" w:rsidRPr="00916C3F" w:rsidRDefault="00FB21DD" w:rsidP="00FB21DD">
      <w:pPr>
        <w:pStyle w:val="ListParagraph"/>
        <w:numPr>
          <w:ilvl w:val="0"/>
          <w:numId w:val="1"/>
        </w:numPr>
        <w:jc w:val="both"/>
        <w:rPr>
          <w:rFonts w:ascii="Garamond" w:hAnsi="Garamond"/>
          <w:sz w:val="24"/>
          <w:szCs w:val="24"/>
        </w:rPr>
      </w:pPr>
      <w:r w:rsidRPr="00916C3F">
        <w:rPr>
          <w:rFonts w:ascii="Garamond" w:hAnsi="Garamond"/>
          <w:sz w:val="24"/>
          <w:szCs w:val="24"/>
        </w:rPr>
        <w:t>Article 26 TFEU: “The internal market shall comprise …”</w:t>
      </w:r>
    </w:p>
    <w:p w14:paraId="1ABC2F43" w14:textId="77777777" w:rsidR="00FB21DD" w:rsidRPr="00916C3F" w:rsidRDefault="00FB21DD" w:rsidP="00FB21DD">
      <w:pPr>
        <w:pStyle w:val="ListParagraph"/>
        <w:jc w:val="both"/>
        <w:rPr>
          <w:rFonts w:ascii="Garamond" w:hAnsi="Garamond"/>
          <w:sz w:val="24"/>
          <w:szCs w:val="24"/>
        </w:rPr>
      </w:pPr>
    </w:p>
    <w:p w14:paraId="406DD84F" w14:textId="695BB360" w:rsidR="00FB21DD" w:rsidRPr="00916C3F" w:rsidRDefault="00FB21DD" w:rsidP="00FB21DD">
      <w:pPr>
        <w:pStyle w:val="ListParagraph"/>
        <w:numPr>
          <w:ilvl w:val="0"/>
          <w:numId w:val="1"/>
        </w:numPr>
        <w:jc w:val="both"/>
        <w:rPr>
          <w:rFonts w:ascii="Garamond" w:hAnsi="Garamond"/>
          <w:sz w:val="24"/>
          <w:szCs w:val="24"/>
        </w:rPr>
      </w:pPr>
      <w:r w:rsidRPr="00916C3F">
        <w:rPr>
          <w:rFonts w:ascii="Garamond" w:hAnsi="Garamond"/>
          <w:sz w:val="24"/>
          <w:szCs w:val="24"/>
        </w:rPr>
        <w:t xml:space="preserve">Article 114 TFEU: the legal basis </w:t>
      </w:r>
      <w:r w:rsidR="00D01F09">
        <w:rPr>
          <w:rFonts w:ascii="Garamond" w:hAnsi="Garamond"/>
          <w:sz w:val="24"/>
          <w:szCs w:val="24"/>
        </w:rPr>
        <w:t>to adopt</w:t>
      </w:r>
      <w:r w:rsidRPr="00916C3F">
        <w:rPr>
          <w:rFonts w:ascii="Garamond" w:hAnsi="Garamond"/>
          <w:sz w:val="24"/>
          <w:szCs w:val="24"/>
        </w:rPr>
        <w:t xml:space="preserve"> harmonisation to improve the functioning of the internal market</w:t>
      </w:r>
    </w:p>
    <w:p w14:paraId="511026AA" w14:textId="77777777" w:rsidR="00FB21DD" w:rsidRPr="00916C3F" w:rsidRDefault="00FB21DD" w:rsidP="00FB21DD">
      <w:pPr>
        <w:pStyle w:val="ListParagraph"/>
        <w:jc w:val="both"/>
        <w:rPr>
          <w:rFonts w:ascii="Garamond" w:hAnsi="Garamond"/>
          <w:sz w:val="24"/>
          <w:szCs w:val="24"/>
        </w:rPr>
      </w:pPr>
    </w:p>
    <w:p w14:paraId="73A82B09" w14:textId="77777777" w:rsidR="00FB21DD" w:rsidRPr="00916C3F" w:rsidRDefault="00FB21DD" w:rsidP="00FB21DD">
      <w:pPr>
        <w:pStyle w:val="ListParagraph"/>
        <w:numPr>
          <w:ilvl w:val="0"/>
          <w:numId w:val="1"/>
        </w:numPr>
        <w:jc w:val="both"/>
        <w:rPr>
          <w:rFonts w:ascii="Garamond" w:hAnsi="Garamond"/>
          <w:sz w:val="24"/>
          <w:szCs w:val="24"/>
        </w:rPr>
      </w:pPr>
      <w:r w:rsidRPr="00916C3F">
        <w:rPr>
          <w:rFonts w:ascii="Garamond" w:hAnsi="Garamond"/>
          <w:sz w:val="24"/>
          <w:szCs w:val="24"/>
        </w:rPr>
        <w:t>Article 28 TFEU: a customs union</w:t>
      </w:r>
    </w:p>
    <w:p w14:paraId="1587EBF6" w14:textId="77777777" w:rsidR="00FB21DD" w:rsidRPr="00916C3F" w:rsidRDefault="00FB21DD" w:rsidP="00FB21DD">
      <w:pPr>
        <w:pStyle w:val="ListParagraph"/>
        <w:rPr>
          <w:rFonts w:ascii="Garamond" w:hAnsi="Garamond"/>
          <w:sz w:val="24"/>
          <w:szCs w:val="24"/>
        </w:rPr>
      </w:pPr>
    </w:p>
    <w:p w14:paraId="4CE64C1A" w14:textId="77777777" w:rsidR="00FB21DD" w:rsidRDefault="00FB21DD" w:rsidP="00FB21DD">
      <w:pPr>
        <w:pStyle w:val="ListParagraph"/>
        <w:numPr>
          <w:ilvl w:val="0"/>
          <w:numId w:val="2"/>
        </w:numPr>
        <w:jc w:val="both"/>
        <w:rPr>
          <w:rFonts w:ascii="Garamond" w:hAnsi="Garamond"/>
          <w:b/>
          <w:sz w:val="24"/>
          <w:szCs w:val="24"/>
        </w:rPr>
      </w:pPr>
      <w:r>
        <w:rPr>
          <w:rFonts w:ascii="Garamond" w:hAnsi="Garamond"/>
          <w:b/>
          <w:sz w:val="24"/>
          <w:szCs w:val="24"/>
        </w:rPr>
        <w:t>The aims of the EU internal market</w:t>
      </w:r>
    </w:p>
    <w:p w14:paraId="3A0259F0" w14:textId="77777777" w:rsidR="00FB21DD" w:rsidRDefault="00FB21DD" w:rsidP="00FB21DD">
      <w:pPr>
        <w:pStyle w:val="ListParagraph"/>
        <w:jc w:val="both"/>
        <w:rPr>
          <w:rFonts w:ascii="Garamond" w:hAnsi="Garamond"/>
          <w:b/>
          <w:sz w:val="24"/>
          <w:szCs w:val="24"/>
        </w:rPr>
      </w:pPr>
    </w:p>
    <w:p w14:paraId="07411386" w14:textId="77777777" w:rsidR="00FB21DD" w:rsidRDefault="00FB21DD" w:rsidP="00FB21DD">
      <w:pPr>
        <w:pStyle w:val="ListParagraph"/>
        <w:numPr>
          <w:ilvl w:val="0"/>
          <w:numId w:val="3"/>
        </w:numPr>
        <w:jc w:val="both"/>
        <w:rPr>
          <w:rFonts w:ascii="Garamond" w:hAnsi="Garamond"/>
          <w:sz w:val="24"/>
          <w:szCs w:val="24"/>
        </w:rPr>
      </w:pPr>
      <w:r>
        <w:rPr>
          <w:rFonts w:ascii="Garamond" w:hAnsi="Garamond"/>
          <w:sz w:val="24"/>
          <w:szCs w:val="24"/>
        </w:rPr>
        <w:t>The historical context</w:t>
      </w:r>
    </w:p>
    <w:p w14:paraId="6696AC28" w14:textId="77777777" w:rsidR="00FB21DD" w:rsidRDefault="00FB21DD" w:rsidP="00FB21DD">
      <w:pPr>
        <w:pStyle w:val="ListParagraph"/>
        <w:ind w:left="1080"/>
        <w:jc w:val="both"/>
        <w:rPr>
          <w:rFonts w:ascii="Garamond" w:hAnsi="Garamond"/>
          <w:sz w:val="24"/>
          <w:szCs w:val="24"/>
        </w:rPr>
      </w:pPr>
    </w:p>
    <w:p w14:paraId="3D576860" w14:textId="72EE431A" w:rsidR="00FB21DD" w:rsidRDefault="00FB21DD" w:rsidP="00FB21DD">
      <w:pPr>
        <w:pStyle w:val="ListParagraph"/>
        <w:ind w:left="1080"/>
        <w:jc w:val="both"/>
        <w:rPr>
          <w:rFonts w:ascii="Garamond" w:hAnsi="Garamond"/>
          <w:sz w:val="24"/>
          <w:szCs w:val="24"/>
        </w:rPr>
      </w:pPr>
      <w:r>
        <w:rPr>
          <w:rFonts w:ascii="Garamond" w:hAnsi="Garamond"/>
          <w:sz w:val="24"/>
          <w:szCs w:val="24"/>
        </w:rPr>
        <w:t>See the Schuma</w:t>
      </w:r>
      <w:r w:rsidR="0030307A">
        <w:rPr>
          <w:rFonts w:ascii="Garamond" w:hAnsi="Garamond"/>
          <w:sz w:val="24"/>
          <w:szCs w:val="24"/>
        </w:rPr>
        <w:t>n Declaration by Robert Schuman</w:t>
      </w:r>
      <w:r>
        <w:rPr>
          <w:rFonts w:ascii="Garamond" w:hAnsi="Garamond"/>
          <w:sz w:val="24"/>
          <w:szCs w:val="24"/>
        </w:rPr>
        <w:t>, the French Foreign Affairs Minister, in 1950.</w:t>
      </w:r>
    </w:p>
    <w:p w14:paraId="5D4C0FA7" w14:textId="77777777" w:rsidR="00FB21DD" w:rsidRDefault="00FB21DD" w:rsidP="00FB21DD">
      <w:pPr>
        <w:pStyle w:val="ListParagraph"/>
        <w:ind w:left="1080"/>
        <w:jc w:val="both"/>
        <w:rPr>
          <w:rFonts w:ascii="Garamond" w:hAnsi="Garamond"/>
          <w:sz w:val="24"/>
          <w:szCs w:val="24"/>
        </w:rPr>
      </w:pPr>
    </w:p>
    <w:p w14:paraId="4A015F45" w14:textId="3BB09E0C" w:rsidR="00FB21DD" w:rsidRDefault="00FB21DD" w:rsidP="00FB21DD">
      <w:pPr>
        <w:pStyle w:val="ListParagraph"/>
        <w:ind w:left="1080"/>
        <w:jc w:val="both"/>
        <w:rPr>
          <w:rFonts w:ascii="Garamond" w:hAnsi="Garamond"/>
          <w:sz w:val="24"/>
          <w:szCs w:val="24"/>
        </w:rPr>
      </w:pPr>
      <w:r>
        <w:rPr>
          <w:rFonts w:ascii="Garamond" w:hAnsi="Garamond"/>
          <w:sz w:val="24"/>
          <w:szCs w:val="24"/>
        </w:rPr>
        <w:t xml:space="preserve">In a way, the creation of the internal market was an experiment to try and guarantee peace on a stable basis. The idea was that Member States of the EU had to give up some of their sovereignty to increase the likelihood of long-term stability on the European continent. This experiment started with only two product groups (coal and steel), but was quickly extended to other sectors of the economy (“neo-functionalism”). The internal market would lead to an increased amount of interaction between Member States and their citizens – not just on purely economic issues, but also on social questions. These processes of interaction would lead to increased interdependence between the Member States, to such an extent that it would no longer be in their interest to be hostile towards each other. Guaranteeing peace and the wellbeing of EU citizens is the ultimate foundation on which the EU internal market has been built. The internal market is an instrument to guarantee peace and to </w:t>
      </w:r>
      <w:r w:rsidR="00FD6FC6">
        <w:rPr>
          <w:rFonts w:ascii="Garamond" w:hAnsi="Garamond"/>
          <w:sz w:val="24"/>
          <w:szCs w:val="24"/>
        </w:rPr>
        <w:t>improve</w:t>
      </w:r>
      <w:r>
        <w:rPr>
          <w:rFonts w:ascii="Garamond" w:hAnsi="Garamond"/>
          <w:sz w:val="24"/>
          <w:szCs w:val="24"/>
        </w:rPr>
        <w:t xml:space="preserve"> the wellbeing of EU citizens. It is not – and never has been – exclusively about trade and economic interests.</w:t>
      </w:r>
    </w:p>
    <w:p w14:paraId="31B0BF98" w14:textId="77777777" w:rsidR="00FB21DD" w:rsidRDefault="00FB21DD" w:rsidP="00FB21DD">
      <w:pPr>
        <w:pStyle w:val="ListParagraph"/>
        <w:ind w:left="1080"/>
        <w:jc w:val="both"/>
        <w:rPr>
          <w:rFonts w:ascii="Garamond" w:hAnsi="Garamond"/>
          <w:sz w:val="24"/>
          <w:szCs w:val="24"/>
        </w:rPr>
      </w:pPr>
    </w:p>
    <w:p w14:paraId="64B308C7" w14:textId="77777777" w:rsidR="00FB21DD" w:rsidRDefault="00FB21DD" w:rsidP="00FB21DD">
      <w:pPr>
        <w:pStyle w:val="ListParagraph"/>
        <w:numPr>
          <w:ilvl w:val="0"/>
          <w:numId w:val="3"/>
        </w:numPr>
        <w:rPr>
          <w:rFonts w:ascii="Garamond" w:hAnsi="Garamond"/>
          <w:sz w:val="24"/>
          <w:szCs w:val="24"/>
        </w:rPr>
      </w:pPr>
      <w:r>
        <w:rPr>
          <w:rFonts w:ascii="Garamond" w:hAnsi="Garamond"/>
          <w:sz w:val="24"/>
          <w:szCs w:val="24"/>
        </w:rPr>
        <w:t>The economic context</w:t>
      </w:r>
    </w:p>
    <w:p w14:paraId="43649CF9" w14:textId="77777777" w:rsidR="00FB21DD" w:rsidRDefault="00FB21DD" w:rsidP="00FB21DD">
      <w:pPr>
        <w:pStyle w:val="ListParagraph"/>
        <w:ind w:left="1080"/>
        <w:rPr>
          <w:rFonts w:ascii="Garamond" w:hAnsi="Garamond"/>
          <w:sz w:val="24"/>
          <w:szCs w:val="24"/>
        </w:rPr>
      </w:pPr>
    </w:p>
    <w:p w14:paraId="05E6DEC4" w14:textId="3448F553" w:rsidR="00FB21DD" w:rsidRDefault="00FB21DD" w:rsidP="00FB21DD">
      <w:pPr>
        <w:pStyle w:val="ListParagraph"/>
        <w:ind w:left="1080"/>
        <w:jc w:val="both"/>
        <w:rPr>
          <w:rFonts w:ascii="Garamond" w:hAnsi="Garamond"/>
          <w:sz w:val="24"/>
          <w:szCs w:val="24"/>
        </w:rPr>
      </w:pPr>
      <w:r>
        <w:rPr>
          <w:rFonts w:ascii="Garamond" w:hAnsi="Garamond"/>
          <w:sz w:val="24"/>
          <w:szCs w:val="24"/>
        </w:rPr>
        <w:t>Despite the non-economic foundations of the internal market, there is also an economic theory behind the creation of an internal market. The idea is that an internal market will lead to more economic efficiency. Free movement will enable Member States to specialise themselves and to make use of their “comparative advantage”. This is of course becoming more of a problem in today’s EU internal market with 2</w:t>
      </w:r>
      <w:r w:rsidR="004F0962">
        <w:rPr>
          <w:rFonts w:ascii="Garamond" w:hAnsi="Garamond"/>
          <w:sz w:val="24"/>
          <w:szCs w:val="24"/>
        </w:rPr>
        <w:t>7</w:t>
      </w:r>
      <w:r>
        <w:rPr>
          <w:rFonts w:ascii="Garamond" w:hAnsi="Garamond"/>
          <w:sz w:val="24"/>
          <w:szCs w:val="24"/>
        </w:rPr>
        <w:t xml:space="preserve"> Member States. Think about Brexit and the debates about free movement of workers from some of the newer Member States to the UK.</w:t>
      </w:r>
    </w:p>
    <w:p w14:paraId="04FCC4AC" w14:textId="77777777" w:rsidR="00FB21DD" w:rsidRDefault="00FB21DD" w:rsidP="00FB21DD">
      <w:pPr>
        <w:pStyle w:val="ListParagraph"/>
        <w:ind w:left="1080"/>
        <w:jc w:val="both"/>
        <w:rPr>
          <w:rFonts w:ascii="Garamond" w:hAnsi="Garamond"/>
          <w:sz w:val="24"/>
          <w:szCs w:val="24"/>
        </w:rPr>
      </w:pPr>
    </w:p>
    <w:p w14:paraId="7011A830" w14:textId="77777777" w:rsidR="00FB21DD" w:rsidRDefault="00FB21DD" w:rsidP="00FB21DD">
      <w:pPr>
        <w:pStyle w:val="ListParagraph"/>
        <w:numPr>
          <w:ilvl w:val="0"/>
          <w:numId w:val="3"/>
        </w:numPr>
        <w:jc w:val="both"/>
        <w:rPr>
          <w:rFonts w:ascii="Garamond" w:hAnsi="Garamond"/>
          <w:sz w:val="24"/>
          <w:szCs w:val="24"/>
        </w:rPr>
      </w:pPr>
      <w:r>
        <w:rPr>
          <w:rFonts w:ascii="Garamond" w:hAnsi="Garamond"/>
          <w:sz w:val="24"/>
          <w:szCs w:val="24"/>
        </w:rPr>
        <w:t>The non-economic context: social interaction</w:t>
      </w:r>
    </w:p>
    <w:p w14:paraId="706E31FF" w14:textId="77777777" w:rsidR="00FB21DD" w:rsidRDefault="00FB21DD" w:rsidP="00FB21DD">
      <w:pPr>
        <w:pStyle w:val="ListParagraph"/>
        <w:ind w:left="1080"/>
        <w:jc w:val="both"/>
        <w:rPr>
          <w:rFonts w:ascii="Garamond" w:hAnsi="Garamond"/>
          <w:sz w:val="24"/>
          <w:szCs w:val="24"/>
        </w:rPr>
      </w:pPr>
    </w:p>
    <w:p w14:paraId="4E80E784" w14:textId="7F5C60F2" w:rsidR="00FB21DD" w:rsidRDefault="00FB21DD" w:rsidP="00FB21DD">
      <w:pPr>
        <w:pStyle w:val="ListParagraph"/>
        <w:ind w:left="1080"/>
        <w:jc w:val="both"/>
        <w:rPr>
          <w:rFonts w:ascii="Garamond" w:hAnsi="Garamond"/>
          <w:sz w:val="24"/>
          <w:szCs w:val="24"/>
        </w:rPr>
      </w:pPr>
      <w:r>
        <w:rPr>
          <w:rFonts w:ascii="Garamond" w:hAnsi="Garamond"/>
          <w:sz w:val="24"/>
          <w:szCs w:val="24"/>
        </w:rPr>
        <w:t xml:space="preserve">Being a member of the internal market also leads to an increased amount of social interaction in the EU. This has </w:t>
      </w:r>
      <w:r w:rsidR="00FD6FC6">
        <w:rPr>
          <w:rFonts w:ascii="Garamond" w:hAnsi="Garamond"/>
          <w:sz w:val="24"/>
          <w:szCs w:val="24"/>
        </w:rPr>
        <w:t>b</w:t>
      </w:r>
      <w:r>
        <w:rPr>
          <w:rFonts w:ascii="Garamond" w:hAnsi="Garamond"/>
          <w:sz w:val="24"/>
          <w:szCs w:val="24"/>
        </w:rPr>
        <w:t xml:space="preserve">een encouraged by the creation of EU citizenship in 1992, which has extended free movement rights to non-economically active citizens such as students and pensioners. But the internal market is not just about free movement – because so many issues are linked to the functioning of the internal market, many of our daily activities have to be regulated by the EU: </w:t>
      </w:r>
    </w:p>
    <w:p w14:paraId="423E91BD" w14:textId="77777777" w:rsidR="00FB21DD" w:rsidRDefault="00FB21DD" w:rsidP="00FB21DD">
      <w:pPr>
        <w:pStyle w:val="ListParagraph"/>
        <w:ind w:left="1080"/>
        <w:jc w:val="both"/>
        <w:rPr>
          <w:rFonts w:ascii="Garamond" w:hAnsi="Garamond"/>
          <w:sz w:val="24"/>
          <w:szCs w:val="24"/>
        </w:rPr>
      </w:pPr>
    </w:p>
    <w:p w14:paraId="7569D0E1" w14:textId="77777777" w:rsidR="00FB21DD" w:rsidRDefault="00FB21DD" w:rsidP="00FB21DD">
      <w:pPr>
        <w:pStyle w:val="ListParagraph"/>
        <w:numPr>
          <w:ilvl w:val="0"/>
          <w:numId w:val="4"/>
        </w:numPr>
        <w:jc w:val="both"/>
        <w:rPr>
          <w:rFonts w:ascii="Garamond" w:hAnsi="Garamond"/>
          <w:sz w:val="24"/>
          <w:szCs w:val="24"/>
        </w:rPr>
      </w:pPr>
      <w:r>
        <w:rPr>
          <w:rFonts w:ascii="Garamond" w:hAnsi="Garamond"/>
          <w:sz w:val="24"/>
          <w:szCs w:val="24"/>
        </w:rPr>
        <w:t>Employment protection (working hours, non-discrimination, equal pay)</w:t>
      </w:r>
    </w:p>
    <w:p w14:paraId="777F440B" w14:textId="0175EE2D" w:rsidR="00FB21DD" w:rsidRDefault="00FB21DD" w:rsidP="00FB21DD">
      <w:pPr>
        <w:pStyle w:val="ListParagraph"/>
        <w:numPr>
          <w:ilvl w:val="0"/>
          <w:numId w:val="4"/>
        </w:numPr>
        <w:jc w:val="both"/>
        <w:rPr>
          <w:rFonts w:ascii="Garamond" w:hAnsi="Garamond"/>
          <w:sz w:val="24"/>
          <w:szCs w:val="24"/>
        </w:rPr>
      </w:pPr>
      <w:r>
        <w:rPr>
          <w:rFonts w:ascii="Garamond" w:hAnsi="Garamond"/>
          <w:sz w:val="24"/>
          <w:szCs w:val="24"/>
        </w:rPr>
        <w:t>Consumer protection (unfair terms</w:t>
      </w:r>
      <w:r w:rsidR="00BE1C25">
        <w:rPr>
          <w:rFonts w:ascii="Garamond" w:hAnsi="Garamond"/>
          <w:sz w:val="24"/>
          <w:szCs w:val="24"/>
        </w:rPr>
        <w:t>, warranties</w:t>
      </w:r>
      <w:r>
        <w:rPr>
          <w:rFonts w:ascii="Garamond" w:hAnsi="Garamond"/>
          <w:sz w:val="24"/>
          <w:szCs w:val="24"/>
        </w:rPr>
        <w:t>, product safety)</w:t>
      </w:r>
    </w:p>
    <w:p w14:paraId="68624105" w14:textId="77777777" w:rsidR="00FB21DD" w:rsidRDefault="00FB21DD" w:rsidP="00FB21DD">
      <w:pPr>
        <w:pStyle w:val="ListParagraph"/>
        <w:numPr>
          <w:ilvl w:val="0"/>
          <w:numId w:val="4"/>
        </w:numPr>
        <w:jc w:val="both"/>
        <w:rPr>
          <w:rFonts w:ascii="Garamond" w:hAnsi="Garamond"/>
          <w:sz w:val="24"/>
          <w:szCs w:val="24"/>
        </w:rPr>
      </w:pPr>
      <w:r>
        <w:rPr>
          <w:rFonts w:ascii="Garamond" w:hAnsi="Garamond"/>
          <w:sz w:val="24"/>
          <w:szCs w:val="24"/>
        </w:rPr>
        <w:t>Environmental protection (impact assessments, emission standards)</w:t>
      </w:r>
    </w:p>
    <w:p w14:paraId="1C6553BB" w14:textId="77777777" w:rsidR="00FB21DD" w:rsidRDefault="00FB21DD" w:rsidP="00FB21DD">
      <w:pPr>
        <w:ind w:left="1080"/>
        <w:jc w:val="both"/>
        <w:rPr>
          <w:rFonts w:ascii="Garamond" w:hAnsi="Garamond"/>
          <w:sz w:val="24"/>
          <w:szCs w:val="24"/>
        </w:rPr>
      </w:pPr>
      <w:r>
        <w:rPr>
          <w:rFonts w:ascii="Garamond" w:hAnsi="Garamond"/>
          <w:sz w:val="24"/>
          <w:szCs w:val="24"/>
        </w:rPr>
        <w:t>Because these issues are regulated by the EU, they will often have to be decided at the European level. Some examples:</w:t>
      </w:r>
    </w:p>
    <w:p w14:paraId="7649EA86" w14:textId="77777777" w:rsidR="00FB21DD" w:rsidRDefault="00FB21DD" w:rsidP="00FB21DD">
      <w:pPr>
        <w:pStyle w:val="ListParagraph"/>
        <w:numPr>
          <w:ilvl w:val="0"/>
          <w:numId w:val="4"/>
        </w:numPr>
        <w:jc w:val="both"/>
        <w:rPr>
          <w:rFonts w:ascii="Garamond" w:hAnsi="Garamond"/>
          <w:sz w:val="24"/>
          <w:szCs w:val="24"/>
        </w:rPr>
      </w:pPr>
      <w:r>
        <w:rPr>
          <w:rFonts w:ascii="Garamond" w:hAnsi="Garamond"/>
          <w:sz w:val="24"/>
          <w:szCs w:val="24"/>
        </w:rPr>
        <w:t>Do employees have a right to wear a headscarf at work? Or should their employers be allowed to protect their neutral corporate identity? (</w:t>
      </w:r>
      <w:r>
        <w:rPr>
          <w:rFonts w:ascii="Garamond" w:hAnsi="Garamond"/>
          <w:i/>
          <w:sz w:val="24"/>
          <w:szCs w:val="24"/>
        </w:rPr>
        <w:t>Achbita</w:t>
      </w:r>
      <w:r>
        <w:rPr>
          <w:rFonts w:ascii="Garamond" w:hAnsi="Garamond"/>
          <w:sz w:val="24"/>
          <w:szCs w:val="24"/>
        </w:rPr>
        <w:t>)</w:t>
      </w:r>
    </w:p>
    <w:p w14:paraId="0CB6FC5C" w14:textId="77777777" w:rsidR="00FB21DD" w:rsidRDefault="00FB21DD" w:rsidP="00FB21DD">
      <w:pPr>
        <w:pStyle w:val="ListParagraph"/>
        <w:numPr>
          <w:ilvl w:val="0"/>
          <w:numId w:val="4"/>
        </w:numPr>
        <w:jc w:val="both"/>
        <w:rPr>
          <w:rFonts w:ascii="Garamond" w:hAnsi="Garamond"/>
          <w:sz w:val="24"/>
          <w:szCs w:val="24"/>
        </w:rPr>
      </w:pPr>
      <w:r>
        <w:rPr>
          <w:rFonts w:ascii="Garamond" w:hAnsi="Garamond"/>
          <w:sz w:val="24"/>
          <w:szCs w:val="24"/>
        </w:rPr>
        <w:t>Is Über just an app, or is Über actually providing transport services? How should we classify the activities of new actors in the digital and sharing economy? (</w:t>
      </w:r>
      <w:r w:rsidRPr="004D259F">
        <w:rPr>
          <w:rFonts w:ascii="Garamond" w:hAnsi="Garamond"/>
          <w:i/>
          <w:sz w:val="24"/>
          <w:szCs w:val="24"/>
        </w:rPr>
        <w:t>Asociacion Professional Elite Taxi</w:t>
      </w:r>
      <w:r>
        <w:rPr>
          <w:rFonts w:ascii="Garamond" w:hAnsi="Garamond"/>
          <w:sz w:val="24"/>
          <w:szCs w:val="24"/>
        </w:rPr>
        <w:t>)</w:t>
      </w:r>
    </w:p>
    <w:p w14:paraId="62FC1BA1" w14:textId="77777777" w:rsidR="00FB21DD" w:rsidRDefault="00FB21DD" w:rsidP="00FB21DD">
      <w:pPr>
        <w:pStyle w:val="ListParagraph"/>
        <w:ind w:left="1080"/>
        <w:jc w:val="both"/>
        <w:rPr>
          <w:rFonts w:ascii="Garamond" w:hAnsi="Garamond"/>
          <w:sz w:val="24"/>
          <w:szCs w:val="24"/>
        </w:rPr>
      </w:pPr>
    </w:p>
    <w:p w14:paraId="7CBCD0E4" w14:textId="77777777" w:rsidR="00FB21DD" w:rsidRDefault="00FB21DD" w:rsidP="00FB21DD">
      <w:pPr>
        <w:pStyle w:val="ListParagraph"/>
        <w:numPr>
          <w:ilvl w:val="0"/>
          <w:numId w:val="3"/>
        </w:numPr>
        <w:jc w:val="both"/>
        <w:rPr>
          <w:rFonts w:ascii="Garamond" w:hAnsi="Garamond"/>
          <w:sz w:val="24"/>
          <w:szCs w:val="24"/>
        </w:rPr>
      </w:pPr>
      <w:r>
        <w:rPr>
          <w:rFonts w:ascii="Garamond" w:hAnsi="Garamond"/>
          <w:sz w:val="24"/>
          <w:szCs w:val="24"/>
        </w:rPr>
        <w:t>The ethical context</w:t>
      </w:r>
    </w:p>
    <w:p w14:paraId="72A6C01F" w14:textId="77777777" w:rsidR="00FB21DD" w:rsidRDefault="00FB21DD" w:rsidP="00FB21DD">
      <w:pPr>
        <w:pStyle w:val="ListParagraph"/>
        <w:ind w:left="1080"/>
        <w:jc w:val="both"/>
        <w:rPr>
          <w:rFonts w:ascii="Garamond" w:hAnsi="Garamond"/>
          <w:sz w:val="24"/>
          <w:szCs w:val="24"/>
        </w:rPr>
      </w:pPr>
    </w:p>
    <w:p w14:paraId="02256ADD" w14:textId="02FD546F" w:rsidR="00FB21DD" w:rsidRDefault="00FB21DD" w:rsidP="00FB21DD">
      <w:pPr>
        <w:pStyle w:val="ListParagraph"/>
        <w:numPr>
          <w:ilvl w:val="0"/>
          <w:numId w:val="4"/>
        </w:numPr>
        <w:jc w:val="both"/>
        <w:rPr>
          <w:rFonts w:ascii="Garamond" w:hAnsi="Garamond"/>
          <w:sz w:val="24"/>
          <w:szCs w:val="24"/>
        </w:rPr>
      </w:pPr>
      <w:r>
        <w:rPr>
          <w:rFonts w:ascii="Garamond" w:hAnsi="Garamond"/>
          <w:sz w:val="24"/>
          <w:szCs w:val="24"/>
        </w:rPr>
        <w:t xml:space="preserve">Do </w:t>
      </w:r>
      <w:r w:rsidR="00BE1C25">
        <w:rPr>
          <w:rFonts w:ascii="Garamond" w:hAnsi="Garamond"/>
          <w:sz w:val="24"/>
          <w:szCs w:val="24"/>
        </w:rPr>
        <w:t>German</w:t>
      </w:r>
      <w:r>
        <w:rPr>
          <w:rFonts w:ascii="Garamond" w:hAnsi="Garamond"/>
          <w:sz w:val="24"/>
          <w:szCs w:val="24"/>
        </w:rPr>
        <w:t xml:space="preserve"> citizens have a right to receive euthanasia in the Netherlands?</w:t>
      </w:r>
    </w:p>
    <w:p w14:paraId="70814EAA" w14:textId="77777777" w:rsidR="00FB21DD" w:rsidRDefault="00FB21DD" w:rsidP="00FB21DD">
      <w:pPr>
        <w:pStyle w:val="ListParagraph"/>
        <w:numPr>
          <w:ilvl w:val="0"/>
          <w:numId w:val="4"/>
        </w:numPr>
        <w:jc w:val="both"/>
        <w:rPr>
          <w:rFonts w:ascii="Garamond" w:hAnsi="Garamond"/>
          <w:sz w:val="24"/>
          <w:szCs w:val="24"/>
        </w:rPr>
      </w:pPr>
      <w:r>
        <w:rPr>
          <w:rFonts w:ascii="Garamond" w:hAnsi="Garamond"/>
          <w:sz w:val="24"/>
          <w:szCs w:val="24"/>
        </w:rPr>
        <w:t>Does an Irish student have a right to receive abortion in the UK? (</w:t>
      </w:r>
      <w:r w:rsidRPr="004D259F">
        <w:rPr>
          <w:rFonts w:ascii="Garamond" w:hAnsi="Garamond"/>
          <w:i/>
          <w:sz w:val="24"/>
          <w:szCs w:val="24"/>
        </w:rPr>
        <w:t>Grogan</w:t>
      </w:r>
      <w:r>
        <w:rPr>
          <w:rFonts w:ascii="Garamond" w:hAnsi="Garamond"/>
          <w:sz w:val="24"/>
          <w:szCs w:val="24"/>
        </w:rPr>
        <w:t>)</w:t>
      </w:r>
    </w:p>
    <w:p w14:paraId="2BB3BA4F" w14:textId="12FCE0C5" w:rsidR="00FB21DD" w:rsidRDefault="00FB21DD" w:rsidP="00FB21DD">
      <w:pPr>
        <w:pStyle w:val="ListParagraph"/>
        <w:numPr>
          <w:ilvl w:val="0"/>
          <w:numId w:val="4"/>
        </w:numPr>
        <w:jc w:val="both"/>
        <w:rPr>
          <w:rFonts w:ascii="Garamond" w:hAnsi="Garamond"/>
          <w:sz w:val="24"/>
          <w:szCs w:val="24"/>
        </w:rPr>
      </w:pPr>
      <w:r>
        <w:rPr>
          <w:rFonts w:ascii="Garamond" w:hAnsi="Garamond"/>
          <w:sz w:val="24"/>
          <w:szCs w:val="24"/>
        </w:rPr>
        <w:t>Should Germany be allowed to ban a laser-</w:t>
      </w:r>
      <w:r w:rsidR="00FD6FC6">
        <w:rPr>
          <w:rFonts w:ascii="Garamond" w:hAnsi="Garamond"/>
          <w:sz w:val="24"/>
          <w:szCs w:val="24"/>
        </w:rPr>
        <w:t>tagging</w:t>
      </w:r>
      <w:r>
        <w:rPr>
          <w:rFonts w:ascii="Garamond" w:hAnsi="Garamond"/>
          <w:sz w:val="24"/>
          <w:szCs w:val="24"/>
        </w:rPr>
        <w:t xml:space="preserve"> concept which has been developed in the UK? (</w:t>
      </w:r>
      <w:r w:rsidRPr="004D259F">
        <w:rPr>
          <w:rFonts w:ascii="Garamond" w:hAnsi="Garamond"/>
          <w:i/>
          <w:sz w:val="24"/>
          <w:szCs w:val="24"/>
        </w:rPr>
        <w:t>Omega</w:t>
      </w:r>
      <w:r>
        <w:rPr>
          <w:rFonts w:ascii="Garamond" w:hAnsi="Garamond"/>
          <w:sz w:val="24"/>
          <w:szCs w:val="24"/>
        </w:rPr>
        <w:t>)</w:t>
      </w:r>
    </w:p>
    <w:p w14:paraId="28FF3E7E" w14:textId="77777777" w:rsidR="00FB21DD" w:rsidRPr="004D259F" w:rsidRDefault="00FB21DD" w:rsidP="00FB21DD">
      <w:pPr>
        <w:pStyle w:val="ListParagraph"/>
        <w:numPr>
          <w:ilvl w:val="0"/>
          <w:numId w:val="4"/>
        </w:numPr>
        <w:jc w:val="both"/>
        <w:rPr>
          <w:rFonts w:ascii="Garamond" w:hAnsi="Garamond"/>
          <w:sz w:val="24"/>
          <w:szCs w:val="24"/>
        </w:rPr>
      </w:pPr>
      <w:r>
        <w:rPr>
          <w:rFonts w:ascii="Garamond" w:hAnsi="Garamond"/>
          <w:sz w:val="24"/>
          <w:szCs w:val="24"/>
        </w:rPr>
        <w:t>Should Austria be allowed to prohibit an Austrian citizen from using a royal title which she has lawfully acquired in Germany? (</w:t>
      </w:r>
      <w:r w:rsidRPr="004D259F">
        <w:rPr>
          <w:rFonts w:ascii="Garamond" w:hAnsi="Garamond"/>
          <w:i/>
          <w:sz w:val="24"/>
          <w:szCs w:val="24"/>
        </w:rPr>
        <w:t>Sayn-Wittgenstein</w:t>
      </w:r>
      <w:r>
        <w:rPr>
          <w:rFonts w:ascii="Garamond" w:hAnsi="Garamond"/>
          <w:sz w:val="24"/>
          <w:szCs w:val="24"/>
        </w:rPr>
        <w:t>)</w:t>
      </w:r>
    </w:p>
    <w:p w14:paraId="630D40C9" w14:textId="77777777" w:rsidR="00FB21DD" w:rsidRDefault="00FB21DD" w:rsidP="00FB21DD">
      <w:pPr>
        <w:pStyle w:val="ListParagraph"/>
        <w:jc w:val="both"/>
        <w:rPr>
          <w:rFonts w:ascii="Garamond" w:hAnsi="Garamond"/>
          <w:b/>
          <w:sz w:val="24"/>
          <w:szCs w:val="24"/>
        </w:rPr>
      </w:pPr>
    </w:p>
    <w:p w14:paraId="0E7B5722" w14:textId="77777777" w:rsidR="00FB21DD" w:rsidRDefault="00FB21DD" w:rsidP="00FB21DD">
      <w:pPr>
        <w:pStyle w:val="ListParagraph"/>
        <w:numPr>
          <w:ilvl w:val="0"/>
          <w:numId w:val="2"/>
        </w:numPr>
        <w:jc w:val="both"/>
        <w:rPr>
          <w:rFonts w:ascii="Garamond" w:hAnsi="Garamond"/>
          <w:b/>
          <w:sz w:val="24"/>
          <w:szCs w:val="24"/>
        </w:rPr>
      </w:pPr>
      <w:r>
        <w:rPr>
          <w:rFonts w:ascii="Garamond" w:hAnsi="Garamond"/>
          <w:b/>
          <w:sz w:val="24"/>
          <w:szCs w:val="24"/>
        </w:rPr>
        <w:t>The development of the internal market</w:t>
      </w:r>
    </w:p>
    <w:p w14:paraId="2CCA6D59" w14:textId="77777777" w:rsidR="00FB21DD" w:rsidRPr="004D259F" w:rsidRDefault="00FB21DD" w:rsidP="00FB21DD">
      <w:pPr>
        <w:pStyle w:val="ListParagraph"/>
        <w:jc w:val="both"/>
        <w:rPr>
          <w:rFonts w:ascii="Garamond" w:hAnsi="Garamond"/>
          <w:b/>
          <w:sz w:val="24"/>
          <w:szCs w:val="24"/>
        </w:rPr>
      </w:pPr>
    </w:p>
    <w:p w14:paraId="6CD1B96F" w14:textId="77777777" w:rsidR="00FB21DD" w:rsidRDefault="00FB21DD" w:rsidP="00FB21DD">
      <w:pPr>
        <w:pStyle w:val="ListParagraph"/>
        <w:numPr>
          <w:ilvl w:val="0"/>
          <w:numId w:val="5"/>
        </w:numPr>
        <w:jc w:val="both"/>
        <w:rPr>
          <w:rFonts w:ascii="Garamond" w:hAnsi="Garamond"/>
          <w:sz w:val="24"/>
          <w:szCs w:val="24"/>
        </w:rPr>
      </w:pPr>
      <w:r>
        <w:rPr>
          <w:rFonts w:ascii="Garamond" w:hAnsi="Garamond"/>
          <w:sz w:val="24"/>
          <w:szCs w:val="24"/>
        </w:rPr>
        <w:t>The substantive development of the internal market</w:t>
      </w:r>
    </w:p>
    <w:p w14:paraId="44C3C9D1" w14:textId="77777777" w:rsidR="00FB21DD" w:rsidRDefault="00FB21DD" w:rsidP="00FB21DD">
      <w:pPr>
        <w:pStyle w:val="ListParagraph"/>
        <w:ind w:left="1080"/>
        <w:jc w:val="both"/>
        <w:rPr>
          <w:rFonts w:ascii="Garamond" w:hAnsi="Garamond"/>
          <w:sz w:val="24"/>
          <w:szCs w:val="24"/>
        </w:rPr>
      </w:pPr>
    </w:p>
    <w:p w14:paraId="26221F62" w14:textId="046B97F9" w:rsidR="00FB21DD" w:rsidRDefault="00FB21DD" w:rsidP="00FB21DD">
      <w:pPr>
        <w:pStyle w:val="ListParagraph"/>
        <w:ind w:left="1080"/>
        <w:jc w:val="both"/>
        <w:rPr>
          <w:rFonts w:ascii="Garamond" w:hAnsi="Garamond"/>
          <w:sz w:val="24"/>
          <w:szCs w:val="24"/>
        </w:rPr>
      </w:pPr>
      <w:r>
        <w:rPr>
          <w:rFonts w:ascii="Garamond" w:hAnsi="Garamond"/>
          <w:sz w:val="24"/>
          <w:szCs w:val="24"/>
        </w:rPr>
        <w:t xml:space="preserve">In 1950, the EU created an internal market for only two product groups: coal and steel. In 1957, the scope of the internal market was broadened enormously with the so-called four freedoms: free movement of (all) goods, free movement of persons, free movement of services and free movement of capital. With this internal market, the EU has discovered that more and more aspects of the economy (and beyond) have to be regulated by the EU, because Member States are no longer able to deal with these problems individually. The economies of Member States have to be coordinated and most Member States are part of the same currency. Similarly, because of the free movement of persons and Schengen, the EU has had to adopt rules on asylum and immigration. The Greek borders are effectively also the Dutch borders – and this has an effect on migration once migrants </w:t>
      </w:r>
      <w:r w:rsidR="00390ED4">
        <w:rPr>
          <w:rFonts w:ascii="Garamond" w:hAnsi="Garamond"/>
          <w:sz w:val="24"/>
          <w:szCs w:val="24"/>
        </w:rPr>
        <w:t>enter</w:t>
      </w:r>
      <w:r>
        <w:rPr>
          <w:rFonts w:ascii="Garamond" w:hAnsi="Garamond"/>
          <w:sz w:val="24"/>
          <w:szCs w:val="24"/>
        </w:rPr>
        <w:t xml:space="preserve"> EU territory (see </w:t>
      </w:r>
      <w:r w:rsidR="00B06877">
        <w:rPr>
          <w:rFonts w:ascii="Garamond" w:hAnsi="Garamond"/>
          <w:sz w:val="24"/>
          <w:szCs w:val="24"/>
        </w:rPr>
        <w:t xml:space="preserve">the </w:t>
      </w:r>
      <w:r>
        <w:rPr>
          <w:rFonts w:ascii="Garamond" w:hAnsi="Garamond"/>
          <w:sz w:val="24"/>
          <w:szCs w:val="24"/>
        </w:rPr>
        <w:t xml:space="preserve">EU – Turkey </w:t>
      </w:r>
      <w:r w:rsidR="00623D25">
        <w:rPr>
          <w:rFonts w:ascii="Garamond" w:hAnsi="Garamond"/>
          <w:sz w:val="24"/>
          <w:szCs w:val="24"/>
        </w:rPr>
        <w:t xml:space="preserve">and the EU – Tunesia </w:t>
      </w:r>
      <w:r w:rsidR="008923B5">
        <w:rPr>
          <w:rFonts w:ascii="Garamond" w:hAnsi="Garamond"/>
          <w:sz w:val="24"/>
          <w:szCs w:val="24"/>
        </w:rPr>
        <w:t>deals</w:t>
      </w:r>
      <w:r>
        <w:rPr>
          <w:rFonts w:ascii="Garamond" w:hAnsi="Garamond"/>
          <w:sz w:val="24"/>
          <w:szCs w:val="24"/>
        </w:rPr>
        <w:t>).</w:t>
      </w:r>
    </w:p>
    <w:p w14:paraId="061ABEE2" w14:textId="77777777" w:rsidR="00FB21DD" w:rsidRDefault="00FB21DD" w:rsidP="00FB21DD">
      <w:pPr>
        <w:pStyle w:val="ListParagraph"/>
        <w:ind w:left="1080"/>
        <w:jc w:val="both"/>
        <w:rPr>
          <w:rFonts w:ascii="Garamond" w:hAnsi="Garamond"/>
          <w:sz w:val="24"/>
          <w:szCs w:val="24"/>
        </w:rPr>
      </w:pPr>
    </w:p>
    <w:p w14:paraId="4B199421" w14:textId="77777777" w:rsidR="00FB21DD" w:rsidRDefault="00FB21DD" w:rsidP="00FB21DD">
      <w:pPr>
        <w:pStyle w:val="ListParagraph"/>
        <w:numPr>
          <w:ilvl w:val="0"/>
          <w:numId w:val="5"/>
        </w:numPr>
        <w:jc w:val="both"/>
        <w:rPr>
          <w:rFonts w:ascii="Garamond" w:hAnsi="Garamond"/>
          <w:sz w:val="24"/>
          <w:szCs w:val="24"/>
        </w:rPr>
      </w:pPr>
      <w:r>
        <w:rPr>
          <w:rFonts w:ascii="Garamond" w:hAnsi="Garamond"/>
          <w:sz w:val="24"/>
          <w:szCs w:val="24"/>
        </w:rPr>
        <w:t>The territorial development of the internal market</w:t>
      </w:r>
    </w:p>
    <w:p w14:paraId="2F54A063" w14:textId="77777777" w:rsidR="00FB21DD" w:rsidRDefault="00FB21DD" w:rsidP="00FB21DD">
      <w:pPr>
        <w:pStyle w:val="ListParagraph"/>
        <w:ind w:left="1080"/>
        <w:jc w:val="both"/>
        <w:rPr>
          <w:rFonts w:ascii="Garamond" w:hAnsi="Garamond"/>
          <w:sz w:val="24"/>
          <w:szCs w:val="24"/>
        </w:rPr>
      </w:pPr>
    </w:p>
    <w:p w14:paraId="5C99CD1B" w14:textId="60E405E7" w:rsidR="00FB21DD" w:rsidRDefault="00FB21DD" w:rsidP="00FB21DD">
      <w:pPr>
        <w:pStyle w:val="ListParagraph"/>
        <w:ind w:left="1080"/>
        <w:jc w:val="both"/>
        <w:rPr>
          <w:rFonts w:ascii="Garamond" w:hAnsi="Garamond"/>
          <w:sz w:val="24"/>
          <w:szCs w:val="24"/>
        </w:rPr>
      </w:pPr>
      <w:r>
        <w:rPr>
          <w:rFonts w:ascii="Garamond" w:hAnsi="Garamond"/>
          <w:sz w:val="24"/>
          <w:szCs w:val="24"/>
        </w:rPr>
        <w:t>The internal market has gradually exp</w:t>
      </w:r>
      <w:r w:rsidR="00402292">
        <w:rPr>
          <w:rFonts w:ascii="Garamond" w:hAnsi="Garamond"/>
          <w:sz w:val="24"/>
          <w:szCs w:val="24"/>
        </w:rPr>
        <w:t>anded from 6 Member States to 27</w:t>
      </w:r>
      <w:r>
        <w:rPr>
          <w:rFonts w:ascii="Garamond" w:hAnsi="Garamond"/>
          <w:sz w:val="24"/>
          <w:szCs w:val="24"/>
        </w:rPr>
        <w:t xml:space="preserve"> Member States. The last rounds of expansion were not so gradual – in 2004, 10 new Member States joined. This new territorial dimension has posed new challenges to the internal market. There are economic challenges, as the differences between wages in the Member States have increased enormously (see Brexit). See the </w:t>
      </w:r>
      <w:r w:rsidRPr="00555249">
        <w:rPr>
          <w:rFonts w:ascii="Garamond" w:hAnsi="Garamond"/>
          <w:i/>
          <w:sz w:val="24"/>
          <w:szCs w:val="24"/>
        </w:rPr>
        <w:t>Viking</w:t>
      </w:r>
      <w:r>
        <w:rPr>
          <w:rFonts w:ascii="Garamond" w:hAnsi="Garamond"/>
          <w:sz w:val="24"/>
          <w:szCs w:val="24"/>
        </w:rPr>
        <w:t xml:space="preserve"> and </w:t>
      </w:r>
      <w:r w:rsidRPr="00555249">
        <w:rPr>
          <w:rFonts w:ascii="Garamond" w:hAnsi="Garamond"/>
          <w:i/>
          <w:sz w:val="24"/>
          <w:szCs w:val="24"/>
        </w:rPr>
        <w:t xml:space="preserve">Laval </w:t>
      </w:r>
      <w:r>
        <w:rPr>
          <w:rFonts w:ascii="Garamond" w:hAnsi="Garamond"/>
          <w:sz w:val="24"/>
          <w:szCs w:val="24"/>
        </w:rPr>
        <w:t>cases. There are also more cultural and political challenges. What should be the role of the EU in the current developments with the</w:t>
      </w:r>
      <w:r w:rsidR="00FD6FC6">
        <w:rPr>
          <w:rFonts w:ascii="Garamond" w:hAnsi="Garamond"/>
          <w:sz w:val="24"/>
          <w:szCs w:val="24"/>
        </w:rPr>
        <w:t xml:space="preserve"> independence of the judiciary and the</w:t>
      </w:r>
      <w:r>
        <w:rPr>
          <w:rFonts w:ascii="Garamond" w:hAnsi="Garamond"/>
          <w:sz w:val="24"/>
          <w:szCs w:val="24"/>
        </w:rPr>
        <w:t xml:space="preserve"> Constitutional Court in Poland? The non-economic foundations of the EU (and the rule of law) are being tested.</w:t>
      </w:r>
    </w:p>
    <w:p w14:paraId="135E682B" w14:textId="77777777" w:rsidR="00FB21DD" w:rsidRDefault="00FB21DD" w:rsidP="00FB21DD">
      <w:pPr>
        <w:pStyle w:val="ListParagraph"/>
        <w:ind w:left="1080"/>
        <w:jc w:val="both"/>
        <w:rPr>
          <w:rFonts w:ascii="Garamond" w:hAnsi="Garamond"/>
          <w:sz w:val="24"/>
          <w:szCs w:val="24"/>
        </w:rPr>
      </w:pPr>
    </w:p>
    <w:p w14:paraId="27CEE78E" w14:textId="77777777" w:rsidR="00FB21DD" w:rsidRDefault="00FB21DD" w:rsidP="00FB21DD">
      <w:pPr>
        <w:pStyle w:val="ListParagraph"/>
        <w:numPr>
          <w:ilvl w:val="0"/>
          <w:numId w:val="5"/>
        </w:numPr>
        <w:jc w:val="both"/>
        <w:rPr>
          <w:rFonts w:ascii="Garamond" w:hAnsi="Garamond"/>
          <w:sz w:val="24"/>
          <w:szCs w:val="24"/>
        </w:rPr>
      </w:pPr>
      <w:r>
        <w:rPr>
          <w:rFonts w:ascii="Garamond" w:hAnsi="Garamond"/>
          <w:sz w:val="24"/>
          <w:szCs w:val="24"/>
        </w:rPr>
        <w:t>The personal development of the internal market</w:t>
      </w:r>
    </w:p>
    <w:p w14:paraId="4795F353" w14:textId="77777777" w:rsidR="00FB21DD" w:rsidRDefault="00FB21DD" w:rsidP="00FB21DD">
      <w:pPr>
        <w:pStyle w:val="ListParagraph"/>
        <w:ind w:left="1080"/>
        <w:jc w:val="both"/>
        <w:rPr>
          <w:rFonts w:ascii="Garamond" w:hAnsi="Garamond"/>
          <w:sz w:val="24"/>
          <w:szCs w:val="24"/>
        </w:rPr>
      </w:pPr>
    </w:p>
    <w:p w14:paraId="5EA48E98" w14:textId="77777777" w:rsidR="00FB21DD" w:rsidRDefault="00FB21DD" w:rsidP="00FB21DD">
      <w:pPr>
        <w:pStyle w:val="ListParagraph"/>
        <w:ind w:left="1080"/>
        <w:jc w:val="both"/>
        <w:rPr>
          <w:rFonts w:ascii="Garamond" w:hAnsi="Garamond"/>
          <w:sz w:val="24"/>
          <w:szCs w:val="24"/>
        </w:rPr>
      </w:pPr>
      <w:r>
        <w:rPr>
          <w:rFonts w:ascii="Garamond" w:hAnsi="Garamond"/>
          <w:sz w:val="24"/>
          <w:szCs w:val="24"/>
        </w:rPr>
        <w:t>Historically, only economically active persons enjoyed free movement rights in the EU. The personal scope of the internal market has been extended enormously through the creation of EU citizenship in the Treaty of Maastricht (1992). Non-economically active EU citizens now also enjoy free movement rights if they comply with certain conditions (see Directive 2004/38/EC). To what extent should Member States be allowed to protect themselves from non-economically active citizens who might become a burden on their social security system (</w:t>
      </w:r>
      <w:r w:rsidRPr="00986A6D">
        <w:rPr>
          <w:rFonts w:ascii="Garamond" w:hAnsi="Garamond"/>
          <w:i/>
          <w:sz w:val="24"/>
          <w:szCs w:val="24"/>
        </w:rPr>
        <w:t>Dano</w:t>
      </w:r>
      <w:r>
        <w:rPr>
          <w:rFonts w:ascii="Garamond" w:hAnsi="Garamond"/>
          <w:sz w:val="24"/>
          <w:szCs w:val="24"/>
        </w:rPr>
        <w:t xml:space="preserve"> (C-333/13))? To what extent are non-economically EU citizens actually imposing a burden on the social security systems of other Member States? Unfortunately, there are very few statistics on this.</w:t>
      </w:r>
    </w:p>
    <w:p w14:paraId="69FF3615" w14:textId="77777777" w:rsidR="00FB21DD" w:rsidRDefault="00FB21DD" w:rsidP="00FB21DD">
      <w:pPr>
        <w:pStyle w:val="ListParagraph"/>
        <w:ind w:left="1080"/>
        <w:jc w:val="both"/>
        <w:rPr>
          <w:rFonts w:ascii="Garamond" w:hAnsi="Garamond"/>
          <w:sz w:val="24"/>
          <w:szCs w:val="24"/>
        </w:rPr>
      </w:pPr>
    </w:p>
    <w:p w14:paraId="35A9F442" w14:textId="77777777" w:rsidR="00FB21DD" w:rsidRDefault="00FB21DD" w:rsidP="00FB21DD">
      <w:pPr>
        <w:pStyle w:val="ListParagraph"/>
        <w:numPr>
          <w:ilvl w:val="0"/>
          <w:numId w:val="2"/>
        </w:numPr>
        <w:jc w:val="both"/>
        <w:rPr>
          <w:rFonts w:ascii="Garamond" w:hAnsi="Garamond"/>
          <w:b/>
          <w:sz w:val="24"/>
          <w:szCs w:val="24"/>
        </w:rPr>
      </w:pPr>
      <w:r>
        <w:rPr>
          <w:rFonts w:ascii="Garamond" w:hAnsi="Garamond"/>
          <w:b/>
          <w:sz w:val="24"/>
          <w:szCs w:val="24"/>
        </w:rPr>
        <w:t>Free movement rights in the internal market</w:t>
      </w:r>
    </w:p>
    <w:p w14:paraId="540C5B25" w14:textId="77777777" w:rsidR="00FB21DD" w:rsidRPr="00986A6D" w:rsidRDefault="00FB21DD" w:rsidP="00FB21DD">
      <w:pPr>
        <w:pStyle w:val="ListParagraph"/>
        <w:jc w:val="both"/>
        <w:rPr>
          <w:rFonts w:ascii="Garamond" w:hAnsi="Garamond"/>
          <w:b/>
          <w:sz w:val="24"/>
          <w:szCs w:val="24"/>
        </w:rPr>
      </w:pPr>
    </w:p>
    <w:p w14:paraId="79118C1B" w14:textId="77777777" w:rsidR="00FB21DD" w:rsidRDefault="00FB21DD" w:rsidP="00FB21DD">
      <w:pPr>
        <w:pStyle w:val="ListParagraph"/>
        <w:numPr>
          <w:ilvl w:val="0"/>
          <w:numId w:val="6"/>
        </w:numPr>
        <w:jc w:val="both"/>
        <w:rPr>
          <w:rFonts w:ascii="Garamond" w:hAnsi="Garamond"/>
          <w:sz w:val="24"/>
          <w:szCs w:val="24"/>
        </w:rPr>
      </w:pPr>
      <w:r>
        <w:rPr>
          <w:rFonts w:ascii="Garamond" w:hAnsi="Garamond"/>
          <w:sz w:val="24"/>
          <w:szCs w:val="24"/>
        </w:rPr>
        <w:t>Free movement of goods (Article 34 TFEU)</w:t>
      </w:r>
    </w:p>
    <w:p w14:paraId="3138D6B4" w14:textId="77777777" w:rsidR="00FB21DD" w:rsidRDefault="00FB21DD" w:rsidP="00FB21DD">
      <w:pPr>
        <w:pStyle w:val="ListParagraph"/>
        <w:ind w:left="1080"/>
        <w:jc w:val="both"/>
        <w:rPr>
          <w:rFonts w:ascii="Garamond" w:hAnsi="Garamond"/>
          <w:sz w:val="24"/>
          <w:szCs w:val="24"/>
        </w:rPr>
      </w:pPr>
    </w:p>
    <w:p w14:paraId="6C918AA2" w14:textId="77777777" w:rsidR="00FB21DD" w:rsidRDefault="00FB21DD" w:rsidP="00FB21DD">
      <w:pPr>
        <w:pStyle w:val="ListParagraph"/>
        <w:numPr>
          <w:ilvl w:val="0"/>
          <w:numId w:val="6"/>
        </w:numPr>
        <w:jc w:val="both"/>
        <w:rPr>
          <w:rFonts w:ascii="Garamond" w:hAnsi="Garamond"/>
          <w:sz w:val="24"/>
          <w:szCs w:val="24"/>
        </w:rPr>
      </w:pPr>
      <w:r>
        <w:rPr>
          <w:rFonts w:ascii="Garamond" w:hAnsi="Garamond"/>
          <w:sz w:val="24"/>
          <w:szCs w:val="24"/>
        </w:rPr>
        <w:t>Free movement of workers (Article 45 TFEU) and non-economically active EU citizens and their family members (Article 20 TFEU and Directive 2004/38/EC)</w:t>
      </w:r>
    </w:p>
    <w:p w14:paraId="2680617D" w14:textId="77777777" w:rsidR="00FB21DD" w:rsidRPr="00C21A5C" w:rsidRDefault="00FB21DD" w:rsidP="00FB21DD">
      <w:pPr>
        <w:pStyle w:val="ListParagraph"/>
        <w:rPr>
          <w:rFonts w:ascii="Garamond" w:hAnsi="Garamond"/>
          <w:sz w:val="24"/>
          <w:szCs w:val="24"/>
        </w:rPr>
      </w:pPr>
    </w:p>
    <w:p w14:paraId="2628BCF9" w14:textId="77777777" w:rsidR="00FB21DD" w:rsidRDefault="00FB21DD" w:rsidP="00FB21DD">
      <w:pPr>
        <w:pStyle w:val="ListParagraph"/>
        <w:numPr>
          <w:ilvl w:val="0"/>
          <w:numId w:val="6"/>
        </w:numPr>
        <w:jc w:val="both"/>
        <w:rPr>
          <w:rFonts w:ascii="Garamond" w:hAnsi="Garamond"/>
          <w:sz w:val="24"/>
          <w:szCs w:val="24"/>
        </w:rPr>
      </w:pPr>
      <w:r>
        <w:rPr>
          <w:rFonts w:ascii="Garamond" w:hAnsi="Garamond"/>
          <w:sz w:val="24"/>
          <w:szCs w:val="24"/>
        </w:rPr>
        <w:t>Free movement of establishment (Article 49 TFEU)</w:t>
      </w:r>
    </w:p>
    <w:p w14:paraId="03E657A8" w14:textId="77777777" w:rsidR="00FB21DD" w:rsidRPr="00C21A5C" w:rsidRDefault="00FB21DD" w:rsidP="00FB21DD">
      <w:pPr>
        <w:pStyle w:val="ListParagraph"/>
        <w:rPr>
          <w:rFonts w:ascii="Garamond" w:hAnsi="Garamond"/>
          <w:sz w:val="24"/>
          <w:szCs w:val="24"/>
        </w:rPr>
      </w:pPr>
    </w:p>
    <w:p w14:paraId="36BD682D" w14:textId="77777777" w:rsidR="00FB21DD" w:rsidRDefault="00FB21DD" w:rsidP="00FB21DD">
      <w:pPr>
        <w:pStyle w:val="ListParagraph"/>
        <w:numPr>
          <w:ilvl w:val="0"/>
          <w:numId w:val="6"/>
        </w:numPr>
        <w:jc w:val="both"/>
        <w:rPr>
          <w:rFonts w:ascii="Garamond" w:hAnsi="Garamond"/>
          <w:sz w:val="24"/>
          <w:szCs w:val="24"/>
        </w:rPr>
      </w:pPr>
      <w:r>
        <w:rPr>
          <w:rFonts w:ascii="Garamond" w:hAnsi="Garamond"/>
          <w:sz w:val="24"/>
          <w:szCs w:val="24"/>
        </w:rPr>
        <w:t>Free movement of services (Article 56 TFEU)</w:t>
      </w:r>
    </w:p>
    <w:p w14:paraId="1B525D44" w14:textId="77777777" w:rsidR="00FB21DD" w:rsidRPr="00C21A5C" w:rsidRDefault="00FB21DD" w:rsidP="00FB21DD">
      <w:pPr>
        <w:pStyle w:val="ListParagraph"/>
        <w:rPr>
          <w:rFonts w:ascii="Garamond" w:hAnsi="Garamond"/>
          <w:sz w:val="24"/>
          <w:szCs w:val="24"/>
        </w:rPr>
      </w:pPr>
    </w:p>
    <w:p w14:paraId="41D0C827" w14:textId="77777777" w:rsidR="00FB21DD" w:rsidRDefault="00FB21DD" w:rsidP="00FB21DD">
      <w:pPr>
        <w:pStyle w:val="ListParagraph"/>
        <w:numPr>
          <w:ilvl w:val="0"/>
          <w:numId w:val="6"/>
        </w:numPr>
        <w:jc w:val="both"/>
        <w:rPr>
          <w:rFonts w:ascii="Garamond" w:hAnsi="Garamond"/>
          <w:sz w:val="24"/>
          <w:szCs w:val="24"/>
        </w:rPr>
      </w:pPr>
      <w:r>
        <w:rPr>
          <w:rFonts w:ascii="Garamond" w:hAnsi="Garamond"/>
          <w:sz w:val="24"/>
          <w:szCs w:val="24"/>
        </w:rPr>
        <w:t>Free movement of capital (Article 63 TFEU)</w:t>
      </w:r>
    </w:p>
    <w:p w14:paraId="019B60D4" w14:textId="77777777" w:rsidR="00FB21DD" w:rsidRPr="00C21A5C" w:rsidRDefault="00FB21DD" w:rsidP="00FB21DD">
      <w:pPr>
        <w:pStyle w:val="ListParagraph"/>
        <w:rPr>
          <w:rFonts w:ascii="Garamond" w:hAnsi="Garamond"/>
          <w:sz w:val="24"/>
          <w:szCs w:val="24"/>
        </w:rPr>
      </w:pPr>
    </w:p>
    <w:p w14:paraId="40DE64A1" w14:textId="77777777" w:rsidR="00FB21DD" w:rsidRDefault="00FB21DD" w:rsidP="00FB21DD">
      <w:pPr>
        <w:pStyle w:val="ListParagraph"/>
        <w:numPr>
          <w:ilvl w:val="0"/>
          <w:numId w:val="6"/>
        </w:numPr>
        <w:jc w:val="both"/>
        <w:rPr>
          <w:rFonts w:ascii="Garamond" w:hAnsi="Garamond"/>
          <w:sz w:val="24"/>
          <w:szCs w:val="24"/>
        </w:rPr>
      </w:pPr>
      <w:r>
        <w:rPr>
          <w:rFonts w:ascii="Garamond" w:hAnsi="Garamond"/>
          <w:sz w:val="24"/>
          <w:szCs w:val="24"/>
        </w:rPr>
        <w:t xml:space="preserve">Free movement rights are not absolute: Member States are allowed to restrict them if they have a good reason (a </w:t>
      </w:r>
      <w:r w:rsidRPr="004C1E4A">
        <w:rPr>
          <w:rFonts w:ascii="Garamond" w:hAnsi="Garamond"/>
          <w:i/>
          <w:sz w:val="24"/>
          <w:szCs w:val="24"/>
        </w:rPr>
        <w:t>justification</w:t>
      </w:r>
      <w:r>
        <w:rPr>
          <w:rFonts w:ascii="Garamond" w:hAnsi="Garamond"/>
          <w:sz w:val="24"/>
          <w:szCs w:val="24"/>
        </w:rPr>
        <w:t>) for doing so. Some of these justifications can be found in the Treaty (so-called Treaty derogations), while the Court of Justice has also developed an additional category of justifications (mandatory requirements, or public interest requirements, or objective justifications) in the case law. This last category is an open category – Member States can always try to claim that their reason to restrict free movement should be accepted as an objective justification under EU law. Justifications for restrictions on free movement can never be purely economic.</w:t>
      </w:r>
    </w:p>
    <w:p w14:paraId="2EC7567F" w14:textId="77777777" w:rsidR="00FB21DD" w:rsidRPr="009121D4" w:rsidRDefault="00FB21DD" w:rsidP="00FB21DD">
      <w:pPr>
        <w:pStyle w:val="ListParagraph"/>
        <w:rPr>
          <w:rFonts w:ascii="Garamond" w:hAnsi="Garamond"/>
          <w:sz w:val="24"/>
          <w:szCs w:val="24"/>
        </w:rPr>
      </w:pPr>
    </w:p>
    <w:p w14:paraId="4412D29D" w14:textId="77777777" w:rsidR="00FB21DD" w:rsidRDefault="00FB21DD" w:rsidP="00FB21DD">
      <w:pPr>
        <w:pStyle w:val="ListParagraph"/>
        <w:numPr>
          <w:ilvl w:val="0"/>
          <w:numId w:val="2"/>
        </w:numPr>
        <w:jc w:val="both"/>
        <w:rPr>
          <w:rFonts w:ascii="Garamond" w:hAnsi="Garamond"/>
          <w:b/>
          <w:sz w:val="24"/>
          <w:szCs w:val="24"/>
        </w:rPr>
      </w:pPr>
      <w:r>
        <w:rPr>
          <w:rFonts w:ascii="Garamond" w:hAnsi="Garamond"/>
          <w:b/>
          <w:sz w:val="24"/>
          <w:szCs w:val="24"/>
        </w:rPr>
        <w:lastRenderedPageBreak/>
        <w:t>How to build an internal market?</w:t>
      </w:r>
    </w:p>
    <w:p w14:paraId="2126AF86" w14:textId="77777777" w:rsidR="00FB21DD" w:rsidRDefault="00FB21DD" w:rsidP="00FB21DD">
      <w:pPr>
        <w:pStyle w:val="ListParagraph"/>
        <w:jc w:val="both"/>
        <w:rPr>
          <w:rFonts w:ascii="Garamond" w:hAnsi="Garamond"/>
          <w:b/>
          <w:sz w:val="24"/>
          <w:szCs w:val="24"/>
        </w:rPr>
      </w:pPr>
    </w:p>
    <w:p w14:paraId="64285D07" w14:textId="5497B6E5" w:rsidR="00FB21DD" w:rsidRDefault="00FB21DD" w:rsidP="00FB21DD">
      <w:pPr>
        <w:pStyle w:val="ListParagraph"/>
        <w:numPr>
          <w:ilvl w:val="0"/>
          <w:numId w:val="7"/>
        </w:numPr>
        <w:jc w:val="both"/>
        <w:rPr>
          <w:rFonts w:ascii="Garamond" w:hAnsi="Garamond"/>
          <w:sz w:val="24"/>
          <w:szCs w:val="24"/>
        </w:rPr>
      </w:pPr>
      <w:r w:rsidRPr="009121D4">
        <w:rPr>
          <w:rFonts w:ascii="Garamond" w:hAnsi="Garamond"/>
          <w:b/>
          <w:sz w:val="24"/>
          <w:szCs w:val="24"/>
        </w:rPr>
        <w:t>Negative integration</w:t>
      </w:r>
      <w:r>
        <w:rPr>
          <w:rFonts w:ascii="Garamond" w:hAnsi="Garamond"/>
          <w:sz w:val="24"/>
          <w:szCs w:val="24"/>
        </w:rPr>
        <w:t>: the free movement provisions are used to remove obstacles to free movement which have been created by the Member States. This is a negative approach: you tell Member States what they cannot do, and if they still do it, they have to change their national rules. The main actors are individuals who challenge national rules under the free movement provisions</w:t>
      </w:r>
      <w:r w:rsidR="00C747FB">
        <w:rPr>
          <w:rFonts w:ascii="Garamond" w:hAnsi="Garamond"/>
          <w:sz w:val="24"/>
          <w:szCs w:val="24"/>
        </w:rPr>
        <w:t xml:space="preserve"> before the national courts</w:t>
      </w:r>
      <w:r>
        <w:rPr>
          <w:rFonts w:ascii="Garamond" w:hAnsi="Garamond"/>
          <w:sz w:val="24"/>
          <w:szCs w:val="24"/>
        </w:rPr>
        <w:t xml:space="preserve">. </w:t>
      </w:r>
      <w:r w:rsidR="00BE1C25">
        <w:rPr>
          <w:rFonts w:ascii="Garamond" w:hAnsi="Garamond"/>
          <w:sz w:val="24"/>
          <w:szCs w:val="24"/>
        </w:rPr>
        <w:t>Moreover</w:t>
      </w:r>
      <w:r>
        <w:rPr>
          <w:rFonts w:ascii="Garamond" w:hAnsi="Garamond"/>
          <w:sz w:val="24"/>
          <w:szCs w:val="24"/>
        </w:rPr>
        <w:t>, the European Commission can bring infringement procedures against Member States if they are acting in breach of free movement law.</w:t>
      </w:r>
    </w:p>
    <w:p w14:paraId="7B85BBF7" w14:textId="77777777" w:rsidR="00FB21DD" w:rsidRDefault="00FB21DD" w:rsidP="00FB21DD">
      <w:pPr>
        <w:pStyle w:val="ListParagraph"/>
        <w:ind w:left="1080"/>
        <w:jc w:val="both"/>
        <w:rPr>
          <w:rFonts w:ascii="Garamond" w:hAnsi="Garamond"/>
          <w:sz w:val="24"/>
          <w:szCs w:val="24"/>
        </w:rPr>
      </w:pPr>
    </w:p>
    <w:p w14:paraId="5488FE8C" w14:textId="09BC2D02" w:rsidR="00FB21DD" w:rsidRDefault="00FB21DD" w:rsidP="00FB21DD">
      <w:pPr>
        <w:pStyle w:val="ListParagraph"/>
        <w:numPr>
          <w:ilvl w:val="0"/>
          <w:numId w:val="7"/>
        </w:numPr>
        <w:jc w:val="both"/>
        <w:rPr>
          <w:rFonts w:ascii="Garamond" w:hAnsi="Garamond"/>
          <w:sz w:val="24"/>
          <w:szCs w:val="24"/>
        </w:rPr>
      </w:pPr>
      <w:r>
        <w:rPr>
          <w:rFonts w:ascii="Garamond" w:hAnsi="Garamond"/>
          <w:b/>
          <w:sz w:val="24"/>
          <w:szCs w:val="24"/>
        </w:rPr>
        <w:t>Positive integration:</w:t>
      </w:r>
      <w:r>
        <w:rPr>
          <w:rFonts w:ascii="Garamond" w:hAnsi="Garamond"/>
          <w:sz w:val="24"/>
          <w:szCs w:val="24"/>
        </w:rPr>
        <w:t xml:space="preserve"> ultimately, a purely negative approach is not sufficient to guarantee the effective functioning of the internal market. If you really want to increase free movement, you should not only tell Member States what they </w:t>
      </w:r>
      <w:r w:rsidRPr="002C6A66">
        <w:rPr>
          <w:rFonts w:ascii="Garamond" w:hAnsi="Garamond"/>
          <w:i/>
          <w:sz w:val="24"/>
          <w:szCs w:val="24"/>
        </w:rPr>
        <w:t>should not</w:t>
      </w:r>
      <w:r>
        <w:rPr>
          <w:rFonts w:ascii="Garamond" w:hAnsi="Garamond"/>
          <w:sz w:val="24"/>
          <w:szCs w:val="24"/>
        </w:rPr>
        <w:t xml:space="preserve"> do, you also have to tell what they </w:t>
      </w:r>
      <w:r>
        <w:rPr>
          <w:rFonts w:ascii="Garamond" w:hAnsi="Garamond"/>
          <w:i/>
          <w:sz w:val="24"/>
          <w:szCs w:val="24"/>
        </w:rPr>
        <w:t>should</w:t>
      </w:r>
      <w:r>
        <w:rPr>
          <w:rFonts w:ascii="Garamond" w:hAnsi="Garamond"/>
          <w:sz w:val="24"/>
          <w:szCs w:val="24"/>
        </w:rPr>
        <w:t xml:space="preserve"> do. In other words, the EU has to adopt its own EU standards in a particular sector. These EU rules (directives or regulations) then replace national rules. This process is called </w:t>
      </w:r>
      <w:r w:rsidR="00C747FB">
        <w:rPr>
          <w:rFonts w:ascii="Garamond" w:hAnsi="Garamond"/>
          <w:sz w:val="24"/>
          <w:szCs w:val="24"/>
        </w:rPr>
        <w:t>“</w:t>
      </w:r>
      <w:r>
        <w:rPr>
          <w:rFonts w:ascii="Garamond" w:hAnsi="Garamond"/>
          <w:sz w:val="24"/>
          <w:szCs w:val="24"/>
        </w:rPr>
        <w:t>harmonisation</w:t>
      </w:r>
      <w:r w:rsidR="00C747FB">
        <w:rPr>
          <w:rFonts w:ascii="Garamond" w:hAnsi="Garamond"/>
          <w:sz w:val="24"/>
          <w:szCs w:val="24"/>
        </w:rPr>
        <w:t>”</w:t>
      </w:r>
      <w:r>
        <w:rPr>
          <w:rFonts w:ascii="Garamond" w:hAnsi="Garamond"/>
          <w:sz w:val="24"/>
          <w:szCs w:val="24"/>
        </w:rPr>
        <w:t xml:space="preserve">. The EU has a legal basis to adopt harmonisation in the area of the internal market (Article 114 TFEU). But see </w:t>
      </w:r>
      <w:r w:rsidRPr="009121D4">
        <w:rPr>
          <w:rFonts w:ascii="Garamond" w:hAnsi="Garamond"/>
          <w:i/>
          <w:sz w:val="24"/>
          <w:szCs w:val="24"/>
        </w:rPr>
        <w:t>Tobacco Advertising</w:t>
      </w:r>
      <w:r>
        <w:rPr>
          <w:rFonts w:ascii="Garamond" w:hAnsi="Garamond"/>
          <w:sz w:val="24"/>
          <w:szCs w:val="24"/>
        </w:rPr>
        <w:t xml:space="preserve"> (C-376/98): the EU will always have to show that the harmonisation is making a genuine contribution to the improvement of the internal market. Harmonisation will often be adopted in sectors where there have been a lot of free movement cases. As such, negative integration could be said to pave the way for more positive integration through harmonisation.</w:t>
      </w:r>
    </w:p>
    <w:p w14:paraId="269A189A" w14:textId="77777777" w:rsidR="00FB21DD" w:rsidRPr="00643DCC" w:rsidRDefault="00FB21DD" w:rsidP="00FB21DD">
      <w:pPr>
        <w:pStyle w:val="ListParagraph"/>
        <w:rPr>
          <w:rFonts w:ascii="Garamond" w:hAnsi="Garamond"/>
          <w:sz w:val="24"/>
          <w:szCs w:val="24"/>
        </w:rPr>
      </w:pPr>
    </w:p>
    <w:p w14:paraId="00AE9A53" w14:textId="4F5AA34F" w:rsidR="00FB21DD" w:rsidRDefault="00FB21DD" w:rsidP="00FB21DD">
      <w:pPr>
        <w:pStyle w:val="ListParagraph"/>
        <w:numPr>
          <w:ilvl w:val="0"/>
          <w:numId w:val="7"/>
        </w:numPr>
        <w:jc w:val="both"/>
        <w:rPr>
          <w:rFonts w:ascii="Garamond" w:hAnsi="Garamond"/>
          <w:sz w:val="24"/>
          <w:szCs w:val="24"/>
        </w:rPr>
      </w:pPr>
      <w:r>
        <w:rPr>
          <w:rFonts w:ascii="Garamond" w:hAnsi="Garamond"/>
          <w:sz w:val="24"/>
          <w:szCs w:val="24"/>
        </w:rPr>
        <w:t>If there has not been any harmonisation by the EU in a particular sector, the Treaty provisions remain the framework to assess national rules (negative integration). This is the baseline scenario. However, if the EU has adopted EU rules in a particular sector, these EU rules have to be used to assess whether national rules are compatible with EU law (positive integration). After a process of harmonisation, the Treaty provisions on free movement have no more role to play.</w:t>
      </w:r>
    </w:p>
    <w:p w14:paraId="73CE5E63" w14:textId="77777777" w:rsidR="00FB21DD" w:rsidRPr="00FB21DD" w:rsidRDefault="00FB21DD" w:rsidP="00FB21DD">
      <w:pPr>
        <w:pStyle w:val="ListParagraph"/>
        <w:rPr>
          <w:rFonts w:ascii="Garamond" w:hAnsi="Garamond"/>
          <w:sz w:val="24"/>
          <w:szCs w:val="24"/>
        </w:rPr>
      </w:pPr>
    </w:p>
    <w:p w14:paraId="6337EEBB" w14:textId="0A5E9EEF" w:rsidR="00FB21DD" w:rsidRDefault="00FB21DD" w:rsidP="00FB21DD">
      <w:pPr>
        <w:jc w:val="both"/>
        <w:rPr>
          <w:rFonts w:ascii="Garamond" w:hAnsi="Garamond"/>
          <w:sz w:val="24"/>
          <w:szCs w:val="24"/>
        </w:rPr>
      </w:pPr>
    </w:p>
    <w:p w14:paraId="6B03E4E7" w14:textId="0F7166F6" w:rsidR="00FB21DD" w:rsidRDefault="00FB21DD" w:rsidP="00FB21DD">
      <w:pPr>
        <w:jc w:val="both"/>
        <w:rPr>
          <w:rFonts w:ascii="Garamond" w:hAnsi="Garamond"/>
          <w:sz w:val="24"/>
          <w:szCs w:val="24"/>
        </w:rPr>
      </w:pPr>
    </w:p>
    <w:p w14:paraId="0C87945B" w14:textId="4853283F" w:rsidR="00FB21DD" w:rsidRDefault="00FB21DD" w:rsidP="00FB21DD">
      <w:pPr>
        <w:jc w:val="both"/>
        <w:rPr>
          <w:rFonts w:ascii="Garamond" w:hAnsi="Garamond"/>
          <w:sz w:val="24"/>
          <w:szCs w:val="24"/>
        </w:rPr>
      </w:pPr>
    </w:p>
    <w:p w14:paraId="393BD3C7" w14:textId="77777777" w:rsidR="00FB21DD" w:rsidRPr="00FB21DD" w:rsidRDefault="00FB21DD" w:rsidP="00FB21DD">
      <w:pPr>
        <w:jc w:val="both"/>
        <w:rPr>
          <w:rFonts w:ascii="Garamond" w:hAnsi="Garamond"/>
          <w:sz w:val="24"/>
          <w:szCs w:val="24"/>
        </w:rPr>
      </w:pPr>
    </w:p>
    <w:p w14:paraId="74D49B8D" w14:textId="4738396E" w:rsidR="00FB21DD" w:rsidRDefault="00FB21DD" w:rsidP="009057BE">
      <w:pPr>
        <w:jc w:val="center"/>
        <w:rPr>
          <w:rFonts w:ascii="Garamond" w:hAnsi="Garamond"/>
          <w:b/>
          <w:sz w:val="40"/>
          <w:szCs w:val="40"/>
        </w:rPr>
      </w:pPr>
    </w:p>
    <w:p w14:paraId="53001D62" w14:textId="74471E89" w:rsidR="00FB21DD" w:rsidRDefault="00FB21DD" w:rsidP="009057BE">
      <w:pPr>
        <w:jc w:val="center"/>
        <w:rPr>
          <w:rFonts w:ascii="Garamond" w:hAnsi="Garamond"/>
          <w:b/>
          <w:sz w:val="40"/>
          <w:szCs w:val="40"/>
        </w:rPr>
      </w:pPr>
    </w:p>
    <w:p w14:paraId="676B5C83" w14:textId="77777777" w:rsidR="00C747FB" w:rsidRDefault="00C747FB" w:rsidP="009057BE">
      <w:pPr>
        <w:jc w:val="center"/>
        <w:rPr>
          <w:rFonts w:ascii="Garamond" w:hAnsi="Garamond"/>
          <w:b/>
          <w:sz w:val="40"/>
          <w:szCs w:val="40"/>
        </w:rPr>
      </w:pPr>
    </w:p>
    <w:p w14:paraId="6CFFF5B7" w14:textId="32824BE4" w:rsidR="00FB21DD" w:rsidRDefault="00FB21DD" w:rsidP="009057BE">
      <w:pPr>
        <w:jc w:val="center"/>
        <w:rPr>
          <w:rFonts w:ascii="Garamond" w:hAnsi="Garamond"/>
          <w:b/>
          <w:sz w:val="40"/>
          <w:szCs w:val="40"/>
        </w:rPr>
      </w:pPr>
    </w:p>
    <w:p w14:paraId="4BA63E92" w14:textId="77777777" w:rsidR="00FB21DD" w:rsidRDefault="00FB21DD" w:rsidP="009057BE">
      <w:pPr>
        <w:jc w:val="center"/>
        <w:rPr>
          <w:rFonts w:ascii="Garamond" w:hAnsi="Garamond"/>
          <w:b/>
          <w:sz w:val="40"/>
          <w:szCs w:val="40"/>
        </w:rPr>
      </w:pPr>
    </w:p>
    <w:p w14:paraId="7335408A" w14:textId="1E511BCE" w:rsidR="00877B56" w:rsidRDefault="001D4D9D" w:rsidP="009057BE">
      <w:pPr>
        <w:jc w:val="center"/>
        <w:rPr>
          <w:rFonts w:ascii="Garamond" w:hAnsi="Garamond"/>
          <w:b/>
          <w:sz w:val="40"/>
          <w:szCs w:val="40"/>
          <w:lang w:val="fr-FR"/>
        </w:rPr>
      </w:pPr>
      <w:r w:rsidRPr="00FB21DD">
        <w:rPr>
          <w:rFonts w:ascii="Garamond" w:hAnsi="Garamond"/>
          <w:b/>
          <w:sz w:val="40"/>
          <w:szCs w:val="40"/>
          <w:lang w:val="fr-FR"/>
        </w:rPr>
        <w:lastRenderedPageBreak/>
        <w:t>BREXIT: AN EU LAW PERSPECTIVE</w:t>
      </w:r>
    </w:p>
    <w:p w14:paraId="1645D0D7" w14:textId="4749BA10" w:rsidR="00323B0A" w:rsidRDefault="00323B0A" w:rsidP="00323B0A">
      <w:pPr>
        <w:rPr>
          <w:rFonts w:ascii="Garamond" w:hAnsi="Garamond"/>
          <w:b/>
          <w:sz w:val="40"/>
          <w:szCs w:val="40"/>
          <w:lang w:val="fr-FR"/>
        </w:rPr>
      </w:pPr>
      <w:r>
        <w:rPr>
          <w:rFonts w:ascii="Times New Roman" w:hAnsi="Times New Roman" w:cs="Times New Roman"/>
          <w:noProof/>
          <w:sz w:val="24"/>
          <w:szCs w:val="24"/>
          <w:lang w:eastAsia="en-GB"/>
        </w:rPr>
        <mc:AlternateContent>
          <mc:Choice Requires="wps">
            <w:drawing>
              <wp:anchor distT="0" distB="0" distL="114300" distR="114300" simplePos="0" relativeHeight="251659264" behindDoc="0" locked="0" layoutInCell="1" allowOverlap="1" wp14:anchorId="58873689" wp14:editId="4F329CA1">
                <wp:simplePos x="0" y="0"/>
                <wp:positionH relativeFrom="column">
                  <wp:posOffset>219075</wp:posOffset>
                </wp:positionH>
                <wp:positionV relativeFrom="paragraph">
                  <wp:posOffset>8890</wp:posOffset>
                </wp:positionV>
                <wp:extent cx="3133725" cy="723900"/>
                <wp:effectExtent l="0" t="0" r="28575" b="1905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723900"/>
                        </a:xfrm>
                        <a:prstGeom prst="rect">
                          <a:avLst/>
                        </a:prstGeom>
                        <a:solidFill>
                          <a:srgbClr val="FFFFFF"/>
                        </a:solidFill>
                        <a:ln w="9525">
                          <a:solidFill>
                            <a:srgbClr val="000000"/>
                          </a:solidFill>
                          <a:miter lim="800000"/>
                          <a:headEnd/>
                          <a:tailEnd/>
                        </a:ln>
                      </wps:spPr>
                      <wps:txbx>
                        <w:txbxContent>
                          <w:p w14:paraId="06638324" w14:textId="63882CBE" w:rsidR="00323B0A" w:rsidRDefault="00323B0A" w:rsidP="00323B0A">
                            <w:pPr>
                              <w:pStyle w:val="ListParagraph"/>
                              <w:numPr>
                                <w:ilvl w:val="0"/>
                                <w:numId w:val="8"/>
                              </w:numPr>
                              <w:spacing w:after="200" w:line="276" w:lineRule="auto"/>
                              <w:rPr>
                                <w:rFonts w:ascii="Garamond" w:hAnsi="Garamond"/>
                                <w:i/>
                                <w:sz w:val="24"/>
                                <w:szCs w:val="24"/>
                              </w:rPr>
                            </w:pPr>
                            <w:r>
                              <w:rPr>
                                <w:rFonts w:ascii="Garamond" w:hAnsi="Garamond"/>
                                <w:i/>
                                <w:sz w:val="24"/>
                                <w:szCs w:val="24"/>
                              </w:rPr>
                              <w:t xml:space="preserve">Schütze, </w:t>
                            </w:r>
                            <w:r w:rsidR="00251549">
                              <w:rPr>
                                <w:rFonts w:ascii="Garamond" w:hAnsi="Garamond"/>
                                <w:i/>
                                <w:sz w:val="24"/>
                                <w:szCs w:val="24"/>
                              </w:rPr>
                              <w:t>Chapter 20</w:t>
                            </w:r>
                            <w:r>
                              <w:rPr>
                                <w:rFonts w:ascii="Garamond" w:hAnsi="Garamond"/>
                                <w:i/>
                                <w:sz w:val="24"/>
                                <w:szCs w:val="24"/>
                              </w:rPr>
                              <w:t>, or</w:t>
                            </w:r>
                          </w:p>
                          <w:p w14:paraId="6DE4AF87" w14:textId="2BDF7310" w:rsidR="00FD47DE" w:rsidRDefault="00FD47DE" w:rsidP="00323B0A">
                            <w:pPr>
                              <w:pStyle w:val="ListParagraph"/>
                              <w:numPr>
                                <w:ilvl w:val="0"/>
                                <w:numId w:val="8"/>
                              </w:numPr>
                              <w:spacing w:after="200" w:line="276" w:lineRule="auto"/>
                              <w:rPr>
                                <w:rFonts w:ascii="Garamond" w:hAnsi="Garamond"/>
                                <w:i/>
                                <w:sz w:val="24"/>
                                <w:szCs w:val="24"/>
                              </w:rPr>
                            </w:pPr>
                            <w:r>
                              <w:rPr>
                                <w:rFonts w:ascii="Garamond" w:hAnsi="Garamond"/>
                                <w:i/>
                                <w:sz w:val="24"/>
                                <w:szCs w:val="24"/>
                              </w:rPr>
                              <w:t>Craig and de Búrca, Chapter 2, or</w:t>
                            </w:r>
                          </w:p>
                          <w:p w14:paraId="58F56E11" w14:textId="62976428" w:rsidR="00323B0A" w:rsidRDefault="00323B0A" w:rsidP="00323B0A">
                            <w:pPr>
                              <w:pStyle w:val="ListParagraph"/>
                              <w:numPr>
                                <w:ilvl w:val="0"/>
                                <w:numId w:val="8"/>
                              </w:numPr>
                              <w:spacing w:after="200" w:line="276" w:lineRule="auto"/>
                              <w:rPr>
                                <w:rFonts w:ascii="Garamond" w:hAnsi="Garamond"/>
                                <w:i/>
                                <w:sz w:val="24"/>
                                <w:szCs w:val="24"/>
                              </w:rPr>
                            </w:pPr>
                            <w:r>
                              <w:rPr>
                                <w:rFonts w:ascii="Garamond" w:hAnsi="Garamond"/>
                                <w:i/>
                                <w:sz w:val="24"/>
                                <w:szCs w:val="24"/>
                              </w:rPr>
                              <w:t>Chalmers, Davies and Monti, Chapter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873689" id="_x0000_t202" coordsize="21600,21600" o:spt="202" path="m,l,21600r21600,l21600,xe">
                <v:stroke joinstyle="miter"/>
                <v:path gradientshapeok="t" o:connecttype="rect"/>
              </v:shapetype>
              <v:shape id="Text Box 307" o:spid="_x0000_s1026" type="#_x0000_t202" style="position:absolute;margin-left:17.25pt;margin-top:.7pt;width:246.75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">
                <v:textbox>
                  <w:txbxContent>
                    <w:p w14:paraId="06638324" w14:textId="63882CBE" w:rsidR="00323B0A" w:rsidRDefault="00323B0A" w:rsidP="00323B0A">
                      <w:pPr>
                        <w:pStyle w:val="ListParagraph"/>
                        <w:numPr>
                          <w:ilvl w:val="0"/>
                          <w:numId w:val="8"/>
                        </w:numPr>
                        <w:spacing w:after="200" w:line="276" w:lineRule="auto"/>
                        <w:rPr>
                          <w:rFonts w:ascii="Garamond" w:hAnsi="Garamond"/>
                          <w:i/>
                          <w:sz w:val="24"/>
                          <w:szCs w:val="24"/>
                        </w:rPr>
                      </w:pPr>
                      <w:r>
                        <w:rPr>
                          <w:rFonts w:ascii="Garamond" w:hAnsi="Garamond"/>
                          <w:i/>
                          <w:sz w:val="24"/>
                          <w:szCs w:val="24"/>
                        </w:rPr>
                        <w:t xml:space="preserve">Schütze, </w:t>
                      </w:r>
                      <w:r w:rsidR="00251549">
                        <w:rPr>
                          <w:rFonts w:ascii="Garamond" w:hAnsi="Garamond"/>
                          <w:i/>
                          <w:sz w:val="24"/>
                          <w:szCs w:val="24"/>
                        </w:rPr>
                        <w:t>Chapter 20</w:t>
                      </w:r>
                      <w:r>
                        <w:rPr>
                          <w:rFonts w:ascii="Garamond" w:hAnsi="Garamond"/>
                          <w:i/>
                          <w:sz w:val="24"/>
                          <w:szCs w:val="24"/>
                        </w:rPr>
                        <w:t>, or</w:t>
                      </w:r>
                    </w:p>
                    <w:p w14:paraId="6DE4AF87" w14:textId="2BDF7310" w:rsidR="00FD47DE" w:rsidRDefault="00FD47DE" w:rsidP="00323B0A">
                      <w:pPr>
                        <w:pStyle w:val="ListParagraph"/>
                        <w:numPr>
                          <w:ilvl w:val="0"/>
                          <w:numId w:val="8"/>
                        </w:numPr>
                        <w:spacing w:after="200" w:line="276" w:lineRule="auto"/>
                        <w:rPr>
                          <w:rFonts w:ascii="Garamond" w:hAnsi="Garamond"/>
                          <w:i/>
                          <w:sz w:val="24"/>
                          <w:szCs w:val="24"/>
                        </w:rPr>
                      </w:pPr>
                      <w:r>
                        <w:rPr>
                          <w:rFonts w:ascii="Garamond" w:hAnsi="Garamond"/>
                          <w:i/>
                          <w:sz w:val="24"/>
                          <w:szCs w:val="24"/>
                        </w:rPr>
                        <w:t>Craig and de Búrca, Chapter 2, or</w:t>
                      </w:r>
                    </w:p>
                    <w:p w14:paraId="58F56E11" w14:textId="62976428" w:rsidR="00323B0A" w:rsidRDefault="00323B0A" w:rsidP="00323B0A">
                      <w:pPr>
                        <w:pStyle w:val="ListParagraph"/>
                        <w:numPr>
                          <w:ilvl w:val="0"/>
                          <w:numId w:val="8"/>
                        </w:numPr>
                        <w:spacing w:after="200" w:line="276" w:lineRule="auto"/>
                        <w:rPr>
                          <w:rFonts w:ascii="Garamond" w:hAnsi="Garamond"/>
                          <w:i/>
                          <w:sz w:val="24"/>
                          <w:szCs w:val="24"/>
                        </w:rPr>
                      </w:pPr>
                      <w:r>
                        <w:rPr>
                          <w:rFonts w:ascii="Garamond" w:hAnsi="Garamond"/>
                          <w:i/>
                          <w:sz w:val="24"/>
                          <w:szCs w:val="24"/>
                        </w:rPr>
                        <w:t>Chalmers, Davies and Monti, Chapter 10</w:t>
                      </w:r>
                    </w:p>
                  </w:txbxContent>
                </v:textbox>
              </v:shape>
            </w:pict>
          </mc:Fallback>
        </mc:AlternateContent>
      </w:r>
    </w:p>
    <w:p w14:paraId="0B213DE0" w14:textId="40BDAAAE" w:rsidR="00323B0A" w:rsidRPr="00FB21DD" w:rsidRDefault="00323B0A" w:rsidP="009057BE">
      <w:pPr>
        <w:jc w:val="center"/>
        <w:rPr>
          <w:rFonts w:ascii="Garamond" w:hAnsi="Garamond"/>
          <w:b/>
          <w:sz w:val="40"/>
          <w:szCs w:val="40"/>
          <w:lang w:val="fr-FR"/>
        </w:rPr>
      </w:pPr>
    </w:p>
    <w:p w14:paraId="5CF9DBAD" w14:textId="24AB9A36" w:rsidR="009057BE" w:rsidRPr="001D4D9D" w:rsidRDefault="001D4D9D" w:rsidP="001D4D9D">
      <w:pPr>
        <w:pStyle w:val="ListParagraph"/>
        <w:numPr>
          <w:ilvl w:val="0"/>
          <w:numId w:val="13"/>
        </w:numPr>
        <w:jc w:val="both"/>
        <w:rPr>
          <w:rFonts w:ascii="Garamond" w:hAnsi="Garamond"/>
          <w:b/>
          <w:sz w:val="24"/>
          <w:szCs w:val="24"/>
        </w:rPr>
      </w:pPr>
      <w:r w:rsidRPr="001D4D9D">
        <w:rPr>
          <w:rFonts w:ascii="Garamond" w:hAnsi="Garamond"/>
          <w:b/>
          <w:sz w:val="24"/>
          <w:szCs w:val="24"/>
        </w:rPr>
        <w:t>The United Kingdom as “the special one”</w:t>
      </w:r>
      <w:r w:rsidR="00E77596">
        <w:rPr>
          <w:rFonts w:ascii="Garamond" w:hAnsi="Garamond"/>
          <w:b/>
          <w:sz w:val="24"/>
          <w:szCs w:val="24"/>
        </w:rPr>
        <w:t xml:space="preserve"> in the EU</w:t>
      </w:r>
      <w:r w:rsidRPr="001D4D9D">
        <w:rPr>
          <w:rFonts w:ascii="Garamond" w:hAnsi="Garamond"/>
          <w:b/>
          <w:sz w:val="24"/>
          <w:szCs w:val="24"/>
        </w:rPr>
        <w:t>?</w:t>
      </w:r>
    </w:p>
    <w:p w14:paraId="786D6B43" w14:textId="77777777" w:rsidR="001D4D9D" w:rsidRDefault="001D4D9D" w:rsidP="001D4D9D">
      <w:pPr>
        <w:pStyle w:val="ListParagraph"/>
        <w:jc w:val="both"/>
        <w:rPr>
          <w:rFonts w:ascii="Garamond" w:hAnsi="Garamond"/>
          <w:sz w:val="24"/>
          <w:szCs w:val="24"/>
        </w:rPr>
      </w:pPr>
    </w:p>
    <w:p w14:paraId="65DB82A3" w14:textId="40E0B291" w:rsidR="00C747FB" w:rsidRDefault="00E77596" w:rsidP="002D4B2A">
      <w:pPr>
        <w:pStyle w:val="ListParagraph"/>
        <w:numPr>
          <w:ilvl w:val="0"/>
          <w:numId w:val="14"/>
        </w:numPr>
        <w:jc w:val="both"/>
        <w:rPr>
          <w:rFonts w:ascii="Garamond" w:hAnsi="Garamond"/>
          <w:sz w:val="24"/>
          <w:szCs w:val="24"/>
        </w:rPr>
      </w:pPr>
      <w:r>
        <w:rPr>
          <w:rFonts w:ascii="Garamond" w:hAnsi="Garamond"/>
          <w:sz w:val="24"/>
          <w:szCs w:val="24"/>
        </w:rPr>
        <w:t xml:space="preserve">In June 2016, a majority of UK citizens voted in favour of leaving the EU. </w:t>
      </w:r>
      <w:r w:rsidR="00190EDA">
        <w:rPr>
          <w:rFonts w:ascii="Garamond" w:hAnsi="Garamond"/>
          <w:sz w:val="24"/>
          <w:szCs w:val="24"/>
        </w:rPr>
        <w:t xml:space="preserve">As a consequence, the UK </w:t>
      </w:r>
      <w:r w:rsidR="00C747FB">
        <w:rPr>
          <w:rFonts w:ascii="Garamond" w:hAnsi="Garamond"/>
          <w:sz w:val="24"/>
          <w:szCs w:val="24"/>
        </w:rPr>
        <w:t>left the EU on 1</w:t>
      </w:r>
      <w:r w:rsidR="00C747FB" w:rsidRPr="00C747FB">
        <w:rPr>
          <w:rFonts w:ascii="Garamond" w:hAnsi="Garamond"/>
          <w:sz w:val="24"/>
          <w:szCs w:val="24"/>
          <w:vertAlign w:val="superscript"/>
        </w:rPr>
        <w:t>st</w:t>
      </w:r>
      <w:r w:rsidR="00C747FB">
        <w:rPr>
          <w:rFonts w:ascii="Garamond" w:hAnsi="Garamond"/>
          <w:sz w:val="24"/>
          <w:szCs w:val="24"/>
        </w:rPr>
        <w:t xml:space="preserve"> February 2020</w:t>
      </w:r>
      <w:r w:rsidR="00190EDA">
        <w:rPr>
          <w:rFonts w:ascii="Garamond" w:hAnsi="Garamond"/>
          <w:sz w:val="24"/>
          <w:szCs w:val="24"/>
        </w:rPr>
        <w:t>. T</w:t>
      </w:r>
      <w:r w:rsidR="007C0B9C">
        <w:rPr>
          <w:rFonts w:ascii="Garamond" w:hAnsi="Garamond"/>
          <w:sz w:val="24"/>
          <w:szCs w:val="24"/>
        </w:rPr>
        <w:t>his</w:t>
      </w:r>
      <w:r w:rsidR="00190EDA">
        <w:rPr>
          <w:rFonts w:ascii="Garamond" w:hAnsi="Garamond"/>
          <w:sz w:val="24"/>
          <w:szCs w:val="24"/>
        </w:rPr>
        <w:t xml:space="preserve"> process is commonly referred to as “Brexit”. Brexit</w:t>
      </w:r>
      <w:r>
        <w:rPr>
          <w:rFonts w:ascii="Garamond" w:hAnsi="Garamond"/>
          <w:sz w:val="24"/>
          <w:szCs w:val="24"/>
        </w:rPr>
        <w:t xml:space="preserve"> is in many ways a unique process: from 1951 to 2017, the focus of the EU </w:t>
      </w:r>
      <w:r w:rsidR="00BE1C25">
        <w:rPr>
          <w:rFonts w:ascii="Garamond" w:hAnsi="Garamond"/>
          <w:sz w:val="24"/>
          <w:szCs w:val="24"/>
        </w:rPr>
        <w:t>was always</w:t>
      </w:r>
      <w:r w:rsidR="003B2816">
        <w:rPr>
          <w:rFonts w:ascii="Garamond" w:hAnsi="Garamond"/>
          <w:sz w:val="24"/>
          <w:szCs w:val="24"/>
        </w:rPr>
        <w:t xml:space="preserve"> on expansion. </w:t>
      </w:r>
      <w:r w:rsidR="00BE1C25">
        <w:rPr>
          <w:rFonts w:ascii="Garamond" w:hAnsi="Garamond"/>
          <w:sz w:val="24"/>
          <w:szCs w:val="24"/>
        </w:rPr>
        <w:t>Brexit</w:t>
      </w:r>
      <w:r w:rsidR="003B2816">
        <w:rPr>
          <w:rFonts w:ascii="Garamond" w:hAnsi="Garamond"/>
          <w:sz w:val="24"/>
          <w:szCs w:val="24"/>
        </w:rPr>
        <w:t xml:space="preserve"> was</w:t>
      </w:r>
      <w:r w:rsidRPr="00BA58D2">
        <w:rPr>
          <w:rFonts w:ascii="Garamond" w:hAnsi="Garamond"/>
          <w:sz w:val="24"/>
          <w:szCs w:val="24"/>
        </w:rPr>
        <w:t xml:space="preserve"> the first time a Member State decided to leave the EU. And it </w:t>
      </w:r>
      <w:r w:rsidR="003B2816">
        <w:rPr>
          <w:rFonts w:ascii="Garamond" w:hAnsi="Garamond"/>
          <w:sz w:val="24"/>
          <w:szCs w:val="24"/>
        </w:rPr>
        <w:t>was</w:t>
      </w:r>
      <w:r w:rsidRPr="00BA58D2">
        <w:rPr>
          <w:rFonts w:ascii="Garamond" w:hAnsi="Garamond"/>
          <w:sz w:val="24"/>
          <w:szCs w:val="24"/>
        </w:rPr>
        <w:t xml:space="preserve"> not just </w:t>
      </w:r>
      <w:r w:rsidRPr="00BA58D2">
        <w:rPr>
          <w:rFonts w:ascii="Garamond" w:hAnsi="Garamond"/>
          <w:i/>
          <w:sz w:val="24"/>
          <w:szCs w:val="24"/>
        </w:rPr>
        <w:t>a</w:t>
      </w:r>
      <w:r w:rsidRPr="00BA58D2">
        <w:rPr>
          <w:rFonts w:ascii="Garamond" w:hAnsi="Garamond"/>
          <w:sz w:val="24"/>
          <w:szCs w:val="24"/>
        </w:rPr>
        <w:t xml:space="preserve"> Member State – the United Kingdom </w:t>
      </w:r>
      <w:r w:rsidR="00C747FB">
        <w:rPr>
          <w:rFonts w:ascii="Garamond" w:hAnsi="Garamond"/>
          <w:sz w:val="24"/>
          <w:szCs w:val="24"/>
        </w:rPr>
        <w:t>wa</w:t>
      </w:r>
      <w:r w:rsidRPr="00BA58D2">
        <w:rPr>
          <w:rFonts w:ascii="Garamond" w:hAnsi="Garamond"/>
          <w:sz w:val="24"/>
          <w:szCs w:val="24"/>
        </w:rPr>
        <w:t xml:space="preserve">s one of the largest EU Member States and an influential player in the EU. To many </w:t>
      </w:r>
      <w:r w:rsidR="000063DA">
        <w:rPr>
          <w:rFonts w:ascii="Garamond" w:hAnsi="Garamond"/>
          <w:sz w:val="24"/>
          <w:szCs w:val="24"/>
        </w:rPr>
        <w:t xml:space="preserve">(EU and UK) </w:t>
      </w:r>
      <w:r w:rsidRPr="00BA58D2">
        <w:rPr>
          <w:rFonts w:ascii="Garamond" w:hAnsi="Garamond"/>
          <w:sz w:val="24"/>
          <w:szCs w:val="24"/>
        </w:rPr>
        <w:t xml:space="preserve">citizens, the outcome of the Brexit referendum came as a surprise or </w:t>
      </w:r>
      <w:r w:rsidR="009971A4">
        <w:rPr>
          <w:rFonts w:ascii="Garamond" w:hAnsi="Garamond"/>
          <w:sz w:val="24"/>
          <w:szCs w:val="24"/>
        </w:rPr>
        <w:t xml:space="preserve">even as </w:t>
      </w:r>
      <w:r w:rsidRPr="00BA58D2">
        <w:rPr>
          <w:rFonts w:ascii="Garamond" w:hAnsi="Garamond"/>
          <w:sz w:val="24"/>
          <w:szCs w:val="24"/>
        </w:rPr>
        <w:t>a shock. To others, the referendum proved that the UK ha</w:t>
      </w:r>
      <w:r w:rsidR="009971A4">
        <w:rPr>
          <w:rFonts w:ascii="Garamond" w:hAnsi="Garamond"/>
          <w:sz w:val="24"/>
          <w:szCs w:val="24"/>
        </w:rPr>
        <w:t>d</w:t>
      </w:r>
      <w:r w:rsidRPr="00BA58D2">
        <w:rPr>
          <w:rFonts w:ascii="Garamond" w:hAnsi="Garamond"/>
          <w:sz w:val="24"/>
          <w:szCs w:val="24"/>
        </w:rPr>
        <w:t xml:space="preserve"> always been just a bit different from its continental partners in the EU. They had always </w:t>
      </w:r>
      <w:r w:rsidR="008735AD">
        <w:rPr>
          <w:rFonts w:ascii="Garamond" w:hAnsi="Garamond"/>
          <w:sz w:val="24"/>
          <w:szCs w:val="24"/>
        </w:rPr>
        <w:t>regarded</w:t>
      </w:r>
      <w:r w:rsidRPr="00BA58D2">
        <w:rPr>
          <w:rFonts w:ascii="Garamond" w:hAnsi="Garamond"/>
          <w:sz w:val="24"/>
          <w:szCs w:val="24"/>
        </w:rPr>
        <w:t xml:space="preserve"> the UK as </w:t>
      </w:r>
      <w:r w:rsidR="00EF01BD">
        <w:rPr>
          <w:rFonts w:ascii="Garamond" w:hAnsi="Garamond"/>
          <w:sz w:val="24"/>
          <w:szCs w:val="24"/>
        </w:rPr>
        <w:t>“</w:t>
      </w:r>
      <w:r w:rsidRPr="00BA58D2">
        <w:rPr>
          <w:rFonts w:ascii="Garamond" w:hAnsi="Garamond"/>
          <w:sz w:val="24"/>
          <w:szCs w:val="24"/>
        </w:rPr>
        <w:t>the special one</w:t>
      </w:r>
      <w:r w:rsidR="00EF01BD">
        <w:rPr>
          <w:rFonts w:ascii="Garamond" w:hAnsi="Garamond"/>
          <w:sz w:val="24"/>
          <w:szCs w:val="24"/>
        </w:rPr>
        <w:t>”</w:t>
      </w:r>
      <w:r w:rsidRPr="00BA58D2">
        <w:rPr>
          <w:rFonts w:ascii="Garamond" w:hAnsi="Garamond"/>
          <w:sz w:val="24"/>
          <w:szCs w:val="24"/>
        </w:rPr>
        <w:t xml:space="preserve"> in the EU. </w:t>
      </w:r>
    </w:p>
    <w:p w14:paraId="515A37BB" w14:textId="77777777" w:rsidR="00C747FB" w:rsidRDefault="00C747FB" w:rsidP="00C747FB">
      <w:pPr>
        <w:pStyle w:val="ListParagraph"/>
        <w:ind w:left="1080"/>
        <w:jc w:val="both"/>
        <w:rPr>
          <w:rFonts w:ascii="Garamond" w:hAnsi="Garamond"/>
          <w:sz w:val="24"/>
          <w:szCs w:val="24"/>
        </w:rPr>
      </w:pPr>
    </w:p>
    <w:p w14:paraId="18B8ED5E" w14:textId="73A8865B" w:rsidR="002D4B2A" w:rsidRPr="00BA58D2" w:rsidRDefault="00E77596" w:rsidP="002D4B2A">
      <w:pPr>
        <w:pStyle w:val="ListParagraph"/>
        <w:numPr>
          <w:ilvl w:val="0"/>
          <w:numId w:val="14"/>
        </w:numPr>
        <w:jc w:val="both"/>
        <w:rPr>
          <w:rFonts w:ascii="Garamond" w:hAnsi="Garamond"/>
          <w:sz w:val="24"/>
          <w:szCs w:val="24"/>
        </w:rPr>
      </w:pPr>
      <w:r w:rsidRPr="00BA58D2">
        <w:rPr>
          <w:rFonts w:ascii="Garamond" w:hAnsi="Garamond"/>
          <w:sz w:val="24"/>
          <w:szCs w:val="24"/>
        </w:rPr>
        <w:t>As a starting point</w:t>
      </w:r>
      <w:r w:rsidR="009971A4">
        <w:rPr>
          <w:rFonts w:ascii="Garamond" w:hAnsi="Garamond"/>
          <w:sz w:val="24"/>
          <w:szCs w:val="24"/>
        </w:rPr>
        <w:t xml:space="preserve"> for </w:t>
      </w:r>
      <w:r w:rsidR="00C747FB">
        <w:rPr>
          <w:rFonts w:ascii="Garamond" w:hAnsi="Garamond"/>
          <w:sz w:val="24"/>
          <w:szCs w:val="24"/>
        </w:rPr>
        <w:t>our</w:t>
      </w:r>
      <w:r w:rsidR="009971A4">
        <w:rPr>
          <w:rFonts w:ascii="Garamond" w:hAnsi="Garamond"/>
          <w:sz w:val="24"/>
          <w:szCs w:val="24"/>
        </w:rPr>
        <w:t xml:space="preserve"> Brexit lectures</w:t>
      </w:r>
      <w:r w:rsidRPr="00BA58D2">
        <w:rPr>
          <w:rFonts w:ascii="Garamond" w:hAnsi="Garamond"/>
          <w:sz w:val="24"/>
          <w:szCs w:val="24"/>
        </w:rPr>
        <w:t xml:space="preserve">, we have to </w:t>
      </w:r>
      <w:r w:rsidR="002D4B2A" w:rsidRPr="00BA58D2">
        <w:rPr>
          <w:rFonts w:ascii="Garamond" w:hAnsi="Garamond"/>
          <w:sz w:val="24"/>
          <w:szCs w:val="24"/>
        </w:rPr>
        <w:t>analyse</w:t>
      </w:r>
      <w:r w:rsidRPr="00BA58D2">
        <w:rPr>
          <w:rFonts w:ascii="Garamond" w:hAnsi="Garamond"/>
          <w:sz w:val="24"/>
          <w:szCs w:val="24"/>
        </w:rPr>
        <w:t xml:space="preserve"> </w:t>
      </w:r>
      <w:r w:rsidR="00337C4E">
        <w:rPr>
          <w:rFonts w:ascii="Garamond" w:hAnsi="Garamond"/>
          <w:sz w:val="24"/>
          <w:szCs w:val="24"/>
        </w:rPr>
        <w:t>on what basis the UK could be considered to be different from other EU Member States</w:t>
      </w:r>
      <w:r w:rsidR="002D4B2A" w:rsidRPr="00BA58D2">
        <w:rPr>
          <w:rFonts w:ascii="Garamond" w:hAnsi="Garamond"/>
          <w:sz w:val="24"/>
          <w:szCs w:val="24"/>
        </w:rPr>
        <w:t xml:space="preserve">, and how this special position of the UK was </w:t>
      </w:r>
      <w:r w:rsidR="000063DA">
        <w:rPr>
          <w:rFonts w:ascii="Garamond" w:hAnsi="Garamond"/>
          <w:sz w:val="24"/>
          <w:szCs w:val="24"/>
        </w:rPr>
        <w:t xml:space="preserve">already </w:t>
      </w:r>
      <w:r w:rsidR="002D4B2A" w:rsidRPr="00BA58D2">
        <w:rPr>
          <w:rFonts w:ascii="Garamond" w:hAnsi="Garamond"/>
          <w:sz w:val="24"/>
          <w:szCs w:val="24"/>
        </w:rPr>
        <w:t xml:space="preserve">reflected in the legal position of the UK in the EU </w:t>
      </w:r>
      <w:r w:rsidR="002D4B2A" w:rsidRPr="00C747FB">
        <w:rPr>
          <w:rFonts w:ascii="Garamond" w:hAnsi="Garamond"/>
          <w:i/>
          <w:sz w:val="24"/>
          <w:szCs w:val="24"/>
        </w:rPr>
        <w:t>before</w:t>
      </w:r>
      <w:r w:rsidR="002D4B2A" w:rsidRPr="00BA58D2">
        <w:rPr>
          <w:rFonts w:ascii="Garamond" w:hAnsi="Garamond"/>
          <w:sz w:val="24"/>
          <w:szCs w:val="24"/>
        </w:rPr>
        <w:t xml:space="preserve"> Brexit.</w:t>
      </w:r>
    </w:p>
    <w:p w14:paraId="0976E4BA" w14:textId="77777777" w:rsidR="002D4B2A" w:rsidRPr="00BA58D2" w:rsidRDefault="002D4B2A" w:rsidP="002D4B2A">
      <w:pPr>
        <w:pStyle w:val="ListParagraph"/>
        <w:ind w:left="1080"/>
        <w:jc w:val="both"/>
        <w:rPr>
          <w:rFonts w:ascii="Garamond" w:hAnsi="Garamond"/>
          <w:sz w:val="24"/>
          <w:szCs w:val="24"/>
        </w:rPr>
      </w:pPr>
    </w:p>
    <w:p w14:paraId="3131622D" w14:textId="017E05EE" w:rsidR="002D4B2A" w:rsidRPr="00BA58D2" w:rsidRDefault="002D4B2A" w:rsidP="002D4B2A">
      <w:pPr>
        <w:pStyle w:val="ListParagraph"/>
        <w:numPr>
          <w:ilvl w:val="0"/>
          <w:numId w:val="15"/>
        </w:numPr>
        <w:jc w:val="both"/>
        <w:rPr>
          <w:rFonts w:ascii="Garamond" w:hAnsi="Garamond"/>
          <w:sz w:val="24"/>
          <w:szCs w:val="24"/>
        </w:rPr>
      </w:pPr>
      <w:r w:rsidRPr="00337C4E">
        <w:rPr>
          <w:rFonts w:ascii="Garamond" w:hAnsi="Garamond"/>
          <w:b/>
          <w:sz w:val="24"/>
          <w:szCs w:val="24"/>
        </w:rPr>
        <w:t>Historical explanations</w:t>
      </w:r>
      <w:r w:rsidRPr="00BA58D2">
        <w:rPr>
          <w:rFonts w:ascii="Garamond" w:hAnsi="Garamond"/>
          <w:sz w:val="24"/>
          <w:szCs w:val="24"/>
        </w:rPr>
        <w:t xml:space="preserve">: the UK was not occupied during the World Wars; its accession to the EU was a complicated process (primarily because of France); a </w:t>
      </w:r>
      <w:r w:rsidR="00BE1C25">
        <w:rPr>
          <w:rFonts w:ascii="Garamond" w:hAnsi="Garamond"/>
          <w:sz w:val="24"/>
          <w:szCs w:val="24"/>
        </w:rPr>
        <w:t xml:space="preserve">first </w:t>
      </w:r>
      <w:r w:rsidRPr="00BA58D2">
        <w:rPr>
          <w:rFonts w:ascii="Garamond" w:hAnsi="Garamond"/>
          <w:sz w:val="24"/>
          <w:szCs w:val="24"/>
        </w:rPr>
        <w:t xml:space="preserve">referendum on EU membership was organised </w:t>
      </w:r>
      <w:r w:rsidR="000063DA">
        <w:rPr>
          <w:rFonts w:ascii="Garamond" w:hAnsi="Garamond"/>
          <w:sz w:val="24"/>
          <w:szCs w:val="24"/>
        </w:rPr>
        <w:t>in 1975</w:t>
      </w:r>
      <w:r w:rsidRPr="00BA58D2">
        <w:rPr>
          <w:rFonts w:ascii="Garamond" w:hAnsi="Garamond"/>
          <w:sz w:val="24"/>
          <w:szCs w:val="24"/>
        </w:rPr>
        <w:t>; Thatcher’s critical attitude towards the EU</w:t>
      </w:r>
      <w:r w:rsidR="000063DA">
        <w:rPr>
          <w:rFonts w:ascii="Garamond" w:hAnsi="Garamond"/>
          <w:sz w:val="24"/>
          <w:szCs w:val="24"/>
        </w:rPr>
        <w:t xml:space="preserve"> (Bruges Speech 1988)</w:t>
      </w:r>
    </w:p>
    <w:p w14:paraId="4E903170" w14:textId="77777777" w:rsidR="002D4B2A" w:rsidRPr="00BA58D2" w:rsidRDefault="002D4B2A" w:rsidP="002D4B2A">
      <w:pPr>
        <w:pStyle w:val="ListParagraph"/>
        <w:ind w:left="1440"/>
        <w:jc w:val="both"/>
        <w:rPr>
          <w:rFonts w:ascii="Garamond" w:hAnsi="Garamond"/>
          <w:sz w:val="24"/>
          <w:szCs w:val="24"/>
        </w:rPr>
      </w:pPr>
    </w:p>
    <w:p w14:paraId="0CC56E68" w14:textId="77777777" w:rsidR="002D4B2A" w:rsidRPr="00BA58D2" w:rsidRDefault="002D4B2A" w:rsidP="002D4B2A">
      <w:pPr>
        <w:pStyle w:val="ListParagraph"/>
        <w:numPr>
          <w:ilvl w:val="0"/>
          <w:numId w:val="15"/>
        </w:numPr>
        <w:jc w:val="both"/>
        <w:rPr>
          <w:rFonts w:ascii="Garamond" w:hAnsi="Garamond"/>
          <w:sz w:val="24"/>
          <w:szCs w:val="24"/>
        </w:rPr>
      </w:pPr>
      <w:r w:rsidRPr="00337C4E">
        <w:rPr>
          <w:rFonts w:ascii="Garamond" w:hAnsi="Garamond"/>
          <w:b/>
          <w:sz w:val="24"/>
          <w:szCs w:val="24"/>
        </w:rPr>
        <w:t xml:space="preserve">Economic </w:t>
      </w:r>
      <w:r w:rsidR="00246514" w:rsidRPr="00337C4E">
        <w:rPr>
          <w:rFonts w:ascii="Garamond" w:hAnsi="Garamond"/>
          <w:b/>
          <w:sz w:val="24"/>
          <w:szCs w:val="24"/>
        </w:rPr>
        <w:t>explanations</w:t>
      </w:r>
      <w:r w:rsidRPr="00BA58D2">
        <w:rPr>
          <w:rFonts w:ascii="Garamond" w:hAnsi="Garamond"/>
          <w:sz w:val="24"/>
          <w:szCs w:val="24"/>
        </w:rPr>
        <w:t xml:space="preserve">: the UK has always been one of the most independent and </w:t>
      </w:r>
      <w:r w:rsidR="00246514" w:rsidRPr="00BA58D2">
        <w:rPr>
          <w:rFonts w:ascii="Garamond" w:hAnsi="Garamond"/>
          <w:sz w:val="24"/>
          <w:szCs w:val="24"/>
        </w:rPr>
        <w:t>powerful</w:t>
      </w:r>
      <w:r w:rsidRPr="00BA58D2">
        <w:rPr>
          <w:rFonts w:ascii="Garamond" w:hAnsi="Garamond"/>
          <w:sz w:val="24"/>
          <w:szCs w:val="24"/>
        </w:rPr>
        <w:t xml:space="preserve"> economies of the EU; the Pound is a strong currency; the UK </w:t>
      </w:r>
      <w:r w:rsidR="00246514" w:rsidRPr="00BA58D2">
        <w:rPr>
          <w:rFonts w:ascii="Garamond" w:hAnsi="Garamond"/>
          <w:sz w:val="24"/>
          <w:szCs w:val="24"/>
        </w:rPr>
        <w:t>economy has more of a transatlantic focus than most EU Member States</w:t>
      </w:r>
    </w:p>
    <w:p w14:paraId="0D2941A8" w14:textId="77777777" w:rsidR="00246514" w:rsidRPr="00BA58D2" w:rsidRDefault="00246514" w:rsidP="00246514">
      <w:pPr>
        <w:pStyle w:val="ListParagraph"/>
        <w:rPr>
          <w:rFonts w:ascii="Garamond" w:hAnsi="Garamond"/>
          <w:sz w:val="24"/>
          <w:szCs w:val="24"/>
        </w:rPr>
      </w:pPr>
    </w:p>
    <w:p w14:paraId="02C89484" w14:textId="63D6DE2B" w:rsidR="002D4B2A" w:rsidRDefault="002D4B2A" w:rsidP="002D4B2A">
      <w:pPr>
        <w:pStyle w:val="ListParagraph"/>
        <w:numPr>
          <w:ilvl w:val="0"/>
          <w:numId w:val="15"/>
        </w:numPr>
        <w:jc w:val="both"/>
        <w:rPr>
          <w:rFonts w:ascii="Garamond" w:hAnsi="Garamond"/>
          <w:sz w:val="24"/>
          <w:szCs w:val="24"/>
        </w:rPr>
      </w:pPr>
      <w:r w:rsidRPr="00337C4E">
        <w:rPr>
          <w:rFonts w:ascii="Garamond" w:hAnsi="Garamond"/>
          <w:b/>
          <w:sz w:val="24"/>
          <w:szCs w:val="24"/>
        </w:rPr>
        <w:t xml:space="preserve">Geographical </w:t>
      </w:r>
      <w:r w:rsidR="00246514" w:rsidRPr="00337C4E">
        <w:rPr>
          <w:rFonts w:ascii="Garamond" w:hAnsi="Garamond"/>
          <w:b/>
          <w:sz w:val="24"/>
          <w:szCs w:val="24"/>
        </w:rPr>
        <w:t>explanations</w:t>
      </w:r>
      <w:r w:rsidRPr="00BA58D2">
        <w:rPr>
          <w:rFonts w:ascii="Garamond" w:hAnsi="Garamond"/>
          <w:sz w:val="24"/>
          <w:szCs w:val="24"/>
        </w:rPr>
        <w:t>:</w:t>
      </w:r>
      <w:r w:rsidR="00246514" w:rsidRPr="00BA58D2">
        <w:rPr>
          <w:rFonts w:ascii="Garamond" w:hAnsi="Garamond"/>
          <w:sz w:val="24"/>
          <w:szCs w:val="24"/>
        </w:rPr>
        <w:t xml:space="preserve"> the UK is an island, which creates a sense of independence and autonomy in </w:t>
      </w:r>
      <w:r w:rsidR="001F699C">
        <w:rPr>
          <w:rFonts w:ascii="Garamond" w:hAnsi="Garamond"/>
          <w:sz w:val="24"/>
          <w:szCs w:val="24"/>
        </w:rPr>
        <w:t>various</w:t>
      </w:r>
      <w:r w:rsidR="00246514" w:rsidRPr="00BA58D2">
        <w:rPr>
          <w:rFonts w:ascii="Garamond" w:hAnsi="Garamond"/>
          <w:sz w:val="24"/>
          <w:szCs w:val="24"/>
        </w:rPr>
        <w:t xml:space="preserve"> ways (</w:t>
      </w:r>
      <w:r w:rsidR="0066592D">
        <w:rPr>
          <w:rFonts w:ascii="Garamond" w:hAnsi="Garamond"/>
          <w:sz w:val="24"/>
          <w:szCs w:val="24"/>
        </w:rPr>
        <w:t xml:space="preserve">e.g. </w:t>
      </w:r>
      <w:r w:rsidR="00246514" w:rsidRPr="00BA58D2">
        <w:rPr>
          <w:rFonts w:ascii="Garamond" w:hAnsi="Garamond"/>
          <w:sz w:val="24"/>
          <w:szCs w:val="24"/>
        </w:rPr>
        <w:t>Schengen, Dublin Regulations)</w:t>
      </w:r>
    </w:p>
    <w:p w14:paraId="63F62E32" w14:textId="77777777" w:rsidR="00EF01BD" w:rsidRPr="00EF01BD" w:rsidRDefault="00EF01BD" w:rsidP="00EF01BD">
      <w:pPr>
        <w:pStyle w:val="ListParagraph"/>
        <w:rPr>
          <w:rFonts w:ascii="Garamond" w:hAnsi="Garamond"/>
          <w:sz w:val="24"/>
          <w:szCs w:val="24"/>
        </w:rPr>
      </w:pPr>
    </w:p>
    <w:p w14:paraId="76570E61" w14:textId="77777777" w:rsidR="00EF01BD" w:rsidRPr="00BA58D2" w:rsidRDefault="00EF01BD" w:rsidP="002D4B2A">
      <w:pPr>
        <w:pStyle w:val="ListParagraph"/>
        <w:numPr>
          <w:ilvl w:val="0"/>
          <w:numId w:val="15"/>
        </w:numPr>
        <w:jc w:val="both"/>
        <w:rPr>
          <w:rFonts w:ascii="Garamond" w:hAnsi="Garamond"/>
          <w:sz w:val="24"/>
          <w:szCs w:val="24"/>
        </w:rPr>
      </w:pPr>
      <w:r w:rsidRPr="00EF01BD">
        <w:rPr>
          <w:rFonts w:ascii="Garamond" w:hAnsi="Garamond"/>
          <w:b/>
          <w:sz w:val="24"/>
          <w:szCs w:val="24"/>
        </w:rPr>
        <w:t>Political explanations</w:t>
      </w:r>
      <w:r>
        <w:rPr>
          <w:rFonts w:ascii="Garamond" w:hAnsi="Garamond"/>
          <w:sz w:val="24"/>
          <w:szCs w:val="24"/>
        </w:rPr>
        <w:t>: the UK has a strong adversarial political system, no tradition of coalitions, difficult to reach cross-party compromises</w:t>
      </w:r>
    </w:p>
    <w:p w14:paraId="04CF8465" w14:textId="77777777" w:rsidR="001D4D9D" w:rsidRPr="00BA58D2" w:rsidRDefault="001D4D9D" w:rsidP="001D4D9D">
      <w:pPr>
        <w:pStyle w:val="ListParagraph"/>
        <w:jc w:val="both"/>
        <w:rPr>
          <w:rFonts w:ascii="Garamond" w:hAnsi="Garamond"/>
          <w:sz w:val="24"/>
          <w:szCs w:val="24"/>
        </w:rPr>
      </w:pPr>
    </w:p>
    <w:p w14:paraId="2816D290" w14:textId="54E441C5" w:rsidR="00246514" w:rsidRPr="00BA58D2" w:rsidRDefault="00246514" w:rsidP="00246514">
      <w:pPr>
        <w:pStyle w:val="ListParagraph"/>
        <w:numPr>
          <w:ilvl w:val="0"/>
          <w:numId w:val="14"/>
        </w:numPr>
        <w:jc w:val="both"/>
        <w:rPr>
          <w:rFonts w:ascii="Garamond" w:hAnsi="Garamond"/>
          <w:sz w:val="24"/>
          <w:szCs w:val="24"/>
        </w:rPr>
      </w:pPr>
      <w:r w:rsidRPr="00BA58D2">
        <w:rPr>
          <w:rFonts w:ascii="Garamond" w:hAnsi="Garamond"/>
          <w:sz w:val="24"/>
          <w:szCs w:val="24"/>
        </w:rPr>
        <w:t xml:space="preserve">These explanations for the different attitude of the UK to the EU were already reflected in the UK’s membership of the EU before Brexit. In </w:t>
      </w:r>
      <w:r w:rsidR="00C4748A">
        <w:rPr>
          <w:rFonts w:ascii="Garamond" w:hAnsi="Garamond"/>
          <w:sz w:val="24"/>
          <w:szCs w:val="24"/>
        </w:rPr>
        <w:t>various</w:t>
      </w:r>
      <w:r w:rsidRPr="00BA58D2">
        <w:rPr>
          <w:rFonts w:ascii="Garamond" w:hAnsi="Garamond"/>
          <w:sz w:val="24"/>
          <w:szCs w:val="24"/>
        </w:rPr>
        <w:t xml:space="preserve"> ways, the UK had obtained derogations from EU law (meaning that a particular part of EU law was not applicable to the UK)</w:t>
      </w:r>
      <w:r w:rsidR="00C4748A">
        <w:rPr>
          <w:rFonts w:ascii="Garamond" w:hAnsi="Garamond"/>
          <w:sz w:val="24"/>
          <w:szCs w:val="24"/>
        </w:rPr>
        <w:t>.</w:t>
      </w:r>
      <w:r w:rsidR="00944F11">
        <w:rPr>
          <w:rFonts w:ascii="Garamond" w:hAnsi="Garamond"/>
          <w:sz w:val="24"/>
          <w:szCs w:val="24"/>
        </w:rPr>
        <w:t xml:space="preserve"> </w:t>
      </w:r>
      <w:r w:rsidR="00C4748A">
        <w:rPr>
          <w:rFonts w:ascii="Garamond" w:hAnsi="Garamond"/>
          <w:sz w:val="24"/>
          <w:szCs w:val="24"/>
        </w:rPr>
        <w:t xml:space="preserve">As a result, </w:t>
      </w:r>
      <w:r w:rsidR="00944F11">
        <w:rPr>
          <w:rFonts w:ascii="Garamond" w:hAnsi="Garamond"/>
          <w:sz w:val="24"/>
          <w:szCs w:val="24"/>
        </w:rPr>
        <w:t xml:space="preserve">the UK was </w:t>
      </w:r>
      <w:r w:rsidR="00C4748A">
        <w:rPr>
          <w:rFonts w:ascii="Garamond" w:hAnsi="Garamond"/>
          <w:sz w:val="24"/>
          <w:szCs w:val="24"/>
        </w:rPr>
        <w:t xml:space="preserve">already </w:t>
      </w:r>
      <w:r w:rsidR="00944F11">
        <w:rPr>
          <w:rFonts w:ascii="Garamond" w:hAnsi="Garamond"/>
          <w:sz w:val="24"/>
          <w:szCs w:val="24"/>
        </w:rPr>
        <w:t>less involved in certain areas of EU law than the other Member States</w:t>
      </w:r>
      <w:r w:rsidR="0066592D">
        <w:rPr>
          <w:rFonts w:ascii="Garamond" w:hAnsi="Garamond"/>
          <w:sz w:val="24"/>
          <w:szCs w:val="24"/>
        </w:rPr>
        <w:t xml:space="preserve"> before Brexit</w:t>
      </w:r>
      <w:r w:rsidR="00BA58D2" w:rsidRPr="00BA58D2">
        <w:rPr>
          <w:rFonts w:ascii="Garamond" w:hAnsi="Garamond"/>
          <w:sz w:val="24"/>
          <w:szCs w:val="24"/>
        </w:rPr>
        <w:t>. The main examples:</w:t>
      </w:r>
    </w:p>
    <w:p w14:paraId="0E9896D0" w14:textId="77777777" w:rsidR="00BA58D2" w:rsidRPr="00BA58D2" w:rsidRDefault="00BA58D2" w:rsidP="00BA58D2">
      <w:pPr>
        <w:pStyle w:val="ListParagraph"/>
        <w:ind w:left="1080"/>
        <w:jc w:val="both"/>
        <w:rPr>
          <w:rFonts w:ascii="Garamond" w:hAnsi="Garamond"/>
          <w:sz w:val="24"/>
          <w:szCs w:val="24"/>
        </w:rPr>
      </w:pPr>
    </w:p>
    <w:p w14:paraId="0EDE5B65" w14:textId="1AF7B024" w:rsidR="00BA58D2" w:rsidRPr="00BA58D2" w:rsidRDefault="00BA58D2" w:rsidP="00BA58D2">
      <w:pPr>
        <w:pStyle w:val="ListParagraph"/>
        <w:numPr>
          <w:ilvl w:val="0"/>
          <w:numId w:val="15"/>
        </w:numPr>
        <w:jc w:val="both"/>
        <w:rPr>
          <w:rFonts w:ascii="Garamond" w:hAnsi="Garamond"/>
          <w:b/>
          <w:sz w:val="24"/>
          <w:szCs w:val="24"/>
        </w:rPr>
      </w:pPr>
      <w:r w:rsidRPr="00337C4E">
        <w:rPr>
          <w:rFonts w:ascii="Garamond" w:hAnsi="Garamond"/>
          <w:b/>
          <w:sz w:val="24"/>
          <w:szCs w:val="24"/>
        </w:rPr>
        <w:t>Schengen</w:t>
      </w:r>
      <w:r>
        <w:rPr>
          <w:rFonts w:ascii="Garamond" w:hAnsi="Garamond"/>
          <w:sz w:val="24"/>
          <w:szCs w:val="24"/>
        </w:rPr>
        <w:t xml:space="preserve">: the UK and Ireland had secured a permanent opt-out from the Schengen Agreement </w:t>
      </w:r>
    </w:p>
    <w:p w14:paraId="0364DD27" w14:textId="77777777" w:rsidR="00BA58D2" w:rsidRPr="00BA58D2" w:rsidRDefault="00BA58D2" w:rsidP="00BA58D2">
      <w:pPr>
        <w:pStyle w:val="ListParagraph"/>
        <w:ind w:left="1440"/>
        <w:jc w:val="both"/>
        <w:rPr>
          <w:rFonts w:ascii="Garamond" w:hAnsi="Garamond"/>
          <w:b/>
          <w:sz w:val="24"/>
          <w:szCs w:val="24"/>
        </w:rPr>
      </w:pPr>
    </w:p>
    <w:p w14:paraId="4F84E221" w14:textId="1A82BF6A" w:rsidR="00BA58D2" w:rsidRPr="00BA58D2" w:rsidRDefault="00BA58D2" w:rsidP="00BA58D2">
      <w:pPr>
        <w:pStyle w:val="ListParagraph"/>
        <w:numPr>
          <w:ilvl w:val="0"/>
          <w:numId w:val="15"/>
        </w:numPr>
        <w:jc w:val="both"/>
        <w:rPr>
          <w:rFonts w:ascii="Garamond" w:hAnsi="Garamond"/>
          <w:b/>
          <w:sz w:val="24"/>
          <w:szCs w:val="24"/>
        </w:rPr>
      </w:pPr>
      <w:r w:rsidRPr="00337C4E">
        <w:rPr>
          <w:rFonts w:ascii="Garamond" w:hAnsi="Garamond"/>
          <w:b/>
          <w:sz w:val="24"/>
          <w:szCs w:val="24"/>
        </w:rPr>
        <w:t xml:space="preserve">Economic and </w:t>
      </w:r>
      <w:r w:rsidR="00337C4E">
        <w:rPr>
          <w:rFonts w:ascii="Garamond" w:hAnsi="Garamond"/>
          <w:b/>
          <w:sz w:val="24"/>
          <w:szCs w:val="24"/>
        </w:rPr>
        <w:t>M</w:t>
      </w:r>
      <w:r w:rsidRPr="00337C4E">
        <w:rPr>
          <w:rFonts w:ascii="Garamond" w:hAnsi="Garamond"/>
          <w:b/>
          <w:sz w:val="24"/>
          <w:szCs w:val="24"/>
        </w:rPr>
        <w:t xml:space="preserve">onetary </w:t>
      </w:r>
      <w:r w:rsidR="00337C4E">
        <w:rPr>
          <w:rFonts w:ascii="Garamond" w:hAnsi="Garamond"/>
          <w:b/>
          <w:sz w:val="24"/>
          <w:szCs w:val="24"/>
        </w:rPr>
        <w:t>U</w:t>
      </w:r>
      <w:r w:rsidRPr="00337C4E">
        <w:rPr>
          <w:rFonts w:ascii="Garamond" w:hAnsi="Garamond"/>
          <w:b/>
          <w:sz w:val="24"/>
          <w:szCs w:val="24"/>
        </w:rPr>
        <w:t>nion</w:t>
      </w:r>
      <w:r>
        <w:rPr>
          <w:rFonts w:ascii="Garamond" w:hAnsi="Garamond"/>
          <w:sz w:val="24"/>
          <w:szCs w:val="24"/>
        </w:rPr>
        <w:t xml:space="preserve">: the UK </w:t>
      </w:r>
      <w:r w:rsidR="0066592D">
        <w:rPr>
          <w:rFonts w:ascii="Garamond" w:hAnsi="Garamond"/>
          <w:sz w:val="24"/>
          <w:szCs w:val="24"/>
        </w:rPr>
        <w:t>did not participate</w:t>
      </w:r>
      <w:r>
        <w:rPr>
          <w:rFonts w:ascii="Garamond" w:hAnsi="Garamond"/>
          <w:sz w:val="24"/>
          <w:szCs w:val="24"/>
        </w:rPr>
        <w:t xml:space="preserve"> in the Euro</w:t>
      </w:r>
      <w:r w:rsidR="009971A4">
        <w:rPr>
          <w:rFonts w:ascii="Garamond" w:hAnsi="Garamond"/>
          <w:sz w:val="24"/>
          <w:szCs w:val="24"/>
        </w:rPr>
        <w:t xml:space="preserve">; the UK </w:t>
      </w:r>
      <w:r w:rsidR="0066592D">
        <w:rPr>
          <w:rFonts w:ascii="Garamond" w:hAnsi="Garamond"/>
          <w:sz w:val="24"/>
          <w:szCs w:val="24"/>
        </w:rPr>
        <w:t>was</w:t>
      </w:r>
      <w:r w:rsidR="009971A4">
        <w:rPr>
          <w:rFonts w:ascii="Garamond" w:hAnsi="Garamond"/>
          <w:sz w:val="24"/>
          <w:szCs w:val="24"/>
        </w:rPr>
        <w:t xml:space="preserve"> not part of the European Central Bank</w:t>
      </w:r>
    </w:p>
    <w:p w14:paraId="37E3F856" w14:textId="77777777" w:rsidR="00BA58D2" w:rsidRPr="00BA58D2" w:rsidRDefault="00BA58D2" w:rsidP="00BA58D2">
      <w:pPr>
        <w:pStyle w:val="ListParagraph"/>
        <w:rPr>
          <w:rFonts w:ascii="Garamond" w:hAnsi="Garamond"/>
          <w:b/>
          <w:sz w:val="24"/>
          <w:szCs w:val="24"/>
        </w:rPr>
      </w:pPr>
    </w:p>
    <w:p w14:paraId="3FBAC7BF" w14:textId="749049B1" w:rsidR="00BA58D2" w:rsidRPr="001724D3" w:rsidRDefault="00BA58D2" w:rsidP="00BA58D2">
      <w:pPr>
        <w:pStyle w:val="ListParagraph"/>
        <w:numPr>
          <w:ilvl w:val="0"/>
          <w:numId w:val="15"/>
        </w:numPr>
        <w:jc w:val="both"/>
        <w:rPr>
          <w:rFonts w:ascii="Garamond" w:hAnsi="Garamond"/>
          <w:b/>
          <w:sz w:val="24"/>
          <w:szCs w:val="24"/>
        </w:rPr>
      </w:pPr>
      <w:r w:rsidRPr="00337C4E">
        <w:rPr>
          <w:rFonts w:ascii="Garamond" w:hAnsi="Garamond"/>
          <w:b/>
          <w:sz w:val="24"/>
          <w:szCs w:val="24"/>
        </w:rPr>
        <w:t>Area of Freedom, Security and Justice</w:t>
      </w:r>
      <w:r>
        <w:rPr>
          <w:rFonts w:ascii="Garamond" w:hAnsi="Garamond"/>
          <w:sz w:val="24"/>
          <w:szCs w:val="24"/>
        </w:rPr>
        <w:t xml:space="preserve">: the UK </w:t>
      </w:r>
      <w:r w:rsidR="0066592D">
        <w:rPr>
          <w:rFonts w:ascii="Garamond" w:hAnsi="Garamond"/>
          <w:sz w:val="24"/>
          <w:szCs w:val="24"/>
        </w:rPr>
        <w:t xml:space="preserve">had </w:t>
      </w:r>
      <w:r>
        <w:rPr>
          <w:rFonts w:ascii="Garamond" w:hAnsi="Garamond"/>
          <w:sz w:val="24"/>
          <w:szCs w:val="24"/>
        </w:rPr>
        <w:t xml:space="preserve">obtained an option to opt-out of all EU instruments in the AFSJ after the Treaty of Lisbon (because these measures were integrated in the TFEU and TEU </w:t>
      </w:r>
      <w:r w:rsidR="001724D3">
        <w:rPr>
          <w:rFonts w:ascii="Garamond" w:hAnsi="Garamond"/>
          <w:sz w:val="24"/>
          <w:szCs w:val="24"/>
        </w:rPr>
        <w:t xml:space="preserve">(qualified majority decision-making) </w:t>
      </w:r>
      <w:r>
        <w:rPr>
          <w:rFonts w:ascii="Garamond" w:hAnsi="Garamond"/>
          <w:sz w:val="24"/>
          <w:szCs w:val="24"/>
        </w:rPr>
        <w:t xml:space="preserve">and </w:t>
      </w:r>
      <w:r w:rsidR="00944F11">
        <w:rPr>
          <w:rFonts w:ascii="Garamond" w:hAnsi="Garamond"/>
          <w:sz w:val="24"/>
          <w:szCs w:val="24"/>
        </w:rPr>
        <w:t xml:space="preserve">were </w:t>
      </w:r>
      <w:r>
        <w:rPr>
          <w:rFonts w:ascii="Garamond" w:hAnsi="Garamond"/>
          <w:sz w:val="24"/>
          <w:szCs w:val="24"/>
        </w:rPr>
        <w:t xml:space="preserve">no longer a separate </w:t>
      </w:r>
      <w:r w:rsidR="001724D3">
        <w:rPr>
          <w:rFonts w:ascii="Garamond" w:hAnsi="Garamond"/>
          <w:sz w:val="24"/>
          <w:szCs w:val="24"/>
        </w:rPr>
        <w:t xml:space="preserve">intergovernmental </w:t>
      </w:r>
      <w:r>
        <w:rPr>
          <w:rFonts w:ascii="Garamond" w:hAnsi="Garamond"/>
          <w:sz w:val="24"/>
          <w:szCs w:val="24"/>
        </w:rPr>
        <w:t xml:space="preserve">pillar). </w:t>
      </w:r>
      <w:r w:rsidR="00C4748A">
        <w:rPr>
          <w:rFonts w:ascii="Garamond" w:hAnsi="Garamond"/>
          <w:sz w:val="24"/>
          <w:szCs w:val="24"/>
        </w:rPr>
        <w:t>It</w:t>
      </w:r>
      <w:r>
        <w:rPr>
          <w:rFonts w:ascii="Garamond" w:hAnsi="Garamond"/>
          <w:sz w:val="24"/>
          <w:szCs w:val="24"/>
        </w:rPr>
        <w:t xml:space="preserve"> decided to use this option, but subsequently opted</w:t>
      </w:r>
      <w:r w:rsidR="001724D3">
        <w:rPr>
          <w:rFonts w:ascii="Garamond" w:hAnsi="Garamond"/>
          <w:sz w:val="24"/>
          <w:szCs w:val="24"/>
        </w:rPr>
        <w:t xml:space="preserve"> back into</w:t>
      </w:r>
      <w:r>
        <w:rPr>
          <w:rFonts w:ascii="Garamond" w:hAnsi="Garamond"/>
          <w:sz w:val="24"/>
          <w:szCs w:val="24"/>
        </w:rPr>
        <w:t xml:space="preserve"> some instruments </w:t>
      </w:r>
      <w:r w:rsidR="001724D3">
        <w:rPr>
          <w:rFonts w:ascii="Garamond" w:hAnsi="Garamond"/>
          <w:sz w:val="24"/>
          <w:szCs w:val="24"/>
        </w:rPr>
        <w:t>(for example, the European Arrest Warrant</w:t>
      </w:r>
      <w:r w:rsidR="001F699C">
        <w:rPr>
          <w:rFonts w:ascii="Garamond" w:hAnsi="Garamond"/>
          <w:sz w:val="24"/>
          <w:szCs w:val="24"/>
        </w:rPr>
        <w:t>, Dublin III</w:t>
      </w:r>
      <w:r w:rsidR="001724D3">
        <w:rPr>
          <w:rFonts w:ascii="Garamond" w:hAnsi="Garamond"/>
          <w:sz w:val="24"/>
          <w:szCs w:val="24"/>
        </w:rPr>
        <w:t>)</w:t>
      </w:r>
    </w:p>
    <w:p w14:paraId="7B8DAF51" w14:textId="77777777" w:rsidR="001724D3" w:rsidRPr="001724D3" w:rsidRDefault="001724D3" w:rsidP="001724D3">
      <w:pPr>
        <w:pStyle w:val="ListParagraph"/>
        <w:rPr>
          <w:rFonts w:ascii="Garamond" w:hAnsi="Garamond"/>
          <w:b/>
          <w:sz w:val="24"/>
          <w:szCs w:val="24"/>
        </w:rPr>
      </w:pPr>
    </w:p>
    <w:p w14:paraId="058BBAD4" w14:textId="5E68007D" w:rsidR="001724D3" w:rsidRPr="00CB08B2" w:rsidRDefault="001724D3" w:rsidP="00BA58D2">
      <w:pPr>
        <w:pStyle w:val="ListParagraph"/>
        <w:numPr>
          <w:ilvl w:val="0"/>
          <w:numId w:val="15"/>
        </w:numPr>
        <w:jc w:val="both"/>
        <w:rPr>
          <w:rFonts w:ascii="Garamond" w:hAnsi="Garamond"/>
          <w:b/>
          <w:sz w:val="24"/>
          <w:szCs w:val="24"/>
        </w:rPr>
      </w:pPr>
      <w:r w:rsidRPr="00337C4E">
        <w:rPr>
          <w:rFonts w:ascii="Garamond" w:hAnsi="Garamond"/>
          <w:b/>
          <w:sz w:val="24"/>
          <w:szCs w:val="24"/>
        </w:rPr>
        <w:t>Charter of Fundamental Rights</w:t>
      </w:r>
      <w:r>
        <w:rPr>
          <w:rFonts w:ascii="Garamond" w:hAnsi="Garamond"/>
          <w:sz w:val="24"/>
          <w:szCs w:val="24"/>
        </w:rPr>
        <w:t xml:space="preserve">: Protocol No. 30 (see </w:t>
      </w:r>
      <w:r w:rsidR="00944F11">
        <w:rPr>
          <w:rFonts w:ascii="Garamond" w:hAnsi="Garamond"/>
          <w:sz w:val="24"/>
          <w:szCs w:val="24"/>
        </w:rPr>
        <w:t xml:space="preserve">the previous </w:t>
      </w:r>
      <w:r>
        <w:rPr>
          <w:rFonts w:ascii="Garamond" w:hAnsi="Garamond"/>
          <w:sz w:val="24"/>
          <w:szCs w:val="24"/>
        </w:rPr>
        <w:t>lecture on the Charter)</w:t>
      </w:r>
      <w:r w:rsidR="00CC5EF4">
        <w:rPr>
          <w:rFonts w:ascii="Garamond" w:hAnsi="Garamond"/>
          <w:sz w:val="24"/>
          <w:szCs w:val="24"/>
        </w:rPr>
        <w:t xml:space="preserve"> provided </w:t>
      </w:r>
      <w:r w:rsidR="0083684D">
        <w:rPr>
          <w:rFonts w:ascii="Garamond" w:hAnsi="Garamond"/>
          <w:sz w:val="24"/>
          <w:szCs w:val="24"/>
        </w:rPr>
        <w:t>derogations</w:t>
      </w:r>
      <w:r w:rsidR="00CC5EF4">
        <w:rPr>
          <w:rFonts w:ascii="Garamond" w:hAnsi="Garamond"/>
          <w:sz w:val="24"/>
          <w:szCs w:val="24"/>
        </w:rPr>
        <w:t xml:space="preserve"> to the UK</w:t>
      </w:r>
      <w:r w:rsidR="0083684D">
        <w:rPr>
          <w:rFonts w:ascii="Garamond" w:hAnsi="Garamond"/>
          <w:sz w:val="24"/>
          <w:szCs w:val="24"/>
        </w:rPr>
        <w:t xml:space="preserve"> and Poland</w:t>
      </w:r>
      <w:r w:rsidR="00CC5EF4">
        <w:rPr>
          <w:rFonts w:ascii="Garamond" w:hAnsi="Garamond"/>
          <w:sz w:val="24"/>
          <w:szCs w:val="24"/>
        </w:rPr>
        <w:t xml:space="preserve"> with respect to some parts of the Charter</w:t>
      </w:r>
      <w:r>
        <w:rPr>
          <w:rFonts w:ascii="Garamond" w:hAnsi="Garamond"/>
          <w:sz w:val="24"/>
          <w:szCs w:val="24"/>
        </w:rPr>
        <w:t>. It is doubtful to what extent this Protocol really establishe</w:t>
      </w:r>
      <w:r w:rsidR="00CB08B2">
        <w:rPr>
          <w:rFonts w:ascii="Garamond" w:hAnsi="Garamond"/>
          <w:sz w:val="24"/>
          <w:szCs w:val="24"/>
        </w:rPr>
        <w:t>d</w:t>
      </w:r>
      <w:r>
        <w:rPr>
          <w:rFonts w:ascii="Garamond" w:hAnsi="Garamond"/>
          <w:sz w:val="24"/>
          <w:szCs w:val="24"/>
        </w:rPr>
        <w:t xml:space="preserve"> </w:t>
      </w:r>
      <w:r w:rsidR="0083684D">
        <w:rPr>
          <w:rFonts w:ascii="Garamond" w:hAnsi="Garamond"/>
          <w:sz w:val="24"/>
          <w:szCs w:val="24"/>
        </w:rPr>
        <w:t>derogations</w:t>
      </w:r>
      <w:r>
        <w:rPr>
          <w:rFonts w:ascii="Garamond" w:hAnsi="Garamond"/>
          <w:sz w:val="24"/>
          <w:szCs w:val="24"/>
        </w:rPr>
        <w:t xml:space="preserve"> from the Charter</w:t>
      </w:r>
    </w:p>
    <w:p w14:paraId="5C8B08FE" w14:textId="77777777" w:rsidR="00CB08B2" w:rsidRPr="00CB08B2" w:rsidRDefault="00CB08B2" w:rsidP="00CB08B2">
      <w:pPr>
        <w:pStyle w:val="ListParagraph"/>
        <w:rPr>
          <w:rFonts w:ascii="Garamond" w:hAnsi="Garamond"/>
          <w:b/>
          <w:sz w:val="24"/>
          <w:szCs w:val="24"/>
        </w:rPr>
      </w:pPr>
    </w:p>
    <w:p w14:paraId="5CE4D808" w14:textId="2643D4A9" w:rsidR="00CB08B2" w:rsidRPr="00987076" w:rsidRDefault="006238BE" w:rsidP="00CB08B2">
      <w:pPr>
        <w:pStyle w:val="ListParagraph"/>
        <w:numPr>
          <w:ilvl w:val="0"/>
          <w:numId w:val="14"/>
        </w:numPr>
        <w:jc w:val="both"/>
        <w:rPr>
          <w:rFonts w:ascii="Garamond" w:hAnsi="Garamond"/>
          <w:b/>
          <w:sz w:val="24"/>
          <w:szCs w:val="24"/>
        </w:rPr>
      </w:pPr>
      <w:r>
        <w:rPr>
          <w:rFonts w:ascii="Garamond" w:hAnsi="Garamond"/>
          <w:sz w:val="24"/>
          <w:szCs w:val="24"/>
        </w:rPr>
        <w:t xml:space="preserve">As a result of these derogations, the UK was already in a special position in the EU before Brexit. It did not participate in a significant number of areas covered by EU law. More generally, after the accession of ten new Member States in 2004, the EU was </w:t>
      </w:r>
      <w:r w:rsidR="008D52F6">
        <w:rPr>
          <w:rFonts w:ascii="Garamond" w:hAnsi="Garamond"/>
          <w:sz w:val="24"/>
          <w:szCs w:val="24"/>
        </w:rPr>
        <w:t xml:space="preserve">– </w:t>
      </w:r>
      <w:r>
        <w:rPr>
          <w:rFonts w:ascii="Garamond" w:hAnsi="Garamond"/>
          <w:sz w:val="24"/>
          <w:szCs w:val="24"/>
        </w:rPr>
        <w:t>and</w:t>
      </w:r>
      <w:r w:rsidR="008D52F6">
        <w:rPr>
          <w:rFonts w:ascii="Garamond" w:hAnsi="Garamond"/>
          <w:sz w:val="24"/>
          <w:szCs w:val="24"/>
        </w:rPr>
        <w:t xml:space="preserve"> still</w:t>
      </w:r>
      <w:r>
        <w:rPr>
          <w:rFonts w:ascii="Garamond" w:hAnsi="Garamond"/>
          <w:sz w:val="24"/>
          <w:szCs w:val="24"/>
        </w:rPr>
        <w:t xml:space="preserve"> is</w:t>
      </w:r>
      <w:r w:rsidR="008D52F6">
        <w:rPr>
          <w:rFonts w:ascii="Garamond" w:hAnsi="Garamond"/>
          <w:sz w:val="24"/>
          <w:szCs w:val="24"/>
        </w:rPr>
        <w:t xml:space="preserve"> –</w:t>
      </w:r>
      <w:r>
        <w:rPr>
          <w:rFonts w:ascii="Garamond" w:hAnsi="Garamond"/>
          <w:sz w:val="24"/>
          <w:szCs w:val="24"/>
        </w:rPr>
        <w:t xml:space="preserve"> struggling to find a balance between unity and diversity</w:t>
      </w:r>
      <w:r w:rsidR="008956B6">
        <w:rPr>
          <w:rFonts w:ascii="Garamond" w:hAnsi="Garamond"/>
          <w:sz w:val="24"/>
          <w:szCs w:val="24"/>
        </w:rPr>
        <w:t xml:space="preserve"> in the EU</w:t>
      </w:r>
      <w:r>
        <w:rPr>
          <w:rFonts w:ascii="Garamond" w:hAnsi="Garamond"/>
          <w:sz w:val="24"/>
          <w:szCs w:val="24"/>
        </w:rPr>
        <w:t xml:space="preserve">. Should it be possible to have </w:t>
      </w:r>
      <w:r w:rsidR="00337C4E">
        <w:rPr>
          <w:rFonts w:ascii="Garamond" w:hAnsi="Garamond"/>
          <w:sz w:val="24"/>
          <w:szCs w:val="24"/>
        </w:rPr>
        <w:t>a Europe</w:t>
      </w:r>
      <w:r>
        <w:rPr>
          <w:rFonts w:ascii="Garamond" w:hAnsi="Garamond"/>
          <w:sz w:val="24"/>
          <w:szCs w:val="24"/>
        </w:rPr>
        <w:t xml:space="preserve"> at-two-speeds? Should there be more differentiation in the EU, or would this threaten the very integrity of the EU and of EU law? The TEU provides for the possibility of </w:t>
      </w:r>
      <w:r w:rsidRPr="00337C4E">
        <w:rPr>
          <w:rFonts w:ascii="Garamond" w:hAnsi="Garamond"/>
          <w:b/>
          <w:sz w:val="24"/>
          <w:szCs w:val="24"/>
        </w:rPr>
        <w:t>enhanced cooperation</w:t>
      </w:r>
      <w:r>
        <w:rPr>
          <w:rFonts w:ascii="Garamond" w:hAnsi="Garamond"/>
          <w:sz w:val="24"/>
          <w:szCs w:val="24"/>
        </w:rPr>
        <w:t xml:space="preserve">, which allows a number of Member States to cooperate more intensively in areas covered by EU law </w:t>
      </w:r>
      <w:r w:rsidR="00390ED4">
        <w:rPr>
          <w:rFonts w:ascii="Garamond" w:hAnsi="Garamond"/>
          <w:sz w:val="24"/>
          <w:szCs w:val="24"/>
        </w:rPr>
        <w:t xml:space="preserve">without the support of </w:t>
      </w:r>
      <w:r>
        <w:rPr>
          <w:rFonts w:ascii="Garamond" w:hAnsi="Garamond"/>
          <w:sz w:val="24"/>
          <w:szCs w:val="24"/>
        </w:rPr>
        <w:t xml:space="preserve">less enthusiastic Member States (see Article 20 TEU). However, in practice, </w:t>
      </w:r>
      <w:r w:rsidR="00987076">
        <w:rPr>
          <w:rFonts w:ascii="Garamond" w:hAnsi="Garamond"/>
          <w:sz w:val="24"/>
          <w:szCs w:val="24"/>
        </w:rPr>
        <w:t xml:space="preserve">it </w:t>
      </w:r>
      <w:r w:rsidR="0083684D">
        <w:rPr>
          <w:rFonts w:ascii="Garamond" w:hAnsi="Garamond"/>
          <w:sz w:val="24"/>
          <w:szCs w:val="24"/>
        </w:rPr>
        <w:t>has proved difficult</w:t>
      </w:r>
      <w:r w:rsidR="00987076">
        <w:rPr>
          <w:rFonts w:ascii="Garamond" w:hAnsi="Garamond"/>
          <w:sz w:val="24"/>
          <w:szCs w:val="24"/>
        </w:rPr>
        <w:t xml:space="preserve"> to initiate a process of enhanced cooperation, and there have been few successful examples (Unified Patent Court, European Public Prosecutor).</w:t>
      </w:r>
    </w:p>
    <w:p w14:paraId="524089FD" w14:textId="77777777" w:rsidR="00987076" w:rsidRPr="00987076" w:rsidRDefault="00987076" w:rsidP="00987076">
      <w:pPr>
        <w:pStyle w:val="ListParagraph"/>
        <w:ind w:left="1080"/>
        <w:jc w:val="both"/>
        <w:rPr>
          <w:rFonts w:ascii="Garamond" w:hAnsi="Garamond"/>
          <w:b/>
          <w:sz w:val="24"/>
          <w:szCs w:val="24"/>
        </w:rPr>
      </w:pPr>
    </w:p>
    <w:p w14:paraId="10FA9C02" w14:textId="5B886795" w:rsidR="00987076" w:rsidRPr="008956B6" w:rsidRDefault="00987076" w:rsidP="00987076">
      <w:pPr>
        <w:pStyle w:val="ListParagraph"/>
        <w:numPr>
          <w:ilvl w:val="0"/>
          <w:numId w:val="14"/>
        </w:numPr>
        <w:jc w:val="both"/>
        <w:rPr>
          <w:rFonts w:ascii="Garamond" w:hAnsi="Garamond"/>
          <w:b/>
          <w:sz w:val="24"/>
          <w:szCs w:val="24"/>
        </w:rPr>
      </w:pPr>
      <w:r>
        <w:rPr>
          <w:rFonts w:ascii="Garamond" w:hAnsi="Garamond"/>
          <w:sz w:val="24"/>
          <w:szCs w:val="24"/>
        </w:rPr>
        <w:t>In 2015, David Cameron won the general elections</w:t>
      </w:r>
      <w:r w:rsidR="00682FFF">
        <w:rPr>
          <w:rFonts w:ascii="Garamond" w:hAnsi="Garamond"/>
          <w:sz w:val="24"/>
          <w:szCs w:val="24"/>
        </w:rPr>
        <w:t xml:space="preserve"> in the UK</w:t>
      </w:r>
      <w:r w:rsidR="008D52F6">
        <w:rPr>
          <w:rFonts w:ascii="Garamond" w:hAnsi="Garamond"/>
          <w:sz w:val="24"/>
          <w:szCs w:val="24"/>
        </w:rPr>
        <w:t xml:space="preserve">. Under significant pressure from within the Conservative Party, Cameron had promised the UK citizens a referendum on EU membership. Before this </w:t>
      </w:r>
      <w:r w:rsidR="008956B6">
        <w:rPr>
          <w:rFonts w:ascii="Garamond" w:hAnsi="Garamond"/>
          <w:sz w:val="24"/>
          <w:szCs w:val="24"/>
        </w:rPr>
        <w:t xml:space="preserve">referendum were to take place, Cameron would </w:t>
      </w:r>
      <w:r w:rsidR="00C747FB">
        <w:rPr>
          <w:rFonts w:ascii="Garamond" w:hAnsi="Garamond"/>
          <w:sz w:val="24"/>
          <w:szCs w:val="24"/>
        </w:rPr>
        <w:t>first</w:t>
      </w:r>
      <w:r w:rsidR="008956B6">
        <w:rPr>
          <w:rFonts w:ascii="Garamond" w:hAnsi="Garamond"/>
          <w:sz w:val="24"/>
          <w:szCs w:val="24"/>
        </w:rPr>
        <w:t xml:space="preserve"> negotiate a new deal with the EU. The </w:t>
      </w:r>
      <w:r w:rsidR="00C747FB">
        <w:rPr>
          <w:rFonts w:ascii="Garamond" w:hAnsi="Garamond"/>
          <w:sz w:val="24"/>
          <w:szCs w:val="24"/>
        </w:rPr>
        <w:t>intention</w:t>
      </w:r>
      <w:r w:rsidR="008956B6">
        <w:rPr>
          <w:rFonts w:ascii="Garamond" w:hAnsi="Garamond"/>
          <w:sz w:val="24"/>
          <w:szCs w:val="24"/>
        </w:rPr>
        <w:t xml:space="preserve"> was that this deal with the EU would make it easier for Cameron to defend EU membership in the UK. In February 2016, the EU and the UK agreed on what was called “</w:t>
      </w:r>
      <w:r w:rsidR="008956B6" w:rsidRPr="00337C4E">
        <w:rPr>
          <w:rFonts w:ascii="Garamond" w:hAnsi="Garamond"/>
          <w:b/>
          <w:sz w:val="24"/>
          <w:szCs w:val="24"/>
        </w:rPr>
        <w:t>a new settlement</w:t>
      </w:r>
      <w:r w:rsidR="008956B6">
        <w:rPr>
          <w:rFonts w:ascii="Garamond" w:hAnsi="Garamond"/>
          <w:sz w:val="24"/>
          <w:szCs w:val="24"/>
        </w:rPr>
        <w:t>” between the EU and the UK. This agreement would become binding if the EU citizens voted to remain in the EU. The focus of the agreement was on four areas:</w:t>
      </w:r>
    </w:p>
    <w:p w14:paraId="793FBE2F" w14:textId="77777777" w:rsidR="008956B6" w:rsidRPr="008956B6" w:rsidRDefault="008956B6" w:rsidP="008956B6">
      <w:pPr>
        <w:pStyle w:val="ListParagraph"/>
        <w:rPr>
          <w:rFonts w:ascii="Garamond" w:hAnsi="Garamond"/>
          <w:b/>
          <w:sz w:val="24"/>
          <w:szCs w:val="24"/>
        </w:rPr>
      </w:pPr>
    </w:p>
    <w:p w14:paraId="1D6FF987" w14:textId="77777777" w:rsidR="008956B6" w:rsidRPr="008956B6" w:rsidRDefault="008956B6" w:rsidP="008956B6">
      <w:pPr>
        <w:pStyle w:val="ListParagraph"/>
        <w:numPr>
          <w:ilvl w:val="0"/>
          <w:numId w:val="15"/>
        </w:numPr>
        <w:jc w:val="both"/>
        <w:rPr>
          <w:rFonts w:ascii="Garamond" w:hAnsi="Garamond"/>
          <w:b/>
          <w:sz w:val="24"/>
          <w:szCs w:val="24"/>
        </w:rPr>
      </w:pPr>
      <w:r w:rsidRPr="00337C4E">
        <w:rPr>
          <w:rFonts w:ascii="Garamond" w:hAnsi="Garamond"/>
          <w:b/>
          <w:sz w:val="24"/>
          <w:szCs w:val="24"/>
        </w:rPr>
        <w:t>Competitiveness</w:t>
      </w:r>
      <w:r>
        <w:rPr>
          <w:rFonts w:ascii="Garamond" w:hAnsi="Garamond"/>
          <w:sz w:val="24"/>
          <w:szCs w:val="24"/>
        </w:rPr>
        <w:t xml:space="preserve">: the EU would commit to making the EU more competitive by removing more obstacles to free movement. This was the least controversial aspect of the agreement. </w:t>
      </w:r>
    </w:p>
    <w:p w14:paraId="6BC46B9C" w14:textId="77777777" w:rsidR="008956B6" w:rsidRPr="008956B6" w:rsidRDefault="008956B6" w:rsidP="008956B6">
      <w:pPr>
        <w:pStyle w:val="ListParagraph"/>
        <w:ind w:left="1440"/>
        <w:jc w:val="both"/>
        <w:rPr>
          <w:rFonts w:ascii="Garamond" w:hAnsi="Garamond"/>
          <w:b/>
          <w:sz w:val="24"/>
          <w:szCs w:val="24"/>
        </w:rPr>
      </w:pPr>
    </w:p>
    <w:p w14:paraId="69612905" w14:textId="77777777" w:rsidR="008956B6" w:rsidRPr="004B139F" w:rsidRDefault="008956B6" w:rsidP="008956B6">
      <w:pPr>
        <w:pStyle w:val="ListParagraph"/>
        <w:numPr>
          <w:ilvl w:val="0"/>
          <w:numId w:val="15"/>
        </w:numPr>
        <w:jc w:val="both"/>
        <w:rPr>
          <w:rFonts w:ascii="Garamond" w:hAnsi="Garamond"/>
          <w:b/>
          <w:sz w:val="24"/>
          <w:szCs w:val="24"/>
        </w:rPr>
      </w:pPr>
      <w:r w:rsidRPr="00337C4E">
        <w:rPr>
          <w:rFonts w:ascii="Garamond" w:hAnsi="Garamond"/>
          <w:b/>
          <w:sz w:val="24"/>
          <w:szCs w:val="24"/>
        </w:rPr>
        <w:t>Economic governance</w:t>
      </w:r>
      <w:r>
        <w:rPr>
          <w:rFonts w:ascii="Garamond" w:hAnsi="Garamond"/>
          <w:sz w:val="24"/>
          <w:szCs w:val="24"/>
        </w:rPr>
        <w:t>: the EU would protect non-Eurozone Member States against discrimination by Eurozone Member States</w:t>
      </w:r>
    </w:p>
    <w:p w14:paraId="4F6F8DA4" w14:textId="77777777" w:rsidR="004B139F" w:rsidRPr="004B139F" w:rsidRDefault="004B139F" w:rsidP="004B139F">
      <w:pPr>
        <w:pStyle w:val="ListParagraph"/>
        <w:rPr>
          <w:rFonts w:ascii="Garamond" w:hAnsi="Garamond"/>
          <w:b/>
          <w:sz w:val="24"/>
          <w:szCs w:val="24"/>
        </w:rPr>
      </w:pPr>
    </w:p>
    <w:p w14:paraId="0599AAD8" w14:textId="6D313BF2" w:rsidR="004B139F" w:rsidRPr="004B139F" w:rsidRDefault="004B139F" w:rsidP="008956B6">
      <w:pPr>
        <w:pStyle w:val="ListParagraph"/>
        <w:numPr>
          <w:ilvl w:val="0"/>
          <w:numId w:val="15"/>
        </w:numPr>
        <w:jc w:val="both"/>
        <w:rPr>
          <w:rFonts w:ascii="Garamond" w:hAnsi="Garamond"/>
          <w:b/>
          <w:sz w:val="24"/>
          <w:szCs w:val="24"/>
        </w:rPr>
      </w:pPr>
      <w:r w:rsidRPr="00337C4E">
        <w:rPr>
          <w:rFonts w:ascii="Garamond" w:hAnsi="Garamond"/>
          <w:b/>
          <w:sz w:val="24"/>
          <w:szCs w:val="24"/>
        </w:rPr>
        <w:lastRenderedPageBreak/>
        <w:t>Sovereignty</w:t>
      </w:r>
      <w:r>
        <w:rPr>
          <w:rFonts w:ascii="Garamond" w:hAnsi="Garamond"/>
          <w:sz w:val="24"/>
          <w:szCs w:val="24"/>
        </w:rPr>
        <w:t xml:space="preserve">: the phrase “an </w:t>
      </w:r>
      <w:r w:rsidR="00390ED4">
        <w:rPr>
          <w:rFonts w:ascii="Garamond" w:hAnsi="Garamond"/>
          <w:sz w:val="24"/>
          <w:szCs w:val="24"/>
        </w:rPr>
        <w:t>ever closer</w:t>
      </w:r>
      <w:r>
        <w:rPr>
          <w:rFonts w:ascii="Garamond" w:hAnsi="Garamond"/>
          <w:sz w:val="24"/>
          <w:szCs w:val="24"/>
        </w:rPr>
        <w:t xml:space="preserve"> Union” would no longer apply to the UK; a (or some sort of) </w:t>
      </w:r>
      <w:r w:rsidR="0066592D">
        <w:rPr>
          <w:rFonts w:ascii="Garamond" w:hAnsi="Garamond"/>
          <w:sz w:val="24"/>
          <w:szCs w:val="24"/>
        </w:rPr>
        <w:t>“</w:t>
      </w:r>
      <w:r>
        <w:rPr>
          <w:rFonts w:ascii="Garamond" w:hAnsi="Garamond"/>
          <w:sz w:val="24"/>
          <w:szCs w:val="24"/>
        </w:rPr>
        <w:t>red card</w:t>
      </w:r>
      <w:r w:rsidR="0066592D">
        <w:rPr>
          <w:rFonts w:ascii="Garamond" w:hAnsi="Garamond"/>
          <w:sz w:val="24"/>
          <w:szCs w:val="24"/>
        </w:rPr>
        <w:t>”</w:t>
      </w:r>
      <w:r>
        <w:rPr>
          <w:rFonts w:ascii="Garamond" w:hAnsi="Garamond"/>
          <w:sz w:val="24"/>
          <w:szCs w:val="24"/>
        </w:rPr>
        <w:t xml:space="preserve"> </w:t>
      </w:r>
      <w:r w:rsidR="00C747FB">
        <w:rPr>
          <w:rFonts w:ascii="Garamond" w:hAnsi="Garamond"/>
          <w:sz w:val="24"/>
          <w:szCs w:val="24"/>
        </w:rPr>
        <w:t xml:space="preserve">mechanism </w:t>
      </w:r>
      <w:r>
        <w:rPr>
          <w:rFonts w:ascii="Garamond" w:hAnsi="Garamond"/>
          <w:sz w:val="24"/>
          <w:szCs w:val="24"/>
        </w:rPr>
        <w:t>would be introduced under the Protocol on Subsidiarity and Proportionality</w:t>
      </w:r>
    </w:p>
    <w:p w14:paraId="733BC0E9" w14:textId="77777777" w:rsidR="004B139F" w:rsidRPr="004B139F" w:rsidRDefault="004B139F" w:rsidP="004B139F">
      <w:pPr>
        <w:pStyle w:val="ListParagraph"/>
        <w:rPr>
          <w:rFonts w:ascii="Garamond" w:hAnsi="Garamond"/>
          <w:b/>
          <w:sz w:val="24"/>
          <w:szCs w:val="24"/>
        </w:rPr>
      </w:pPr>
    </w:p>
    <w:p w14:paraId="56649D6F" w14:textId="77777777" w:rsidR="004B139F" w:rsidRPr="004B139F" w:rsidRDefault="00337C4E" w:rsidP="008956B6">
      <w:pPr>
        <w:pStyle w:val="ListParagraph"/>
        <w:numPr>
          <w:ilvl w:val="0"/>
          <w:numId w:val="15"/>
        </w:numPr>
        <w:jc w:val="both"/>
        <w:rPr>
          <w:rFonts w:ascii="Garamond" w:hAnsi="Garamond"/>
          <w:b/>
          <w:sz w:val="24"/>
          <w:szCs w:val="24"/>
        </w:rPr>
      </w:pPr>
      <w:r w:rsidRPr="00337C4E">
        <w:rPr>
          <w:rFonts w:ascii="Garamond" w:hAnsi="Garamond"/>
          <w:b/>
          <w:sz w:val="24"/>
          <w:szCs w:val="24"/>
        </w:rPr>
        <w:t>Migration and f</w:t>
      </w:r>
      <w:r w:rsidR="004B139F" w:rsidRPr="00337C4E">
        <w:rPr>
          <w:rFonts w:ascii="Garamond" w:hAnsi="Garamond"/>
          <w:b/>
          <w:sz w:val="24"/>
          <w:szCs w:val="24"/>
        </w:rPr>
        <w:t>ree movement of workers</w:t>
      </w:r>
      <w:r w:rsidR="004B139F">
        <w:rPr>
          <w:rFonts w:ascii="Garamond" w:hAnsi="Garamond"/>
          <w:sz w:val="24"/>
          <w:szCs w:val="24"/>
        </w:rPr>
        <w:t>: the UK would not have to pay work-related benefits to newly arriving EU citizens for the first 4 years after their arrival</w:t>
      </w:r>
      <w:r w:rsidR="000063DA">
        <w:rPr>
          <w:rFonts w:ascii="Garamond" w:hAnsi="Garamond"/>
          <w:sz w:val="24"/>
          <w:szCs w:val="24"/>
        </w:rPr>
        <w:t xml:space="preserve"> (this would only be possible for a period of 7 years)</w:t>
      </w:r>
      <w:r w:rsidR="004B139F">
        <w:rPr>
          <w:rFonts w:ascii="Garamond" w:hAnsi="Garamond"/>
          <w:sz w:val="24"/>
          <w:szCs w:val="24"/>
        </w:rPr>
        <w:t>; child benefits for children living in other EU Member States would be indexed based on the cost of living in those Member States</w:t>
      </w:r>
    </w:p>
    <w:p w14:paraId="6CF88FA7" w14:textId="77777777" w:rsidR="004B139F" w:rsidRPr="004B139F" w:rsidRDefault="004B139F" w:rsidP="004B139F">
      <w:pPr>
        <w:pStyle w:val="ListParagraph"/>
        <w:rPr>
          <w:rFonts w:ascii="Garamond" w:hAnsi="Garamond"/>
          <w:b/>
          <w:sz w:val="24"/>
          <w:szCs w:val="24"/>
        </w:rPr>
      </w:pPr>
    </w:p>
    <w:p w14:paraId="16ABDBD4" w14:textId="77777777" w:rsidR="004B139F" w:rsidRPr="004B139F" w:rsidRDefault="002546AD" w:rsidP="004B139F">
      <w:pPr>
        <w:pStyle w:val="ListParagraph"/>
        <w:numPr>
          <w:ilvl w:val="0"/>
          <w:numId w:val="14"/>
        </w:numPr>
        <w:jc w:val="both"/>
        <w:rPr>
          <w:rFonts w:ascii="Garamond" w:hAnsi="Garamond"/>
          <w:b/>
          <w:sz w:val="24"/>
          <w:szCs w:val="24"/>
        </w:rPr>
      </w:pPr>
      <w:r>
        <w:rPr>
          <w:rFonts w:ascii="Garamond" w:hAnsi="Garamond"/>
          <w:sz w:val="24"/>
          <w:szCs w:val="24"/>
        </w:rPr>
        <w:t>Ultimately, t</w:t>
      </w:r>
      <w:r w:rsidR="004B139F">
        <w:rPr>
          <w:rFonts w:ascii="Garamond" w:hAnsi="Garamond"/>
          <w:sz w:val="24"/>
          <w:szCs w:val="24"/>
        </w:rPr>
        <w:t xml:space="preserve">he deal concluded between the EU and </w:t>
      </w:r>
      <w:r>
        <w:rPr>
          <w:rFonts w:ascii="Garamond" w:hAnsi="Garamond"/>
          <w:sz w:val="24"/>
          <w:szCs w:val="24"/>
        </w:rPr>
        <w:t>Cameron in February 2016 did not prove to be good enough to convince UK citizens to remain in the EU. On 23</w:t>
      </w:r>
      <w:r w:rsidRPr="002546AD">
        <w:rPr>
          <w:rFonts w:ascii="Garamond" w:hAnsi="Garamond"/>
          <w:sz w:val="24"/>
          <w:szCs w:val="24"/>
          <w:vertAlign w:val="superscript"/>
        </w:rPr>
        <w:t>rd</w:t>
      </w:r>
      <w:r>
        <w:rPr>
          <w:rFonts w:ascii="Garamond" w:hAnsi="Garamond"/>
          <w:sz w:val="24"/>
          <w:szCs w:val="24"/>
        </w:rPr>
        <w:t xml:space="preserve"> June 2016, the UK citizens voted to leave the EU with a 51.89% majority. This made it necessary for the UK to initiate the procedure to withdraw from the EU under Article 50 TEU. </w:t>
      </w:r>
    </w:p>
    <w:p w14:paraId="5A1D05B1" w14:textId="77777777" w:rsidR="001D4D9D" w:rsidRDefault="001D4D9D" w:rsidP="001D4D9D">
      <w:pPr>
        <w:pStyle w:val="ListParagraph"/>
        <w:jc w:val="both"/>
        <w:rPr>
          <w:rFonts w:ascii="Garamond" w:hAnsi="Garamond"/>
          <w:b/>
          <w:sz w:val="24"/>
          <w:szCs w:val="24"/>
        </w:rPr>
      </w:pPr>
    </w:p>
    <w:p w14:paraId="2670418D" w14:textId="1E31C8C5" w:rsidR="001D4D9D" w:rsidRDefault="00402292" w:rsidP="001D4D9D">
      <w:pPr>
        <w:pStyle w:val="ListParagraph"/>
        <w:numPr>
          <w:ilvl w:val="0"/>
          <w:numId w:val="13"/>
        </w:numPr>
        <w:jc w:val="both"/>
        <w:rPr>
          <w:rFonts w:ascii="Garamond" w:hAnsi="Garamond"/>
          <w:b/>
          <w:sz w:val="24"/>
          <w:szCs w:val="24"/>
        </w:rPr>
      </w:pPr>
      <w:r>
        <w:rPr>
          <w:rFonts w:ascii="Garamond" w:hAnsi="Garamond"/>
          <w:b/>
          <w:sz w:val="24"/>
          <w:szCs w:val="24"/>
        </w:rPr>
        <w:t>Article 50 TEU: W</w:t>
      </w:r>
      <w:r w:rsidR="001D4D9D">
        <w:rPr>
          <w:rFonts w:ascii="Garamond" w:hAnsi="Garamond"/>
          <w:b/>
          <w:sz w:val="24"/>
          <w:szCs w:val="24"/>
        </w:rPr>
        <w:t>ithdrawing from the EU</w:t>
      </w:r>
    </w:p>
    <w:p w14:paraId="3B8F876E" w14:textId="77777777" w:rsidR="00944F11" w:rsidRDefault="00944F11" w:rsidP="00944F11">
      <w:pPr>
        <w:pStyle w:val="ListParagraph"/>
        <w:jc w:val="both"/>
        <w:rPr>
          <w:rFonts w:ascii="Garamond" w:hAnsi="Garamond"/>
          <w:b/>
          <w:sz w:val="24"/>
          <w:szCs w:val="24"/>
        </w:rPr>
      </w:pPr>
    </w:p>
    <w:p w14:paraId="0C4B4C33" w14:textId="77777777" w:rsidR="00944F11" w:rsidRPr="00944F11" w:rsidRDefault="00944F11" w:rsidP="00944F11">
      <w:pPr>
        <w:pStyle w:val="ListParagraph"/>
        <w:jc w:val="both"/>
        <w:rPr>
          <w:rFonts w:ascii="Garamond" w:hAnsi="Garamond"/>
          <w:b/>
          <w:i/>
          <w:sz w:val="24"/>
          <w:szCs w:val="24"/>
        </w:rPr>
      </w:pPr>
      <w:r w:rsidRPr="00944F11">
        <w:rPr>
          <w:rFonts w:ascii="Garamond" w:hAnsi="Garamond"/>
          <w:b/>
          <w:i/>
          <w:sz w:val="24"/>
          <w:szCs w:val="24"/>
        </w:rPr>
        <w:t xml:space="preserve">Article 50 </w:t>
      </w:r>
    </w:p>
    <w:p w14:paraId="3FB6EDB6" w14:textId="77777777" w:rsidR="00944F11" w:rsidRPr="00944F11" w:rsidRDefault="00944F11" w:rsidP="00944F11">
      <w:pPr>
        <w:pStyle w:val="ListParagraph"/>
        <w:jc w:val="both"/>
        <w:rPr>
          <w:rFonts w:ascii="Garamond" w:hAnsi="Garamond"/>
          <w:i/>
          <w:sz w:val="24"/>
          <w:szCs w:val="24"/>
        </w:rPr>
      </w:pPr>
    </w:p>
    <w:p w14:paraId="67CA26E5" w14:textId="77777777" w:rsidR="00944F11" w:rsidRPr="00944F11" w:rsidRDefault="00944F11" w:rsidP="00944F11">
      <w:pPr>
        <w:pStyle w:val="ListParagraph"/>
        <w:numPr>
          <w:ilvl w:val="0"/>
          <w:numId w:val="18"/>
        </w:numPr>
        <w:jc w:val="both"/>
        <w:rPr>
          <w:rFonts w:ascii="Garamond" w:hAnsi="Garamond"/>
          <w:i/>
          <w:sz w:val="24"/>
          <w:szCs w:val="24"/>
        </w:rPr>
      </w:pPr>
      <w:r w:rsidRPr="00944F11">
        <w:rPr>
          <w:rFonts w:ascii="Garamond" w:hAnsi="Garamond"/>
          <w:i/>
          <w:sz w:val="24"/>
          <w:szCs w:val="24"/>
        </w:rPr>
        <w:t>Any Member State may decide to withdraw from the Union in accordance with its own constitutional</w:t>
      </w:r>
      <w:r>
        <w:rPr>
          <w:rFonts w:ascii="Garamond" w:hAnsi="Garamond"/>
          <w:i/>
          <w:sz w:val="24"/>
          <w:szCs w:val="24"/>
        </w:rPr>
        <w:t xml:space="preserve"> </w:t>
      </w:r>
      <w:r w:rsidRPr="00944F11">
        <w:rPr>
          <w:rFonts w:ascii="Garamond" w:hAnsi="Garamond"/>
          <w:i/>
          <w:sz w:val="24"/>
          <w:szCs w:val="24"/>
        </w:rPr>
        <w:t xml:space="preserve">requirements. </w:t>
      </w:r>
      <w:r>
        <w:rPr>
          <w:rFonts w:ascii="Garamond" w:hAnsi="Garamond"/>
          <w:i/>
          <w:sz w:val="24"/>
          <w:szCs w:val="24"/>
        </w:rPr>
        <w:t xml:space="preserve"> </w:t>
      </w:r>
    </w:p>
    <w:p w14:paraId="51431FD8" w14:textId="77777777" w:rsidR="00944F11" w:rsidRPr="00944F11" w:rsidRDefault="00944F11" w:rsidP="00944F11">
      <w:pPr>
        <w:pStyle w:val="ListParagraph"/>
        <w:jc w:val="both"/>
        <w:rPr>
          <w:rFonts w:ascii="Garamond" w:hAnsi="Garamond"/>
          <w:i/>
          <w:sz w:val="24"/>
          <w:szCs w:val="24"/>
        </w:rPr>
      </w:pPr>
    </w:p>
    <w:p w14:paraId="17297697" w14:textId="77777777" w:rsidR="00944F11" w:rsidRPr="00944F11" w:rsidRDefault="00944F11" w:rsidP="00944F11">
      <w:pPr>
        <w:pStyle w:val="ListParagraph"/>
        <w:numPr>
          <w:ilvl w:val="0"/>
          <w:numId w:val="18"/>
        </w:numPr>
        <w:jc w:val="both"/>
        <w:rPr>
          <w:rFonts w:ascii="Garamond" w:hAnsi="Garamond"/>
          <w:i/>
          <w:sz w:val="24"/>
          <w:szCs w:val="24"/>
        </w:rPr>
      </w:pPr>
      <w:r w:rsidRPr="00944F11">
        <w:rPr>
          <w:rFonts w:ascii="Garamond" w:hAnsi="Garamond"/>
          <w:i/>
          <w:sz w:val="24"/>
          <w:szCs w:val="24"/>
        </w:rPr>
        <w:t>A Member State which decides to withdraw shall notify the European Council of its intention. In the light of the guidelines provided by the European Council, the Union shall negotiate and conclude an agreement with that State, setting out the arrangements for its withdrawal, taking account of the framework for its future relationship with the Union. That agreement shall be negotiated in accordance with Article 218(3) of the Treaty on the Functioning of the European Union. It shall be concluded on behalf of the Union by the Council, acting by a qualified majority, after obtaining the consent of the European Parliament.</w:t>
      </w:r>
    </w:p>
    <w:p w14:paraId="2CB73F85" w14:textId="77777777" w:rsidR="00944F11" w:rsidRPr="00944F11" w:rsidRDefault="00944F11" w:rsidP="00944F11">
      <w:pPr>
        <w:pStyle w:val="ListParagraph"/>
        <w:ind w:left="1080"/>
        <w:jc w:val="both"/>
        <w:rPr>
          <w:rFonts w:ascii="Garamond" w:hAnsi="Garamond"/>
          <w:i/>
          <w:sz w:val="24"/>
          <w:szCs w:val="24"/>
        </w:rPr>
      </w:pPr>
    </w:p>
    <w:p w14:paraId="0D0CA1CB" w14:textId="77777777" w:rsidR="00944F11" w:rsidRPr="00944F11" w:rsidRDefault="00944F11" w:rsidP="00944F11">
      <w:pPr>
        <w:pStyle w:val="ListParagraph"/>
        <w:numPr>
          <w:ilvl w:val="0"/>
          <w:numId w:val="18"/>
        </w:numPr>
        <w:jc w:val="both"/>
        <w:rPr>
          <w:rFonts w:ascii="Garamond" w:hAnsi="Garamond"/>
          <w:i/>
          <w:sz w:val="24"/>
          <w:szCs w:val="24"/>
        </w:rPr>
      </w:pPr>
      <w:r w:rsidRPr="00944F11">
        <w:rPr>
          <w:rFonts w:ascii="Garamond" w:hAnsi="Garamond"/>
          <w:i/>
          <w:sz w:val="24"/>
          <w:szCs w:val="24"/>
        </w:rPr>
        <w:t xml:space="preserve">The Treaties shall cease to apply to the State in question from the date of entry into force of the withdrawal agreement or, failing that, two years after the notification referred to in paragraph 2, unless the European Council, in agreement with the Member State concerned, unanimously decides to extend this period. </w:t>
      </w:r>
    </w:p>
    <w:p w14:paraId="38A79F5F" w14:textId="77777777" w:rsidR="00944F11" w:rsidRPr="00944F11" w:rsidRDefault="00944F11" w:rsidP="00944F11">
      <w:pPr>
        <w:pStyle w:val="ListParagraph"/>
        <w:rPr>
          <w:rFonts w:ascii="Garamond" w:hAnsi="Garamond"/>
          <w:i/>
          <w:sz w:val="24"/>
          <w:szCs w:val="24"/>
        </w:rPr>
      </w:pPr>
    </w:p>
    <w:p w14:paraId="1199C2F3" w14:textId="77777777" w:rsidR="00944F11" w:rsidRPr="00944F11" w:rsidRDefault="00944F11" w:rsidP="00944F11">
      <w:pPr>
        <w:pStyle w:val="ListParagraph"/>
        <w:numPr>
          <w:ilvl w:val="0"/>
          <w:numId w:val="18"/>
        </w:numPr>
        <w:jc w:val="both"/>
        <w:rPr>
          <w:rFonts w:ascii="Garamond" w:hAnsi="Garamond"/>
          <w:i/>
          <w:sz w:val="24"/>
          <w:szCs w:val="24"/>
        </w:rPr>
      </w:pPr>
      <w:r w:rsidRPr="00944F11">
        <w:rPr>
          <w:rFonts w:ascii="Garamond" w:hAnsi="Garamond"/>
          <w:i/>
          <w:sz w:val="24"/>
          <w:szCs w:val="24"/>
        </w:rPr>
        <w:t xml:space="preserve">For the purposes of paragraphs 2 and 3, the member of the European Council or of the Council representing the withdrawing Member State shall not participate in the discussions of the European Council or Council or in decisions concerning it. A qualified majority shall be defined in accordance with Article 238(3)(b) of the Treaty on the Functioning of the European Union. </w:t>
      </w:r>
    </w:p>
    <w:p w14:paraId="52D8AA09" w14:textId="77777777" w:rsidR="00944F11" w:rsidRPr="00944F11" w:rsidRDefault="00944F11" w:rsidP="00944F11">
      <w:pPr>
        <w:pStyle w:val="ListParagraph"/>
        <w:rPr>
          <w:rFonts w:ascii="Garamond" w:hAnsi="Garamond"/>
          <w:i/>
          <w:sz w:val="24"/>
          <w:szCs w:val="24"/>
        </w:rPr>
      </w:pPr>
    </w:p>
    <w:p w14:paraId="5CFFF93A" w14:textId="77777777" w:rsidR="00944F11" w:rsidRPr="00944F11" w:rsidRDefault="00944F11" w:rsidP="00944F11">
      <w:pPr>
        <w:pStyle w:val="ListParagraph"/>
        <w:numPr>
          <w:ilvl w:val="0"/>
          <w:numId w:val="18"/>
        </w:numPr>
        <w:jc w:val="both"/>
        <w:rPr>
          <w:rFonts w:ascii="Garamond" w:hAnsi="Garamond"/>
          <w:i/>
          <w:sz w:val="24"/>
          <w:szCs w:val="24"/>
        </w:rPr>
      </w:pPr>
      <w:r w:rsidRPr="00944F11">
        <w:rPr>
          <w:rFonts w:ascii="Garamond" w:hAnsi="Garamond"/>
          <w:i/>
          <w:sz w:val="24"/>
          <w:szCs w:val="24"/>
        </w:rPr>
        <w:t>If a State which has withdrawn from the Union asks to rejoin, its request shall be subject to the procedure referred to in Article 49.</w:t>
      </w:r>
    </w:p>
    <w:p w14:paraId="63091DBB" w14:textId="77777777" w:rsidR="00944F11" w:rsidRDefault="00944F11" w:rsidP="00944F11">
      <w:pPr>
        <w:pStyle w:val="ListParagraph"/>
        <w:jc w:val="both"/>
        <w:rPr>
          <w:rFonts w:ascii="Garamond" w:hAnsi="Garamond"/>
          <w:b/>
          <w:sz w:val="24"/>
          <w:szCs w:val="24"/>
        </w:rPr>
      </w:pPr>
    </w:p>
    <w:p w14:paraId="60FBE371" w14:textId="55D9D2DD" w:rsidR="00402292" w:rsidRDefault="00944F11" w:rsidP="00944F11">
      <w:pPr>
        <w:pStyle w:val="ListParagraph"/>
        <w:numPr>
          <w:ilvl w:val="0"/>
          <w:numId w:val="16"/>
        </w:numPr>
        <w:jc w:val="both"/>
        <w:rPr>
          <w:rFonts w:ascii="Garamond" w:hAnsi="Garamond"/>
          <w:sz w:val="24"/>
          <w:szCs w:val="24"/>
        </w:rPr>
      </w:pPr>
      <w:r>
        <w:rPr>
          <w:rFonts w:ascii="Garamond" w:hAnsi="Garamond"/>
          <w:sz w:val="24"/>
          <w:szCs w:val="24"/>
        </w:rPr>
        <w:t xml:space="preserve">Article 50 TEU was introduced by the </w:t>
      </w:r>
      <w:r w:rsidRPr="00277355">
        <w:rPr>
          <w:rFonts w:ascii="Garamond" w:hAnsi="Garamond"/>
          <w:b/>
          <w:sz w:val="24"/>
          <w:szCs w:val="24"/>
        </w:rPr>
        <w:t>Treaty of Lisbon</w:t>
      </w:r>
      <w:r>
        <w:rPr>
          <w:rFonts w:ascii="Garamond" w:hAnsi="Garamond"/>
          <w:sz w:val="24"/>
          <w:szCs w:val="24"/>
        </w:rPr>
        <w:t xml:space="preserve"> in 2009. Before 2009, there was no e</w:t>
      </w:r>
      <w:r w:rsidR="00CC5EF4">
        <w:rPr>
          <w:rFonts w:ascii="Garamond" w:hAnsi="Garamond"/>
          <w:sz w:val="24"/>
          <w:szCs w:val="24"/>
        </w:rPr>
        <w:t xml:space="preserve">xpress mechanism for Member States to leave the European Union. It was generally accepted that it </w:t>
      </w:r>
      <w:r w:rsidR="00E80D1D">
        <w:rPr>
          <w:rFonts w:ascii="Garamond" w:hAnsi="Garamond"/>
          <w:sz w:val="24"/>
          <w:szCs w:val="24"/>
        </w:rPr>
        <w:t>would be</w:t>
      </w:r>
      <w:r w:rsidR="00CC5EF4">
        <w:rPr>
          <w:rFonts w:ascii="Garamond" w:hAnsi="Garamond"/>
          <w:sz w:val="24"/>
          <w:szCs w:val="24"/>
        </w:rPr>
        <w:t xml:space="preserve"> possible for Member States to leave the EU, but </w:t>
      </w:r>
      <w:r w:rsidR="00CC5EF4">
        <w:rPr>
          <w:rFonts w:ascii="Garamond" w:hAnsi="Garamond"/>
          <w:sz w:val="24"/>
          <w:szCs w:val="24"/>
        </w:rPr>
        <w:lastRenderedPageBreak/>
        <w:t>the Treaties did not provide for this possibility. Therefore, the withdrawal of a Member State from the EU would be covered by general rules and principles of international law. Article 50 TEU was originally develo</w:t>
      </w:r>
      <w:r w:rsidR="00682FFF">
        <w:rPr>
          <w:rFonts w:ascii="Garamond" w:hAnsi="Garamond"/>
          <w:sz w:val="24"/>
          <w:szCs w:val="24"/>
        </w:rPr>
        <w:t xml:space="preserve">ped for </w:t>
      </w:r>
      <w:r w:rsidR="00CC5EF4">
        <w:rPr>
          <w:rFonts w:ascii="Garamond" w:hAnsi="Garamond"/>
          <w:sz w:val="24"/>
          <w:szCs w:val="24"/>
        </w:rPr>
        <w:t xml:space="preserve">the European Constitution, which was abandoned in 2005. </w:t>
      </w:r>
    </w:p>
    <w:p w14:paraId="2FE46A5D" w14:textId="77777777" w:rsidR="00402292" w:rsidRDefault="00402292" w:rsidP="00402292">
      <w:pPr>
        <w:pStyle w:val="ListParagraph"/>
        <w:ind w:left="1080"/>
        <w:jc w:val="both"/>
        <w:rPr>
          <w:rFonts w:ascii="Garamond" w:hAnsi="Garamond"/>
          <w:sz w:val="24"/>
          <w:szCs w:val="24"/>
        </w:rPr>
      </w:pPr>
    </w:p>
    <w:p w14:paraId="6FC66BD8" w14:textId="7228548C" w:rsidR="00944F11" w:rsidRDefault="00CC5EF4" w:rsidP="00944F11">
      <w:pPr>
        <w:pStyle w:val="ListParagraph"/>
        <w:numPr>
          <w:ilvl w:val="0"/>
          <w:numId w:val="16"/>
        </w:numPr>
        <w:jc w:val="both"/>
        <w:rPr>
          <w:rFonts w:ascii="Garamond" w:hAnsi="Garamond"/>
          <w:sz w:val="24"/>
          <w:szCs w:val="24"/>
        </w:rPr>
      </w:pPr>
      <w:r>
        <w:rPr>
          <w:rFonts w:ascii="Garamond" w:hAnsi="Garamond"/>
          <w:sz w:val="24"/>
          <w:szCs w:val="24"/>
        </w:rPr>
        <w:t xml:space="preserve">In the drafting of Article 50 TEU, the drafters had </w:t>
      </w:r>
      <w:r w:rsidR="000063DA">
        <w:rPr>
          <w:rFonts w:ascii="Garamond" w:hAnsi="Garamond"/>
          <w:sz w:val="24"/>
          <w:szCs w:val="24"/>
        </w:rPr>
        <w:t>tried</w:t>
      </w:r>
      <w:r>
        <w:rPr>
          <w:rFonts w:ascii="Garamond" w:hAnsi="Garamond"/>
          <w:sz w:val="24"/>
          <w:szCs w:val="24"/>
        </w:rPr>
        <w:t xml:space="preserve"> to find a balance between a </w:t>
      </w:r>
      <w:r w:rsidRPr="00EF01BD">
        <w:rPr>
          <w:rFonts w:ascii="Garamond" w:hAnsi="Garamond"/>
          <w:i/>
          <w:sz w:val="24"/>
          <w:szCs w:val="24"/>
        </w:rPr>
        <w:t>supranational</w:t>
      </w:r>
      <w:r>
        <w:rPr>
          <w:rFonts w:ascii="Garamond" w:hAnsi="Garamond"/>
          <w:sz w:val="24"/>
          <w:szCs w:val="24"/>
        </w:rPr>
        <w:t xml:space="preserve"> and </w:t>
      </w:r>
      <w:r w:rsidR="00682FFF">
        <w:rPr>
          <w:rFonts w:ascii="Garamond" w:hAnsi="Garamond"/>
          <w:sz w:val="24"/>
          <w:szCs w:val="24"/>
        </w:rPr>
        <w:t>an</w:t>
      </w:r>
      <w:r>
        <w:rPr>
          <w:rFonts w:ascii="Garamond" w:hAnsi="Garamond"/>
          <w:sz w:val="24"/>
          <w:szCs w:val="24"/>
        </w:rPr>
        <w:t xml:space="preserve"> </w:t>
      </w:r>
      <w:r w:rsidRPr="00EF01BD">
        <w:rPr>
          <w:rFonts w:ascii="Garamond" w:hAnsi="Garamond"/>
          <w:i/>
          <w:sz w:val="24"/>
          <w:szCs w:val="24"/>
        </w:rPr>
        <w:t>intergovernmental</w:t>
      </w:r>
      <w:r>
        <w:rPr>
          <w:rFonts w:ascii="Garamond" w:hAnsi="Garamond"/>
          <w:sz w:val="24"/>
          <w:szCs w:val="24"/>
        </w:rPr>
        <w:t xml:space="preserve"> approach</w:t>
      </w:r>
      <w:r w:rsidR="00E80D1D">
        <w:rPr>
          <w:rFonts w:ascii="Garamond" w:hAnsi="Garamond"/>
          <w:sz w:val="24"/>
          <w:szCs w:val="24"/>
        </w:rPr>
        <w:t xml:space="preserve"> to withdrawal</w:t>
      </w:r>
      <w:r>
        <w:rPr>
          <w:rFonts w:ascii="Garamond" w:hAnsi="Garamond"/>
          <w:sz w:val="24"/>
          <w:szCs w:val="24"/>
        </w:rPr>
        <w:t>. According to the supranational approach, it would not be possible for EU Member States to unilaterally decide to withdraw from the EU. They would always require the consent of the other Member States – or, at least, a qualified majority of the other Member States. Moreover, Member States that wanted to withdraw</w:t>
      </w:r>
      <w:r w:rsidR="001F699C">
        <w:rPr>
          <w:rFonts w:ascii="Garamond" w:hAnsi="Garamond"/>
          <w:sz w:val="24"/>
          <w:szCs w:val="24"/>
        </w:rPr>
        <w:t xml:space="preserve"> from the EU would have to show that they had a good reason for doing so. </w:t>
      </w:r>
      <w:r w:rsidR="00327F63">
        <w:rPr>
          <w:rFonts w:ascii="Garamond" w:hAnsi="Garamond"/>
          <w:sz w:val="24"/>
          <w:szCs w:val="24"/>
        </w:rPr>
        <w:t>For example, this could</w:t>
      </w:r>
      <w:r w:rsidR="001F699C">
        <w:rPr>
          <w:rFonts w:ascii="Garamond" w:hAnsi="Garamond"/>
          <w:sz w:val="24"/>
          <w:szCs w:val="24"/>
        </w:rPr>
        <w:t xml:space="preserve"> be because the EU had decided to adopt </w:t>
      </w:r>
      <w:r w:rsidR="00C33762">
        <w:rPr>
          <w:rFonts w:ascii="Garamond" w:hAnsi="Garamond"/>
          <w:sz w:val="24"/>
          <w:szCs w:val="24"/>
        </w:rPr>
        <w:t>legislation that</w:t>
      </w:r>
      <w:r w:rsidR="001F699C">
        <w:rPr>
          <w:rFonts w:ascii="Garamond" w:hAnsi="Garamond"/>
          <w:sz w:val="24"/>
          <w:szCs w:val="24"/>
        </w:rPr>
        <w:t xml:space="preserve"> had been strongly opposed by the Member State </w:t>
      </w:r>
      <w:r w:rsidR="00EF01BD">
        <w:rPr>
          <w:rFonts w:ascii="Garamond" w:hAnsi="Garamond"/>
          <w:sz w:val="24"/>
          <w:szCs w:val="24"/>
        </w:rPr>
        <w:t>that</w:t>
      </w:r>
      <w:r w:rsidR="001F699C">
        <w:rPr>
          <w:rFonts w:ascii="Garamond" w:hAnsi="Garamond"/>
          <w:sz w:val="24"/>
          <w:szCs w:val="24"/>
        </w:rPr>
        <w:t xml:space="preserve"> now wanted to withdraw. </w:t>
      </w:r>
    </w:p>
    <w:p w14:paraId="2A24204D" w14:textId="77777777" w:rsidR="001F699C" w:rsidRDefault="001F699C" w:rsidP="001F699C">
      <w:pPr>
        <w:pStyle w:val="ListParagraph"/>
        <w:ind w:left="1080"/>
        <w:jc w:val="both"/>
        <w:rPr>
          <w:rFonts w:ascii="Garamond" w:hAnsi="Garamond"/>
          <w:sz w:val="24"/>
          <w:szCs w:val="24"/>
        </w:rPr>
      </w:pPr>
    </w:p>
    <w:p w14:paraId="46F7F3ED" w14:textId="12E55305" w:rsidR="001F699C" w:rsidRDefault="001F699C" w:rsidP="00944F11">
      <w:pPr>
        <w:pStyle w:val="ListParagraph"/>
        <w:numPr>
          <w:ilvl w:val="0"/>
          <w:numId w:val="16"/>
        </w:numPr>
        <w:jc w:val="both"/>
        <w:rPr>
          <w:rFonts w:ascii="Garamond" w:hAnsi="Garamond"/>
          <w:sz w:val="24"/>
          <w:szCs w:val="24"/>
        </w:rPr>
      </w:pPr>
      <w:r>
        <w:rPr>
          <w:rFonts w:ascii="Garamond" w:hAnsi="Garamond"/>
          <w:sz w:val="24"/>
          <w:szCs w:val="24"/>
        </w:rPr>
        <w:t>Such a supranational approach to withdrawal from the EU was opposed by most of the Member States. They proposed a</w:t>
      </w:r>
      <w:r w:rsidR="00327F63">
        <w:rPr>
          <w:rFonts w:ascii="Garamond" w:hAnsi="Garamond"/>
          <w:sz w:val="24"/>
          <w:szCs w:val="24"/>
        </w:rPr>
        <w:t xml:space="preserve">n </w:t>
      </w:r>
      <w:r>
        <w:rPr>
          <w:rFonts w:ascii="Garamond" w:hAnsi="Garamond"/>
          <w:sz w:val="24"/>
          <w:szCs w:val="24"/>
        </w:rPr>
        <w:t xml:space="preserve">intergovernmental approach to withdrawal, which would give Member States </w:t>
      </w:r>
      <w:r w:rsidR="009D3A6C">
        <w:rPr>
          <w:rFonts w:ascii="Garamond" w:hAnsi="Garamond"/>
          <w:sz w:val="24"/>
          <w:szCs w:val="24"/>
        </w:rPr>
        <w:t>a</w:t>
      </w:r>
      <w:r>
        <w:rPr>
          <w:rFonts w:ascii="Garamond" w:hAnsi="Garamond"/>
          <w:sz w:val="24"/>
          <w:szCs w:val="24"/>
        </w:rPr>
        <w:t xml:space="preserve"> unilateral right to withdraw. EU law would then automatically cease to be applicable to the withdrawing Member State after a certain period of time. </w:t>
      </w:r>
      <w:r w:rsidR="00E80D1D">
        <w:rPr>
          <w:rFonts w:ascii="Garamond" w:hAnsi="Garamond"/>
          <w:sz w:val="24"/>
          <w:szCs w:val="24"/>
        </w:rPr>
        <w:t xml:space="preserve">Such an </w:t>
      </w:r>
      <w:r>
        <w:rPr>
          <w:rFonts w:ascii="Garamond" w:hAnsi="Garamond"/>
          <w:sz w:val="24"/>
          <w:szCs w:val="24"/>
        </w:rPr>
        <w:t>approach was more consistent with traditional international law rules and principles</w:t>
      </w:r>
      <w:r w:rsidR="00E80D1D">
        <w:rPr>
          <w:rFonts w:ascii="Garamond" w:hAnsi="Garamond"/>
          <w:sz w:val="24"/>
          <w:szCs w:val="24"/>
        </w:rPr>
        <w:t xml:space="preserve"> – it protected the sovereignty of the Member States</w:t>
      </w:r>
      <w:r>
        <w:rPr>
          <w:rFonts w:ascii="Garamond" w:hAnsi="Garamond"/>
          <w:sz w:val="24"/>
          <w:szCs w:val="24"/>
        </w:rPr>
        <w:t>. However, because of the strong economic and legal integration between EU Member States, it would also cause several practical and legal difficulties.</w:t>
      </w:r>
    </w:p>
    <w:p w14:paraId="3155AFA7" w14:textId="77777777" w:rsidR="001F699C" w:rsidRPr="001F699C" w:rsidRDefault="001F699C" w:rsidP="001F699C">
      <w:pPr>
        <w:pStyle w:val="ListParagraph"/>
        <w:rPr>
          <w:rFonts w:ascii="Garamond" w:hAnsi="Garamond"/>
          <w:sz w:val="24"/>
          <w:szCs w:val="24"/>
        </w:rPr>
      </w:pPr>
    </w:p>
    <w:p w14:paraId="7D6BBCBE" w14:textId="25813839" w:rsidR="00402292" w:rsidRDefault="001F699C" w:rsidP="00944F11">
      <w:pPr>
        <w:pStyle w:val="ListParagraph"/>
        <w:numPr>
          <w:ilvl w:val="0"/>
          <w:numId w:val="16"/>
        </w:numPr>
        <w:jc w:val="both"/>
        <w:rPr>
          <w:rFonts w:ascii="Garamond" w:hAnsi="Garamond"/>
          <w:sz w:val="24"/>
          <w:szCs w:val="24"/>
        </w:rPr>
      </w:pPr>
      <w:r>
        <w:rPr>
          <w:rFonts w:ascii="Garamond" w:hAnsi="Garamond"/>
          <w:sz w:val="24"/>
          <w:szCs w:val="24"/>
        </w:rPr>
        <w:t xml:space="preserve">Against this background, Article 50 TEU seeks to achieve a balance between </w:t>
      </w:r>
      <w:r w:rsidR="00D014F9">
        <w:rPr>
          <w:rFonts w:ascii="Garamond" w:hAnsi="Garamond"/>
          <w:sz w:val="24"/>
          <w:szCs w:val="24"/>
        </w:rPr>
        <w:t>a</w:t>
      </w:r>
      <w:r>
        <w:rPr>
          <w:rFonts w:ascii="Garamond" w:hAnsi="Garamond"/>
          <w:sz w:val="24"/>
          <w:szCs w:val="24"/>
        </w:rPr>
        <w:t xml:space="preserve"> supranational and intergovernmental approach to withdrawal. It does </w:t>
      </w:r>
      <w:r w:rsidR="00E80D1D">
        <w:rPr>
          <w:rFonts w:ascii="Garamond" w:hAnsi="Garamond"/>
          <w:sz w:val="24"/>
          <w:szCs w:val="24"/>
        </w:rPr>
        <w:t>this</w:t>
      </w:r>
      <w:r>
        <w:rPr>
          <w:rFonts w:ascii="Garamond" w:hAnsi="Garamond"/>
          <w:sz w:val="24"/>
          <w:szCs w:val="24"/>
        </w:rPr>
        <w:t xml:space="preserve"> by making a clear distinction between the </w:t>
      </w:r>
      <w:r w:rsidRPr="00583F64">
        <w:rPr>
          <w:rFonts w:ascii="Garamond" w:hAnsi="Garamond"/>
          <w:i/>
          <w:sz w:val="24"/>
          <w:szCs w:val="24"/>
        </w:rPr>
        <w:t>decision</w:t>
      </w:r>
      <w:r>
        <w:rPr>
          <w:rFonts w:ascii="Garamond" w:hAnsi="Garamond"/>
          <w:sz w:val="24"/>
          <w:szCs w:val="24"/>
        </w:rPr>
        <w:t xml:space="preserve"> to withdraw from the EU and the </w:t>
      </w:r>
      <w:r w:rsidRPr="00583F64">
        <w:rPr>
          <w:rFonts w:ascii="Garamond" w:hAnsi="Garamond"/>
          <w:i/>
          <w:sz w:val="24"/>
          <w:szCs w:val="24"/>
        </w:rPr>
        <w:t>process</w:t>
      </w:r>
      <w:r>
        <w:rPr>
          <w:rFonts w:ascii="Garamond" w:hAnsi="Garamond"/>
          <w:sz w:val="24"/>
          <w:szCs w:val="24"/>
        </w:rPr>
        <w:t xml:space="preserve"> for withdrawal. The decision to withdraw is unilateral. A Member State can independently decide to withdraw from the EU. It does not have to provide a (good) reason for doing so</w:t>
      </w:r>
      <w:r w:rsidR="006E6E3F">
        <w:rPr>
          <w:rFonts w:ascii="Garamond" w:hAnsi="Garamond"/>
          <w:sz w:val="24"/>
          <w:szCs w:val="24"/>
        </w:rPr>
        <w:t xml:space="preserve">. </w:t>
      </w:r>
    </w:p>
    <w:p w14:paraId="59313826" w14:textId="77777777" w:rsidR="00402292" w:rsidRPr="00402292" w:rsidRDefault="00402292" w:rsidP="00402292">
      <w:pPr>
        <w:pStyle w:val="ListParagraph"/>
        <w:rPr>
          <w:rFonts w:ascii="Garamond" w:hAnsi="Garamond"/>
          <w:sz w:val="24"/>
          <w:szCs w:val="24"/>
        </w:rPr>
      </w:pPr>
    </w:p>
    <w:p w14:paraId="3F406A5E" w14:textId="04382854" w:rsidR="001F699C" w:rsidRDefault="006E6E3F" w:rsidP="00944F11">
      <w:pPr>
        <w:pStyle w:val="ListParagraph"/>
        <w:numPr>
          <w:ilvl w:val="0"/>
          <w:numId w:val="16"/>
        </w:numPr>
        <w:jc w:val="both"/>
        <w:rPr>
          <w:rFonts w:ascii="Garamond" w:hAnsi="Garamond"/>
          <w:sz w:val="24"/>
          <w:szCs w:val="24"/>
        </w:rPr>
      </w:pPr>
      <w:r>
        <w:rPr>
          <w:rFonts w:ascii="Garamond" w:hAnsi="Garamond"/>
          <w:sz w:val="24"/>
          <w:szCs w:val="24"/>
        </w:rPr>
        <w:t xml:space="preserve">The EU – and EU law – does not control the process that leads to the decision by a Member State to withdraw from the EU. This process is governed by the Member State’s “own constitutional requirements”. This is exactly what the </w:t>
      </w:r>
      <w:r w:rsidRPr="00884FD2">
        <w:rPr>
          <w:rFonts w:ascii="Garamond" w:hAnsi="Garamond"/>
          <w:i/>
          <w:sz w:val="24"/>
          <w:szCs w:val="24"/>
        </w:rPr>
        <w:t>Miller</w:t>
      </w:r>
      <w:r w:rsidR="00744360">
        <w:rPr>
          <w:rFonts w:ascii="Garamond" w:hAnsi="Garamond"/>
          <w:sz w:val="24"/>
          <w:szCs w:val="24"/>
        </w:rPr>
        <w:t xml:space="preserve"> case</w:t>
      </w:r>
      <w:r w:rsidR="00327F63">
        <w:rPr>
          <w:rFonts w:ascii="Garamond" w:hAnsi="Garamond"/>
          <w:sz w:val="24"/>
          <w:szCs w:val="24"/>
        </w:rPr>
        <w:t>s</w:t>
      </w:r>
      <w:r w:rsidR="00744360">
        <w:rPr>
          <w:rFonts w:ascii="Garamond" w:hAnsi="Garamond"/>
          <w:sz w:val="24"/>
          <w:szCs w:val="24"/>
        </w:rPr>
        <w:t xml:space="preserve"> w</w:t>
      </w:r>
      <w:r w:rsidR="00327F63">
        <w:rPr>
          <w:rFonts w:ascii="Garamond" w:hAnsi="Garamond"/>
          <w:sz w:val="24"/>
          <w:szCs w:val="24"/>
        </w:rPr>
        <w:t>ere</w:t>
      </w:r>
      <w:r w:rsidR="00744360">
        <w:rPr>
          <w:rFonts w:ascii="Garamond" w:hAnsi="Garamond"/>
          <w:sz w:val="24"/>
          <w:szCs w:val="24"/>
        </w:rPr>
        <w:t xml:space="preserve"> about: </w:t>
      </w:r>
      <w:r>
        <w:rPr>
          <w:rFonts w:ascii="Garamond" w:hAnsi="Garamond"/>
          <w:sz w:val="24"/>
          <w:szCs w:val="24"/>
        </w:rPr>
        <w:t xml:space="preserve">what were the constitutional rules that governed the UK’s decision to leave the EU and what was the role of the UK Parliament in this process? This is not </w:t>
      </w:r>
      <w:r w:rsidR="00682FFF">
        <w:rPr>
          <w:rFonts w:ascii="Garamond" w:hAnsi="Garamond"/>
          <w:sz w:val="24"/>
          <w:szCs w:val="24"/>
        </w:rPr>
        <w:t>an issue EU law has anything to say about</w:t>
      </w:r>
      <w:r>
        <w:rPr>
          <w:rFonts w:ascii="Garamond" w:hAnsi="Garamond"/>
          <w:sz w:val="24"/>
          <w:szCs w:val="24"/>
        </w:rPr>
        <w:t>. For example, it would not have been possible for the UK Supreme Court to make a preliminary reference to the Court of Justice on what the precise constitutional requirements in UK law were. This would have required the Court of Justice to interpret UK law.</w:t>
      </w:r>
    </w:p>
    <w:p w14:paraId="253D63AE" w14:textId="77777777" w:rsidR="006E6E3F" w:rsidRDefault="006E6E3F" w:rsidP="006E6E3F">
      <w:pPr>
        <w:pStyle w:val="ListParagraph"/>
        <w:ind w:left="1080"/>
        <w:jc w:val="both"/>
        <w:rPr>
          <w:rFonts w:ascii="Garamond" w:hAnsi="Garamond"/>
          <w:sz w:val="24"/>
          <w:szCs w:val="24"/>
        </w:rPr>
      </w:pPr>
    </w:p>
    <w:p w14:paraId="3F25C149" w14:textId="111F3B8E" w:rsidR="009D3A6C" w:rsidRDefault="006E6E3F" w:rsidP="00944F11">
      <w:pPr>
        <w:pStyle w:val="ListParagraph"/>
        <w:numPr>
          <w:ilvl w:val="0"/>
          <w:numId w:val="16"/>
        </w:numPr>
        <w:jc w:val="both"/>
        <w:rPr>
          <w:rFonts w:ascii="Garamond" w:hAnsi="Garamond"/>
          <w:sz w:val="24"/>
          <w:szCs w:val="24"/>
        </w:rPr>
      </w:pPr>
      <w:r>
        <w:rPr>
          <w:rFonts w:ascii="Garamond" w:hAnsi="Garamond"/>
          <w:sz w:val="24"/>
          <w:szCs w:val="24"/>
        </w:rPr>
        <w:t>Although the decision to withdraw is made entirely independently</w:t>
      </w:r>
      <w:r w:rsidR="009D3A6C">
        <w:rPr>
          <w:rFonts w:ascii="Garamond" w:hAnsi="Garamond"/>
          <w:sz w:val="24"/>
          <w:szCs w:val="24"/>
        </w:rPr>
        <w:t xml:space="preserve"> and unilaterally by a Member State</w:t>
      </w:r>
      <w:r>
        <w:rPr>
          <w:rFonts w:ascii="Garamond" w:hAnsi="Garamond"/>
          <w:sz w:val="24"/>
          <w:szCs w:val="24"/>
        </w:rPr>
        <w:t xml:space="preserve">, the process to withdraw is significantly more supranational. Basically, it shifts the balance of power from the withdrawing Member State to the remaining Member States. Article 50(2) provides that </w:t>
      </w:r>
      <w:r w:rsidR="009D3A6C">
        <w:rPr>
          <w:rFonts w:ascii="Garamond" w:hAnsi="Garamond"/>
          <w:sz w:val="24"/>
          <w:szCs w:val="24"/>
        </w:rPr>
        <w:t>the withdrawing Member State has to notify the European Council. The UK Government did this on 29</w:t>
      </w:r>
      <w:r w:rsidR="009D3A6C" w:rsidRPr="009D3A6C">
        <w:rPr>
          <w:rFonts w:ascii="Garamond" w:hAnsi="Garamond"/>
          <w:sz w:val="24"/>
          <w:szCs w:val="24"/>
          <w:vertAlign w:val="superscript"/>
        </w:rPr>
        <w:t>th</w:t>
      </w:r>
      <w:r w:rsidR="009D3A6C">
        <w:rPr>
          <w:rFonts w:ascii="Garamond" w:hAnsi="Garamond"/>
          <w:sz w:val="24"/>
          <w:szCs w:val="24"/>
        </w:rPr>
        <w:t xml:space="preserve"> March 2017. Th</w:t>
      </w:r>
      <w:r w:rsidR="00E80D1D">
        <w:rPr>
          <w:rFonts w:ascii="Garamond" w:hAnsi="Garamond"/>
          <w:sz w:val="24"/>
          <w:szCs w:val="24"/>
        </w:rPr>
        <w:t>is</w:t>
      </w:r>
      <w:r w:rsidR="009D3A6C">
        <w:rPr>
          <w:rFonts w:ascii="Garamond" w:hAnsi="Garamond"/>
          <w:sz w:val="24"/>
          <w:szCs w:val="24"/>
        </w:rPr>
        <w:t xml:space="preserve"> notification set the clock running: within two years of the notification, the Treaties are </w:t>
      </w:r>
      <w:r w:rsidR="009D3A6C">
        <w:rPr>
          <w:rFonts w:ascii="Garamond" w:hAnsi="Garamond"/>
          <w:sz w:val="24"/>
          <w:szCs w:val="24"/>
        </w:rPr>
        <w:lastRenderedPageBreak/>
        <w:t>no longer applicable to the withdrawing Member State. As a result, the EU and the UK ha</w:t>
      </w:r>
      <w:r w:rsidR="00E80D1D">
        <w:rPr>
          <w:rFonts w:ascii="Garamond" w:hAnsi="Garamond"/>
          <w:sz w:val="24"/>
          <w:szCs w:val="24"/>
        </w:rPr>
        <w:t>d</w:t>
      </w:r>
      <w:r w:rsidR="009D3A6C">
        <w:rPr>
          <w:rFonts w:ascii="Garamond" w:hAnsi="Garamond"/>
          <w:sz w:val="24"/>
          <w:szCs w:val="24"/>
        </w:rPr>
        <w:t xml:space="preserve"> to agree on a withdrawal agreement within two years of the no</w:t>
      </w:r>
      <w:r w:rsidR="00277355">
        <w:rPr>
          <w:rFonts w:ascii="Garamond" w:hAnsi="Garamond"/>
          <w:sz w:val="24"/>
          <w:szCs w:val="24"/>
        </w:rPr>
        <w:t>tification. If they did</w:t>
      </w:r>
      <w:r w:rsidR="009D3A6C">
        <w:rPr>
          <w:rFonts w:ascii="Garamond" w:hAnsi="Garamond"/>
          <w:sz w:val="24"/>
          <w:szCs w:val="24"/>
        </w:rPr>
        <w:t xml:space="preserve"> not manage to do this, the default scenario </w:t>
      </w:r>
      <w:r w:rsidR="00E80D1D">
        <w:rPr>
          <w:rFonts w:ascii="Garamond" w:hAnsi="Garamond"/>
          <w:sz w:val="24"/>
          <w:szCs w:val="24"/>
        </w:rPr>
        <w:t>wa</w:t>
      </w:r>
      <w:r w:rsidR="009D3A6C">
        <w:rPr>
          <w:rFonts w:ascii="Garamond" w:hAnsi="Garamond"/>
          <w:sz w:val="24"/>
          <w:szCs w:val="24"/>
        </w:rPr>
        <w:t xml:space="preserve">s that the UK </w:t>
      </w:r>
      <w:r w:rsidR="00277355">
        <w:rPr>
          <w:rFonts w:ascii="Garamond" w:hAnsi="Garamond"/>
          <w:sz w:val="24"/>
          <w:szCs w:val="24"/>
        </w:rPr>
        <w:t>would</w:t>
      </w:r>
      <w:r w:rsidR="009D3A6C">
        <w:rPr>
          <w:rFonts w:ascii="Garamond" w:hAnsi="Garamond"/>
          <w:sz w:val="24"/>
          <w:szCs w:val="24"/>
        </w:rPr>
        <w:t xml:space="preserve"> withdraw from the EU wit</w:t>
      </w:r>
      <w:r w:rsidR="00613A11">
        <w:rPr>
          <w:rFonts w:ascii="Garamond" w:hAnsi="Garamond"/>
          <w:sz w:val="24"/>
          <w:szCs w:val="24"/>
        </w:rPr>
        <w:t>hout</w:t>
      </w:r>
      <w:r w:rsidR="009D3A6C">
        <w:rPr>
          <w:rFonts w:ascii="Garamond" w:hAnsi="Garamond"/>
          <w:sz w:val="24"/>
          <w:szCs w:val="24"/>
        </w:rPr>
        <w:t xml:space="preserve"> any kind of withdrawal agreement. The only way to avoid this would be to extend the period to negotiate the withdrawal agreement. However, this </w:t>
      </w:r>
      <w:r w:rsidR="00E80D1D">
        <w:rPr>
          <w:rFonts w:ascii="Garamond" w:hAnsi="Garamond"/>
          <w:sz w:val="24"/>
          <w:szCs w:val="24"/>
        </w:rPr>
        <w:t>wa</w:t>
      </w:r>
      <w:r w:rsidR="009D3A6C">
        <w:rPr>
          <w:rFonts w:ascii="Garamond" w:hAnsi="Garamond"/>
          <w:sz w:val="24"/>
          <w:szCs w:val="24"/>
        </w:rPr>
        <w:t>s only possible if the European Council unanimously decide</w:t>
      </w:r>
      <w:r w:rsidR="00E80D1D">
        <w:rPr>
          <w:rFonts w:ascii="Garamond" w:hAnsi="Garamond"/>
          <w:sz w:val="24"/>
          <w:szCs w:val="24"/>
        </w:rPr>
        <w:t>d</w:t>
      </w:r>
      <w:r w:rsidR="009D3A6C">
        <w:rPr>
          <w:rFonts w:ascii="Garamond" w:hAnsi="Garamond"/>
          <w:sz w:val="24"/>
          <w:szCs w:val="24"/>
        </w:rPr>
        <w:t xml:space="preserve"> to extend it – with the support of the UK.</w:t>
      </w:r>
      <w:r w:rsidR="00277355">
        <w:rPr>
          <w:rFonts w:ascii="Garamond" w:hAnsi="Garamond"/>
          <w:sz w:val="24"/>
          <w:szCs w:val="24"/>
        </w:rPr>
        <w:t xml:space="preserve"> Ultimately, a number of extensions were agreed between the EU and the UK to extend the period to negotiate the </w:t>
      </w:r>
      <w:r w:rsidR="00744360">
        <w:rPr>
          <w:rFonts w:ascii="Garamond" w:hAnsi="Garamond"/>
          <w:sz w:val="24"/>
          <w:szCs w:val="24"/>
        </w:rPr>
        <w:t>W</w:t>
      </w:r>
      <w:r w:rsidR="00277355">
        <w:rPr>
          <w:rFonts w:ascii="Garamond" w:hAnsi="Garamond"/>
          <w:sz w:val="24"/>
          <w:szCs w:val="24"/>
        </w:rPr>
        <w:t xml:space="preserve">ithdrawal </w:t>
      </w:r>
      <w:r w:rsidR="00744360">
        <w:rPr>
          <w:rFonts w:ascii="Garamond" w:hAnsi="Garamond"/>
          <w:sz w:val="24"/>
          <w:szCs w:val="24"/>
        </w:rPr>
        <w:t>A</w:t>
      </w:r>
      <w:r w:rsidR="00277355">
        <w:rPr>
          <w:rFonts w:ascii="Garamond" w:hAnsi="Garamond"/>
          <w:sz w:val="24"/>
          <w:szCs w:val="24"/>
        </w:rPr>
        <w:t>greement from 29</w:t>
      </w:r>
      <w:r w:rsidR="00277355" w:rsidRPr="00277355">
        <w:rPr>
          <w:rFonts w:ascii="Garamond" w:hAnsi="Garamond"/>
          <w:sz w:val="24"/>
          <w:szCs w:val="24"/>
          <w:vertAlign w:val="superscript"/>
        </w:rPr>
        <w:t>th</w:t>
      </w:r>
      <w:r w:rsidR="00277355">
        <w:rPr>
          <w:rFonts w:ascii="Garamond" w:hAnsi="Garamond"/>
          <w:sz w:val="24"/>
          <w:szCs w:val="24"/>
        </w:rPr>
        <w:t xml:space="preserve"> March 2019 to 31</w:t>
      </w:r>
      <w:r w:rsidR="00277355" w:rsidRPr="00277355">
        <w:rPr>
          <w:rFonts w:ascii="Garamond" w:hAnsi="Garamond"/>
          <w:sz w:val="24"/>
          <w:szCs w:val="24"/>
          <w:vertAlign w:val="superscript"/>
        </w:rPr>
        <w:t>st</w:t>
      </w:r>
      <w:r w:rsidR="00277355">
        <w:rPr>
          <w:rFonts w:ascii="Garamond" w:hAnsi="Garamond"/>
          <w:sz w:val="24"/>
          <w:szCs w:val="24"/>
        </w:rPr>
        <w:t xml:space="preserve"> January 2020.</w:t>
      </w:r>
    </w:p>
    <w:p w14:paraId="2674D467" w14:textId="77777777" w:rsidR="009D3A6C" w:rsidRPr="009D3A6C" w:rsidRDefault="009D3A6C" w:rsidP="009D3A6C">
      <w:pPr>
        <w:pStyle w:val="ListParagraph"/>
        <w:rPr>
          <w:rFonts w:ascii="Garamond" w:hAnsi="Garamond"/>
          <w:sz w:val="24"/>
          <w:szCs w:val="24"/>
        </w:rPr>
      </w:pPr>
    </w:p>
    <w:p w14:paraId="25BBCA99" w14:textId="06F17729" w:rsidR="00277355" w:rsidRDefault="009D3A6C" w:rsidP="00C33762">
      <w:pPr>
        <w:pStyle w:val="ListParagraph"/>
        <w:numPr>
          <w:ilvl w:val="0"/>
          <w:numId w:val="16"/>
        </w:numPr>
        <w:jc w:val="both"/>
        <w:rPr>
          <w:rFonts w:ascii="Garamond" w:hAnsi="Garamond"/>
          <w:sz w:val="24"/>
          <w:szCs w:val="24"/>
        </w:rPr>
      </w:pPr>
      <w:r>
        <w:rPr>
          <w:rFonts w:ascii="Garamond" w:hAnsi="Garamond"/>
          <w:sz w:val="24"/>
          <w:szCs w:val="24"/>
        </w:rPr>
        <w:t>Article 50(2) makes</w:t>
      </w:r>
      <w:r w:rsidR="006E3B45">
        <w:rPr>
          <w:rFonts w:ascii="Garamond" w:hAnsi="Garamond"/>
          <w:sz w:val="24"/>
          <w:szCs w:val="24"/>
        </w:rPr>
        <w:t xml:space="preserve"> it</w:t>
      </w:r>
      <w:r>
        <w:rPr>
          <w:rFonts w:ascii="Garamond" w:hAnsi="Garamond"/>
          <w:sz w:val="24"/>
          <w:szCs w:val="24"/>
        </w:rPr>
        <w:t xml:space="preserve"> clear that the rules</w:t>
      </w:r>
      <w:r w:rsidR="00613A11">
        <w:rPr>
          <w:rFonts w:ascii="Garamond" w:hAnsi="Garamond"/>
          <w:sz w:val="24"/>
          <w:szCs w:val="24"/>
        </w:rPr>
        <w:t xml:space="preserve"> which govern the conclusion of the agreement between the EU and the UK are those in Article 218(3) TFEU. This article provides the basic rules for the negotiation of agreements between the EU and third countries. Guidelines ha</w:t>
      </w:r>
      <w:r w:rsidR="00E80D1D">
        <w:rPr>
          <w:rFonts w:ascii="Garamond" w:hAnsi="Garamond"/>
          <w:sz w:val="24"/>
          <w:szCs w:val="24"/>
        </w:rPr>
        <w:t>d</w:t>
      </w:r>
      <w:r w:rsidR="00613A11">
        <w:rPr>
          <w:rFonts w:ascii="Garamond" w:hAnsi="Garamond"/>
          <w:sz w:val="24"/>
          <w:szCs w:val="24"/>
        </w:rPr>
        <w:t xml:space="preserve"> to be provided by the European Council. The </w:t>
      </w:r>
      <w:r w:rsidR="00C523DD">
        <w:rPr>
          <w:rFonts w:ascii="Garamond" w:hAnsi="Garamond"/>
          <w:sz w:val="24"/>
          <w:szCs w:val="24"/>
        </w:rPr>
        <w:t>W</w:t>
      </w:r>
      <w:r w:rsidR="00277355">
        <w:rPr>
          <w:rFonts w:ascii="Garamond" w:hAnsi="Garamond"/>
          <w:sz w:val="24"/>
          <w:szCs w:val="24"/>
        </w:rPr>
        <w:t xml:space="preserve">ithdrawal </w:t>
      </w:r>
      <w:r w:rsidR="00C523DD">
        <w:rPr>
          <w:rFonts w:ascii="Garamond" w:hAnsi="Garamond"/>
          <w:sz w:val="24"/>
          <w:szCs w:val="24"/>
        </w:rPr>
        <w:t>A</w:t>
      </w:r>
      <w:r w:rsidR="00613A11">
        <w:rPr>
          <w:rFonts w:ascii="Garamond" w:hAnsi="Garamond"/>
          <w:sz w:val="24"/>
          <w:szCs w:val="24"/>
        </w:rPr>
        <w:t xml:space="preserve">greement itself </w:t>
      </w:r>
      <w:r w:rsidR="00277355">
        <w:rPr>
          <w:rFonts w:ascii="Garamond" w:hAnsi="Garamond"/>
          <w:sz w:val="24"/>
          <w:szCs w:val="24"/>
        </w:rPr>
        <w:t>was</w:t>
      </w:r>
      <w:r w:rsidR="00613A11">
        <w:rPr>
          <w:rFonts w:ascii="Garamond" w:hAnsi="Garamond"/>
          <w:sz w:val="24"/>
          <w:szCs w:val="24"/>
        </w:rPr>
        <w:t xml:space="preserve"> concluded by the Council on behalf of the EU. The European Parli</w:t>
      </w:r>
      <w:r w:rsidR="00277355">
        <w:rPr>
          <w:rFonts w:ascii="Garamond" w:hAnsi="Garamond"/>
          <w:sz w:val="24"/>
          <w:szCs w:val="24"/>
        </w:rPr>
        <w:t>ament had</w:t>
      </w:r>
      <w:r w:rsidR="00613A11">
        <w:rPr>
          <w:rFonts w:ascii="Garamond" w:hAnsi="Garamond"/>
          <w:sz w:val="24"/>
          <w:szCs w:val="24"/>
        </w:rPr>
        <w:t xml:space="preserve"> to give its consent to the agreement. The Council </w:t>
      </w:r>
      <w:r w:rsidR="00613A11" w:rsidRPr="00C33762">
        <w:rPr>
          <w:rFonts w:ascii="Garamond" w:hAnsi="Garamond"/>
          <w:sz w:val="24"/>
          <w:szCs w:val="24"/>
        </w:rPr>
        <w:t xml:space="preserve">nominated the European Commission to lead the negotiations on behalf of the EU – again, this is </w:t>
      </w:r>
      <w:r w:rsidR="00AD2652" w:rsidRPr="00C33762">
        <w:rPr>
          <w:rFonts w:ascii="Garamond" w:hAnsi="Garamond"/>
          <w:sz w:val="24"/>
          <w:szCs w:val="24"/>
        </w:rPr>
        <w:t>standard practice</w:t>
      </w:r>
      <w:r w:rsidR="00613A11" w:rsidRPr="00C33762">
        <w:rPr>
          <w:rFonts w:ascii="Garamond" w:hAnsi="Garamond"/>
          <w:sz w:val="24"/>
          <w:szCs w:val="24"/>
        </w:rPr>
        <w:t xml:space="preserve"> in negotiations with third countries. Michel Barnier </w:t>
      </w:r>
      <w:r w:rsidR="00277355">
        <w:rPr>
          <w:rFonts w:ascii="Garamond" w:hAnsi="Garamond"/>
          <w:sz w:val="24"/>
          <w:szCs w:val="24"/>
        </w:rPr>
        <w:t>wa</w:t>
      </w:r>
      <w:r w:rsidR="00613A11" w:rsidRPr="00C33762">
        <w:rPr>
          <w:rFonts w:ascii="Garamond" w:hAnsi="Garamond"/>
          <w:sz w:val="24"/>
          <w:szCs w:val="24"/>
        </w:rPr>
        <w:t xml:space="preserve">s the Chief Negotiator on behalf of the EU. </w:t>
      </w:r>
      <w:r w:rsidR="00AD2652" w:rsidRPr="00C33762">
        <w:rPr>
          <w:rFonts w:ascii="Garamond" w:hAnsi="Garamond"/>
          <w:sz w:val="24"/>
          <w:szCs w:val="24"/>
        </w:rPr>
        <w:t>The main n</w:t>
      </w:r>
      <w:r w:rsidR="00277355">
        <w:rPr>
          <w:rFonts w:ascii="Garamond" w:hAnsi="Garamond"/>
          <w:sz w:val="24"/>
          <w:szCs w:val="24"/>
        </w:rPr>
        <w:t>egotiator on behalf of the UK wa</w:t>
      </w:r>
      <w:r w:rsidR="00C33762">
        <w:rPr>
          <w:rFonts w:ascii="Garamond" w:hAnsi="Garamond"/>
          <w:sz w:val="24"/>
          <w:szCs w:val="24"/>
        </w:rPr>
        <w:t>s the</w:t>
      </w:r>
      <w:r w:rsidR="00AD2652" w:rsidRPr="00C33762">
        <w:rPr>
          <w:rFonts w:ascii="Garamond" w:hAnsi="Garamond"/>
          <w:sz w:val="24"/>
          <w:szCs w:val="24"/>
        </w:rPr>
        <w:t xml:space="preserve"> Secretary of State for Exiting the European Union. </w:t>
      </w:r>
    </w:p>
    <w:p w14:paraId="336BC9DB" w14:textId="77777777" w:rsidR="00277355" w:rsidRPr="00277355" w:rsidRDefault="00277355" w:rsidP="00277355">
      <w:pPr>
        <w:pStyle w:val="ListParagraph"/>
        <w:rPr>
          <w:rFonts w:ascii="Garamond" w:hAnsi="Garamond"/>
          <w:sz w:val="24"/>
          <w:szCs w:val="24"/>
        </w:rPr>
      </w:pPr>
    </w:p>
    <w:p w14:paraId="447A79C5" w14:textId="4E76EF78" w:rsidR="006E6E3F" w:rsidRDefault="00613A11" w:rsidP="00277355">
      <w:pPr>
        <w:pStyle w:val="ListParagraph"/>
        <w:numPr>
          <w:ilvl w:val="0"/>
          <w:numId w:val="16"/>
        </w:numPr>
        <w:jc w:val="both"/>
        <w:rPr>
          <w:rFonts w:ascii="Garamond" w:hAnsi="Garamond"/>
          <w:sz w:val="24"/>
          <w:szCs w:val="24"/>
        </w:rPr>
      </w:pPr>
      <w:r w:rsidRPr="00C33762">
        <w:rPr>
          <w:rFonts w:ascii="Garamond" w:hAnsi="Garamond"/>
          <w:sz w:val="24"/>
          <w:szCs w:val="24"/>
        </w:rPr>
        <w:t xml:space="preserve">The Council and the European Parliament </w:t>
      </w:r>
      <w:r w:rsidR="00277355">
        <w:rPr>
          <w:rFonts w:ascii="Garamond" w:hAnsi="Garamond"/>
          <w:sz w:val="24"/>
          <w:szCs w:val="24"/>
        </w:rPr>
        <w:t>were</w:t>
      </w:r>
      <w:r w:rsidRPr="00C33762">
        <w:rPr>
          <w:rFonts w:ascii="Garamond" w:hAnsi="Garamond"/>
          <w:sz w:val="24"/>
          <w:szCs w:val="24"/>
        </w:rPr>
        <w:t xml:space="preserve"> closely involved in the negotiation</w:t>
      </w:r>
      <w:r w:rsidR="00277355">
        <w:rPr>
          <w:rFonts w:ascii="Garamond" w:hAnsi="Garamond"/>
          <w:sz w:val="24"/>
          <w:szCs w:val="24"/>
        </w:rPr>
        <w:t>s. For obvious reasons, the UK wa</w:t>
      </w:r>
      <w:r w:rsidRPr="00C33762">
        <w:rPr>
          <w:rFonts w:ascii="Garamond" w:hAnsi="Garamond"/>
          <w:sz w:val="24"/>
          <w:szCs w:val="24"/>
        </w:rPr>
        <w:t xml:space="preserve">s excluded from European Council </w:t>
      </w:r>
      <w:r w:rsidR="00AD2652" w:rsidRPr="00C33762">
        <w:rPr>
          <w:rFonts w:ascii="Garamond" w:hAnsi="Garamond"/>
          <w:sz w:val="24"/>
          <w:szCs w:val="24"/>
        </w:rPr>
        <w:t>and/or</w:t>
      </w:r>
      <w:r w:rsidRPr="00C33762">
        <w:rPr>
          <w:rFonts w:ascii="Garamond" w:hAnsi="Garamond"/>
          <w:sz w:val="24"/>
          <w:szCs w:val="24"/>
        </w:rPr>
        <w:t xml:space="preserve"> Council meetings on Brexit (Article 50(4) TEU). The Council </w:t>
      </w:r>
      <w:r w:rsidR="00C33762">
        <w:rPr>
          <w:rFonts w:ascii="Garamond" w:hAnsi="Garamond"/>
          <w:sz w:val="24"/>
          <w:szCs w:val="24"/>
        </w:rPr>
        <w:t xml:space="preserve">had to approve the agreement </w:t>
      </w:r>
      <w:r w:rsidRPr="00C33762">
        <w:rPr>
          <w:rFonts w:ascii="Garamond" w:hAnsi="Garamond"/>
          <w:sz w:val="24"/>
          <w:szCs w:val="24"/>
        </w:rPr>
        <w:t xml:space="preserve">by </w:t>
      </w:r>
      <w:r w:rsidR="00C33762">
        <w:rPr>
          <w:rFonts w:ascii="Garamond" w:hAnsi="Garamond"/>
          <w:sz w:val="24"/>
          <w:szCs w:val="24"/>
        </w:rPr>
        <w:t xml:space="preserve">a </w:t>
      </w:r>
      <w:r w:rsidRPr="00C33762">
        <w:rPr>
          <w:rFonts w:ascii="Garamond" w:hAnsi="Garamond"/>
          <w:sz w:val="24"/>
          <w:szCs w:val="24"/>
        </w:rPr>
        <w:t>qualified maj</w:t>
      </w:r>
      <w:r w:rsidR="007F4622" w:rsidRPr="00C33762">
        <w:rPr>
          <w:rFonts w:ascii="Garamond" w:hAnsi="Garamond"/>
          <w:sz w:val="24"/>
          <w:szCs w:val="24"/>
        </w:rPr>
        <w:t>ority, as provided in Article 2</w:t>
      </w:r>
      <w:r w:rsidRPr="00C33762">
        <w:rPr>
          <w:rFonts w:ascii="Garamond" w:hAnsi="Garamond"/>
          <w:sz w:val="24"/>
          <w:szCs w:val="24"/>
        </w:rPr>
        <w:t>3</w:t>
      </w:r>
      <w:r w:rsidR="007F4622" w:rsidRPr="00C33762">
        <w:rPr>
          <w:rFonts w:ascii="Garamond" w:hAnsi="Garamond"/>
          <w:sz w:val="24"/>
          <w:szCs w:val="24"/>
        </w:rPr>
        <w:t>8</w:t>
      </w:r>
      <w:r w:rsidRPr="00C33762">
        <w:rPr>
          <w:rFonts w:ascii="Garamond" w:hAnsi="Garamond"/>
          <w:sz w:val="24"/>
          <w:szCs w:val="24"/>
        </w:rPr>
        <w:t>(3)(b) TFEU</w:t>
      </w:r>
      <w:r w:rsidR="007F4622" w:rsidRPr="00C33762">
        <w:rPr>
          <w:rFonts w:ascii="Garamond" w:hAnsi="Garamond"/>
          <w:sz w:val="24"/>
          <w:szCs w:val="24"/>
        </w:rPr>
        <w:t xml:space="preserve"> (72% of the members of the Council, comprising at least 65% of the population of the EU Member States)</w:t>
      </w:r>
      <w:r w:rsidRPr="00C33762">
        <w:rPr>
          <w:rFonts w:ascii="Garamond" w:hAnsi="Garamond"/>
          <w:sz w:val="24"/>
          <w:szCs w:val="24"/>
        </w:rPr>
        <w:t xml:space="preserve">. </w:t>
      </w:r>
      <w:r w:rsidR="00AD2652" w:rsidRPr="00C33762">
        <w:rPr>
          <w:rFonts w:ascii="Garamond" w:hAnsi="Garamond"/>
          <w:sz w:val="24"/>
          <w:szCs w:val="24"/>
        </w:rPr>
        <w:t xml:space="preserve">The European Parliament </w:t>
      </w:r>
      <w:r w:rsidR="00277355">
        <w:rPr>
          <w:rFonts w:ascii="Garamond" w:hAnsi="Garamond"/>
          <w:sz w:val="24"/>
          <w:szCs w:val="24"/>
        </w:rPr>
        <w:t>had to agree to the proposal</w:t>
      </w:r>
      <w:r w:rsidR="00AD2652" w:rsidRPr="00C33762">
        <w:rPr>
          <w:rFonts w:ascii="Garamond" w:hAnsi="Garamond"/>
          <w:sz w:val="24"/>
          <w:szCs w:val="24"/>
        </w:rPr>
        <w:t xml:space="preserve"> by a majority of the votes cast. </w:t>
      </w:r>
    </w:p>
    <w:p w14:paraId="21566B78" w14:textId="77777777" w:rsidR="00277355" w:rsidRPr="00277355" w:rsidRDefault="00277355" w:rsidP="00277355">
      <w:pPr>
        <w:pStyle w:val="ListParagraph"/>
        <w:rPr>
          <w:rFonts w:ascii="Garamond" w:hAnsi="Garamond"/>
          <w:sz w:val="24"/>
          <w:szCs w:val="24"/>
        </w:rPr>
      </w:pPr>
    </w:p>
    <w:p w14:paraId="2E921581" w14:textId="3CC456C5" w:rsidR="00402292" w:rsidRDefault="00AD2652" w:rsidP="00944F11">
      <w:pPr>
        <w:pStyle w:val="ListParagraph"/>
        <w:numPr>
          <w:ilvl w:val="0"/>
          <w:numId w:val="16"/>
        </w:numPr>
        <w:jc w:val="both"/>
        <w:rPr>
          <w:rFonts w:ascii="Garamond" w:hAnsi="Garamond"/>
          <w:sz w:val="24"/>
          <w:szCs w:val="24"/>
        </w:rPr>
      </w:pPr>
      <w:r>
        <w:rPr>
          <w:rFonts w:ascii="Garamond" w:hAnsi="Garamond"/>
          <w:sz w:val="24"/>
          <w:szCs w:val="24"/>
        </w:rPr>
        <w:t>One of the questio</w:t>
      </w:r>
      <w:r w:rsidR="00277355">
        <w:rPr>
          <w:rFonts w:ascii="Garamond" w:hAnsi="Garamond"/>
          <w:sz w:val="24"/>
          <w:szCs w:val="24"/>
        </w:rPr>
        <w:t>ns that Article 50 is silent on</w:t>
      </w:r>
      <w:r>
        <w:rPr>
          <w:rFonts w:ascii="Garamond" w:hAnsi="Garamond"/>
          <w:sz w:val="24"/>
          <w:szCs w:val="24"/>
        </w:rPr>
        <w:t xml:space="preserve"> is the role of the Court of Justice in the withdrawal</w:t>
      </w:r>
      <w:r w:rsidR="00C523DD">
        <w:rPr>
          <w:rFonts w:ascii="Garamond" w:hAnsi="Garamond"/>
          <w:sz w:val="24"/>
          <w:szCs w:val="24"/>
        </w:rPr>
        <w:t xml:space="preserve"> process</w:t>
      </w:r>
      <w:r>
        <w:rPr>
          <w:rFonts w:ascii="Garamond" w:hAnsi="Garamond"/>
          <w:sz w:val="24"/>
          <w:szCs w:val="24"/>
        </w:rPr>
        <w:t>. For regular agreements between the EU and third countries concluded under Article 218 TFEU, the Member States, the Council, the European Parliament or the Commission can ask the Court of Justice to rule on the question of whether the agreement is compatible with the Treaties</w:t>
      </w:r>
      <w:r w:rsidR="000602F8">
        <w:rPr>
          <w:rFonts w:ascii="Garamond" w:hAnsi="Garamond"/>
          <w:sz w:val="24"/>
          <w:szCs w:val="24"/>
        </w:rPr>
        <w:t xml:space="preserve"> </w:t>
      </w:r>
      <w:r w:rsidR="000602F8" w:rsidRPr="000602F8">
        <w:rPr>
          <w:rFonts w:ascii="Garamond" w:hAnsi="Garamond"/>
          <w:i/>
          <w:sz w:val="24"/>
          <w:szCs w:val="24"/>
        </w:rPr>
        <w:t>before</w:t>
      </w:r>
      <w:r w:rsidR="000602F8">
        <w:rPr>
          <w:rFonts w:ascii="Garamond" w:hAnsi="Garamond"/>
          <w:sz w:val="24"/>
          <w:szCs w:val="24"/>
        </w:rPr>
        <w:t xml:space="preserve"> the agreement can come into force</w:t>
      </w:r>
      <w:r>
        <w:rPr>
          <w:rFonts w:ascii="Garamond" w:hAnsi="Garamond"/>
          <w:sz w:val="24"/>
          <w:szCs w:val="24"/>
        </w:rPr>
        <w:t xml:space="preserve">. </w:t>
      </w:r>
    </w:p>
    <w:p w14:paraId="04E8B2DF" w14:textId="77777777" w:rsidR="00402292" w:rsidRPr="00402292" w:rsidRDefault="00402292" w:rsidP="00402292">
      <w:pPr>
        <w:pStyle w:val="ListParagraph"/>
        <w:rPr>
          <w:rFonts w:ascii="Garamond" w:hAnsi="Garamond"/>
          <w:sz w:val="24"/>
          <w:szCs w:val="24"/>
        </w:rPr>
      </w:pPr>
    </w:p>
    <w:p w14:paraId="299E5D19" w14:textId="26D0F055" w:rsidR="00AD2652" w:rsidRDefault="00AD2652" w:rsidP="00944F11">
      <w:pPr>
        <w:pStyle w:val="ListParagraph"/>
        <w:numPr>
          <w:ilvl w:val="0"/>
          <w:numId w:val="16"/>
        </w:numPr>
        <w:jc w:val="both"/>
        <w:rPr>
          <w:rFonts w:ascii="Garamond" w:hAnsi="Garamond"/>
          <w:sz w:val="24"/>
          <w:szCs w:val="24"/>
        </w:rPr>
      </w:pPr>
      <w:r>
        <w:rPr>
          <w:rFonts w:ascii="Garamond" w:hAnsi="Garamond"/>
          <w:sz w:val="24"/>
          <w:szCs w:val="24"/>
        </w:rPr>
        <w:t xml:space="preserve">This is what happened in </w:t>
      </w:r>
      <w:r w:rsidRPr="00327F63">
        <w:rPr>
          <w:rFonts w:ascii="Garamond" w:hAnsi="Garamond"/>
          <w:iCs/>
          <w:sz w:val="24"/>
          <w:szCs w:val="24"/>
        </w:rPr>
        <w:t>Opinion 2/13</w:t>
      </w:r>
      <w:r>
        <w:rPr>
          <w:rFonts w:ascii="Garamond" w:hAnsi="Garamond"/>
          <w:sz w:val="24"/>
          <w:szCs w:val="24"/>
        </w:rPr>
        <w:t xml:space="preserve"> on the accession of the EU to the ECHR (the Opinion was requested by the Commission), and the CETA agreement (</w:t>
      </w:r>
      <w:r w:rsidR="00277355" w:rsidRPr="00277355">
        <w:rPr>
          <w:rFonts w:ascii="Garamond" w:hAnsi="Garamond"/>
          <w:i/>
          <w:sz w:val="24"/>
          <w:szCs w:val="24"/>
        </w:rPr>
        <w:t>Opinion 1/17</w:t>
      </w:r>
      <w:r w:rsidR="00277355">
        <w:rPr>
          <w:rFonts w:ascii="Garamond" w:hAnsi="Garamond"/>
          <w:sz w:val="24"/>
          <w:szCs w:val="24"/>
        </w:rPr>
        <w:t xml:space="preserve"> was</w:t>
      </w:r>
      <w:r>
        <w:rPr>
          <w:rFonts w:ascii="Garamond" w:hAnsi="Garamond"/>
          <w:sz w:val="24"/>
          <w:szCs w:val="24"/>
        </w:rPr>
        <w:t xml:space="preserve"> requested by Belgium). Article 50 TEU refers to Article 218(3)</w:t>
      </w:r>
      <w:r w:rsidR="0085579C">
        <w:rPr>
          <w:rFonts w:ascii="Garamond" w:hAnsi="Garamond"/>
          <w:sz w:val="24"/>
          <w:szCs w:val="24"/>
        </w:rPr>
        <w:t xml:space="preserve"> TFEU</w:t>
      </w:r>
      <w:r>
        <w:rPr>
          <w:rFonts w:ascii="Garamond" w:hAnsi="Garamond"/>
          <w:sz w:val="24"/>
          <w:szCs w:val="24"/>
        </w:rPr>
        <w:t xml:space="preserve">, but </w:t>
      </w:r>
      <w:r w:rsidR="00E80D1D">
        <w:rPr>
          <w:rFonts w:ascii="Garamond" w:hAnsi="Garamond"/>
          <w:sz w:val="24"/>
          <w:szCs w:val="24"/>
        </w:rPr>
        <w:t xml:space="preserve">does </w:t>
      </w:r>
      <w:r>
        <w:rPr>
          <w:rFonts w:ascii="Garamond" w:hAnsi="Garamond"/>
          <w:sz w:val="24"/>
          <w:szCs w:val="24"/>
        </w:rPr>
        <w:t>not</w:t>
      </w:r>
      <w:r w:rsidR="00E80D1D">
        <w:rPr>
          <w:rFonts w:ascii="Garamond" w:hAnsi="Garamond"/>
          <w:sz w:val="24"/>
          <w:szCs w:val="24"/>
        </w:rPr>
        <w:t xml:space="preserve"> refer</w:t>
      </w:r>
      <w:r>
        <w:rPr>
          <w:rFonts w:ascii="Garamond" w:hAnsi="Garamond"/>
          <w:sz w:val="24"/>
          <w:szCs w:val="24"/>
        </w:rPr>
        <w:t xml:space="preserve"> to </w:t>
      </w:r>
      <w:r w:rsidR="0085579C">
        <w:rPr>
          <w:rFonts w:ascii="Garamond" w:hAnsi="Garamond"/>
          <w:sz w:val="24"/>
          <w:szCs w:val="24"/>
        </w:rPr>
        <w:t xml:space="preserve">Article 218 TFEU in its entirety. It does not </w:t>
      </w:r>
      <w:r w:rsidR="000602F8">
        <w:rPr>
          <w:rFonts w:ascii="Garamond" w:hAnsi="Garamond"/>
          <w:sz w:val="24"/>
          <w:szCs w:val="24"/>
        </w:rPr>
        <w:t>expressly</w:t>
      </w:r>
      <w:r w:rsidR="0085579C">
        <w:rPr>
          <w:rFonts w:ascii="Garamond" w:hAnsi="Garamond"/>
          <w:sz w:val="24"/>
          <w:szCs w:val="24"/>
        </w:rPr>
        <w:t xml:space="preserve"> provide for any role of the Court of Justice. </w:t>
      </w:r>
      <w:r w:rsidR="00356D91">
        <w:rPr>
          <w:rFonts w:ascii="Garamond" w:hAnsi="Garamond"/>
          <w:sz w:val="24"/>
          <w:szCs w:val="24"/>
        </w:rPr>
        <w:t>Given the short time-frame</w:t>
      </w:r>
      <w:r w:rsidR="0085579C">
        <w:rPr>
          <w:rFonts w:ascii="Garamond" w:hAnsi="Garamond"/>
          <w:sz w:val="24"/>
          <w:szCs w:val="24"/>
        </w:rPr>
        <w:t xml:space="preserve"> that Article 50 TEU </w:t>
      </w:r>
      <w:r w:rsidR="00356D91">
        <w:rPr>
          <w:rFonts w:ascii="Garamond" w:hAnsi="Garamond"/>
          <w:sz w:val="24"/>
          <w:szCs w:val="24"/>
        </w:rPr>
        <w:t>provides</w:t>
      </w:r>
      <w:r w:rsidR="0085579C">
        <w:rPr>
          <w:rFonts w:ascii="Garamond" w:hAnsi="Garamond"/>
          <w:sz w:val="24"/>
          <w:szCs w:val="24"/>
        </w:rPr>
        <w:t xml:space="preserve"> for the conclusion of the withdrawal agreement, it could be argued that the Court of Justice should not be given the power to rule on the compatibility of the agreement </w:t>
      </w:r>
      <w:r w:rsidR="0085579C" w:rsidRPr="007B3DB0">
        <w:rPr>
          <w:rFonts w:ascii="Garamond" w:hAnsi="Garamond"/>
          <w:i/>
          <w:sz w:val="24"/>
          <w:szCs w:val="24"/>
        </w:rPr>
        <w:t>before</w:t>
      </w:r>
      <w:r w:rsidR="0085579C">
        <w:rPr>
          <w:rFonts w:ascii="Garamond" w:hAnsi="Garamond"/>
          <w:sz w:val="24"/>
          <w:szCs w:val="24"/>
        </w:rPr>
        <w:t xml:space="preserve"> its coming into force. However, this remains an open issue.</w:t>
      </w:r>
    </w:p>
    <w:p w14:paraId="0AB5155D" w14:textId="77777777" w:rsidR="00E80D1D" w:rsidRPr="00E80D1D" w:rsidRDefault="00E80D1D" w:rsidP="00E80D1D">
      <w:pPr>
        <w:pStyle w:val="ListParagraph"/>
        <w:rPr>
          <w:rFonts w:ascii="Garamond" w:hAnsi="Garamond"/>
          <w:sz w:val="24"/>
          <w:szCs w:val="24"/>
        </w:rPr>
      </w:pPr>
    </w:p>
    <w:p w14:paraId="38A0C512" w14:textId="2941584B" w:rsidR="00E80D1D" w:rsidRDefault="00E80D1D" w:rsidP="00944F11">
      <w:pPr>
        <w:pStyle w:val="ListParagraph"/>
        <w:numPr>
          <w:ilvl w:val="0"/>
          <w:numId w:val="16"/>
        </w:numPr>
        <w:jc w:val="both"/>
        <w:rPr>
          <w:rFonts w:ascii="Garamond" w:hAnsi="Garamond"/>
          <w:sz w:val="24"/>
          <w:szCs w:val="24"/>
        </w:rPr>
      </w:pPr>
      <w:r>
        <w:rPr>
          <w:rFonts w:ascii="Garamond" w:hAnsi="Garamond"/>
          <w:sz w:val="24"/>
          <w:szCs w:val="24"/>
        </w:rPr>
        <w:t>The only direct involvement of the Court of Justice in the</w:t>
      </w:r>
      <w:r w:rsidR="00327F63">
        <w:rPr>
          <w:rFonts w:ascii="Garamond" w:hAnsi="Garamond"/>
          <w:sz w:val="24"/>
          <w:szCs w:val="24"/>
        </w:rPr>
        <w:t xml:space="preserve"> Brexit process </w:t>
      </w:r>
      <w:r w:rsidRPr="00327F63">
        <w:rPr>
          <w:rFonts w:ascii="Garamond" w:hAnsi="Garamond"/>
          <w:i/>
          <w:iCs/>
          <w:sz w:val="24"/>
          <w:szCs w:val="24"/>
        </w:rPr>
        <w:t>before</w:t>
      </w:r>
      <w:r>
        <w:rPr>
          <w:rFonts w:ascii="Garamond" w:hAnsi="Garamond"/>
          <w:sz w:val="24"/>
          <w:szCs w:val="24"/>
        </w:rPr>
        <w:t xml:space="preserve"> the conclusion of the withdrawal agreement was its judgment in </w:t>
      </w:r>
      <w:r w:rsidRPr="00E80D1D">
        <w:rPr>
          <w:rFonts w:ascii="Garamond" w:hAnsi="Garamond"/>
          <w:i/>
          <w:iCs/>
          <w:sz w:val="24"/>
          <w:szCs w:val="24"/>
        </w:rPr>
        <w:t>Wightman</w:t>
      </w:r>
      <w:r>
        <w:rPr>
          <w:rFonts w:ascii="Garamond" w:hAnsi="Garamond"/>
          <w:sz w:val="24"/>
          <w:szCs w:val="24"/>
        </w:rPr>
        <w:t xml:space="preserve"> (C-621/18). This was a preliminary reference made by </w:t>
      </w:r>
      <w:r w:rsidR="00E33DF6">
        <w:rPr>
          <w:rFonts w:ascii="Garamond" w:hAnsi="Garamond"/>
          <w:sz w:val="24"/>
          <w:szCs w:val="24"/>
        </w:rPr>
        <w:t>the Court of Session in Scotland</w:t>
      </w:r>
      <w:r>
        <w:rPr>
          <w:rFonts w:ascii="Garamond" w:hAnsi="Garamond"/>
          <w:sz w:val="24"/>
          <w:szCs w:val="24"/>
        </w:rPr>
        <w:t xml:space="preserve">. The </w:t>
      </w:r>
      <w:r>
        <w:rPr>
          <w:rFonts w:ascii="Garamond" w:hAnsi="Garamond"/>
          <w:sz w:val="24"/>
          <w:szCs w:val="24"/>
        </w:rPr>
        <w:lastRenderedPageBreak/>
        <w:t>question was whether it was possible for a Member State which had notified the EU of its intention to withdraw from the EU under Article 50 TEU to revoke this notification</w:t>
      </w:r>
      <w:r w:rsidR="00E33DF6" w:rsidRPr="00E33DF6">
        <w:rPr>
          <w:rFonts w:ascii="Garamond" w:hAnsi="Garamond"/>
          <w:sz w:val="24"/>
          <w:szCs w:val="24"/>
        </w:rPr>
        <w:t xml:space="preserve"> </w:t>
      </w:r>
      <w:r w:rsidR="00E33DF6">
        <w:rPr>
          <w:rFonts w:ascii="Garamond" w:hAnsi="Garamond"/>
          <w:sz w:val="24"/>
          <w:szCs w:val="24"/>
        </w:rPr>
        <w:t>unilaterally</w:t>
      </w:r>
      <w:r>
        <w:rPr>
          <w:rFonts w:ascii="Garamond" w:hAnsi="Garamond"/>
          <w:sz w:val="24"/>
          <w:szCs w:val="24"/>
        </w:rPr>
        <w:t xml:space="preserve">. In other words, once a Member State has informed the EU that it wants to leave the EU, and the negotiations on a withdrawal agreement have started, is it still open to the Member State to change its mind and decide to remain a Member State? And can that decision be made independently (unilaterally) by the withdrawing Member State, or would the EU institutions and/or </w:t>
      </w:r>
      <w:r w:rsidR="00327F63">
        <w:rPr>
          <w:rFonts w:ascii="Garamond" w:hAnsi="Garamond"/>
          <w:sz w:val="24"/>
          <w:szCs w:val="24"/>
        </w:rPr>
        <w:t xml:space="preserve">the </w:t>
      </w:r>
      <w:r>
        <w:rPr>
          <w:rFonts w:ascii="Garamond" w:hAnsi="Garamond"/>
          <w:sz w:val="24"/>
          <w:szCs w:val="24"/>
        </w:rPr>
        <w:t>other Member States have to approve this decision?</w:t>
      </w:r>
    </w:p>
    <w:p w14:paraId="686385F5" w14:textId="77777777" w:rsidR="00E80D1D" w:rsidRPr="00E80D1D" w:rsidRDefault="00E80D1D" w:rsidP="00E80D1D">
      <w:pPr>
        <w:pStyle w:val="ListParagraph"/>
        <w:rPr>
          <w:rFonts w:ascii="Garamond" w:hAnsi="Garamond"/>
          <w:sz w:val="24"/>
          <w:szCs w:val="24"/>
        </w:rPr>
      </w:pPr>
    </w:p>
    <w:p w14:paraId="3D39AB0A" w14:textId="09DA4B6D" w:rsidR="00E80D1D" w:rsidRDefault="00E33DF6" w:rsidP="00944F11">
      <w:pPr>
        <w:pStyle w:val="ListParagraph"/>
        <w:numPr>
          <w:ilvl w:val="0"/>
          <w:numId w:val="16"/>
        </w:numPr>
        <w:jc w:val="both"/>
        <w:rPr>
          <w:rFonts w:ascii="Garamond" w:hAnsi="Garamond"/>
          <w:sz w:val="24"/>
          <w:szCs w:val="24"/>
        </w:rPr>
      </w:pPr>
      <w:r>
        <w:rPr>
          <w:rFonts w:ascii="Garamond" w:hAnsi="Garamond"/>
          <w:sz w:val="24"/>
          <w:szCs w:val="24"/>
        </w:rPr>
        <w:t>It was argued by the UK Government</w:t>
      </w:r>
      <w:r w:rsidR="00E80D1D">
        <w:rPr>
          <w:rFonts w:ascii="Garamond" w:hAnsi="Garamond"/>
          <w:sz w:val="24"/>
          <w:szCs w:val="24"/>
        </w:rPr>
        <w:t xml:space="preserve"> that this was a purely hypothetical question, which should not be answered by the Court, because</w:t>
      </w:r>
      <w:r w:rsidR="00E857E6">
        <w:rPr>
          <w:rFonts w:ascii="Garamond" w:hAnsi="Garamond"/>
          <w:sz w:val="24"/>
          <w:szCs w:val="24"/>
        </w:rPr>
        <w:t xml:space="preserve"> there were no indications at the time that the UK was about to change its mind on leaving the EU. Nevertheless, the Court of Justice decided to answer the substantive question. It</w:t>
      </w:r>
      <w:r w:rsidR="00E80D1D">
        <w:rPr>
          <w:rFonts w:ascii="Garamond" w:hAnsi="Garamond"/>
          <w:sz w:val="24"/>
          <w:szCs w:val="24"/>
        </w:rPr>
        <w:t xml:space="preserve"> held that it is possible for a Member State to revoke its notification to withdraw under Article 50 TEU. However, this revocation should be “unequivocal</w:t>
      </w:r>
      <w:r w:rsidR="00E857E6">
        <w:rPr>
          <w:rFonts w:ascii="Garamond" w:hAnsi="Garamond"/>
          <w:sz w:val="24"/>
          <w:szCs w:val="24"/>
        </w:rPr>
        <w:t xml:space="preserve"> and unconditional”. </w:t>
      </w:r>
    </w:p>
    <w:p w14:paraId="3B665C74" w14:textId="77777777" w:rsidR="0085579C" w:rsidRPr="0085579C" w:rsidRDefault="0085579C" w:rsidP="0085579C">
      <w:pPr>
        <w:pStyle w:val="ListParagraph"/>
        <w:rPr>
          <w:rFonts w:ascii="Garamond" w:hAnsi="Garamond"/>
          <w:sz w:val="24"/>
          <w:szCs w:val="24"/>
        </w:rPr>
      </w:pPr>
    </w:p>
    <w:p w14:paraId="667B11F0" w14:textId="715BD091" w:rsidR="00277355" w:rsidRDefault="0085579C" w:rsidP="00583F64">
      <w:pPr>
        <w:pStyle w:val="ListParagraph"/>
        <w:numPr>
          <w:ilvl w:val="0"/>
          <w:numId w:val="16"/>
        </w:numPr>
        <w:jc w:val="both"/>
        <w:rPr>
          <w:rFonts w:ascii="Garamond" w:hAnsi="Garamond"/>
          <w:sz w:val="24"/>
          <w:szCs w:val="24"/>
        </w:rPr>
      </w:pPr>
      <w:r>
        <w:rPr>
          <w:rFonts w:ascii="Garamond" w:hAnsi="Garamond"/>
          <w:sz w:val="24"/>
          <w:szCs w:val="24"/>
        </w:rPr>
        <w:t xml:space="preserve">In its guidelines for the Brexit negotiations, the European Council </w:t>
      </w:r>
      <w:r w:rsidR="00E857E6">
        <w:rPr>
          <w:rFonts w:ascii="Garamond" w:hAnsi="Garamond"/>
          <w:sz w:val="24"/>
          <w:szCs w:val="24"/>
        </w:rPr>
        <w:t xml:space="preserve">had </w:t>
      </w:r>
      <w:r>
        <w:rPr>
          <w:rFonts w:ascii="Garamond" w:hAnsi="Garamond"/>
          <w:sz w:val="24"/>
          <w:szCs w:val="24"/>
        </w:rPr>
        <w:t xml:space="preserve">decided to make a very clear distinction between the withdrawal agreement </w:t>
      </w:r>
      <w:r w:rsidR="00D014F9">
        <w:rPr>
          <w:rFonts w:ascii="Garamond" w:hAnsi="Garamond"/>
          <w:sz w:val="24"/>
          <w:szCs w:val="24"/>
        </w:rPr>
        <w:t>and the agreement about the future relations</w:t>
      </w:r>
      <w:r w:rsidR="00277355">
        <w:rPr>
          <w:rFonts w:ascii="Garamond" w:hAnsi="Garamond"/>
          <w:sz w:val="24"/>
          <w:szCs w:val="24"/>
        </w:rPr>
        <w:t>hip</w:t>
      </w:r>
      <w:r w:rsidR="00D014F9">
        <w:rPr>
          <w:rFonts w:ascii="Garamond" w:hAnsi="Garamond"/>
          <w:sz w:val="24"/>
          <w:szCs w:val="24"/>
        </w:rPr>
        <w:t xml:space="preserve"> between the EU and the UK. The focus of the first agreement w</w:t>
      </w:r>
      <w:r w:rsidR="00E857E6">
        <w:rPr>
          <w:rFonts w:ascii="Garamond" w:hAnsi="Garamond"/>
          <w:sz w:val="24"/>
          <w:szCs w:val="24"/>
        </w:rPr>
        <w:t>ould</w:t>
      </w:r>
      <w:r w:rsidR="00D014F9">
        <w:rPr>
          <w:rFonts w:ascii="Garamond" w:hAnsi="Garamond"/>
          <w:sz w:val="24"/>
          <w:szCs w:val="24"/>
        </w:rPr>
        <w:t xml:space="preserve"> be on the arrangements for the UK’s withdrawal from the EU, while the second agreement w</w:t>
      </w:r>
      <w:r w:rsidR="00E857E6">
        <w:rPr>
          <w:rFonts w:ascii="Garamond" w:hAnsi="Garamond"/>
          <w:sz w:val="24"/>
          <w:szCs w:val="24"/>
        </w:rPr>
        <w:t>ould</w:t>
      </w:r>
      <w:r w:rsidR="00D014F9">
        <w:rPr>
          <w:rFonts w:ascii="Garamond" w:hAnsi="Garamond"/>
          <w:sz w:val="24"/>
          <w:szCs w:val="24"/>
        </w:rPr>
        <w:t xml:space="preserve"> focus on the future </w:t>
      </w:r>
      <w:r w:rsidR="00935254">
        <w:rPr>
          <w:rFonts w:ascii="Garamond" w:hAnsi="Garamond"/>
          <w:sz w:val="24"/>
          <w:szCs w:val="24"/>
        </w:rPr>
        <w:t>relationship</w:t>
      </w:r>
      <w:r w:rsidR="00D014F9">
        <w:rPr>
          <w:rFonts w:ascii="Garamond" w:hAnsi="Garamond"/>
          <w:sz w:val="24"/>
          <w:szCs w:val="24"/>
        </w:rPr>
        <w:t xml:space="preserve"> between the UK and the EU. The position of the European Council </w:t>
      </w:r>
      <w:r w:rsidR="00C33762">
        <w:rPr>
          <w:rFonts w:ascii="Garamond" w:hAnsi="Garamond"/>
          <w:sz w:val="24"/>
          <w:szCs w:val="24"/>
        </w:rPr>
        <w:t>was</w:t>
      </w:r>
      <w:r w:rsidR="00D014F9">
        <w:rPr>
          <w:rFonts w:ascii="Garamond" w:hAnsi="Garamond"/>
          <w:sz w:val="24"/>
          <w:szCs w:val="24"/>
        </w:rPr>
        <w:t xml:space="preserve"> that progress had to be made on the first agreement before it would start negotiating the agreement on the future relationship between the EU and the UK. </w:t>
      </w:r>
    </w:p>
    <w:p w14:paraId="7CFE12DC" w14:textId="77777777" w:rsidR="00277355" w:rsidRPr="00277355" w:rsidRDefault="00277355" w:rsidP="00277355">
      <w:pPr>
        <w:pStyle w:val="ListParagraph"/>
        <w:rPr>
          <w:rFonts w:ascii="Garamond" w:hAnsi="Garamond"/>
          <w:sz w:val="24"/>
          <w:szCs w:val="24"/>
        </w:rPr>
      </w:pPr>
    </w:p>
    <w:p w14:paraId="653F8F57" w14:textId="17FD2C44" w:rsidR="00C523DD" w:rsidRDefault="00583F64" w:rsidP="00583F64">
      <w:pPr>
        <w:pStyle w:val="ListParagraph"/>
        <w:numPr>
          <w:ilvl w:val="0"/>
          <w:numId w:val="16"/>
        </w:numPr>
        <w:jc w:val="both"/>
        <w:rPr>
          <w:rFonts w:ascii="Garamond" w:hAnsi="Garamond"/>
          <w:sz w:val="24"/>
          <w:szCs w:val="24"/>
        </w:rPr>
      </w:pPr>
      <w:r>
        <w:rPr>
          <w:rFonts w:ascii="Garamond" w:hAnsi="Garamond"/>
          <w:sz w:val="24"/>
          <w:szCs w:val="24"/>
        </w:rPr>
        <w:t xml:space="preserve">In December 2017, the EU and the UK had made sufficient progress on the </w:t>
      </w:r>
      <w:r w:rsidR="005D138D">
        <w:rPr>
          <w:rFonts w:ascii="Garamond" w:hAnsi="Garamond"/>
          <w:sz w:val="24"/>
          <w:szCs w:val="24"/>
        </w:rPr>
        <w:t>W</w:t>
      </w:r>
      <w:r>
        <w:rPr>
          <w:rFonts w:ascii="Garamond" w:hAnsi="Garamond"/>
          <w:sz w:val="24"/>
          <w:szCs w:val="24"/>
        </w:rPr>
        <w:t xml:space="preserve">ithdrawal </w:t>
      </w:r>
      <w:r w:rsidR="005D138D">
        <w:rPr>
          <w:rFonts w:ascii="Garamond" w:hAnsi="Garamond"/>
          <w:sz w:val="24"/>
          <w:szCs w:val="24"/>
        </w:rPr>
        <w:t>A</w:t>
      </w:r>
      <w:r>
        <w:rPr>
          <w:rFonts w:ascii="Garamond" w:hAnsi="Garamond"/>
          <w:sz w:val="24"/>
          <w:szCs w:val="24"/>
        </w:rPr>
        <w:t>greement to start discussing their future relationship. The</w:t>
      </w:r>
      <w:r w:rsidR="009E4505">
        <w:rPr>
          <w:rFonts w:ascii="Garamond" w:hAnsi="Garamond"/>
          <w:sz w:val="24"/>
          <w:szCs w:val="24"/>
        </w:rPr>
        <w:t xml:space="preserve"> progress was reported in a Joint Report, which was published in December 2017. This report deal</w:t>
      </w:r>
      <w:r w:rsidR="00E857E6">
        <w:rPr>
          <w:rFonts w:ascii="Garamond" w:hAnsi="Garamond"/>
          <w:sz w:val="24"/>
          <w:szCs w:val="24"/>
        </w:rPr>
        <w:t>t</w:t>
      </w:r>
      <w:r w:rsidR="009E4505">
        <w:rPr>
          <w:rFonts w:ascii="Garamond" w:hAnsi="Garamond"/>
          <w:sz w:val="24"/>
          <w:szCs w:val="24"/>
        </w:rPr>
        <w:t xml:space="preserve"> primarily with the rights of EU citizens in the UK and the rights of UK citizens in the EU after Brexit.</w:t>
      </w:r>
      <w:r w:rsidR="00C33762">
        <w:rPr>
          <w:rFonts w:ascii="Garamond" w:hAnsi="Garamond"/>
          <w:sz w:val="24"/>
          <w:szCs w:val="24"/>
        </w:rPr>
        <w:t xml:space="preserve"> </w:t>
      </w:r>
    </w:p>
    <w:p w14:paraId="48E2027B" w14:textId="77777777" w:rsidR="00C523DD" w:rsidRPr="00C523DD" w:rsidRDefault="00C523DD" w:rsidP="00C523DD">
      <w:pPr>
        <w:pStyle w:val="ListParagraph"/>
        <w:rPr>
          <w:rFonts w:ascii="Garamond" w:hAnsi="Garamond"/>
          <w:sz w:val="24"/>
          <w:szCs w:val="24"/>
        </w:rPr>
      </w:pPr>
    </w:p>
    <w:p w14:paraId="60F595D8" w14:textId="1C2201EE" w:rsidR="00583F64" w:rsidRDefault="00C33762" w:rsidP="00583F64">
      <w:pPr>
        <w:pStyle w:val="ListParagraph"/>
        <w:numPr>
          <w:ilvl w:val="0"/>
          <w:numId w:val="16"/>
        </w:numPr>
        <w:jc w:val="both"/>
        <w:rPr>
          <w:rFonts w:ascii="Garamond" w:hAnsi="Garamond"/>
          <w:sz w:val="24"/>
          <w:szCs w:val="24"/>
        </w:rPr>
      </w:pPr>
      <w:r>
        <w:rPr>
          <w:rFonts w:ascii="Garamond" w:hAnsi="Garamond"/>
          <w:sz w:val="24"/>
          <w:szCs w:val="24"/>
        </w:rPr>
        <w:t xml:space="preserve">In November 2018, </w:t>
      </w:r>
      <w:r w:rsidR="00C523DD">
        <w:rPr>
          <w:rFonts w:ascii="Garamond" w:hAnsi="Garamond"/>
          <w:sz w:val="24"/>
          <w:szCs w:val="24"/>
        </w:rPr>
        <w:t>a</w:t>
      </w:r>
      <w:r>
        <w:rPr>
          <w:rFonts w:ascii="Garamond" w:hAnsi="Garamond"/>
          <w:sz w:val="24"/>
          <w:szCs w:val="24"/>
        </w:rPr>
        <w:t xml:space="preserve"> draft Withdrawal Agreement was agreed between the EU and the UK. </w:t>
      </w:r>
      <w:r w:rsidR="00402292">
        <w:rPr>
          <w:rFonts w:ascii="Garamond" w:hAnsi="Garamond"/>
          <w:sz w:val="24"/>
          <w:szCs w:val="24"/>
        </w:rPr>
        <w:t xml:space="preserve">In January 2020, the Withdrawal Agreement was formally concluded by the Council. In December 2020, the EU and the UK concluded the Trade and Co-operation Agreement, which </w:t>
      </w:r>
      <w:r w:rsidR="00E857E6">
        <w:rPr>
          <w:rFonts w:ascii="Garamond" w:hAnsi="Garamond"/>
          <w:sz w:val="24"/>
          <w:szCs w:val="24"/>
        </w:rPr>
        <w:t xml:space="preserve">established </w:t>
      </w:r>
      <w:r w:rsidR="00402292">
        <w:rPr>
          <w:rFonts w:ascii="Garamond" w:hAnsi="Garamond"/>
          <w:sz w:val="24"/>
          <w:szCs w:val="24"/>
        </w:rPr>
        <w:t>the future relationship b</w:t>
      </w:r>
      <w:r w:rsidR="00C523DD">
        <w:rPr>
          <w:rFonts w:ascii="Garamond" w:hAnsi="Garamond"/>
          <w:sz w:val="24"/>
          <w:szCs w:val="24"/>
        </w:rPr>
        <w:t>etween the EU and the UK. Both a</w:t>
      </w:r>
      <w:r w:rsidR="00402292">
        <w:rPr>
          <w:rFonts w:ascii="Garamond" w:hAnsi="Garamond"/>
          <w:sz w:val="24"/>
          <w:szCs w:val="24"/>
        </w:rPr>
        <w:t>greements will be discussed in detail in the next two lectures.</w:t>
      </w:r>
    </w:p>
    <w:p w14:paraId="48827927" w14:textId="77777777" w:rsidR="009E4505" w:rsidRPr="00583F64" w:rsidRDefault="009E4505" w:rsidP="009E4505">
      <w:pPr>
        <w:pStyle w:val="ListParagraph"/>
        <w:ind w:left="1080"/>
        <w:jc w:val="both"/>
        <w:rPr>
          <w:rFonts w:ascii="Garamond" w:hAnsi="Garamond"/>
          <w:sz w:val="24"/>
          <w:szCs w:val="24"/>
        </w:rPr>
      </w:pPr>
    </w:p>
    <w:p w14:paraId="5304F9F3" w14:textId="3223087D" w:rsidR="00E857E6" w:rsidRDefault="00E857E6" w:rsidP="00E857E6">
      <w:pPr>
        <w:jc w:val="both"/>
        <w:rPr>
          <w:rFonts w:ascii="Garamond" w:hAnsi="Garamond"/>
          <w:b/>
          <w:bCs/>
          <w:sz w:val="24"/>
          <w:szCs w:val="24"/>
          <w:u w:val="single"/>
        </w:rPr>
      </w:pPr>
      <w:r w:rsidRPr="00E857E6">
        <w:rPr>
          <w:rFonts w:ascii="Garamond" w:hAnsi="Garamond"/>
          <w:b/>
          <w:bCs/>
          <w:sz w:val="24"/>
          <w:szCs w:val="24"/>
          <w:u w:val="single"/>
        </w:rPr>
        <w:t>FURTHER READING:</w:t>
      </w:r>
    </w:p>
    <w:p w14:paraId="72D98933" w14:textId="7AE767D7" w:rsidR="00683C3D" w:rsidRDefault="00683C3D" w:rsidP="00E857E6">
      <w:pPr>
        <w:pStyle w:val="ListParagraph"/>
        <w:numPr>
          <w:ilvl w:val="0"/>
          <w:numId w:val="21"/>
        </w:numPr>
        <w:jc w:val="both"/>
        <w:rPr>
          <w:rFonts w:ascii="Garamond" w:hAnsi="Garamond"/>
          <w:sz w:val="24"/>
          <w:szCs w:val="24"/>
        </w:rPr>
      </w:pPr>
      <w:r>
        <w:rPr>
          <w:rFonts w:ascii="Garamond" w:hAnsi="Garamond"/>
          <w:sz w:val="24"/>
          <w:szCs w:val="24"/>
        </w:rPr>
        <w:t xml:space="preserve">P. Craig, ‘Brexit: a drama in six acts’ (2016) 41 </w:t>
      </w:r>
      <w:r w:rsidRPr="00683C3D">
        <w:rPr>
          <w:rFonts w:ascii="Garamond" w:hAnsi="Garamond"/>
          <w:i/>
          <w:iCs/>
          <w:sz w:val="24"/>
          <w:szCs w:val="24"/>
        </w:rPr>
        <w:t>EL Rev</w:t>
      </w:r>
      <w:r>
        <w:rPr>
          <w:rFonts w:ascii="Garamond" w:hAnsi="Garamond"/>
          <w:sz w:val="24"/>
          <w:szCs w:val="24"/>
        </w:rPr>
        <w:t xml:space="preserve"> 447</w:t>
      </w:r>
    </w:p>
    <w:p w14:paraId="4C1BFB21" w14:textId="7EB587CF" w:rsidR="00D01F09" w:rsidRDefault="00D01F09" w:rsidP="00E857E6">
      <w:pPr>
        <w:pStyle w:val="ListParagraph"/>
        <w:numPr>
          <w:ilvl w:val="0"/>
          <w:numId w:val="21"/>
        </w:numPr>
        <w:jc w:val="both"/>
        <w:rPr>
          <w:rFonts w:ascii="Garamond" w:hAnsi="Garamond"/>
          <w:sz w:val="24"/>
          <w:szCs w:val="24"/>
        </w:rPr>
      </w:pPr>
      <w:r>
        <w:rPr>
          <w:rFonts w:ascii="Garamond" w:hAnsi="Garamond"/>
          <w:sz w:val="24"/>
          <w:szCs w:val="24"/>
        </w:rPr>
        <w:t>A. Cuyvers, ‘</w:t>
      </w:r>
      <w:r w:rsidRPr="00D01F09">
        <w:rPr>
          <w:rFonts w:ascii="Garamond" w:hAnsi="Garamond"/>
          <w:i/>
          <w:iCs/>
          <w:sz w:val="24"/>
          <w:szCs w:val="24"/>
        </w:rPr>
        <w:t>Wightman</w:t>
      </w:r>
      <w:r>
        <w:rPr>
          <w:rFonts w:ascii="Garamond" w:hAnsi="Garamond"/>
          <w:sz w:val="24"/>
          <w:szCs w:val="24"/>
        </w:rPr>
        <w:t xml:space="preserve">, Brexit, and the sovereign right to remain’ (2019) 56 </w:t>
      </w:r>
      <w:r w:rsidRPr="00D01F09">
        <w:rPr>
          <w:rFonts w:ascii="Garamond" w:hAnsi="Garamond"/>
          <w:i/>
          <w:iCs/>
          <w:sz w:val="24"/>
          <w:szCs w:val="24"/>
        </w:rPr>
        <w:t>CML Rev</w:t>
      </w:r>
      <w:r>
        <w:rPr>
          <w:rFonts w:ascii="Garamond" w:hAnsi="Garamond"/>
          <w:sz w:val="24"/>
          <w:szCs w:val="24"/>
        </w:rPr>
        <w:t xml:space="preserve"> 1303</w:t>
      </w:r>
    </w:p>
    <w:p w14:paraId="6FB70F74" w14:textId="3C34AEA0" w:rsidR="00E857E6" w:rsidRDefault="00047E2F" w:rsidP="00E857E6">
      <w:pPr>
        <w:pStyle w:val="ListParagraph"/>
        <w:numPr>
          <w:ilvl w:val="0"/>
          <w:numId w:val="21"/>
        </w:numPr>
        <w:jc w:val="both"/>
        <w:rPr>
          <w:rFonts w:ascii="Garamond" w:hAnsi="Garamond"/>
          <w:sz w:val="24"/>
          <w:szCs w:val="24"/>
        </w:rPr>
      </w:pPr>
      <w:r>
        <w:rPr>
          <w:rFonts w:ascii="Garamond" w:hAnsi="Garamond"/>
          <w:sz w:val="24"/>
          <w:szCs w:val="24"/>
        </w:rPr>
        <w:t>P. Eeckhout and E. Frantziou, ‘</w:t>
      </w:r>
      <w:r w:rsidR="00683C3D">
        <w:rPr>
          <w:rFonts w:ascii="Garamond" w:hAnsi="Garamond"/>
          <w:sz w:val="24"/>
          <w:szCs w:val="24"/>
        </w:rPr>
        <w:t xml:space="preserve">Brexit and Article 50 TEU: A Constitutionalist Reading’ (2017) 54 </w:t>
      </w:r>
      <w:r w:rsidR="00683C3D" w:rsidRPr="00683C3D">
        <w:rPr>
          <w:rFonts w:ascii="Garamond" w:hAnsi="Garamond"/>
          <w:i/>
          <w:iCs/>
          <w:sz w:val="24"/>
          <w:szCs w:val="24"/>
        </w:rPr>
        <w:t>CML Rev</w:t>
      </w:r>
      <w:r w:rsidR="00683C3D">
        <w:rPr>
          <w:rFonts w:ascii="Garamond" w:hAnsi="Garamond"/>
          <w:sz w:val="24"/>
          <w:szCs w:val="24"/>
        </w:rPr>
        <w:t xml:space="preserve"> 695</w:t>
      </w:r>
    </w:p>
    <w:p w14:paraId="0B0F2DFC" w14:textId="584E01E0" w:rsidR="00683C3D" w:rsidRDefault="00683C3D" w:rsidP="00E857E6">
      <w:pPr>
        <w:pStyle w:val="ListParagraph"/>
        <w:numPr>
          <w:ilvl w:val="0"/>
          <w:numId w:val="21"/>
        </w:numPr>
        <w:jc w:val="both"/>
        <w:rPr>
          <w:rFonts w:ascii="Garamond" w:hAnsi="Garamond"/>
          <w:sz w:val="24"/>
          <w:szCs w:val="24"/>
        </w:rPr>
      </w:pPr>
      <w:r>
        <w:rPr>
          <w:rFonts w:ascii="Garamond" w:hAnsi="Garamond"/>
          <w:sz w:val="24"/>
          <w:szCs w:val="24"/>
        </w:rPr>
        <w:t xml:space="preserve">O. Garner, </w:t>
      </w:r>
      <w:r w:rsidR="00D01F09">
        <w:rPr>
          <w:rFonts w:ascii="Garamond" w:hAnsi="Garamond"/>
          <w:sz w:val="24"/>
          <w:szCs w:val="24"/>
        </w:rPr>
        <w:t xml:space="preserve">‘Seven reforms to Article 50 TEU’ (2021) 46 </w:t>
      </w:r>
      <w:r w:rsidR="00D01F09" w:rsidRPr="00D01F09">
        <w:rPr>
          <w:rFonts w:ascii="Garamond" w:hAnsi="Garamond"/>
          <w:i/>
          <w:iCs/>
          <w:sz w:val="24"/>
          <w:szCs w:val="24"/>
        </w:rPr>
        <w:t>EL Rev</w:t>
      </w:r>
      <w:r w:rsidR="00D01F09">
        <w:rPr>
          <w:rFonts w:ascii="Garamond" w:hAnsi="Garamond"/>
          <w:sz w:val="24"/>
          <w:szCs w:val="24"/>
        </w:rPr>
        <w:t xml:space="preserve"> 784</w:t>
      </w:r>
    </w:p>
    <w:p w14:paraId="68521311" w14:textId="66C5D346" w:rsidR="00D01F09" w:rsidRPr="00E857E6" w:rsidRDefault="00D01F09" w:rsidP="00E857E6">
      <w:pPr>
        <w:pStyle w:val="ListParagraph"/>
        <w:numPr>
          <w:ilvl w:val="0"/>
          <w:numId w:val="21"/>
        </w:numPr>
        <w:jc w:val="both"/>
        <w:rPr>
          <w:rFonts w:ascii="Garamond" w:hAnsi="Garamond"/>
          <w:sz w:val="24"/>
          <w:szCs w:val="24"/>
        </w:rPr>
      </w:pPr>
      <w:r>
        <w:rPr>
          <w:rFonts w:ascii="Garamond" w:hAnsi="Garamond"/>
          <w:sz w:val="24"/>
          <w:szCs w:val="24"/>
        </w:rPr>
        <w:t xml:space="preserve">C. Hillion, ‘Withdrawal under Article 50 TEU: An Integration-Friendly Process’ (2018) 55 </w:t>
      </w:r>
      <w:r w:rsidRPr="00D01F09">
        <w:rPr>
          <w:rFonts w:ascii="Garamond" w:hAnsi="Garamond"/>
          <w:i/>
          <w:iCs/>
          <w:sz w:val="24"/>
          <w:szCs w:val="24"/>
        </w:rPr>
        <w:t>CML Rev</w:t>
      </w:r>
      <w:r>
        <w:rPr>
          <w:rFonts w:ascii="Garamond" w:hAnsi="Garamond"/>
          <w:sz w:val="24"/>
          <w:szCs w:val="24"/>
        </w:rPr>
        <w:t xml:space="preserve"> 29</w:t>
      </w:r>
    </w:p>
    <w:sectPr w:rsidR="00D01F09" w:rsidRPr="00E857E6">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3AF85" w14:textId="77777777" w:rsidR="00F12B7F" w:rsidRDefault="00F12B7F" w:rsidP="00243B39">
      <w:pPr>
        <w:spacing w:after="0" w:line="240" w:lineRule="auto"/>
      </w:pPr>
      <w:r>
        <w:separator/>
      </w:r>
    </w:p>
  </w:endnote>
  <w:endnote w:type="continuationSeparator" w:id="0">
    <w:p w14:paraId="2BBDE876" w14:textId="77777777" w:rsidR="00F12B7F" w:rsidRDefault="00F12B7F" w:rsidP="0024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643781"/>
      <w:docPartObj>
        <w:docPartGallery w:val="Page Numbers (Bottom of Page)"/>
        <w:docPartUnique/>
      </w:docPartObj>
    </w:sdtPr>
    <w:sdtEndPr>
      <w:rPr>
        <w:noProof/>
      </w:rPr>
    </w:sdtEndPr>
    <w:sdtContent>
      <w:p w14:paraId="415836BF" w14:textId="1C50294A" w:rsidR="000602F8" w:rsidRDefault="000602F8">
        <w:pPr>
          <w:pStyle w:val="Footer"/>
          <w:jc w:val="right"/>
        </w:pPr>
        <w:r w:rsidRPr="00243B39">
          <w:rPr>
            <w:rFonts w:ascii="Garamond" w:hAnsi="Garamond"/>
          </w:rPr>
          <w:fldChar w:fldCharType="begin"/>
        </w:r>
        <w:r w:rsidRPr="00243B39">
          <w:rPr>
            <w:rFonts w:ascii="Garamond" w:hAnsi="Garamond"/>
          </w:rPr>
          <w:instrText xml:space="preserve"> PAGE   \* MERGEFORMAT </w:instrText>
        </w:r>
        <w:r w:rsidRPr="00243B39">
          <w:rPr>
            <w:rFonts w:ascii="Garamond" w:hAnsi="Garamond"/>
          </w:rPr>
          <w:fldChar w:fldCharType="separate"/>
        </w:r>
        <w:r w:rsidR="00251549">
          <w:rPr>
            <w:rFonts w:ascii="Garamond" w:hAnsi="Garamond"/>
            <w:noProof/>
          </w:rPr>
          <w:t>6</w:t>
        </w:r>
        <w:r w:rsidRPr="00243B39">
          <w:rPr>
            <w:rFonts w:ascii="Garamond" w:hAnsi="Garamond"/>
            <w:noProof/>
          </w:rPr>
          <w:fldChar w:fldCharType="end"/>
        </w:r>
      </w:p>
    </w:sdtContent>
  </w:sdt>
  <w:p w14:paraId="70390910" w14:textId="77777777" w:rsidR="000602F8" w:rsidRDefault="00060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23A13" w14:textId="77777777" w:rsidR="00F12B7F" w:rsidRDefault="00F12B7F" w:rsidP="00243B39">
      <w:pPr>
        <w:spacing w:after="0" w:line="240" w:lineRule="auto"/>
      </w:pPr>
      <w:r>
        <w:separator/>
      </w:r>
    </w:p>
  </w:footnote>
  <w:footnote w:type="continuationSeparator" w:id="0">
    <w:p w14:paraId="16C2DC3F" w14:textId="77777777" w:rsidR="00F12B7F" w:rsidRDefault="00F12B7F" w:rsidP="00243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214B4" w14:textId="3E772683" w:rsidR="000602F8" w:rsidRPr="00EC6A53" w:rsidRDefault="000602F8">
    <w:pPr>
      <w:pStyle w:val="Header"/>
      <w:rPr>
        <w:rFonts w:ascii="Garamond" w:hAnsi="Garamond"/>
        <w:sz w:val="24"/>
        <w:szCs w:val="24"/>
      </w:rPr>
    </w:pPr>
    <w:r w:rsidRPr="00EC6A53">
      <w:rPr>
        <w:rFonts w:ascii="Garamond" w:hAnsi="Garamond"/>
        <w:sz w:val="24"/>
        <w:szCs w:val="24"/>
      </w:rPr>
      <w:t>EU Law</w:t>
    </w:r>
    <w:r w:rsidR="00F07752">
      <w:rPr>
        <w:rFonts w:ascii="Garamond" w:hAnsi="Garamond"/>
        <w:sz w:val="24"/>
        <w:szCs w:val="24"/>
      </w:rPr>
      <w:t xml:space="preserve"> </w:t>
    </w:r>
    <w:r w:rsidR="008B3327">
      <w:rPr>
        <w:rFonts w:ascii="Garamond" w:hAnsi="Garamond"/>
        <w:sz w:val="24"/>
        <w:szCs w:val="24"/>
      </w:rPr>
      <w:t>202</w:t>
    </w:r>
    <w:r w:rsidR="00DC12F7">
      <w:rPr>
        <w:rFonts w:ascii="Garamond" w:hAnsi="Garamond"/>
        <w:sz w:val="24"/>
        <w:szCs w:val="24"/>
      </w:rPr>
      <w:t>3</w:t>
    </w:r>
    <w:r w:rsidR="008B3327">
      <w:rPr>
        <w:rFonts w:ascii="Garamond" w:hAnsi="Garamond"/>
        <w:sz w:val="24"/>
        <w:szCs w:val="24"/>
      </w:rPr>
      <w:t>-202</w:t>
    </w:r>
    <w:r w:rsidR="00DC12F7">
      <w:rPr>
        <w:rFonts w:ascii="Garamond" w:hAnsi="Garamond"/>
        <w:sz w:val="24"/>
        <w:szCs w:val="24"/>
      </w:rPr>
      <w:t>4</w:t>
    </w:r>
    <w:r w:rsidRPr="00EC6A53">
      <w:rPr>
        <w:rFonts w:ascii="Garamond" w:hAnsi="Garamond"/>
        <w:sz w:val="24"/>
        <w:szCs w:val="24"/>
      </w:rPr>
      <w:ptab w:relativeTo="margin" w:alignment="center" w:leader="none"/>
    </w:r>
    <w:r w:rsidR="008B3327">
      <w:rPr>
        <w:rFonts w:ascii="Garamond" w:hAnsi="Garamond"/>
        <w:sz w:val="24"/>
        <w:szCs w:val="24"/>
      </w:rPr>
      <w:t xml:space="preserve">Handout </w:t>
    </w:r>
    <w:r w:rsidR="0097057B">
      <w:rPr>
        <w:rFonts w:ascii="Garamond" w:hAnsi="Garamond"/>
        <w:sz w:val="24"/>
        <w:szCs w:val="24"/>
      </w:rPr>
      <w:t>6</w:t>
    </w:r>
    <w:r w:rsidRPr="00EC6A53">
      <w:rPr>
        <w:rFonts w:ascii="Garamond" w:hAnsi="Garamond"/>
        <w:sz w:val="24"/>
        <w:szCs w:val="24"/>
      </w:rPr>
      <w:ptab w:relativeTo="margin" w:alignment="right" w:leader="none"/>
    </w:r>
    <w:r w:rsidRPr="00EC6A53">
      <w:rPr>
        <w:rFonts w:ascii="Garamond" w:hAnsi="Garamond"/>
        <w:sz w:val="24"/>
        <w:szCs w:val="24"/>
      </w:rPr>
      <w:t>Barend van Leeuwen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D4278"/>
    <w:multiLevelType w:val="hybridMultilevel"/>
    <w:tmpl w:val="3C6C5E44"/>
    <w:lvl w:ilvl="0" w:tplc="B3A090A2">
      <w:start w:val="1"/>
      <w:numFmt w:val="decimal"/>
      <w:lvlText w:val="%1."/>
      <w:lvlJc w:val="left"/>
      <w:pPr>
        <w:ind w:left="1080" w:hanging="720"/>
      </w:pPr>
      <w:rPr>
        <w:rFonts w:ascii="Garamond" w:eastAsiaTheme="minorHAnsi" w:hAnsi="Garamond"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BA0D7B"/>
    <w:multiLevelType w:val="hybridMultilevel"/>
    <w:tmpl w:val="C842141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E1A04AB"/>
    <w:multiLevelType w:val="hybridMultilevel"/>
    <w:tmpl w:val="CA584DEE"/>
    <w:lvl w:ilvl="0" w:tplc="D7FEC6E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F209C7"/>
    <w:multiLevelType w:val="hybridMultilevel"/>
    <w:tmpl w:val="14902420"/>
    <w:lvl w:ilvl="0" w:tplc="D7661864">
      <w:start w:val="1"/>
      <w:numFmt w:val="bullet"/>
      <w:lvlText w:val="-"/>
      <w:lvlJc w:val="left"/>
      <w:pPr>
        <w:ind w:left="1440" w:hanging="360"/>
      </w:pPr>
      <w:rPr>
        <w:rFonts w:ascii="Garamond" w:eastAsiaTheme="minorHAnsi" w:hAnsi="Garamond"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4EC1F7A"/>
    <w:multiLevelType w:val="hybridMultilevel"/>
    <w:tmpl w:val="AA0E7E62"/>
    <w:lvl w:ilvl="0" w:tplc="09D0F1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EF0B02"/>
    <w:multiLevelType w:val="hybridMultilevel"/>
    <w:tmpl w:val="CCC06CBE"/>
    <w:lvl w:ilvl="0" w:tplc="143A3688">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C655D4C"/>
    <w:multiLevelType w:val="hybridMultilevel"/>
    <w:tmpl w:val="C100C2D6"/>
    <w:lvl w:ilvl="0" w:tplc="4E1867D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EC04A3E"/>
    <w:multiLevelType w:val="hybridMultilevel"/>
    <w:tmpl w:val="C904496E"/>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F3523C2"/>
    <w:multiLevelType w:val="hybridMultilevel"/>
    <w:tmpl w:val="5C3A85FA"/>
    <w:lvl w:ilvl="0" w:tplc="399EF4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24D497F"/>
    <w:multiLevelType w:val="hybridMultilevel"/>
    <w:tmpl w:val="04F21B7E"/>
    <w:lvl w:ilvl="0" w:tplc="8D381D9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43CB0312"/>
    <w:multiLevelType w:val="hybridMultilevel"/>
    <w:tmpl w:val="7A6C1682"/>
    <w:lvl w:ilvl="0" w:tplc="C1D6B5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87A272A"/>
    <w:multiLevelType w:val="hybridMultilevel"/>
    <w:tmpl w:val="8286F7BE"/>
    <w:lvl w:ilvl="0" w:tplc="76E4A664">
      <w:start w:val="2"/>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5557244B"/>
    <w:multiLevelType w:val="hybridMultilevel"/>
    <w:tmpl w:val="04C8A96A"/>
    <w:lvl w:ilvl="0" w:tplc="DC36BB1C">
      <w:start w:val="1"/>
      <w:numFmt w:val="lowerLetter"/>
      <w:lvlText w:val="%1."/>
      <w:lvlJc w:val="left"/>
      <w:pPr>
        <w:ind w:left="1080" w:hanging="360"/>
      </w:pPr>
      <w:rPr>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65B33D3"/>
    <w:multiLevelType w:val="hybridMultilevel"/>
    <w:tmpl w:val="1FFEB140"/>
    <w:lvl w:ilvl="0" w:tplc="1AE8A95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6A25A0C"/>
    <w:multiLevelType w:val="hybridMultilevel"/>
    <w:tmpl w:val="F6302A94"/>
    <w:lvl w:ilvl="0" w:tplc="CB80A77A">
      <w:start w:val="1"/>
      <w:numFmt w:val="low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25F2F74"/>
    <w:multiLevelType w:val="hybridMultilevel"/>
    <w:tmpl w:val="5AE47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39538C"/>
    <w:multiLevelType w:val="hybridMultilevel"/>
    <w:tmpl w:val="8E04B4E6"/>
    <w:lvl w:ilvl="0" w:tplc="C576C35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4844CFE"/>
    <w:multiLevelType w:val="hybridMultilevel"/>
    <w:tmpl w:val="AE047F1C"/>
    <w:lvl w:ilvl="0" w:tplc="CE2E6B4A">
      <w:start w:val="1"/>
      <w:numFmt w:val="lowerLetter"/>
      <w:lvlText w:val="%1."/>
      <w:lvlJc w:val="left"/>
      <w:pPr>
        <w:ind w:left="1080" w:hanging="360"/>
      </w:pPr>
      <w:rPr>
        <w:rFonts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9630BFE"/>
    <w:multiLevelType w:val="hybridMultilevel"/>
    <w:tmpl w:val="F8DA631A"/>
    <w:lvl w:ilvl="0" w:tplc="CA304950">
      <w:start w:val="3"/>
      <w:numFmt w:val="bullet"/>
      <w:lvlText w:val="-"/>
      <w:lvlJc w:val="left"/>
      <w:pPr>
        <w:ind w:left="1440" w:hanging="360"/>
      </w:pPr>
      <w:rPr>
        <w:rFonts w:ascii="Garamond" w:eastAsiaTheme="minorHAnsi" w:hAnsi="Garamond"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7A8C2D0A"/>
    <w:multiLevelType w:val="hybridMultilevel"/>
    <w:tmpl w:val="210AE2C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B181901"/>
    <w:multiLevelType w:val="hybridMultilevel"/>
    <w:tmpl w:val="D59071D0"/>
    <w:lvl w:ilvl="0" w:tplc="402C4A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632297880">
    <w:abstractNumId w:val="12"/>
  </w:num>
  <w:num w:numId="2" w16cid:durableId="2065907820">
    <w:abstractNumId w:val="4"/>
  </w:num>
  <w:num w:numId="3" w16cid:durableId="997198027">
    <w:abstractNumId w:val="8"/>
  </w:num>
  <w:num w:numId="4" w16cid:durableId="1975671963">
    <w:abstractNumId w:val="18"/>
  </w:num>
  <w:num w:numId="5" w16cid:durableId="756563523">
    <w:abstractNumId w:val="1"/>
  </w:num>
  <w:num w:numId="6" w16cid:durableId="927734053">
    <w:abstractNumId w:val="7"/>
  </w:num>
  <w:num w:numId="7" w16cid:durableId="1603997076">
    <w:abstractNumId w:val="13"/>
  </w:num>
  <w:num w:numId="8" w16cid:durableId="569924435">
    <w:abstractNumId w:val="11"/>
  </w:num>
  <w:num w:numId="9" w16cid:durableId="482813715">
    <w:abstractNumId w:val="0"/>
  </w:num>
  <w:num w:numId="10" w16cid:durableId="1031539065">
    <w:abstractNumId w:val="14"/>
  </w:num>
  <w:num w:numId="11" w16cid:durableId="1575508293">
    <w:abstractNumId w:val="9"/>
  </w:num>
  <w:num w:numId="12" w16cid:durableId="637148408">
    <w:abstractNumId w:val="6"/>
  </w:num>
  <w:num w:numId="13" w16cid:durableId="509411944">
    <w:abstractNumId w:val="2"/>
  </w:num>
  <w:num w:numId="14" w16cid:durableId="2059472299">
    <w:abstractNumId w:val="5"/>
  </w:num>
  <w:num w:numId="15" w16cid:durableId="1267033850">
    <w:abstractNumId w:val="3"/>
  </w:num>
  <w:num w:numId="16" w16cid:durableId="1422682711">
    <w:abstractNumId w:val="20"/>
  </w:num>
  <w:num w:numId="17" w16cid:durableId="180435922">
    <w:abstractNumId w:val="10"/>
  </w:num>
  <w:num w:numId="18" w16cid:durableId="846166377">
    <w:abstractNumId w:val="19"/>
  </w:num>
  <w:num w:numId="19" w16cid:durableId="903025924">
    <w:abstractNumId w:val="17"/>
  </w:num>
  <w:num w:numId="20" w16cid:durableId="858008843">
    <w:abstractNumId w:val="16"/>
  </w:num>
  <w:num w:numId="21" w16cid:durableId="692535605">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4A8"/>
    <w:rsid w:val="00002CD3"/>
    <w:rsid w:val="000063DA"/>
    <w:rsid w:val="0001419D"/>
    <w:rsid w:val="0001653E"/>
    <w:rsid w:val="000322AC"/>
    <w:rsid w:val="00033236"/>
    <w:rsid w:val="00034D18"/>
    <w:rsid w:val="000370DB"/>
    <w:rsid w:val="000436A9"/>
    <w:rsid w:val="00047E2F"/>
    <w:rsid w:val="000510FD"/>
    <w:rsid w:val="000602F8"/>
    <w:rsid w:val="0006186F"/>
    <w:rsid w:val="00070150"/>
    <w:rsid w:val="00071403"/>
    <w:rsid w:val="0008606B"/>
    <w:rsid w:val="000A34FC"/>
    <w:rsid w:val="000B1048"/>
    <w:rsid w:val="000C0E85"/>
    <w:rsid w:val="000F6D31"/>
    <w:rsid w:val="00100A46"/>
    <w:rsid w:val="00102F15"/>
    <w:rsid w:val="001035C8"/>
    <w:rsid w:val="001414D3"/>
    <w:rsid w:val="0014568A"/>
    <w:rsid w:val="00165C62"/>
    <w:rsid w:val="001674B6"/>
    <w:rsid w:val="001724D3"/>
    <w:rsid w:val="001765A7"/>
    <w:rsid w:val="00180C00"/>
    <w:rsid w:val="00182BED"/>
    <w:rsid w:val="001840C1"/>
    <w:rsid w:val="0018635A"/>
    <w:rsid w:val="00190EDA"/>
    <w:rsid w:val="001B0088"/>
    <w:rsid w:val="001B2045"/>
    <w:rsid w:val="001B5DB5"/>
    <w:rsid w:val="001D4D9D"/>
    <w:rsid w:val="001E0F3E"/>
    <w:rsid w:val="001F5BB6"/>
    <w:rsid w:val="001F699C"/>
    <w:rsid w:val="0020287D"/>
    <w:rsid w:val="0022509D"/>
    <w:rsid w:val="002276D9"/>
    <w:rsid w:val="00243B39"/>
    <w:rsid w:val="00243C33"/>
    <w:rsid w:val="00246514"/>
    <w:rsid w:val="00247328"/>
    <w:rsid w:val="00247D87"/>
    <w:rsid w:val="00251549"/>
    <w:rsid w:val="002546AD"/>
    <w:rsid w:val="00256DE5"/>
    <w:rsid w:val="0027311C"/>
    <w:rsid w:val="00277355"/>
    <w:rsid w:val="00281CF4"/>
    <w:rsid w:val="00285B15"/>
    <w:rsid w:val="002B6305"/>
    <w:rsid w:val="002B6F89"/>
    <w:rsid w:val="002D4B2A"/>
    <w:rsid w:val="002E4339"/>
    <w:rsid w:val="002E4CD6"/>
    <w:rsid w:val="002E4EBC"/>
    <w:rsid w:val="002F7195"/>
    <w:rsid w:val="0030307A"/>
    <w:rsid w:val="00313922"/>
    <w:rsid w:val="00322AEA"/>
    <w:rsid w:val="00323B0A"/>
    <w:rsid w:val="00327F63"/>
    <w:rsid w:val="00333CE0"/>
    <w:rsid w:val="00337C4E"/>
    <w:rsid w:val="00344136"/>
    <w:rsid w:val="00344681"/>
    <w:rsid w:val="00356D91"/>
    <w:rsid w:val="00374B9D"/>
    <w:rsid w:val="00377550"/>
    <w:rsid w:val="00390ED4"/>
    <w:rsid w:val="003A2BA4"/>
    <w:rsid w:val="003B2816"/>
    <w:rsid w:val="003B7185"/>
    <w:rsid w:val="003C124A"/>
    <w:rsid w:val="003D316E"/>
    <w:rsid w:val="003F528A"/>
    <w:rsid w:val="00402292"/>
    <w:rsid w:val="00404C7C"/>
    <w:rsid w:val="00406CD2"/>
    <w:rsid w:val="00410D14"/>
    <w:rsid w:val="00421948"/>
    <w:rsid w:val="0043453D"/>
    <w:rsid w:val="004446F1"/>
    <w:rsid w:val="00454EA7"/>
    <w:rsid w:val="0045790D"/>
    <w:rsid w:val="004627AB"/>
    <w:rsid w:val="00464D04"/>
    <w:rsid w:val="00466C2F"/>
    <w:rsid w:val="00473BB3"/>
    <w:rsid w:val="004740D0"/>
    <w:rsid w:val="00475D10"/>
    <w:rsid w:val="00477D16"/>
    <w:rsid w:val="00480422"/>
    <w:rsid w:val="00484678"/>
    <w:rsid w:val="00490B06"/>
    <w:rsid w:val="004945F7"/>
    <w:rsid w:val="00497ED2"/>
    <w:rsid w:val="004A055F"/>
    <w:rsid w:val="004B139F"/>
    <w:rsid w:val="004C4873"/>
    <w:rsid w:val="004D0F0E"/>
    <w:rsid w:val="004D646F"/>
    <w:rsid w:val="004E06D6"/>
    <w:rsid w:val="004F0962"/>
    <w:rsid w:val="004F48EF"/>
    <w:rsid w:val="004F537C"/>
    <w:rsid w:val="004F7BDD"/>
    <w:rsid w:val="005125AB"/>
    <w:rsid w:val="005140C3"/>
    <w:rsid w:val="00522700"/>
    <w:rsid w:val="0052594B"/>
    <w:rsid w:val="0053770C"/>
    <w:rsid w:val="005543B7"/>
    <w:rsid w:val="005661F5"/>
    <w:rsid w:val="00576A26"/>
    <w:rsid w:val="00583F64"/>
    <w:rsid w:val="00586B44"/>
    <w:rsid w:val="00592AA8"/>
    <w:rsid w:val="0059627A"/>
    <w:rsid w:val="005D138D"/>
    <w:rsid w:val="005D1B72"/>
    <w:rsid w:val="005E1DB9"/>
    <w:rsid w:val="005F791C"/>
    <w:rsid w:val="0061082D"/>
    <w:rsid w:val="0061133B"/>
    <w:rsid w:val="00613A11"/>
    <w:rsid w:val="00620560"/>
    <w:rsid w:val="00623090"/>
    <w:rsid w:val="006238BE"/>
    <w:rsid w:val="00623D25"/>
    <w:rsid w:val="006436B7"/>
    <w:rsid w:val="00653144"/>
    <w:rsid w:val="0066592D"/>
    <w:rsid w:val="00670763"/>
    <w:rsid w:val="006757C0"/>
    <w:rsid w:val="00677EE3"/>
    <w:rsid w:val="00682FFF"/>
    <w:rsid w:val="00683C3D"/>
    <w:rsid w:val="006A447C"/>
    <w:rsid w:val="006A5AF6"/>
    <w:rsid w:val="006B301F"/>
    <w:rsid w:val="006C4451"/>
    <w:rsid w:val="006D6EF9"/>
    <w:rsid w:val="006E3B45"/>
    <w:rsid w:val="006E44E2"/>
    <w:rsid w:val="006E5B76"/>
    <w:rsid w:val="006E6E3F"/>
    <w:rsid w:val="006F2BB5"/>
    <w:rsid w:val="00707277"/>
    <w:rsid w:val="00744360"/>
    <w:rsid w:val="00761000"/>
    <w:rsid w:val="00764136"/>
    <w:rsid w:val="007860B5"/>
    <w:rsid w:val="00792EFC"/>
    <w:rsid w:val="007A21B0"/>
    <w:rsid w:val="007B3DB0"/>
    <w:rsid w:val="007C0B9C"/>
    <w:rsid w:val="007D750B"/>
    <w:rsid w:val="007E43F2"/>
    <w:rsid w:val="007F4622"/>
    <w:rsid w:val="0083684D"/>
    <w:rsid w:val="0084052E"/>
    <w:rsid w:val="0085297C"/>
    <w:rsid w:val="0085579C"/>
    <w:rsid w:val="008735AD"/>
    <w:rsid w:val="00877B56"/>
    <w:rsid w:val="00884FD2"/>
    <w:rsid w:val="008923B5"/>
    <w:rsid w:val="008956B6"/>
    <w:rsid w:val="008A6C28"/>
    <w:rsid w:val="008B075D"/>
    <w:rsid w:val="008B2EF6"/>
    <w:rsid w:val="008B3327"/>
    <w:rsid w:val="008D2E42"/>
    <w:rsid w:val="008D47DC"/>
    <w:rsid w:val="008D52F6"/>
    <w:rsid w:val="008E4EB9"/>
    <w:rsid w:val="009057BE"/>
    <w:rsid w:val="009171F4"/>
    <w:rsid w:val="0092225D"/>
    <w:rsid w:val="00935254"/>
    <w:rsid w:val="00944F11"/>
    <w:rsid w:val="0097057B"/>
    <w:rsid w:val="00970CCC"/>
    <w:rsid w:val="00972487"/>
    <w:rsid w:val="00975E66"/>
    <w:rsid w:val="00985BD3"/>
    <w:rsid w:val="00987076"/>
    <w:rsid w:val="00987631"/>
    <w:rsid w:val="00993B72"/>
    <w:rsid w:val="009971A4"/>
    <w:rsid w:val="009B1A4A"/>
    <w:rsid w:val="009C40D9"/>
    <w:rsid w:val="009C7448"/>
    <w:rsid w:val="009C75EA"/>
    <w:rsid w:val="009D3A6C"/>
    <w:rsid w:val="009E128F"/>
    <w:rsid w:val="009E4505"/>
    <w:rsid w:val="009E5CC2"/>
    <w:rsid w:val="00A026B9"/>
    <w:rsid w:val="00A2459C"/>
    <w:rsid w:val="00A433BC"/>
    <w:rsid w:val="00A614E8"/>
    <w:rsid w:val="00A62EDF"/>
    <w:rsid w:val="00A66D39"/>
    <w:rsid w:val="00A67C4B"/>
    <w:rsid w:val="00A76DD1"/>
    <w:rsid w:val="00A83020"/>
    <w:rsid w:val="00A87A31"/>
    <w:rsid w:val="00A90559"/>
    <w:rsid w:val="00A93615"/>
    <w:rsid w:val="00AB0FF9"/>
    <w:rsid w:val="00AC2C69"/>
    <w:rsid w:val="00AD2652"/>
    <w:rsid w:val="00AD5BE0"/>
    <w:rsid w:val="00AE055C"/>
    <w:rsid w:val="00B06877"/>
    <w:rsid w:val="00B11BCD"/>
    <w:rsid w:val="00B11E01"/>
    <w:rsid w:val="00B22527"/>
    <w:rsid w:val="00B302D5"/>
    <w:rsid w:val="00B3489F"/>
    <w:rsid w:val="00B447F4"/>
    <w:rsid w:val="00B45847"/>
    <w:rsid w:val="00B51535"/>
    <w:rsid w:val="00B537CC"/>
    <w:rsid w:val="00B60489"/>
    <w:rsid w:val="00B60631"/>
    <w:rsid w:val="00B6222D"/>
    <w:rsid w:val="00B776B0"/>
    <w:rsid w:val="00B934D3"/>
    <w:rsid w:val="00B9587F"/>
    <w:rsid w:val="00BA58D2"/>
    <w:rsid w:val="00BC3545"/>
    <w:rsid w:val="00BD16E8"/>
    <w:rsid w:val="00BE1C25"/>
    <w:rsid w:val="00BF5329"/>
    <w:rsid w:val="00C00F6B"/>
    <w:rsid w:val="00C270C5"/>
    <w:rsid w:val="00C33762"/>
    <w:rsid w:val="00C340C9"/>
    <w:rsid w:val="00C40ECF"/>
    <w:rsid w:val="00C430D6"/>
    <w:rsid w:val="00C4748A"/>
    <w:rsid w:val="00C523DD"/>
    <w:rsid w:val="00C747FB"/>
    <w:rsid w:val="00CA5AB2"/>
    <w:rsid w:val="00CB08B2"/>
    <w:rsid w:val="00CB5F30"/>
    <w:rsid w:val="00CB7226"/>
    <w:rsid w:val="00CC5EF4"/>
    <w:rsid w:val="00CD7A9F"/>
    <w:rsid w:val="00CF0CF3"/>
    <w:rsid w:val="00D008BA"/>
    <w:rsid w:val="00D014F9"/>
    <w:rsid w:val="00D01F09"/>
    <w:rsid w:val="00D07176"/>
    <w:rsid w:val="00D12EAC"/>
    <w:rsid w:val="00D21E9C"/>
    <w:rsid w:val="00D44757"/>
    <w:rsid w:val="00D620FE"/>
    <w:rsid w:val="00D67EB3"/>
    <w:rsid w:val="00D74703"/>
    <w:rsid w:val="00D91D9D"/>
    <w:rsid w:val="00DB2844"/>
    <w:rsid w:val="00DC12F7"/>
    <w:rsid w:val="00DD0117"/>
    <w:rsid w:val="00DD23CA"/>
    <w:rsid w:val="00DE2E7A"/>
    <w:rsid w:val="00DF1625"/>
    <w:rsid w:val="00DF5D2E"/>
    <w:rsid w:val="00E1355A"/>
    <w:rsid w:val="00E16727"/>
    <w:rsid w:val="00E32858"/>
    <w:rsid w:val="00E33DF6"/>
    <w:rsid w:val="00E4029B"/>
    <w:rsid w:val="00E45190"/>
    <w:rsid w:val="00E66571"/>
    <w:rsid w:val="00E727E1"/>
    <w:rsid w:val="00E7344C"/>
    <w:rsid w:val="00E73A7C"/>
    <w:rsid w:val="00E74B7C"/>
    <w:rsid w:val="00E77596"/>
    <w:rsid w:val="00E80D1D"/>
    <w:rsid w:val="00E857E6"/>
    <w:rsid w:val="00E860B0"/>
    <w:rsid w:val="00E86318"/>
    <w:rsid w:val="00E93F18"/>
    <w:rsid w:val="00E960E4"/>
    <w:rsid w:val="00E96B1D"/>
    <w:rsid w:val="00EA3BBB"/>
    <w:rsid w:val="00EA4B50"/>
    <w:rsid w:val="00EB755D"/>
    <w:rsid w:val="00EB7A90"/>
    <w:rsid w:val="00EC27AA"/>
    <w:rsid w:val="00EC6A53"/>
    <w:rsid w:val="00EE236C"/>
    <w:rsid w:val="00EE6BA8"/>
    <w:rsid w:val="00EF01BD"/>
    <w:rsid w:val="00EF64A8"/>
    <w:rsid w:val="00F0215D"/>
    <w:rsid w:val="00F07752"/>
    <w:rsid w:val="00F12B7F"/>
    <w:rsid w:val="00F27581"/>
    <w:rsid w:val="00F368F5"/>
    <w:rsid w:val="00F421F0"/>
    <w:rsid w:val="00F5246B"/>
    <w:rsid w:val="00F678E9"/>
    <w:rsid w:val="00F73755"/>
    <w:rsid w:val="00F81683"/>
    <w:rsid w:val="00F919FA"/>
    <w:rsid w:val="00FA7E96"/>
    <w:rsid w:val="00FB21DD"/>
    <w:rsid w:val="00FC2F8C"/>
    <w:rsid w:val="00FD086A"/>
    <w:rsid w:val="00FD3147"/>
    <w:rsid w:val="00FD47DE"/>
    <w:rsid w:val="00FD6FC6"/>
    <w:rsid w:val="00FF4C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00433"/>
  <w15:docId w15:val="{DA9008B4-B465-437D-82B8-48FD6953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3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B39"/>
  </w:style>
  <w:style w:type="paragraph" w:styleId="Footer">
    <w:name w:val="footer"/>
    <w:basedOn w:val="Normal"/>
    <w:link w:val="FooterChar"/>
    <w:uiPriority w:val="99"/>
    <w:unhideWhenUsed/>
    <w:rsid w:val="00243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B39"/>
  </w:style>
  <w:style w:type="character" w:styleId="Hyperlink">
    <w:name w:val="Hyperlink"/>
    <w:basedOn w:val="DefaultParagraphFont"/>
    <w:uiPriority w:val="99"/>
    <w:unhideWhenUsed/>
    <w:rsid w:val="00EA4B50"/>
    <w:rPr>
      <w:color w:val="0563C1" w:themeColor="hyperlink"/>
      <w:u w:val="single"/>
    </w:rPr>
  </w:style>
  <w:style w:type="character" w:customStyle="1" w:styleId="UnresolvedMention1">
    <w:name w:val="Unresolved Mention1"/>
    <w:basedOn w:val="DefaultParagraphFont"/>
    <w:uiPriority w:val="99"/>
    <w:semiHidden/>
    <w:unhideWhenUsed/>
    <w:rsid w:val="00EA4B50"/>
    <w:rPr>
      <w:color w:val="808080"/>
      <w:shd w:val="clear" w:color="auto" w:fill="E6E6E6"/>
    </w:rPr>
  </w:style>
  <w:style w:type="paragraph" w:styleId="ListParagraph">
    <w:name w:val="List Paragraph"/>
    <w:basedOn w:val="Normal"/>
    <w:uiPriority w:val="34"/>
    <w:qFormat/>
    <w:rsid w:val="00EA4B50"/>
    <w:pPr>
      <w:ind w:left="720"/>
      <w:contextualSpacing/>
    </w:pPr>
  </w:style>
  <w:style w:type="paragraph" w:styleId="BalloonText">
    <w:name w:val="Balloon Text"/>
    <w:basedOn w:val="Normal"/>
    <w:link w:val="BalloonTextChar"/>
    <w:uiPriority w:val="99"/>
    <w:semiHidden/>
    <w:unhideWhenUsed/>
    <w:rsid w:val="005E1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DB9"/>
    <w:rPr>
      <w:rFonts w:ascii="Tahoma" w:hAnsi="Tahoma" w:cs="Tahoma"/>
      <w:sz w:val="16"/>
      <w:szCs w:val="16"/>
    </w:rPr>
  </w:style>
  <w:style w:type="character" w:styleId="PlaceholderText">
    <w:name w:val="Placeholder Text"/>
    <w:basedOn w:val="DefaultParagraphFont"/>
    <w:uiPriority w:val="99"/>
    <w:semiHidden/>
    <w:rsid w:val="001840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2195">
      <w:bodyDiv w:val="1"/>
      <w:marLeft w:val="0"/>
      <w:marRight w:val="0"/>
      <w:marTop w:val="0"/>
      <w:marBottom w:val="0"/>
      <w:divBdr>
        <w:top w:val="none" w:sz="0" w:space="0" w:color="auto"/>
        <w:left w:val="none" w:sz="0" w:space="0" w:color="auto"/>
        <w:bottom w:val="none" w:sz="0" w:space="0" w:color="auto"/>
        <w:right w:val="none" w:sz="0" w:space="0" w:color="auto"/>
      </w:divBdr>
      <w:divsChild>
        <w:div w:id="13191456">
          <w:marLeft w:val="720"/>
          <w:marRight w:val="0"/>
          <w:marTop w:val="120"/>
          <w:marBottom w:val="0"/>
          <w:divBdr>
            <w:top w:val="none" w:sz="0" w:space="0" w:color="auto"/>
            <w:left w:val="none" w:sz="0" w:space="0" w:color="auto"/>
            <w:bottom w:val="none" w:sz="0" w:space="0" w:color="auto"/>
            <w:right w:val="none" w:sz="0" w:space="0" w:color="auto"/>
          </w:divBdr>
        </w:div>
      </w:divsChild>
    </w:div>
    <w:div w:id="268436660">
      <w:bodyDiv w:val="1"/>
      <w:marLeft w:val="0"/>
      <w:marRight w:val="0"/>
      <w:marTop w:val="0"/>
      <w:marBottom w:val="0"/>
      <w:divBdr>
        <w:top w:val="none" w:sz="0" w:space="0" w:color="auto"/>
        <w:left w:val="none" w:sz="0" w:space="0" w:color="auto"/>
        <w:bottom w:val="none" w:sz="0" w:space="0" w:color="auto"/>
        <w:right w:val="none" w:sz="0" w:space="0" w:color="auto"/>
      </w:divBdr>
    </w:div>
    <w:div w:id="823668407">
      <w:bodyDiv w:val="1"/>
      <w:marLeft w:val="0"/>
      <w:marRight w:val="0"/>
      <w:marTop w:val="0"/>
      <w:marBottom w:val="0"/>
      <w:divBdr>
        <w:top w:val="none" w:sz="0" w:space="0" w:color="auto"/>
        <w:left w:val="none" w:sz="0" w:space="0" w:color="auto"/>
        <w:bottom w:val="none" w:sz="0" w:space="0" w:color="auto"/>
        <w:right w:val="none" w:sz="0" w:space="0" w:color="auto"/>
      </w:divBdr>
      <w:divsChild>
        <w:div w:id="669992716">
          <w:marLeft w:val="720"/>
          <w:marRight w:val="0"/>
          <w:marTop w:val="120"/>
          <w:marBottom w:val="0"/>
          <w:divBdr>
            <w:top w:val="none" w:sz="0" w:space="0" w:color="auto"/>
            <w:left w:val="none" w:sz="0" w:space="0" w:color="auto"/>
            <w:bottom w:val="none" w:sz="0" w:space="0" w:color="auto"/>
            <w:right w:val="none" w:sz="0" w:space="0" w:color="auto"/>
          </w:divBdr>
        </w:div>
      </w:divsChild>
    </w:div>
    <w:div w:id="1509446648">
      <w:bodyDiv w:val="1"/>
      <w:marLeft w:val="0"/>
      <w:marRight w:val="0"/>
      <w:marTop w:val="0"/>
      <w:marBottom w:val="0"/>
      <w:divBdr>
        <w:top w:val="none" w:sz="0" w:space="0" w:color="auto"/>
        <w:left w:val="none" w:sz="0" w:space="0" w:color="auto"/>
        <w:bottom w:val="none" w:sz="0" w:space="0" w:color="auto"/>
        <w:right w:val="none" w:sz="0" w:space="0" w:color="auto"/>
      </w:divBdr>
      <w:divsChild>
        <w:div w:id="1863125562">
          <w:marLeft w:val="720"/>
          <w:marRight w:val="0"/>
          <w:marTop w:val="120"/>
          <w:marBottom w:val="0"/>
          <w:divBdr>
            <w:top w:val="none" w:sz="0" w:space="0" w:color="auto"/>
            <w:left w:val="none" w:sz="0" w:space="0" w:color="auto"/>
            <w:bottom w:val="none" w:sz="0" w:space="0" w:color="auto"/>
            <w:right w:val="none" w:sz="0" w:space="0" w:color="auto"/>
          </w:divBdr>
        </w:div>
      </w:divsChild>
    </w:div>
    <w:div w:id="1793280006">
      <w:bodyDiv w:val="1"/>
      <w:marLeft w:val="0"/>
      <w:marRight w:val="0"/>
      <w:marTop w:val="0"/>
      <w:marBottom w:val="0"/>
      <w:divBdr>
        <w:top w:val="none" w:sz="0" w:space="0" w:color="auto"/>
        <w:left w:val="none" w:sz="0" w:space="0" w:color="auto"/>
        <w:bottom w:val="none" w:sz="0" w:space="0" w:color="auto"/>
        <w:right w:val="none" w:sz="0" w:space="0" w:color="auto"/>
      </w:divBdr>
    </w:div>
    <w:div w:id="1912882173">
      <w:bodyDiv w:val="1"/>
      <w:marLeft w:val="0"/>
      <w:marRight w:val="0"/>
      <w:marTop w:val="0"/>
      <w:marBottom w:val="0"/>
      <w:divBdr>
        <w:top w:val="none" w:sz="0" w:space="0" w:color="auto"/>
        <w:left w:val="none" w:sz="0" w:space="0" w:color="auto"/>
        <w:bottom w:val="none" w:sz="0" w:space="0" w:color="auto"/>
        <w:right w:val="none" w:sz="0" w:space="0" w:color="auto"/>
      </w:divBdr>
      <w:divsChild>
        <w:div w:id="731078375">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arend.j.van-leeuwen@durham.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6FDC5A-ED1A-41F9-B60C-1378E1F18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4030</Words>
  <Characters>22973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26950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Barend van Leeuwen</dc:creator>
  <cp:lastModifiedBy>Barend van Leeuwen</cp:lastModifiedBy>
  <cp:revision>4</cp:revision>
  <dcterms:created xsi:type="dcterms:W3CDTF">2024-02-11T13:05:00Z</dcterms:created>
  <dcterms:modified xsi:type="dcterms:W3CDTF">2024-02-11T13:14:00Z</dcterms:modified>
</cp:coreProperties>
</file>