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F81BD" w:themeColor="accent1"/>
          <w:lang w:val="en-GB"/>
        </w:rPr>
        <w:id w:val="1996374431"/>
        <w:docPartObj>
          <w:docPartGallery w:val="Cover Pages"/>
          <w:docPartUnique/>
        </w:docPartObj>
      </w:sdtPr>
      <w:sdtEndPr>
        <w:rPr>
          <w:rFonts w:ascii="Garamond" w:hAnsi="Garamond" w:cs="Garamond"/>
          <w:b/>
          <w:bCs/>
          <w:smallCaps/>
          <w:color w:val="auto"/>
        </w:rPr>
      </w:sdtEndPr>
      <w:sdtContent>
        <w:sdt>
          <w:sdtPr>
            <w:rPr>
              <w:color w:val="4F81BD" w:themeColor="accent1"/>
              <w:lang w:val="en-GB"/>
            </w:rPr>
            <w:id w:val="550033971"/>
            <w:docPartObj>
              <w:docPartGallery w:val="Cover Pages"/>
              <w:docPartUnique/>
            </w:docPartObj>
          </w:sdtPr>
          <w:sdtEndPr>
            <w:rPr>
              <w:rFonts w:ascii="Garamond" w:hAnsi="Garamond" w:cs="Garamond"/>
              <w:b/>
              <w:bCs/>
              <w:smallCaps/>
              <w:color w:val="auto"/>
            </w:rPr>
          </w:sdtEndPr>
          <w:sdtContent>
            <w:p w14:paraId="26A2904B" w14:textId="77777777" w:rsidR="00782923" w:rsidRPr="00FC00BD" w:rsidRDefault="00782923" w:rsidP="00782923">
              <w:pPr>
                <w:rPr>
                  <w:lang w:val="en-GB"/>
                </w:rPr>
              </w:pPr>
              <w:r w:rsidRPr="00FC00BD">
                <w:rPr>
                  <w:rFonts w:cs="Arial"/>
                  <w:noProof/>
                  <w:sz w:val="72"/>
                  <w:lang w:val="en-GB" w:eastAsia="en-GB"/>
                </w:rPr>
                <w:drawing>
                  <wp:inline distT="0" distB="0" distL="0" distR="0" wp14:anchorId="6284B86B" wp14:editId="18A3D2D7">
                    <wp:extent cx="2305050" cy="1038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5050" cy="1038225"/>
                            </a:xfrm>
                            <a:prstGeom prst="rect">
                              <a:avLst/>
                            </a:prstGeom>
                            <a:noFill/>
                            <a:ln>
                              <a:noFill/>
                            </a:ln>
                          </pic:spPr>
                        </pic:pic>
                      </a:graphicData>
                    </a:graphic>
                  </wp:inline>
                </w:drawing>
              </w:r>
            </w:p>
            <w:p w14:paraId="45865E3E" w14:textId="77777777" w:rsidR="00782923" w:rsidRPr="00FC00BD" w:rsidRDefault="00782923" w:rsidP="00782923">
              <w:pPr>
                <w:jc w:val="center"/>
                <w:rPr>
                  <w:rFonts w:ascii="Garamond" w:hAnsi="Garamond"/>
                  <w:b/>
                  <w:sz w:val="56"/>
                  <w:szCs w:val="56"/>
                  <w:lang w:val="en-GB"/>
                </w:rPr>
              </w:pPr>
              <w:r w:rsidRPr="00FC00BD">
                <w:rPr>
                  <w:rFonts w:ascii="Garamond" w:hAnsi="Garamond"/>
                  <w:b/>
                  <w:sz w:val="56"/>
                  <w:szCs w:val="56"/>
                  <w:lang w:val="en-GB"/>
                </w:rPr>
                <w:br/>
                <w:t>EUROPEAN UNION LAW</w:t>
              </w:r>
            </w:p>
            <w:p w14:paraId="4EDA57ED" w14:textId="77777777" w:rsidR="00782923" w:rsidRPr="00FC00BD" w:rsidRDefault="00782923" w:rsidP="00782923">
              <w:pPr>
                <w:jc w:val="center"/>
                <w:rPr>
                  <w:rFonts w:ascii="Garamond" w:hAnsi="Garamond"/>
                  <w:b/>
                  <w:sz w:val="56"/>
                  <w:szCs w:val="56"/>
                  <w:lang w:val="en-GB"/>
                </w:rPr>
              </w:pPr>
              <w:r w:rsidRPr="00FC00BD">
                <w:rPr>
                  <w:rFonts w:ascii="Garamond" w:hAnsi="Garamond"/>
                  <w:b/>
                  <w:sz w:val="56"/>
                  <w:szCs w:val="56"/>
                  <w:lang w:val="en-GB"/>
                </w:rPr>
                <w:t>2023-2024</w:t>
              </w:r>
            </w:p>
            <w:p w14:paraId="296BEC0D" w14:textId="2C25596B" w:rsidR="00782923" w:rsidRPr="00FC00BD" w:rsidRDefault="00782923" w:rsidP="00782923">
              <w:pPr>
                <w:jc w:val="center"/>
                <w:rPr>
                  <w:rFonts w:ascii="Garamond" w:hAnsi="Garamond"/>
                  <w:b/>
                  <w:sz w:val="40"/>
                  <w:szCs w:val="40"/>
                  <w:u w:val="single"/>
                  <w:lang w:val="en-GB"/>
                </w:rPr>
              </w:pPr>
              <w:r w:rsidRPr="00FC00BD">
                <w:rPr>
                  <w:rFonts w:ascii="Garamond" w:hAnsi="Garamond"/>
                  <w:b/>
                  <w:sz w:val="40"/>
                  <w:szCs w:val="40"/>
                  <w:lang w:val="en-GB"/>
                </w:rPr>
                <w:br/>
              </w:r>
              <w:r w:rsidRPr="00FC00BD">
                <w:rPr>
                  <w:rFonts w:ascii="Garamond" w:hAnsi="Garamond"/>
                  <w:b/>
                  <w:sz w:val="40"/>
                  <w:szCs w:val="40"/>
                  <w:u w:val="single"/>
                  <w:lang w:val="en-GB"/>
                </w:rPr>
                <w:t xml:space="preserve">HANDOUT </w:t>
              </w:r>
              <w:r w:rsidR="004B2575" w:rsidRPr="00FC00BD">
                <w:rPr>
                  <w:rFonts w:ascii="Garamond" w:hAnsi="Garamond"/>
                  <w:b/>
                  <w:sz w:val="40"/>
                  <w:szCs w:val="40"/>
                  <w:u w:val="single"/>
                  <w:lang w:val="en-GB"/>
                </w:rPr>
                <w:t>7</w:t>
              </w:r>
            </w:p>
            <w:p w14:paraId="2C4B771B" w14:textId="4FF86B83" w:rsidR="00782923" w:rsidRPr="00FC00BD" w:rsidRDefault="00782923" w:rsidP="00782923">
              <w:pPr>
                <w:jc w:val="center"/>
                <w:rPr>
                  <w:rFonts w:ascii="Garamond" w:hAnsi="Garamond"/>
                  <w:sz w:val="40"/>
                  <w:szCs w:val="40"/>
                  <w:lang w:val="en-GB"/>
                </w:rPr>
              </w:pPr>
              <w:r w:rsidRPr="00FC00BD">
                <w:rPr>
                  <w:rFonts w:ascii="Garamond" w:hAnsi="Garamond"/>
                  <w:sz w:val="40"/>
                  <w:szCs w:val="40"/>
                  <w:lang w:val="en-GB"/>
                </w:rPr>
                <w:t>(Lectures 1</w:t>
              </w:r>
              <w:r w:rsidR="004B2575" w:rsidRPr="00FC00BD">
                <w:rPr>
                  <w:rFonts w:ascii="Garamond" w:hAnsi="Garamond"/>
                  <w:sz w:val="40"/>
                  <w:szCs w:val="40"/>
                  <w:lang w:val="en-GB"/>
                </w:rPr>
                <w:t>9</w:t>
              </w:r>
              <w:r w:rsidRPr="00FC00BD">
                <w:rPr>
                  <w:rFonts w:ascii="Garamond" w:hAnsi="Garamond"/>
                  <w:sz w:val="40"/>
                  <w:szCs w:val="40"/>
                  <w:lang w:val="en-GB"/>
                </w:rPr>
                <w:t>-</w:t>
              </w:r>
              <w:r w:rsidR="004B2575" w:rsidRPr="00FC00BD">
                <w:rPr>
                  <w:rFonts w:ascii="Garamond" w:hAnsi="Garamond"/>
                  <w:sz w:val="40"/>
                  <w:szCs w:val="40"/>
                  <w:lang w:val="en-GB"/>
                </w:rPr>
                <w:t>20</w:t>
              </w:r>
              <w:r w:rsidRPr="00FC00BD">
                <w:rPr>
                  <w:rFonts w:ascii="Garamond" w:hAnsi="Garamond"/>
                  <w:sz w:val="40"/>
                  <w:szCs w:val="40"/>
                  <w:lang w:val="en-GB"/>
                </w:rPr>
                <w:t>)</w:t>
              </w:r>
            </w:p>
            <w:p w14:paraId="66250C1E" w14:textId="77777777" w:rsidR="00782923" w:rsidRPr="00FC00BD" w:rsidRDefault="00782923" w:rsidP="00782923">
              <w:pPr>
                <w:rPr>
                  <w:rFonts w:ascii="Garamond" w:hAnsi="Garamond"/>
                  <w:sz w:val="28"/>
                  <w:szCs w:val="28"/>
                  <w:lang w:val="en-GB"/>
                </w:rPr>
              </w:pPr>
            </w:p>
            <w:p w14:paraId="364EB56A" w14:textId="77777777" w:rsidR="00782923" w:rsidRPr="00FC00BD" w:rsidRDefault="00782923" w:rsidP="00782923">
              <w:pPr>
                <w:rPr>
                  <w:rFonts w:ascii="Garamond" w:hAnsi="Garamond"/>
                  <w:sz w:val="28"/>
                  <w:szCs w:val="28"/>
                  <w:lang w:val="en-GB"/>
                </w:rPr>
              </w:pPr>
              <w:r w:rsidRPr="00FC00BD">
                <w:rPr>
                  <w:rFonts w:ascii="Garamond" w:hAnsi="Garamond"/>
                  <w:sz w:val="28"/>
                  <w:szCs w:val="28"/>
                  <w:lang w:val="en-GB"/>
                </w:rPr>
                <w:t>Andreas Georgiou</w:t>
              </w:r>
            </w:p>
            <w:p w14:paraId="0492672C" w14:textId="77777777" w:rsidR="00782923" w:rsidRPr="00FC00BD" w:rsidRDefault="00782923" w:rsidP="00782923">
              <w:pPr>
                <w:rPr>
                  <w:rFonts w:ascii="Garamond" w:hAnsi="Garamond"/>
                  <w:sz w:val="28"/>
                  <w:szCs w:val="28"/>
                  <w:lang w:val="en-GB"/>
                </w:rPr>
              </w:pPr>
              <w:r w:rsidRPr="00FC00BD">
                <w:rPr>
                  <w:rFonts w:ascii="Garamond" w:hAnsi="Garamond"/>
                  <w:sz w:val="28"/>
                  <w:szCs w:val="28"/>
                  <w:lang w:val="en-GB"/>
                </w:rPr>
                <w:t xml:space="preserve">Durham Law School </w:t>
              </w:r>
            </w:p>
            <w:p w14:paraId="7F8CB748" w14:textId="77777777" w:rsidR="00782923" w:rsidRPr="00FC00BD" w:rsidRDefault="00000000" w:rsidP="00782923">
              <w:pPr>
                <w:rPr>
                  <w:rFonts w:ascii="Garamond" w:hAnsi="Garamond"/>
                  <w:sz w:val="28"/>
                  <w:szCs w:val="28"/>
                  <w:lang w:val="en-GB"/>
                </w:rPr>
              </w:pPr>
              <w:hyperlink r:id="rId9" w:history="1">
                <w:r w:rsidR="00782923" w:rsidRPr="00FC00BD">
                  <w:rPr>
                    <w:rStyle w:val="Hyperlink"/>
                    <w:rFonts w:ascii="Garamond" w:hAnsi="Garamond"/>
                    <w:sz w:val="28"/>
                    <w:szCs w:val="28"/>
                    <w:lang w:val="en-GB"/>
                  </w:rPr>
                  <w:t>andreas.georgiou@durham.ac.uk</w:t>
                </w:r>
              </w:hyperlink>
            </w:p>
            <w:p w14:paraId="54603D1E" w14:textId="77777777" w:rsidR="00782923" w:rsidRPr="00FC00BD" w:rsidRDefault="00782923" w:rsidP="00782923">
              <w:pPr>
                <w:rPr>
                  <w:rFonts w:ascii="Garamond" w:hAnsi="Garamond"/>
                  <w:sz w:val="28"/>
                  <w:szCs w:val="28"/>
                  <w:lang w:val="en-GB"/>
                </w:rPr>
              </w:pPr>
            </w:p>
            <w:p w14:paraId="0B157A66" w14:textId="77777777" w:rsidR="00782923" w:rsidRPr="00FC00BD" w:rsidRDefault="00782923" w:rsidP="00782923">
              <w:pPr>
                <w:pStyle w:val="Default"/>
                <w:rPr>
                  <w:color w:val="4F81BD" w:themeColor="accent1"/>
                  <w:lang w:val="en-GB"/>
                </w:rPr>
              </w:pPr>
            </w:p>
            <w:p w14:paraId="4567CE21" w14:textId="6E3F1238" w:rsidR="007F039B" w:rsidRPr="00FC00BD" w:rsidRDefault="00782923" w:rsidP="00782923">
              <w:pPr>
                <w:rPr>
                  <w:rFonts w:ascii="Garamond" w:hAnsi="Garamond" w:cs="Garamond"/>
                  <w:b/>
                  <w:bCs/>
                  <w:smallCaps/>
                  <w:lang w:val="en-GB"/>
                </w:rPr>
              </w:pPr>
              <w:r w:rsidRPr="00FC00BD">
                <w:rPr>
                  <w:rFonts w:ascii="Garamond" w:hAnsi="Garamond" w:cs="Garamond"/>
                  <w:b/>
                  <w:bCs/>
                  <w:smallCaps/>
                  <w:lang w:val="en-GB"/>
                </w:rPr>
                <w:br w:type="page"/>
              </w:r>
            </w:p>
          </w:sdtContent>
        </w:sdt>
      </w:sdtContent>
    </w:sdt>
    <w:p w14:paraId="3A5B97B6" w14:textId="77777777" w:rsidR="007F039B" w:rsidRPr="00FC00BD" w:rsidRDefault="007F039B" w:rsidP="00AE3680">
      <w:pPr>
        <w:pStyle w:val="Default"/>
        <w:pBdr>
          <w:top w:val="single" w:sz="4" w:space="1" w:color="auto"/>
          <w:left w:val="single" w:sz="4" w:space="4" w:color="auto"/>
          <w:bottom w:val="single" w:sz="4" w:space="1" w:color="auto"/>
          <w:right w:val="single" w:sz="4" w:space="4" w:color="auto"/>
        </w:pBdr>
        <w:shd w:val="clear" w:color="auto" w:fill="DDD9C3"/>
        <w:spacing w:line="276" w:lineRule="auto"/>
        <w:jc w:val="center"/>
        <w:outlineLvl w:val="0"/>
        <w:rPr>
          <w:rFonts w:ascii="Garamond" w:hAnsi="Garamond" w:cs="Garamond"/>
          <w:b/>
          <w:bCs/>
          <w:smallCaps/>
          <w:color w:val="auto"/>
          <w:lang w:val="en-GB"/>
        </w:rPr>
      </w:pPr>
    </w:p>
    <w:p w14:paraId="66D80525" w14:textId="1A8E5A20" w:rsidR="007F039B" w:rsidRPr="00FC00BD" w:rsidRDefault="007F039B" w:rsidP="00AE3680">
      <w:pPr>
        <w:pStyle w:val="Default"/>
        <w:pBdr>
          <w:top w:val="single" w:sz="4" w:space="1" w:color="auto"/>
          <w:left w:val="single" w:sz="4" w:space="4" w:color="auto"/>
          <w:bottom w:val="single" w:sz="4" w:space="1" w:color="auto"/>
          <w:right w:val="single" w:sz="4" w:space="4" w:color="auto"/>
        </w:pBdr>
        <w:shd w:val="clear" w:color="auto" w:fill="DDD9C3"/>
        <w:spacing w:line="276" w:lineRule="auto"/>
        <w:jc w:val="center"/>
        <w:outlineLvl w:val="0"/>
        <w:rPr>
          <w:rFonts w:ascii="Garamond" w:hAnsi="Garamond" w:cs="Garamond"/>
          <w:b/>
          <w:bCs/>
          <w:smallCaps/>
          <w:color w:val="auto"/>
          <w:lang w:val="en-GB"/>
        </w:rPr>
      </w:pPr>
      <w:r w:rsidRPr="00FC00BD">
        <w:rPr>
          <w:rFonts w:ascii="Garamond" w:hAnsi="Garamond" w:cs="Garamond"/>
          <w:b/>
          <w:bCs/>
          <w:smallCaps/>
          <w:color w:val="auto"/>
          <w:lang w:val="en-GB"/>
        </w:rPr>
        <w:t>Lecture</w:t>
      </w:r>
      <w:r w:rsidR="00E23369" w:rsidRPr="00FC00BD">
        <w:rPr>
          <w:rFonts w:ascii="Garamond" w:hAnsi="Garamond" w:cs="Garamond"/>
          <w:b/>
          <w:bCs/>
          <w:smallCaps/>
          <w:color w:val="auto"/>
          <w:lang w:val="en-GB"/>
        </w:rPr>
        <w:t>s</w:t>
      </w:r>
      <w:r w:rsidRPr="00FC00BD">
        <w:rPr>
          <w:rFonts w:ascii="Garamond" w:hAnsi="Garamond" w:cs="Garamond"/>
          <w:b/>
          <w:bCs/>
          <w:smallCaps/>
          <w:color w:val="auto"/>
          <w:lang w:val="en-GB"/>
        </w:rPr>
        <w:t xml:space="preserve"> 1</w:t>
      </w:r>
      <w:r w:rsidR="004B2575" w:rsidRPr="00FC00BD">
        <w:rPr>
          <w:rFonts w:ascii="Garamond" w:hAnsi="Garamond" w:cs="Garamond"/>
          <w:b/>
          <w:bCs/>
          <w:smallCaps/>
          <w:color w:val="auto"/>
          <w:lang w:val="en-GB"/>
        </w:rPr>
        <w:t>9</w:t>
      </w:r>
      <w:r w:rsidR="00E23369" w:rsidRPr="00FC00BD">
        <w:rPr>
          <w:rFonts w:ascii="Garamond" w:hAnsi="Garamond" w:cs="Garamond"/>
          <w:b/>
          <w:bCs/>
          <w:smallCaps/>
          <w:color w:val="auto"/>
          <w:lang w:val="en-GB"/>
        </w:rPr>
        <w:t>-</w:t>
      </w:r>
      <w:r w:rsidR="004B2575" w:rsidRPr="00FC00BD">
        <w:rPr>
          <w:rFonts w:ascii="Garamond" w:hAnsi="Garamond" w:cs="Garamond"/>
          <w:b/>
          <w:bCs/>
          <w:smallCaps/>
          <w:color w:val="auto"/>
          <w:lang w:val="en-GB"/>
        </w:rPr>
        <w:t>20</w:t>
      </w:r>
      <w:r w:rsidRPr="00FC00BD">
        <w:rPr>
          <w:rFonts w:ascii="Garamond" w:hAnsi="Garamond" w:cs="Garamond"/>
          <w:b/>
          <w:bCs/>
          <w:smallCaps/>
          <w:color w:val="auto"/>
          <w:lang w:val="en-GB"/>
        </w:rPr>
        <w:t xml:space="preserve">: </w:t>
      </w:r>
      <w:r w:rsidR="004B2575" w:rsidRPr="00FC00BD">
        <w:rPr>
          <w:rFonts w:ascii="Garamond" w:hAnsi="Garamond" w:cs="Garamond"/>
          <w:b/>
          <w:bCs/>
          <w:smallCaps/>
          <w:color w:val="auto"/>
          <w:lang w:val="en-GB"/>
        </w:rPr>
        <w:t>Brexit, Part II</w:t>
      </w:r>
      <w:r w:rsidR="00044514" w:rsidRPr="00FC00BD">
        <w:rPr>
          <w:rFonts w:ascii="Garamond" w:hAnsi="Garamond" w:cs="Garamond"/>
          <w:b/>
          <w:bCs/>
          <w:smallCaps/>
          <w:color w:val="auto"/>
          <w:lang w:val="en-GB"/>
        </w:rPr>
        <w:t xml:space="preserve"> </w:t>
      </w:r>
    </w:p>
    <w:p w14:paraId="084A4917" w14:textId="77777777" w:rsidR="007F039B" w:rsidRPr="00FC00BD" w:rsidRDefault="007F039B" w:rsidP="00AE3680">
      <w:pPr>
        <w:pStyle w:val="Default"/>
        <w:pBdr>
          <w:top w:val="single" w:sz="4" w:space="1" w:color="auto"/>
          <w:left w:val="single" w:sz="4" w:space="4" w:color="auto"/>
          <w:bottom w:val="single" w:sz="4" w:space="1" w:color="auto"/>
          <w:right w:val="single" w:sz="4" w:space="4" w:color="auto"/>
        </w:pBdr>
        <w:shd w:val="clear" w:color="auto" w:fill="DDD9C3"/>
        <w:spacing w:line="276" w:lineRule="auto"/>
        <w:jc w:val="center"/>
        <w:outlineLvl w:val="0"/>
        <w:rPr>
          <w:rFonts w:ascii="Garamond" w:hAnsi="Garamond" w:cs="Garamond"/>
          <w:smallCaps/>
          <w:color w:val="auto"/>
          <w:lang w:val="en-GB"/>
        </w:rPr>
      </w:pPr>
    </w:p>
    <w:p w14:paraId="24E2B95F" w14:textId="3F228E5F" w:rsidR="007F039B" w:rsidRPr="00FC00BD" w:rsidRDefault="004B2575" w:rsidP="00AE3680">
      <w:pPr>
        <w:pStyle w:val="Default"/>
        <w:spacing w:line="276" w:lineRule="auto"/>
        <w:jc w:val="both"/>
        <w:rPr>
          <w:rFonts w:ascii="Garamond" w:hAnsi="Garamond" w:cs="Garamond"/>
          <w:color w:val="auto"/>
          <w:lang w:val="en-GB"/>
        </w:rPr>
      </w:pPr>
      <w:r w:rsidRPr="00FC00BD">
        <w:rPr>
          <w:rFonts w:ascii="Garamond" w:hAnsi="Garamond"/>
          <w:b/>
          <w:noProof/>
          <w:sz w:val="40"/>
          <w:szCs w:val="40"/>
          <w:lang w:val="en-GB" w:eastAsia="en-GB"/>
        </w:rPr>
        <mc:AlternateContent>
          <mc:Choice Requires="wps">
            <w:drawing>
              <wp:anchor distT="0" distB="0" distL="114300" distR="114300" simplePos="0" relativeHeight="251659264" behindDoc="0" locked="0" layoutInCell="1" allowOverlap="1" wp14:anchorId="26FA8401" wp14:editId="37747AF9">
                <wp:simplePos x="0" y="0"/>
                <wp:positionH relativeFrom="column">
                  <wp:posOffset>0</wp:posOffset>
                </wp:positionH>
                <wp:positionV relativeFrom="paragraph">
                  <wp:posOffset>197192</wp:posOffset>
                </wp:positionV>
                <wp:extent cx="2971800" cy="931985"/>
                <wp:effectExtent l="0" t="0" r="12700" b="825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931985"/>
                        </a:xfrm>
                        <a:prstGeom prst="rect">
                          <a:avLst/>
                        </a:prstGeom>
                        <a:solidFill>
                          <a:srgbClr val="FFFFFF"/>
                        </a:solidFill>
                        <a:ln w="9525">
                          <a:solidFill>
                            <a:srgbClr val="000000"/>
                          </a:solidFill>
                          <a:miter lim="800000"/>
                          <a:headEnd/>
                          <a:tailEnd/>
                        </a:ln>
                      </wps:spPr>
                      <wps:txbx>
                        <w:txbxContent>
                          <w:p w14:paraId="142F8ACD" w14:textId="7B0B4680" w:rsidR="003E09AF" w:rsidRPr="00C31BD2" w:rsidRDefault="003E09AF" w:rsidP="003E09AF">
                            <w:pPr>
                              <w:pStyle w:val="ListParagraph"/>
                              <w:numPr>
                                <w:ilvl w:val="0"/>
                                <w:numId w:val="18"/>
                              </w:numPr>
                              <w:rPr>
                                <w:rFonts w:ascii="Garamond" w:hAnsi="Garamond"/>
                                <w:i/>
                                <w:sz w:val="24"/>
                                <w:szCs w:val="24"/>
                              </w:rPr>
                            </w:pPr>
                            <w:r w:rsidRPr="00C31BD2">
                              <w:rPr>
                                <w:rFonts w:ascii="Garamond" w:hAnsi="Garamond"/>
                                <w:i/>
                                <w:sz w:val="24"/>
                                <w:szCs w:val="24"/>
                              </w:rPr>
                              <w:t>Sch</w:t>
                            </w:r>
                            <w:r>
                              <w:rPr>
                                <w:rFonts w:ascii="Garamond" w:hAnsi="Garamond"/>
                                <w:i/>
                                <w:sz w:val="24"/>
                                <w:szCs w:val="24"/>
                              </w:rPr>
                              <w:t xml:space="preserve">ütze, </w:t>
                            </w:r>
                            <w:r w:rsidR="004B2575">
                              <w:rPr>
                                <w:rFonts w:ascii="Garamond" w:hAnsi="Garamond"/>
                                <w:i/>
                                <w:sz w:val="24"/>
                                <w:szCs w:val="24"/>
                              </w:rPr>
                              <w:t>Chapter 20 (sections 2 and 3)</w:t>
                            </w:r>
                            <w:r w:rsidRPr="00C31BD2">
                              <w:rPr>
                                <w:rFonts w:ascii="Garamond" w:hAnsi="Garamond"/>
                                <w:i/>
                                <w:sz w:val="24"/>
                                <w:szCs w:val="24"/>
                              </w:rPr>
                              <w:t xml:space="preserve"> or</w:t>
                            </w:r>
                          </w:p>
                          <w:p w14:paraId="60F88D02" w14:textId="4465AC9A" w:rsidR="003E09AF" w:rsidRPr="005C2320" w:rsidRDefault="003E09AF" w:rsidP="00497B41">
                            <w:pPr>
                              <w:pStyle w:val="ListParagraph"/>
                              <w:numPr>
                                <w:ilvl w:val="0"/>
                                <w:numId w:val="18"/>
                              </w:numPr>
                              <w:rPr>
                                <w:rFonts w:ascii="Garamond" w:hAnsi="Garamond"/>
                                <w:i/>
                                <w:sz w:val="24"/>
                                <w:szCs w:val="24"/>
                              </w:rPr>
                            </w:pPr>
                            <w:r w:rsidRPr="005C2320">
                              <w:rPr>
                                <w:rFonts w:ascii="Garamond" w:hAnsi="Garamond"/>
                                <w:i/>
                                <w:sz w:val="24"/>
                                <w:szCs w:val="24"/>
                              </w:rPr>
                              <w:t xml:space="preserve">Barnard and Peers, Chapter </w:t>
                            </w:r>
                            <w:r w:rsidR="004B2575" w:rsidRPr="005C2320">
                              <w:rPr>
                                <w:rFonts w:ascii="Garamond" w:hAnsi="Garamond"/>
                                <w:i/>
                                <w:sz w:val="24"/>
                                <w:szCs w:val="24"/>
                              </w:rPr>
                              <w:t>27 (sections 4 and 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FA8401" id="_x0000_t202" coordsize="21600,21600" o:spt="202" path="m,l,21600r21600,l21600,xe">
                <v:stroke joinstyle="miter"/>
                <v:path gradientshapeok="t" o:connecttype="rect"/>
              </v:shapetype>
              <v:shape id="Text Box 2" o:spid="_x0000_s1026" type="#_x0000_t202" style="position:absolute;left:0;text-align:left;margin-left:0;margin-top:15.55pt;width:234pt;height:7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">
                <v:textbox>
                  <w:txbxContent>
                    <w:p w14:paraId="142F8ACD" w14:textId="7B0B4680" w:rsidR="003E09AF" w:rsidRPr="00C31BD2" w:rsidRDefault="003E09AF" w:rsidP="003E09AF">
                      <w:pPr>
                        <w:pStyle w:val="ListParagraph"/>
                        <w:numPr>
                          <w:ilvl w:val="0"/>
                          <w:numId w:val="18"/>
                        </w:numPr>
                        <w:rPr>
                          <w:rFonts w:ascii="Garamond" w:hAnsi="Garamond"/>
                          <w:i/>
                          <w:sz w:val="24"/>
                          <w:szCs w:val="24"/>
                        </w:rPr>
                      </w:pPr>
                      <w:proofErr w:type="spellStart"/>
                      <w:r w:rsidRPr="00C31BD2">
                        <w:rPr>
                          <w:rFonts w:ascii="Garamond" w:hAnsi="Garamond"/>
                          <w:i/>
                          <w:sz w:val="24"/>
                          <w:szCs w:val="24"/>
                        </w:rPr>
                        <w:t>Sch</w:t>
                      </w:r>
                      <w:r>
                        <w:rPr>
                          <w:rFonts w:ascii="Garamond" w:hAnsi="Garamond"/>
                          <w:i/>
                          <w:sz w:val="24"/>
                          <w:szCs w:val="24"/>
                        </w:rPr>
                        <w:t>ütze</w:t>
                      </w:r>
                      <w:proofErr w:type="spellEnd"/>
                      <w:r>
                        <w:rPr>
                          <w:rFonts w:ascii="Garamond" w:hAnsi="Garamond"/>
                          <w:i/>
                          <w:sz w:val="24"/>
                          <w:szCs w:val="24"/>
                        </w:rPr>
                        <w:t xml:space="preserve">, </w:t>
                      </w:r>
                      <w:r w:rsidR="004B2575">
                        <w:rPr>
                          <w:rFonts w:ascii="Garamond" w:hAnsi="Garamond"/>
                          <w:i/>
                          <w:sz w:val="24"/>
                          <w:szCs w:val="24"/>
                        </w:rPr>
                        <w:t>Chapter 20 (sections 2 and 3)</w:t>
                      </w:r>
                      <w:r w:rsidRPr="00C31BD2">
                        <w:rPr>
                          <w:rFonts w:ascii="Garamond" w:hAnsi="Garamond"/>
                          <w:i/>
                          <w:sz w:val="24"/>
                          <w:szCs w:val="24"/>
                        </w:rPr>
                        <w:t xml:space="preserve"> or</w:t>
                      </w:r>
                    </w:p>
                    <w:p w14:paraId="60F88D02" w14:textId="4465AC9A" w:rsidR="003E09AF" w:rsidRPr="005C2320" w:rsidRDefault="003E09AF" w:rsidP="00497B41">
                      <w:pPr>
                        <w:pStyle w:val="ListParagraph"/>
                        <w:numPr>
                          <w:ilvl w:val="0"/>
                          <w:numId w:val="18"/>
                        </w:numPr>
                        <w:rPr>
                          <w:rFonts w:ascii="Garamond" w:hAnsi="Garamond"/>
                          <w:i/>
                          <w:sz w:val="24"/>
                          <w:szCs w:val="24"/>
                        </w:rPr>
                      </w:pPr>
                      <w:r w:rsidRPr="005C2320">
                        <w:rPr>
                          <w:rFonts w:ascii="Garamond" w:hAnsi="Garamond"/>
                          <w:i/>
                          <w:sz w:val="24"/>
                          <w:szCs w:val="24"/>
                        </w:rPr>
                        <w:t xml:space="preserve">Barnard and Peers, Chapter </w:t>
                      </w:r>
                      <w:r w:rsidR="004B2575" w:rsidRPr="005C2320">
                        <w:rPr>
                          <w:rFonts w:ascii="Garamond" w:hAnsi="Garamond"/>
                          <w:i/>
                          <w:sz w:val="24"/>
                          <w:szCs w:val="24"/>
                        </w:rPr>
                        <w:t>27 (sections 4 and 5)</w:t>
                      </w:r>
                    </w:p>
                  </w:txbxContent>
                </v:textbox>
              </v:shape>
            </w:pict>
          </mc:Fallback>
        </mc:AlternateContent>
      </w:r>
      <w:r w:rsidR="007F039B" w:rsidRPr="00FC00BD">
        <w:rPr>
          <w:rFonts w:ascii="Garamond" w:hAnsi="Garamond" w:cs="Garamond"/>
          <w:color w:val="auto"/>
          <w:lang w:val="en-GB"/>
        </w:rPr>
        <w:t xml:space="preserve"> </w:t>
      </w:r>
    </w:p>
    <w:p w14:paraId="70116748" w14:textId="2F35D469" w:rsidR="003E09AF" w:rsidRPr="00FC00BD" w:rsidRDefault="003E09AF" w:rsidP="003E09AF">
      <w:pPr>
        <w:spacing w:after="120"/>
        <w:jc w:val="both"/>
        <w:rPr>
          <w:rFonts w:ascii="Garamond" w:hAnsi="Garamond"/>
          <w:b/>
          <w:sz w:val="28"/>
          <w:szCs w:val="24"/>
          <w:lang w:val="en-GB"/>
        </w:rPr>
      </w:pPr>
    </w:p>
    <w:p w14:paraId="59D7B3C5" w14:textId="77777777" w:rsidR="004B2575" w:rsidRPr="00FC00BD" w:rsidRDefault="004B2575" w:rsidP="00A37136">
      <w:pPr>
        <w:pStyle w:val="Heading1"/>
      </w:pPr>
    </w:p>
    <w:p w14:paraId="28EE25F7" w14:textId="28FB5046" w:rsidR="007F039B" w:rsidRPr="00FC00BD" w:rsidRDefault="007F039B" w:rsidP="00A37136">
      <w:pPr>
        <w:pStyle w:val="Heading1"/>
      </w:pPr>
      <w:r w:rsidRPr="00FC00BD">
        <w:t xml:space="preserve">1. </w:t>
      </w:r>
      <w:r w:rsidR="004B2575" w:rsidRPr="00FC00BD">
        <w:t xml:space="preserve">The </w:t>
      </w:r>
      <w:r w:rsidR="00AF5E10" w:rsidRPr="00FC00BD">
        <w:t xml:space="preserve">UK </w:t>
      </w:r>
      <w:r w:rsidR="004B2575" w:rsidRPr="00FC00BD">
        <w:t xml:space="preserve">Withdrawal Agreement </w:t>
      </w:r>
    </w:p>
    <w:p w14:paraId="65B643C0" w14:textId="77777777" w:rsidR="00112AFF" w:rsidRPr="00FC00BD" w:rsidRDefault="00112AFF" w:rsidP="00112AFF">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 xml:space="preserve">The UK’s membership formally ended on 31 January 2020 and the Withdrawal Agreement (WA) entered into force on 1 February 2020. The WA was concluded by the Council on behalf of the EU. The European Parliament had to give its consent to the agreement. The Council nominated the European Commission to lead the negotiations. The EU’s chief negotiator was Michel Barnier. The main negotiator on the UK side was the Secretary of State for Exiting the European Union. Both the Council and the European Parliament were closely involved in the negotiations. The UK was excluded from the European Council and Council meetings on Brexit (Article 50(4) TEU). </w:t>
      </w:r>
    </w:p>
    <w:p w14:paraId="1C51FA90" w14:textId="7B52068B" w:rsidR="00112AFF" w:rsidRPr="00FC00BD" w:rsidRDefault="00112AFF" w:rsidP="00112AFF">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In November 2018, the EU and the UK negotiators reached an agreement on the draft WA. Although the Council approved the agreement very quickly, it did not come into force because the UK Parliament voted against it. From March 2019 onwards, the EU and the UK had to agree on a number of extensions in order to avoid the situation in which the UK would leave the EU without an agreement. In the autumn of 2019, the EU and the UK negotiated a revised version of the WA, which differed from the original version</w:t>
      </w:r>
      <w:r w:rsidR="008427A4" w:rsidRPr="00FC00BD">
        <w:rPr>
          <w:rFonts w:ascii="Garamond" w:hAnsi="Garamond"/>
          <w:sz w:val="24"/>
          <w:szCs w:val="24"/>
          <w:lang w:val="en-GB"/>
        </w:rPr>
        <w:t xml:space="preserve"> </w:t>
      </w:r>
      <w:r w:rsidRPr="00FC00BD">
        <w:rPr>
          <w:rFonts w:ascii="Garamond" w:hAnsi="Garamond"/>
          <w:sz w:val="24"/>
          <w:szCs w:val="24"/>
          <w:lang w:val="en-GB"/>
        </w:rPr>
        <w:t>in regard to</w:t>
      </w:r>
      <w:r w:rsidR="008427A4" w:rsidRPr="00FC00BD">
        <w:rPr>
          <w:rFonts w:ascii="Garamond" w:hAnsi="Garamond"/>
          <w:sz w:val="24"/>
          <w:szCs w:val="24"/>
          <w:lang w:val="en-GB"/>
        </w:rPr>
        <w:t xml:space="preserve"> the</w:t>
      </w:r>
      <w:r w:rsidRPr="00FC00BD">
        <w:rPr>
          <w:rFonts w:ascii="Garamond" w:hAnsi="Garamond"/>
          <w:sz w:val="24"/>
          <w:szCs w:val="24"/>
          <w:lang w:val="en-GB"/>
        </w:rPr>
        <w:t xml:space="preserve"> Protocol on Northern Ireland and Ireland. The final version of the WA was accepted by the UK Parliament by the adoption of the European Union (Withdrawal Agreement) Act 2020.</w:t>
      </w:r>
      <w:r w:rsidR="008427A4" w:rsidRPr="00FC00BD">
        <w:rPr>
          <w:rFonts w:ascii="Garamond" w:hAnsi="Garamond"/>
          <w:sz w:val="24"/>
          <w:szCs w:val="24"/>
          <w:lang w:val="en-GB"/>
        </w:rPr>
        <w:t xml:space="preserve"> </w:t>
      </w:r>
    </w:p>
    <w:p w14:paraId="100629AD" w14:textId="77777777" w:rsidR="00112AFF" w:rsidRPr="00FC00BD" w:rsidRDefault="00112AFF" w:rsidP="00112AFF">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 xml:space="preserve">The WA includes provisions on several topics, including the UK’s separation from the EU, the transition period (during which the UK was still fully bound by EU law), the financial settlement between the EU and the UK, the rights and the legal status of EU citizens living in the UK and UK citizens living in the EU before the end of the transition period (Part II of the WA), and Protocols on Ireland/Northern Ireland and on the UK bases in Cyprus, and Gibraltar. The WA’s Protocols have the same legal status as the WA itself. </w:t>
      </w:r>
    </w:p>
    <w:p w14:paraId="577990A3" w14:textId="77777777" w:rsidR="00112AFF" w:rsidRPr="00FC00BD" w:rsidRDefault="00112AFF" w:rsidP="00112AFF">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 xml:space="preserve">Both the WA provisions on citizens rights’ (Part II) and the Protocol on Ireland and Northern Ireland apply beyond the end of the transition period (31 December 2020). This means that the WA will have continued legal relevance in regulating the relationship between the UK and the EU in these fields. However, the WA’s citizens’ rights only apply to those EU citizens (and their family members) who moved to the UK before the end of the transition period and to those UK citizens (and their family members) who moved to an EU Member State before the end of the transition period. </w:t>
      </w:r>
    </w:p>
    <w:p w14:paraId="6DAE9F4B" w14:textId="77777777" w:rsidR="00112AFF" w:rsidRPr="00FC00BD" w:rsidRDefault="00112AFF" w:rsidP="00112AFF">
      <w:pPr>
        <w:pStyle w:val="ListParagraph"/>
        <w:numPr>
          <w:ilvl w:val="0"/>
          <w:numId w:val="17"/>
        </w:numPr>
        <w:ind w:left="357" w:hanging="357"/>
        <w:contextualSpacing w:val="0"/>
        <w:jc w:val="both"/>
        <w:rPr>
          <w:rStyle w:val="Hyperlink"/>
          <w:rFonts w:ascii="Garamond" w:hAnsi="Garamond"/>
          <w:color w:val="auto"/>
          <w:sz w:val="24"/>
          <w:szCs w:val="24"/>
          <w:u w:val="none"/>
          <w:lang w:val="en-GB"/>
        </w:rPr>
      </w:pPr>
      <w:r w:rsidRPr="00FC00BD">
        <w:rPr>
          <w:rFonts w:ascii="Garamond" w:hAnsi="Garamond"/>
          <w:sz w:val="24"/>
          <w:szCs w:val="24"/>
          <w:lang w:val="en-GB"/>
        </w:rPr>
        <w:lastRenderedPageBreak/>
        <w:t xml:space="preserve">You can access the full text of the WA here: </w:t>
      </w:r>
      <w:hyperlink r:id="rId10" w:history="1">
        <w:r w:rsidRPr="00FC00BD">
          <w:rPr>
            <w:rStyle w:val="Hyperlink"/>
            <w:rFonts w:ascii="Garamond" w:eastAsiaTheme="majorEastAsia" w:hAnsi="Garamond"/>
            <w:sz w:val="24"/>
            <w:szCs w:val="24"/>
            <w:lang w:val="en-GB"/>
          </w:rPr>
          <w:t>https://ec.europa.eu/info/strategy/relations-non-eu-countries/relations-united-kingdom/eu-uk-withdrawal-agreement_en</w:t>
        </w:r>
      </w:hyperlink>
    </w:p>
    <w:p w14:paraId="47768EE6" w14:textId="2F2FF448" w:rsidR="008427A4" w:rsidRPr="00FC00BD" w:rsidRDefault="008427A4" w:rsidP="008427A4">
      <w:pPr>
        <w:pStyle w:val="Heading1"/>
        <w:rPr>
          <w:sz w:val="24"/>
          <w:szCs w:val="24"/>
        </w:rPr>
      </w:pPr>
      <w:r w:rsidRPr="00FC00BD">
        <w:rPr>
          <w:sz w:val="24"/>
          <w:szCs w:val="24"/>
        </w:rPr>
        <w:t xml:space="preserve">1.1 The WA’s legal effects and institutional provisions  </w:t>
      </w:r>
    </w:p>
    <w:p w14:paraId="4F8A0B49" w14:textId="77777777" w:rsidR="008427A4" w:rsidRPr="00FC00BD" w:rsidRDefault="008427A4" w:rsidP="008427A4">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The Joint Committee, consisting of representatives of both the EU and the UK, is responsible for implementing the Withdrawal Agreement (Article 164 WA). The Joint Committee acts on the basis of mutual consent and its decisions are legally binding. The Committee is assisted by six special committees (Article 165 WA). The WA also created a new Monitoring Authority that can receive complaints from private parties and monitor the implementation and the application of the WA independently (Article 159(1) WA). However, the powers of the Monitoring Authority are limited to citizens’ rights (Part II of the WA).</w:t>
      </w:r>
    </w:p>
    <w:p w14:paraId="7DDFCDB3" w14:textId="77777777" w:rsidR="008427A4" w:rsidRPr="00FC00BD" w:rsidRDefault="008427A4" w:rsidP="008427A4">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b/>
          <w:sz w:val="24"/>
          <w:szCs w:val="24"/>
          <w:u w:val="single"/>
          <w:lang w:val="en-GB"/>
        </w:rPr>
        <w:t>Article 4 WA</w:t>
      </w:r>
      <w:r w:rsidRPr="00FC00BD">
        <w:rPr>
          <w:rFonts w:ascii="Garamond" w:hAnsi="Garamond"/>
          <w:sz w:val="24"/>
          <w:szCs w:val="24"/>
          <w:lang w:val="en-GB"/>
        </w:rPr>
        <w:t xml:space="preserve"> lays down </w:t>
      </w:r>
      <w:r w:rsidRPr="00FC00BD">
        <w:rPr>
          <w:rFonts w:ascii="Garamond" w:hAnsi="Garamond"/>
          <w:b/>
          <w:i/>
          <w:iCs/>
          <w:sz w:val="24"/>
          <w:szCs w:val="24"/>
          <w:lang w:val="en-GB"/>
        </w:rPr>
        <w:t>the legal effects of the WA in the UK</w:t>
      </w:r>
      <w:r w:rsidRPr="00FC00BD">
        <w:rPr>
          <w:rFonts w:ascii="Garamond" w:hAnsi="Garamond"/>
          <w:sz w:val="24"/>
          <w:szCs w:val="24"/>
          <w:lang w:val="en-GB"/>
        </w:rPr>
        <w:t>:</w:t>
      </w:r>
    </w:p>
    <w:p w14:paraId="0DE35899" w14:textId="77777777" w:rsidR="008427A4" w:rsidRPr="00FC00BD" w:rsidRDefault="008427A4" w:rsidP="005C2320">
      <w:pPr>
        <w:ind w:left="357"/>
        <w:jc w:val="both"/>
        <w:rPr>
          <w:rFonts w:ascii="Garamond" w:hAnsi="Garamond"/>
          <w:sz w:val="24"/>
          <w:szCs w:val="24"/>
          <w:lang w:val="en-GB"/>
        </w:rPr>
      </w:pPr>
      <w:r w:rsidRPr="00FC00BD">
        <w:rPr>
          <w:rFonts w:ascii="Garamond" w:hAnsi="Garamond"/>
          <w:sz w:val="24"/>
          <w:szCs w:val="24"/>
          <w:lang w:val="en-GB"/>
        </w:rPr>
        <w:t>- Article 4(1) WA: The Agreement will have the same legal effects in the UK as EU law has in the EU Member States. → This means that the WA prevails over any conflicting UK law (the principle of primacy).</w:t>
      </w:r>
    </w:p>
    <w:p w14:paraId="65CA8FC4" w14:textId="77777777" w:rsidR="008427A4" w:rsidRPr="00FC00BD" w:rsidRDefault="008427A4" w:rsidP="005C2320">
      <w:pPr>
        <w:ind w:left="357"/>
        <w:jc w:val="both"/>
        <w:rPr>
          <w:rFonts w:ascii="Garamond" w:hAnsi="Garamond"/>
          <w:sz w:val="24"/>
          <w:szCs w:val="24"/>
          <w:lang w:val="en-GB"/>
        </w:rPr>
      </w:pPr>
      <w:r w:rsidRPr="00FC00BD">
        <w:rPr>
          <w:rFonts w:ascii="Garamond" w:hAnsi="Garamond"/>
          <w:sz w:val="24"/>
          <w:szCs w:val="24"/>
          <w:lang w:val="en-GB"/>
        </w:rPr>
        <w:t>- Article 4(1) WA: The provisions of the WA can produce direct effect in the UK when they meet the conditions for direct effect under EU law.</w:t>
      </w:r>
    </w:p>
    <w:p w14:paraId="26FA3629" w14:textId="77777777" w:rsidR="008427A4" w:rsidRPr="00FC00BD" w:rsidRDefault="008427A4" w:rsidP="005C2320">
      <w:pPr>
        <w:ind w:left="357"/>
        <w:jc w:val="both"/>
        <w:rPr>
          <w:rFonts w:ascii="Garamond" w:hAnsi="Garamond"/>
          <w:sz w:val="24"/>
          <w:szCs w:val="24"/>
          <w:lang w:val="en-GB"/>
        </w:rPr>
      </w:pPr>
      <w:r w:rsidRPr="00FC00BD">
        <w:rPr>
          <w:rFonts w:ascii="Garamond" w:hAnsi="Garamond"/>
          <w:sz w:val="24"/>
          <w:szCs w:val="24"/>
          <w:lang w:val="en-GB"/>
        </w:rPr>
        <w:t>- Article 4(4) WA: Any EU law concepts or the provisions of EU law that are mentioned in the WA are interpreted ‘in conformity with the relevant case law of the Court of Justice of the European Union handed down before the end of the transition period’.</w:t>
      </w:r>
    </w:p>
    <w:p w14:paraId="67FC8235" w14:textId="77777777" w:rsidR="008427A4" w:rsidRPr="00FC00BD" w:rsidRDefault="008427A4" w:rsidP="005C2320">
      <w:pPr>
        <w:ind w:left="357"/>
        <w:jc w:val="both"/>
        <w:rPr>
          <w:rFonts w:ascii="Garamond" w:hAnsi="Garamond"/>
          <w:sz w:val="24"/>
          <w:szCs w:val="24"/>
          <w:lang w:val="en-GB"/>
        </w:rPr>
      </w:pPr>
      <w:r w:rsidRPr="00FC00BD">
        <w:rPr>
          <w:rFonts w:ascii="Garamond" w:hAnsi="Garamond"/>
          <w:sz w:val="24"/>
          <w:szCs w:val="24"/>
          <w:lang w:val="en-GB"/>
        </w:rPr>
        <w:t>- Article 4(5) WA: The UK judicial and administrative authorities ‘shall have due regard to relevant case law of the Court of Justice of the European Union handed down after the end of the transition period’.</w:t>
      </w:r>
    </w:p>
    <w:p w14:paraId="0362178D" w14:textId="64C1C967" w:rsidR="008427A4" w:rsidRPr="00FC00BD" w:rsidRDefault="008427A4" w:rsidP="008427A4">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b/>
          <w:sz w:val="24"/>
          <w:szCs w:val="24"/>
          <w:u w:val="single"/>
          <w:lang w:val="en-GB"/>
        </w:rPr>
        <w:t>Article 158 WA</w:t>
      </w:r>
      <w:r w:rsidRPr="00FC00BD">
        <w:rPr>
          <w:rFonts w:ascii="Garamond" w:hAnsi="Garamond"/>
          <w:b/>
          <w:i/>
          <w:iCs/>
          <w:sz w:val="24"/>
          <w:szCs w:val="24"/>
          <w:lang w:val="en-GB"/>
        </w:rPr>
        <w:t xml:space="preserve"> </w:t>
      </w:r>
      <w:r w:rsidRPr="00FC00BD">
        <w:rPr>
          <w:rFonts w:ascii="Garamond" w:hAnsi="Garamond"/>
          <w:sz w:val="24"/>
          <w:szCs w:val="24"/>
          <w:lang w:val="en-GB"/>
        </w:rPr>
        <w:t xml:space="preserve">confirms that the UK courts can make references for a preliminary ruling to the CJEU in cases concerning citizens’ rights (Part II of the WA) for 8 years since the end of the WA’s transition period. These rulings will be legally binding in the UK. To date, this procedure has not been used by the UK courts.   </w:t>
      </w:r>
    </w:p>
    <w:p w14:paraId="19C7FB31" w14:textId="77777777" w:rsidR="008427A4" w:rsidRPr="00FC00BD" w:rsidRDefault="008427A4" w:rsidP="008427A4">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Similarly, the WA’s Protocol on Ireland/Northern Ireland requires the continued application of CJEU case law, even the case law delivered after the end of the transition period, where the Protocol refers to concepts and provisions of EU law. The CJEU also has jurisdiction in regard to several provisions of the Protocol, including Article 5 on customs and the movement of goods from Great Britain and third countries to Northern Ireland. The preliminary reference procedure under Article 267 TFEU applies to these situations.</w:t>
      </w:r>
    </w:p>
    <w:p w14:paraId="27FC437F" w14:textId="77777777" w:rsidR="008427A4" w:rsidRPr="00FC00BD" w:rsidRDefault="008427A4" w:rsidP="008427A4">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 xml:space="preserve">The WA also includes detailed provisions on dispute settlement between the parties (Articles 168-181 WA). Where a dispute submitted to arbitration raises a question of EU law, the arbitration panel ‘shall request the Court of Justice of the European Union to give a ruling on the question’ and the CJEU’s ruling will be binding on the arbitration panel (Article 174(1) </w:t>
      </w:r>
      <w:r w:rsidRPr="00FC00BD">
        <w:rPr>
          <w:rFonts w:ascii="Garamond" w:hAnsi="Garamond"/>
          <w:sz w:val="24"/>
          <w:szCs w:val="24"/>
          <w:lang w:val="en-GB"/>
        </w:rPr>
        <w:lastRenderedPageBreak/>
        <w:t>WA). Both the EU and the UK can ask the arbitration panel to make such a request to the CJEU (Article 174(2) WA). It has been noted that these dispute settlement provisions reflect the WA’s ‘ambivalence between EU law and international law framework’ (Peers 2021, p. 196).</w:t>
      </w:r>
    </w:p>
    <w:p w14:paraId="5F9E9A4B" w14:textId="2E1E9367" w:rsidR="002E3A4A" w:rsidRPr="00FC00BD" w:rsidRDefault="002E3A4A" w:rsidP="002E3A4A">
      <w:pPr>
        <w:pStyle w:val="Heading1"/>
        <w:rPr>
          <w:sz w:val="24"/>
          <w:szCs w:val="24"/>
        </w:rPr>
      </w:pPr>
      <w:r w:rsidRPr="00FC00BD">
        <w:rPr>
          <w:sz w:val="24"/>
          <w:szCs w:val="24"/>
        </w:rPr>
        <w:t xml:space="preserve">1.2 The Protocol on Ireland/Northern Ireland  </w:t>
      </w:r>
    </w:p>
    <w:p w14:paraId="7BE24965" w14:textId="495A6E3C" w:rsidR="002E3A4A" w:rsidRPr="00FC00BD" w:rsidRDefault="002E3A4A" w:rsidP="002E3A4A">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The WA Protocol on Ireland/Northern Ireland tries to reconcile two objectives, which are (1) the UK’s territorial integrity and (2) the cohesion of the EU’s internal market, without compromising the Good Friday Agreement, that is, without creating a hard border between Northern Ireland and the Republic of Ireland. This protocol was one of the most contentious aspects of the WA and it was renegotiated between the EU and the UK in the autumn of 2019, after Theresa May had resigned as Prime Minister in July 2019.</w:t>
      </w:r>
    </w:p>
    <w:p w14:paraId="3326929D" w14:textId="77777777" w:rsidR="002E3A4A" w:rsidRPr="00FC00BD" w:rsidRDefault="002E3A4A" w:rsidP="002E3A4A">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 xml:space="preserve">The revised Protocol abolished the previous UK-wide customs union “backstop”, under which the whole UK would have stayed within the EU’s customs union if no other solutions to maintain the open border between Ireland and Northern Ireland could be agreed after the UK had left the EU. This was problematic from the UK’s perspective because it would have prevented the UK from deciding on its external tariffs and, thus, from making trade deals with third countries. </w:t>
      </w:r>
    </w:p>
    <w:p w14:paraId="69D372AA" w14:textId="77777777" w:rsidR="002E3A4A" w:rsidRPr="00FC00BD" w:rsidRDefault="002E3A4A" w:rsidP="002E3A4A">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 xml:space="preserve">Article 4 of the current NI Protocol confirms the UK’s territorial integrity and asserts that Northern Ireland is part of the UK’s customs territory for international trade purposes, including free trade agreements that might be concluded by the UK. However, </w:t>
      </w:r>
      <w:r w:rsidRPr="00FC00BD">
        <w:rPr>
          <w:rFonts w:ascii="Garamond" w:hAnsi="Garamond"/>
          <w:b/>
          <w:sz w:val="24"/>
          <w:szCs w:val="24"/>
          <w:u w:val="single"/>
          <w:lang w:val="en-GB"/>
        </w:rPr>
        <w:t>Article 5 of the NI Protocol</w:t>
      </w:r>
      <w:r w:rsidRPr="00FC00BD">
        <w:rPr>
          <w:rFonts w:ascii="Garamond" w:hAnsi="Garamond"/>
          <w:sz w:val="24"/>
          <w:szCs w:val="24"/>
          <w:lang w:val="en-GB"/>
        </w:rPr>
        <w:t xml:space="preserve"> includes a more detailed provision on </w:t>
      </w:r>
      <w:r w:rsidRPr="00FC00BD">
        <w:rPr>
          <w:rFonts w:ascii="Garamond" w:hAnsi="Garamond"/>
          <w:b/>
          <w:i/>
          <w:iCs/>
          <w:sz w:val="24"/>
          <w:szCs w:val="24"/>
          <w:lang w:val="en-GB"/>
        </w:rPr>
        <w:t>how trade is regulated between Northern Ireland and Great Britain</w:t>
      </w:r>
      <w:r w:rsidRPr="00FC00BD">
        <w:rPr>
          <w:rFonts w:ascii="Garamond" w:hAnsi="Garamond"/>
          <w:sz w:val="24"/>
          <w:szCs w:val="24"/>
          <w:lang w:val="en-GB"/>
        </w:rPr>
        <w:t xml:space="preserve">. Here the key question is whether goods that move from Great Britain (or third countries) to Northern Ireland are viewed as being at risk of moving into the EU: </w:t>
      </w:r>
    </w:p>
    <w:p w14:paraId="6C75DB60" w14:textId="3100027A" w:rsidR="002E3A4A" w:rsidRPr="00D73CC0" w:rsidRDefault="002E3A4A" w:rsidP="00D73CC0">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 xml:space="preserve">No customs duties are payable for these goods ‘unless that good is at risk of subsequently being moved into the Union, whether by itself or forming part of another good following processing’. </w:t>
      </w:r>
      <w:r w:rsidRPr="00D73CC0">
        <w:rPr>
          <w:rFonts w:ascii="Garamond" w:hAnsi="Garamond"/>
          <w:sz w:val="24"/>
          <w:szCs w:val="24"/>
          <w:lang w:val="en-GB"/>
        </w:rPr>
        <w:t xml:space="preserve">Article 5(2) of the Protocol clarifies that a good brought into Northern Ireland from Great Britain (or from third countries) is considered to be at risk of being moved into the EU ‘unless it is established that that good: (a) will not be subject to commercial processing in Northern Ireland; and (b) fulfils the criteria established by the Joint Committee’. </w:t>
      </w:r>
    </w:p>
    <w:p w14:paraId="006DE724" w14:textId="77777777" w:rsidR="002E3A4A" w:rsidRPr="00FC00BD" w:rsidRDefault="002E3A4A" w:rsidP="002E3A4A">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 xml:space="preserve">The Protocol includes an explicit exemption concerning personal property. Moreover, Art. 5(6) of the Protocol confirms that duties charged for goods that enter into Northern Ireland are kept by the UK (i.e. the EU will not get them). </w:t>
      </w:r>
    </w:p>
    <w:p w14:paraId="13490DE6" w14:textId="77777777" w:rsidR="002E3A4A" w:rsidRPr="00FC00BD" w:rsidRDefault="002E3A4A" w:rsidP="002E3A4A">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 xml:space="preserve">The Protocol also includes </w:t>
      </w:r>
      <w:r w:rsidRPr="00FC00BD">
        <w:rPr>
          <w:rFonts w:ascii="Garamond" w:hAnsi="Garamond"/>
          <w:b/>
          <w:i/>
          <w:iCs/>
          <w:sz w:val="24"/>
          <w:szCs w:val="24"/>
          <w:lang w:val="en-GB"/>
        </w:rPr>
        <w:t>a list of EU laws that still apply to Northern Ireland</w:t>
      </w:r>
      <w:r w:rsidRPr="00FC00BD">
        <w:rPr>
          <w:rFonts w:ascii="Garamond" w:hAnsi="Garamond"/>
          <w:sz w:val="24"/>
          <w:szCs w:val="24"/>
          <w:lang w:val="en-GB"/>
        </w:rPr>
        <w:t xml:space="preserve">. These include product regulation (Article 7), VAT and excise tax (Article 8), a single electricity market (Article 9), and State aids (Article 10). </w:t>
      </w:r>
    </w:p>
    <w:p w14:paraId="74A6DE69" w14:textId="77777777" w:rsidR="002E3A4A" w:rsidRPr="00FC00BD" w:rsidRDefault="002E3A4A" w:rsidP="002E3A4A">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lastRenderedPageBreak/>
        <w:t>The EU institutions, including the CJEU, have a central role in the application of the Protocol:</w:t>
      </w:r>
    </w:p>
    <w:p w14:paraId="40AF4DC8" w14:textId="77777777" w:rsidR="002E3A4A" w:rsidRPr="00FC00BD" w:rsidRDefault="002E3A4A" w:rsidP="002E3A4A">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Representatives of the EU institutions ‘have the right to be present during any activities of the authorities of the United Kingdom related to the implementation and application of provisions of Union law made applicable by this Protocol, as well as activities related to the implementation and application of Article 5’. (Article 12(2))</w:t>
      </w:r>
    </w:p>
    <w:p w14:paraId="2047B59E" w14:textId="4BB8C987" w:rsidR="002E3A4A" w:rsidRPr="00FC00BD" w:rsidRDefault="002E3A4A" w:rsidP="002E3A4A">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 xml:space="preserve">In matters concerning the UK’s duty to share information with the EU under Article 12(2), the movement of goods under Article 5, and the application of EU law under Articles 7-10 of the Protocol, the EU institutions ‘in relation to the United Kingdom and natural and legal persons residing or established in the territory of the United Kingdom have the powers conferred upon them by Union law’. → This includes the power of the CJEU to ‘have the jurisdiction provided for in the Treaties in this respect’, including its power to give preliminary rulings under Article 267 TFEU. (Article 12(4)) </w:t>
      </w:r>
    </w:p>
    <w:p w14:paraId="7A0F3E92" w14:textId="77777777" w:rsidR="002E3A4A" w:rsidRPr="00FC00BD" w:rsidRDefault="002E3A4A" w:rsidP="002E3A4A">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These acts by the EU institutions ‘produce in respect of and in the United Kingdom the same legal effects as those which they produce within the Union and its Member States’. (Article 12(5))</w:t>
      </w:r>
    </w:p>
    <w:p w14:paraId="35E04E84" w14:textId="77777777" w:rsidR="002E3A4A" w:rsidRPr="00FC00BD" w:rsidRDefault="002E3A4A" w:rsidP="002E3A4A">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The Protocol’s references to EU law provisions and concepts must be interpreted as referring to EU law ‘as amended and replaced’ even after the end of the WA’s transition period. (Article 13(3))</w:t>
      </w:r>
    </w:p>
    <w:p w14:paraId="35BFCF1F" w14:textId="1A7A39CF" w:rsidR="00EA37E7" w:rsidRPr="00FC00BD" w:rsidRDefault="002E3A4A" w:rsidP="00EA37E7">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 xml:space="preserve">If a dispute concerning the application of the Protocol goes into arbitration, the arbitration panel would need to refer the questions concerning EU law for a preliminary ruling to the CJEU. </w:t>
      </w:r>
    </w:p>
    <w:p w14:paraId="5751BC17" w14:textId="51EBF057" w:rsidR="00EA37E7" w:rsidRPr="00FC00BD" w:rsidRDefault="002E3A4A" w:rsidP="00EA37E7">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The Protocol nonetheless includes a ‘safeguard clause’, under which both parties (the UK and the EU) can unilaterally adopt safeguard measures if the application of the Protocol results in ‘serious economic, societal or environmental difficulties that are liable to persist, or to diversion of trade’. In these situations, the other party can take ‘proportionate rebalancing measures’ (Article 16).</w:t>
      </w:r>
    </w:p>
    <w:p w14:paraId="5E89E3DE" w14:textId="77777777" w:rsidR="00B643E0" w:rsidRPr="00FC00BD" w:rsidRDefault="00B643E0" w:rsidP="00B643E0">
      <w:pPr>
        <w:pStyle w:val="ListParagraph"/>
        <w:ind w:left="357"/>
        <w:contextualSpacing w:val="0"/>
        <w:jc w:val="both"/>
        <w:rPr>
          <w:rFonts w:ascii="Garamond" w:hAnsi="Garamond"/>
          <w:sz w:val="24"/>
          <w:szCs w:val="24"/>
          <w:lang w:val="en-GB"/>
        </w:rPr>
      </w:pPr>
    </w:p>
    <w:tbl>
      <w:tblPr>
        <w:tblStyle w:val="TableGrid"/>
        <w:tblW w:w="0" w:type="auto"/>
        <w:tblLook w:val="04A0" w:firstRow="1" w:lastRow="0" w:firstColumn="1" w:lastColumn="0" w:noHBand="0" w:noVBand="1"/>
      </w:tblPr>
      <w:tblGrid>
        <w:gridCol w:w="9242"/>
      </w:tblGrid>
      <w:tr w:rsidR="00EA37E7" w:rsidRPr="00FC00BD" w14:paraId="354C18FF" w14:textId="77777777" w:rsidTr="00EA37E7">
        <w:tc>
          <w:tcPr>
            <w:tcW w:w="9242" w:type="dxa"/>
            <w:shd w:val="clear" w:color="auto" w:fill="C6D9F1" w:themeFill="text2" w:themeFillTint="33"/>
          </w:tcPr>
          <w:p w14:paraId="411D691E" w14:textId="77777777" w:rsidR="00D73CC0" w:rsidRDefault="00D73CC0" w:rsidP="00D73CC0">
            <w:pPr>
              <w:pStyle w:val="ListParagraph"/>
              <w:ind w:left="357"/>
              <w:contextualSpacing w:val="0"/>
              <w:jc w:val="both"/>
              <w:rPr>
                <w:rFonts w:ascii="Garamond" w:hAnsi="Garamond"/>
                <w:b/>
                <w:bCs/>
                <w:sz w:val="24"/>
                <w:szCs w:val="24"/>
                <w:lang w:val="en-GB"/>
              </w:rPr>
            </w:pPr>
          </w:p>
          <w:p w14:paraId="55AC9907" w14:textId="46FEF003" w:rsidR="00D73CC0" w:rsidRPr="00D73CC0" w:rsidRDefault="00D73CC0" w:rsidP="00D73CC0">
            <w:pPr>
              <w:jc w:val="both"/>
              <w:rPr>
                <w:rFonts w:ascii="Garamond" w:hAnsi="Garamond"/>
                <w:b/>
                <w:bCs/>
                <w:sz w:val="24"/>
                <w:szCs w:val="24"/>
                <w:lang w:val="en-GB"/>
              </w:rPr>
            </w:pPr>
            <w:r>
              <w:rPr>
                <w:rFonts w:ascii="Garamond" w:hAnsi="Garamond"/>
                <w:b/>
                <w:bCs/>
                <w:sz w:val="24"/>
                <w:szCs w:val="24"/>
                <w:lang w:val="en-GB"/>
              </w:rPr>
              <w:t xml:space="preserve">1.2.1 </w:t>
            </w:r>
            <w:r w:rsidRPr="00D73CC0">
              <w:rPr>
                <w:rFonts w:ascii="Garamond" w:hAnsi="Garamond"/>
                <w:b/>
                <w:bCs/>
                <w:sz w:val="24"/>
                <w:szCs w:val="24"/>
                <w:lang w:val="en-GB"/>
              </w:rPr>
              <w:t>The Windsor Framework</w:t>
            </w:r>
          </w:p>
          <w:p w14:paraId="6A0C99D1" w14:textId="77777777" w:rsidR="00D73CC0" w:rsidRPr="00D73CC0" w:rsidRDefault="00D73CC0" w:rsidP="00D73CC0">
            <w:pPr>
              <w:pStyle w:val="ListParagraph"/>
              <w:ind w:left="357"/>
              <w:contextualSpacing w:val="0"/>
              <w:jc w:val="both"/>
              <w:rPr>
                <w:rFonts w:ascii="Garamond" w:hAnsi="Garamond"/>
                <w:b/>
                <w:bCs/>
                <w:sz w:val="24"/>
                <w:szCs w:val="24"/>
                <w:lang w:val="en-GB"/>
              </w:rPr>
            </w:pPr>
          </w:p>
          <w:p w14:paraId="3BAF1A59" w14:textId="446E4728" w:rsidR="00EA37E7" w:rsidRPr="00FC00BD" w:rsidRDefault="00EA37E7" w:rsidP="00EA37E7">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The Protocol on the Irish border was the most contentious part of the WA during the Brexit negotiations – and it has not lost this character. For instance, Peers observes that the EU and the UK ‘do not agree on much of what the Protocol means’ (Peers 2021, p. 179).</w:t>
            </w:r>
          </w:p>
          <w:p w14:paraId="6BFEC738" w14:textId="77777777" w:rsidR="00EA37E7" w:rsidRPr="00FC00BD" w:rsidRDefault="00EA37E7" w:rsidP="00EA37E7">
            <w:pPr>
              <w:pStyle w:val="ListParagraph"/>
              <w:ind w:left="357"/>
              <w:contextualSpacing w:val="0"/>
              <w:jc w:val="both"/>
              <w:rPr>
                <w:rFonts w:ascii="Garamond" w:hAnsi="Garamond"/>
                <w:sz w:val="24"/>
                <w:szCs w:val="24"/>
                <w:lang w:val="en-GB"/>
              </w:rPr>
            </w:pPr>
          </w:p>
          <w:p w14:paraId="5C57CCDF" w14:textId="122F0505" w:rsidR="00EA37E7" w:rsidRPr="00FC00BD" w:rsidRDefault="00EA37E7" w:rsidP="00937634">
            <w:pPr>
              <w:pStyle w:val="ListParagraph"/>
              <w:numPr>
                <w:ilvl w:val="0"/>
                <w:numId w:val="17"/>
              </w:numPr>
              <w:ind w:left="357" w:hanging="357"/>
              <w:contextualSpacing w:val="0"/>
              <w:jc w:val="both"/>
              <w:rPr>
                <w:rStyle w:val="Hyperlink"/>
                <w:rFonts w:ascii="Garamond" w:hAnsi="Garamond"/>
                <w:color w:val="auto"/>
                <w:sz w:val="24"/>
                <w:szCs w:val="24"/>
                <w:u w:val="none"/>
                <w:lang w:val="en-GB"/>
              </w:rPr>
            </w:pPr>
            <w:r w:rsidRPr="00FC00BD">
              <w:rPr>
                <w:rFonts w:ascii="Garamond" w:hAnsi="Garamond"/>
                <w:sz w:val="24"/>
                <w:szCs w:val="24"/>
                <w:lang w:val="en-GB"/>
              </w:rPr>
              <w:t>In July 2021, the UK Government published of a set of proposals for how the Protocol on Ireland/Northern Ireland should be amended. These proposals included abolishing customs checks between Great Brita</w:t>
            </w:r>
            <w:r w:rsidR="009F2E4E" w:rsidRPr="00FC00BD">
              <w:rPr>
                <w:rFonts w:ascii="Garamond" w:hAnsi="Garamond"/>
                <w:sz w:val="24"/>
                <w:szCs w:val="24"/>
                <w:lang w:val="en-GB"/>
              </w:rPr>
              <w:t>i</w:t>
            </w:r>
            <w:r w:rsidRPr="00FC00BD">
              <w:rPr>
                <w:rFonts w:ascii="Garamond" w:hAnsi="Garamond"/>
                <w:sz w:val="24"/>
                <w:szCs w:val="24"/>
                <w:lang w:val="en-GB"/>
              </w:rPr>
              <w:t xml:space="preserve">n and Northern Ireland, abolishing the requirement that goods circulating in Northern Ireland must comply with the EU’s product standards, and changing the supervisory role of the EU institutions in the implementation of the Protocol. However, </w:t>
            </w:r>
            <w:r w:rsidRPr="00FC00BD">
              <w:rPr>
                <w:rFonts w:ascii="Garamond" w:hAnsi="Garamond"/>
                <w:sz w:val="24"/>
                <w:szCs w:val="24"/>
                <w:lang w:val="en-GB"/>
              </w:rPr>
              <w:lastRenderedPageBreak/>
              <w:t xml:space="preserve">the EU </w:t>
            </w:r>
            <w:r w:rsidR="009F2E4E" w:rsidRPr="00FC00BD">
              <w:rPr>
                <w:rFonts w:ascii="Garamond" w:hAnsi="Garamond"/>
                <w:sz w:val="24"/>
                <w:szCs w:val="24"/>
                <w:lang w:val="en-GB"/>
              </w:rPr>
              <w:t>was</w:t>
            </w:r>
            <w:r w:rsidRPr="00FC00BD">
              <w:rPr>
                <w:rFonts w:ascii="Garamond" w:hAnsi="Garamond"/>
                <w:sz w:val="24"/>
                <w:szCs w:val="24"/>
                <w:lang w:val="en-GB"/>
              </w:rPr>
              <w:t xml:space="preserve"> not willing to amend the supervisory role of the EU institutions in the Protocol</w:t>
            </w:r>
            <w:r w:rsidR="009F2E4E" w:rsidRPr="00FC00BD">
              <w:rPr>
                <w:rFonts w:ascii="Garamond" w:hAnsi="Garamond"/>
                <w:sz w:val="24"/>
                <w:szCs w:val="24"/>
                <w:lang w:val="en-GB"/>
              </w:rPr>
              <w:t xml:space="preserve">, </w:t>
            </w:r>
            <w:r w:rsidRPr="00FC00BD">
              <w:rPr>
                <w:rFonts w:ascii="Garamond" w:hAnsi="Garamond"/>
                <w:sz w:val="24"/>
                <w:szCs w:val="24"/>
                <w:lang w:val="en-GB"/>
              </w:rPr>
              <w:t>includ</w:t>
            </w:r>
            <w:r w:rsidR="009F2E4E" w:rsidRPr="00FC00BD">
              <w:rPr>
                <w:rFonts w:ascii="Garamond" w:hAnsi="Garamond"/>
                <w:sz w:val="24"/>
                <w:szCs w:val="24"/>
                <w:lang w:val="en-GB"/>
              </w:rPr>
              <w:t>ing</w:t>
            </w:r>
            <w:r w:rsidRPr="00FC00BD">
              <w:rPr>
                <w:rFonts w:ascii="Garamond" w:hAnsi="Garamond"/>
                <w:sz w:val="24"/>
                <w:szCs w:val="24"/>
                <w:lang w:val="en-GB"/>
              </w:rPr>
              <w:t xml:space="preserve"> the CJEU’s oversight role. </w:t>
            </w:r>
          </w:p>
          <w:p w14:paraId="6A71EC7B" w14:textId="77777777" w:rsidR="00EA37E7" w:rsidRPr="00FC00BD" w:rsidRDefault="00EA37E7" w:rsidP="00EA37E7">
            <w:pPr>
              <w:pStyle w:val="ListParagraph"/>
              <w:ind w:left="357"/>
              <w:contextualSpacing w:val="0"/>
              <w:jc w:val="both"/>
              <w:rPr>
                <w:rFonts w:ascii="Garamond" w:hAnsi="Garamond"/>
                <w:sz w:val="24"/>
                <w:szCs w:val="24"/>
                <w:lang w:val="en-GB"/>
              </w:rPr>
            </w:pPr>
          </w:p>
          <w:p w14:paraId="2F5B7BD4" w14:textId="4E2D174D" w:rsidR="00EA37E7" w:rsidRPr="00FC00BD" w:rsidRDefault="00EA37E7" w:rsidP="00EA37E7">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The EU and the UK conducted a further round of negotiations based on these proposals, but negotiations were not successful. Instead, in June 2022, the UK Government introduced the so-called Norther Ireland Protocol Bill, which would unilaterally override part of the NI Protocol. The EU argued that this constitute</w:t>
            </w:r>
            <w:r w:rsidR="009F2E4E" w:rsidRPr="00FC00BD">
              <w:rPr>
                <w:rFonts w:ascii="Garamond" w:hAnsi="Garamond"/>
                <w:sz w:val="24"/>
                <w:szCs w:val="24"/>
                <w:lang w:val="en-GB"/>
              </w:rPr>
              <w:t>s</w:t>
            </w:r>
            <w:r w:rsidRPr="00FC00BD">
              <w:rPr>
                <w:rFonts w:ascii="Garamond" w:hAnsi="Garamond"/>
                <w:sz w:val="24"/>
                <w:szCs w:val="24"/>
                <w:lang w:val="en-GB"/>
              </w:rPr>
              <w:t xml:space="preserve"> a breach of the UK’s obligations under international law. The Commission</w:t>
            </w:r>
            <w:r w:rsidR="00A97B3D" w:rsidRPr="00FC00BD">
              <w:rPr>
                <w:rFonts w:ascii="Garamond" w:hAnsi="Garamond"/>
                <w:sz w:val="24"/>
                <w:szCs w:val="24"/>
                <w:lang w:val="en-GB"/>
              </w:rPr>
              <w:t xml:space="preserve"> then</w:t>
            </w:r>
            <w:r w:rsidRPr="00FC00BD">
              <w:rPr>
                <w:rFonts w:ascii="Garamond" w:hAnsi="Garamond"/>
                <w:sz w:val="24"/>
                <w:szCs w:val="24"/>
                <w:lang w:val="en-GB"/>
              </w:rPr>
              <w:t xml:space="preserve"> launched infringement proceedings against the UK. </w:t>
            </w:r>
            <w:r w:rsidR="009F2E4E" w:rsidRPr="00FC00BD">
              <w:rPr>
                <w:rFonts w:ascii="Garamond" w:hAnsi="Garamond"/>
                <w:sz w:val="24"/>
                <w:szCs w:val="24"/>
                <w:lang w:val="en-GB"/>
              </w:rPr>
              <w:t>Eventually, the</w:t>
            </w:r>
            <w:r w:rsidRPr="00FC00BD">
              <w:rPr>
                <w:rFonts w:ascii="Garamond" w:hAnsi="Garamond"/>
                <w:sz w:val="24"/>
                <w:szCs w:val="24"/>
                <w:lang w:val="en-GB"/>
              </w:rPr>
              <w:t xml:space="preserve"> new UK government of Rishi Sunak reached a deal with the EU to withdraw the Bill. </w:t>
            </w:r>
          </w:p>
          <w:p w14:paraId="17F99332" w14:textId="77777777" w:rsidR="009F2E4E" w:rsidRPr="00FC00BD" w:rsidRDefault="009F2E4E" w:rsidP="009F2E4E">
            <w:pPr>
              <w:pStyle w:val="ListParagraph"/>
              <w:rPr>
                <w:rFonts w:ascii="Garamond" w:hAnsi="Garamond"/>
                <w:sz w:val="24"/>
                <w:szCs w:val="24"/>
                <w:lang w:val="en-GB"/>
              </w:rPr>
            </w:pPr>
          </w:p>
          <w:p w14:paraId="7A72EAED" w14:textId="6974E102" w:rsidR="009F2E4E" w:rsidRPr="00FC00BD" w:rsidRDefault="009F2E4E" w:rsidP="009F2E4E">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 xml:space="preserve">In March 2023, the EU-UK Joint Committee reached a political agreement to </w:t>
            </w:r>
            <w:r w:rsidR="00B643E0" w:rsidRPr="00FC00BD">
              <w:rPr>
                <w:rFonts w:ascii="Garamond" w:hAnsi="Garamond"/>
                <w:sz w:val="24"/>
                <w:szCs w:val="24"/>
                <w:lang w:val="en-GB"/>
              </w:rPr>
              <w:t>implement the amended</w:t>
            </w:r>
            <w:r w:rsidRPr="00FC00BD">
              <w:rPr>
                <w:rFonts w:ascii="Garamond" w:hAnsi="Garamond"/>
                <w:sz w:val="24"/>
                <w:szCs w:val="24"/>
                <w:lang w:val="en-GB"/>
              </w:rPr>
              <w:t xml:space="preserve"> “</w:t>
            </w:r>
            <w:r w:rsidRPr="00FC00BD">
              <w:rPr>
                <w:rFonts w:ascii="Garamond" w:hAnsi="Garamond"/>
                <w:b/>
                <w:bCs/>
                <w:sz w:val="24"/>
                <w:szCs w:val="24"/>
                <w:lang w:val="en-GB"/>
              </w:rPr>
              <w:t>Windsor Framework</w:t>
            </w:r>
            <w:r w:rsidRPr="00FC00BD">
              <w:rPr>
                <w:rFonts w:ascii="Garamond" w:hAnsi="Garamond"/>
                <w:sz w:val="24"/>
                <w:szCs w:val="24"/>
                <w:lang w:val="en-GB"/>
              </w:rPr>
              <w:t xml:space="preserve">”. Among other things, </w:t>
            </w:r>
            <w:r w:rsidR="00A97B3D" w:rsidRPr="00FC00BD">
              <w:rPr>
                <w:rFonts w:ascii="Garamond" w:hAnsi="Garamond"/>
                <w:sz w:val="24"/>
                <w:szCs w:val="24"/>
                <w:lang w:val="en-GB"/>
              </w:rPr>
              <w:t>this</w:t>
            </w:r>
            <w:r w:rsidRPr="00FC00BD">
              <w:rPr>
                <w:rFonts w:ascii="Garamond" w:hAnsi="Garamond"/>
                <w:sz w:val="24"/>
                <w:szCs w:val="24"/>
                <w:lang w:val="en-GB"/>
              </w:rPr>
              <w:t xml:space="preserve"> introduces a “Stormont brake”, which allows the UK government (with consent of the Northern Ireland Assembly) to veto the application of any changes to EU law which would have ‘significant impact specific to everyday life’ in Northern Ireland. Whether this will prove an effective countermeasure to the continuing application of EU law in Northern Ireland remains to be seen; the general perception is that it will be difficult to apply this veto in practice. </w:t>
            </w:r>
          </w:p>
          <w:p w14:paraId="25AB8ADF" w14:textId="77777777" w:rsidR="009F2E4E" w:rsidRPr="00FC00BD" w:rsidRDefault="009F2E4E" w:rsidP="009F2E4E">
            <w:pPr>
              <w:pStyle w:val="ListParagraph"/>
              <w:rPr>
                <w:rFonts w:ascii="Garamond" w:hAnsi="Garamond"/>
                <w:sz w:val="24"/>
                <w:szCs w:val="24"/>
                <w:lang w:val="en-GB"/>
              </w:rPr>
            </w:pPr>
          </w:p>
          <w:p w14:paraId="46DC801D" w14:textId="3CC9D113" w:rsidR="009F2E4E" w:rsidRPr="00FC00BD" w:rsidRDefault="009F2E4E" w:rsidP="00420B99">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 xml:space="preserve">The Windsor Framework </w:t>
            </w:r>
            <w:r w:rsidR="00A97B3D" w:rsidRPr="00FC00BD">
              <w:rPr>
                <w:rFonts w:ascii="Garamond" w:hAnsi="Garamond"/>
                <w:sz w:val="24"/>
                <w:szCs w:val="24"/>
                <w:lang w:val="en-GB"/>
              </w:rPr>
              <w:t>also makes</w:t>
            </w:r>
            <w:r w:rsidRPr="00FC00BD">
              <w:rPr>
                <w:rFonts w:ascii="Garamond" w:hAnsi="Garamond"/>
                <w:sz w:val="24"/>
                <w:szCs w:val="24"/>
                <w:lang w:val="en-GB"/>
              </w:rPr>
              <w:t xml:space="preserve"> changes to VAT rules, product labelling, </w:t>
            </w:r>
            <w:r w:rsidR="00A97B3D" w:rsidRPr="00FC00BD">
              <w:rPr>
                <w:rFonts w:ascii="Garamond" w:hAnsi="Garamond"/>
                <w:sz w:val="24"/>
                <w:szCs w:val="24"/>
                <w:lang w:val="en-GB"/>
              </w:rPr>
              <w:t xml:space="preserve">and other technical areas. Importantly, </w:t>
            </w:r>
            <w:r w:rsidR="00420B99" w:rsidRPr="00FC00BD">
              <w:rPr>
                <w:rFonts w:ascii="Garamond" w:hAnsi="Garamond"/>
                <w:sz w:val="24"/>
                <w:szCs w:val="24"/>
                <w:lang w:val="en-GB"/>
              </w:rPr>
              <w:t>except for</w:t>
            </w:r>
            <w:r w:rsidR="00A97B3D" w:rsidRPr="00FC00BD">
              <w:rPr>
                <w:rFonts w:ascii="Garamond" w:hAnsi="Garamond"/>
                <w:sz w:val="24"/>
                <w:szCs w:val="24"/>
                <w:lang w:val="en-GB"/>
              </w:rPr>
              <w:t xml:space="preserve"> the Stormont brake, there are no substantive changes to the role of the CJEU.</w:t>
            </w:r>
            <w:r w:rsidR="00420B99" w:rsidRPr="00FC00BD">
              <w:rPr>
                <w:rFonts w:ascii="Garamond" w:hAnsi="Garamond"/>
                <w:sz w:val="24"/>
                <w:szCs w:val="24"/>
                <w:lang w:val="en-GB"/>
              </w:rPr>
              <w:t xml:space="preserve"> Certain political </w:t>
            </w:r>
            <w:r w:rsidR="00D73CC0">
              <w:rPr>
                <w:rFonts w:ascii="Garamond" w:hAnsi="Garamond"/>
                <w:sz w:val="24"/>
                <w:szCs w:val="24"/>
                <w:lang w:val="en-GB"/>
              </w:rPr>
              <w:t>groups</w:t>
            </w:r>
            <w:r w:rsidR="00420B99" w:rsidRPr="00FC00BD">
              <w:rPr>
                <w:rFonts w:ascii="Garamond" w:hAnsi="Garamond"/>
                <w:sz w:val="24"/>
                <w:szCs w:val="24"/>
                <w:lang w:val="en-GB"/>
              </w:rPr>
              <w:t xml:space="preserve"> </w:t>
            </w:r>
            <w:r w:rsidR="00A97B3D" w:rsidRPr="00FC00BD">
              <w:rPr>
                <w:rFonts w:ascii="Garamond" w:hAnsi="Garamond"/>
                <w:sz w:val="24"/>
                <w:szCs w:val="24"/>
                <w:lang w:val="en-GB"/>
              </w:rPr>
              <w:t xml:space="preserve">interpret this as a </w:t>
            </w:r>
            <w:r w:rsidR="00420B99" w:rsidRPr="00FC00BD">
              <w:rPr>
                <w:rFonts w:ascii="Garamond" w:hAnsi="Garamond"/>
                <w:sz w:val="24"/>
                <w:szCs w:val="24"/>
                <w:lang w:val="en-GB"/>
              </w:rPr>
              <w:t xml:space="preserve">failure, so it is conceivable that the UK government may </w:t>
            </w:r>
            <w:r w:rsidR="00B643E0" w:rsidRPr="00FC00BD">
              <w:rPr>
                <w:rFonts w:ascii="Garamond" w:hAnsi="Garamond"/>
                <w:sz w:val="24"/>
                <w:szCs w:val="24"/>
                <w:lang w:val="en-GB"/>
              </w:rPr>
              <w:t>try</w:t>
            </w:r>
            <w:r w:rsidR="00420B99" w:rsidRPr="00FC00BD">
              <w:rPr>
                <w:rFonts w:ascii="Garamond" w:hAnsi="Garamond"/>
                <w:sz w:val="24"/>
                <w:szCs w:val="24"/>
                <w:lang w:val="en-GB"/>
              </w:rPr>
              <w:t xml:space="preserve"> to renegotiate the NI Protocol in the future</w:t>
            </w:r>
            <w:r w:rsidR="00A97B3D" w:rsidRPr="00FC00BD">
              <w:rPr>
                <w:rFonts w:ascii="Garamond" w:hAnsi="Garamond"/>
                <w:sz w:val="24"/>
                <w:szCs w:val="24"/>
                <w:lang w:val="en-GB"/>
              </w:rPr>
              <w:t xml:space="preserve">. On the other hand, </w:t>
            </w:r>
            <w:r w:rsidR="00420B99" w:rsidRPr="00FC00BD">
              <w:rPr>
                <w:rFonts w:ascii="Garamond" w:hAnsi="Garamond"/>
                <w:sz w:val="24"/>
                <w:szCs w:val="24"/>
                <w:lang w:val="en-GB"/>
              </w:rPr>
              <w:t xml:space="preserve">it makes sense that the CJEU will </w:t>
            </w:r>
            <w:r w:rsidR="00B643E0" w:rsidRPr="00FC00BD">
              <w:rPr>
                <w:rFonts w:ascii="Garamond" w:hAnsi="Garamond"/>
                <w:sz w:val="24"/>
                <w:szCs w:val="24"/>
                <w:lang w:val="en-GB"/>
              </w:rPr>
              <w:t xml:space="preserve">retain oversight </w:t>
            </w:r>
            <w:r w:rsidR="008E34EB" w:rsidRPr="00FC00BD">
              <w:rPr>
                <w:rFonts w:ascii="Garamond" w:hAnsi="Garamond"/>
                <w:sz w:val="24"/>
                <w:szCs w:val="24"/>
                <w:lang w:val="en-GB"/>
              </w:rPr>
              <w:t>powers</w:t>
            </w:r>
            <w:r w:rsidR="00B643E0" w:rsidRPr="00FC00BD">
              <w:rPr>
                <w:rFonts w:ascii="Garamond" w:hAnsi="Garamond"/>
                <w:sz w:val="24"/>
                <w:szCs w:val="24"/>
                <w:lang w:val="en-GB"/>
              </w:rPr>
              <w:t xml:space="preserve"> so long as EU law continues to apply to Northern Ireland. </w:t>
            </w:r>
          </w:p>
          <w:p w14:paraId="258D358D" w14:textId="05057014" w:rsidR="00420B99" w:rsidRPr="00FC00BD" w:rsidRDefault="00420B99" w:rsidP="00420B99">
            <w:pPr>
              <w:jc w:val="both"/>
              <w:rPr>
                <w:rFonts w:ascii="Garamond" w:hAnsi="Garamond"/>
                <w:sz w:val="24"/>
                <w:szCs w:val="24"/>
                <w:lang w:val="en-GB"/>
              </w:rPr>
            </w:pPr>
          </w:p>
        </w:tc>
      </w:tr>
    </w:tbl>
    <w:p w14:paraId="05B4A864" w14:textId="77777777" w:rsidR="00EA37E7" w:rsidRPr="00FC00BD" w:rsidRDefault="00EA37E7" w:rsidP="00EA37E7">
      <w:pPr>
        <w:spacing w:after="120"/>
        <w:jc w:val="both"/>
        <w:rPr>
          <w:rFonts w:ascii="Garamond" w:hAnsi="Garamond"/>
          <w:sz w:val="24"/>
          <w:szCs w:val="24"/>
          <w:lang w:val="en-GB"/>
        </w:rPr>
      </w:pPr>
    </w:p>
    <w:p w14:paraId="1B074B20" w14:textId="43DC08D5" w:rsidR="00AF5E10" w:rsidRPr="00FC00BD" w:rsidRDefault="00AF5E10" w:rsidP="000D48CE">
      <w:pPr>
        <w:pStyle w:val="Heading1"/>
      </w:pPr>
      <w:r w:rsidRPr="00FC00BD">
        <w:t xml:space="preserve">2. The </w:t>
      </w:r>
      <w:r w:rsidR="000D48CE" w:rsidRPr="00FC00BD">
        <w:t xml:space="preserve">EU-UK </w:t>
      </w:r>
      <w:r w:rsidRPr="00FC00BD">
        <w:t xml:space="preserve">Trade and Cooperation Agreement (TCA) </w:t>
      </w:r>
    </w:p>
    <w:p w14:paraId="13D20F8E" w14:textId="77777777" w:rsidR="00AF5E10" w:rsidRPr="00FC00BD" w:rsidRDefault="00AF5E10" w:rsidP="000D48CE">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 xml:space="preserve">The EU insisted that the actual UK withdrawal agreement and the agreement on the future EU-UK relations would be negotiated separately. The position of the European Council was that progress had to be made on the first agreement (concerning the conditions for the withdrawal) before it would start the negotiations on the agreement concerning the future relationship. When the UK formally left the EU on 31 January 2020, both sides had accepted the Withdrawal Agreement, but no formal agreement had been concluded between the EU and the UK on their future relationship after the end of the Withdrawal Agreement’s transition period on 31 December 2020. </w:t>
      </w:r>
    </w:p>
    <w:p w14:paraId="7CAB69DD" w14:textId="4B5E8DD5" w:rsidR="00AF5E10" w:rsidRPr="00FC00BD" w:rsidRDefault="00AF5E10" w:rsidP="000D48CE">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 xml:space="preserve">In October 2019, the EU and the UK had published a non-binding Political Declaration on their Future Relationship, which envisaged ‘a comprehensive and balanced Free Trade Agreement’ as the preferred model for the EU-UK future relationship. Article 184 of the WA stated that ‘The Union and the United Kingdom shall use their best endeavours, in good faith and in full respect of their respective legal orders, to take the necessary steps to negotiate expeditiously the agreements governing their future relationship referred to in the Political Declaration of 17 October 2019 and to conduct the relevant procedures for the </w:t>
      </w:r>
      <w:r w:rsidRPr="00FC00BD">
        <w:rPr>
          <w:rFonts w:ascii="Garamond" w:hAnsi="Garamond"/>
          <w:sz w:val="24"/>
          <w:szCs w:val="24"/>
          <w:lang w:val="en-GB"/>
        </w:rPr>
        <w:lastRenderedPageBreak/>
        <w:t>ratification or conclusion of those agreements, with a view to ensuring that those agreements apply, to the extent possible, as from the end of the transition period’</w:t>
      </w:r>
      <w:r w:rsidR="00607EE0">
        <w:rPr>
          <w:rFonts w:ascii="Garamond" w:hAnsi="Garamond"/>
          <w:sz w:val="24"/>
          <w:szCs w:val="24"/>
          <w:lang w:val="en-GB"/>
        </w:rPr>
        <w:t>.</w:t>
      </w:r>
    </w:p>
    <w:p w14:paraId="570934BA" w14:textId="213EE98C" w:rsidR="00AF5E10" w:rsidRPr="00FC00BD" w:rsidRDefault="00AF5E10" w:rsidP="000D48CE">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For the EU, the key question in these negotiations was to what extent it would be willing to extend the benefits of the internal market to a former Member State. The EU answered this question by rejecting a sectoral approach and by emphasising the indivisibility of the four economic freedoms and the need of a ‘level playing field’ in regard to workers’ rights, environmental protection etc. (see the Political Declaration).</w:t>
      </w:r>
    </w:p>
    <w:p w14:paraId="17389DB6" w14:textId="485CB8B7" w:rsidR="00AF5E10" w:rsidRPr="00FC00BD" w:rsidRDefault="00AF5E10" w:rsidP="000D48CE">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The TCA was concluded between the EU and the UK on 24 December 2020 – while the WA’s transition period expired on 31 December 20</w:t>
      </w:r>
      <w:r w:rsidRPr="00007BA8">
        <w:rPr>
          <w:rFonts w:ascii="Garamond" w:hAnsi="Garamond"/>
          <w:sz w:val="24"/>
          <w:szCs w:val="24"/>
          <w:lang w:val="en-GB"/>
        </w:rPr>
        <w:t>20</w:t>
      </w:r>
      <w:r w:rsidR="00FC00BD" w:rsidRPr="00007BA8">
        <w:rPr>
          <w:rFonts w:ascii="Garamond" w:hAnsi="Garamond"/>
          <w:sz w:val="24"/>
          <w:szCs w:val="24"/>
          <w:lang w:val="en-GB"/>
        </w:rPr>
        <w:t>!</w:t>
      </w:r>
      <w:r w:rsidRPr="00007BA8">
        <w:rPr>
          <w:rFonts w:ascii="Garamond" w:hAnsi="Garamond"/>
          <w:sz w:val="24"/>
          <w:szCs w:val="24"/>
          <w:lang w:val="en-GB"/>
        </w:rPr>
        <w:t xml:space="preserve"> On the EU side, Article 217 TFEU on Association Agreements provided the legal basis for concluding the TCA with the UK. This choice of a legal basis was helpful from a pragmatic perspective because it covers all of the EU’s competences (Van </w:t>
      </w:r>
      <w:proofErr w:type="spellStart"/>
      <w:r w:rsidRPr="00007BA8">
        <w:rPr>
          <w:rFonts w:ascii="Garamond" w:hAnsi="Garamond"/>
          <w:sz w:val="24"/>
          <w:szCs w:val="24"/>
          <w:lang w:val="en-GB"/>
        </w:rPr>
        <w:t>Elsuwege</w:t>
      </w:r>
      <w:proofErr w:type="spellEnd"/>
      <w:r w:rsidRPr="00007BA8">
        <w:rPr>
          <w:rFonts w:ascii="Garamond" w:hAnsi="Garamond"/>
          <w:sz w:val="24"/>
          <w:szCs w:val="24"/>
          <w:lang w:val="en-GB"/>
        </w:rPr>
        <w:t xml:space="preserve"> 2021, p. 792). The TCA was not concluded as a mixed agreement on the EU side although its content covered both the EU’s exclusive and shared competences. The political decision to avoid ‘</w:t>
      </w:r>
      <w:proofErr w:type="spellStart"/>
      <w:r w:rsidRPr="00007BA8">
        <w:rPr>
          <w:rFonts w:ascii="Garamond" w:hAnsi="Garamond"/>
          <w:sz w:val="24"/>
          <w:szCs w:val="24"/>
          <w:lang w:val="en-GB"/>
        </w:rPr>
        <w:t>mixity</w:t>
      </w:r>
      <w:proofErr w:type="spellEnd"/>
      <w:r w:rsidRPr="00007BA8">
        <w:rPr>
          <w:rFonts w:ascii="Garamond" w:hAnsi="Garamond"/>
          <w:sz w:val="24"/>
          <w:szCs w:val="24"/>
          <w:lang w:val="en-GB"/>
        </w:rPr>
        <w:t xml:space="preserve">’ had procedural advantages, but it also meant that the democratic scrutiny by the national parliaments was </w:t>
      </w:r>
      <w:proofErr w:type="gramStart"/>
      <w:r w:rsidRPr="00007BA8">
        <w:rPr>
          <w:rFonts w:ascii="Garamond" w:hAnsi="Garamond"/>
          <w:sz w:val="24"/>
          <w:szCs w:val="24"/>
          <w:lang w:val="en-GB"/>
        </w:rPr>
        <w:t>missing</w:t>
      </w:r>
      <w:proofErr w:type="gramEnd"/>
      <w:r w:rsidRPr="00007BA8">
        <w:rPr>
          <w:rFonts w:ascii="Garamond" w:hAnsi="Garamond"/>
          <w:sz w:val="24"/>
          <w:szCs w:val="24"/>
          <w:lang w:val="en-GB"/>
        </w:rPr>
        <w:t xml:space="preserve"> and that the TCA had to be accepted provisionally without a proper involvement of the European Parliament at that stage (Van </w:t>
      </w:r>
      <w:proofErr w:type="spellStart"/>
      <w:r w:rsidRPr="00007BA8">
        <w:rPr>
          <w:rFonts w:ascii="Garamond" w:hAnsi="Garamond"/>
          <w:sz w:val="24"/>
          <w:szCs w:val="24"/>
          <w:lang w:val="en-GB"/>
        </w:rPr>
        <w:t>Elsuwege</w:t>
      </w:r>
      <w:proofErr w:type="spellEnd"/>
      <w:r w:rsidRPr="00007BA8">
        <w:rPr>
          <w:rFonts w:ascii="Garamond" w:hAnsi="Garamond"/>
          <w:sz w:val="24"/>
          <w:szCs w:val="24"/>
          <w:lang w:val="en-GB"/>
        </w:rPr>
        <w:t xml:space="preserve"> 2021, pp. 794-795 and 797).</w:t>
      </w:r>
      <w:r w:rsidRPr="00FC00BD">
        <w:rPr>
          <w:rFonts w:ascii="Garamond" w:hAnsi="Garamond"/>
          <w:sz w:val="24"/>
          <w:szCs w:val="24"/>
          <w:lang w:val="en-GB"/>
        </w:rPr>
        <w:t xml:space="preserve"> </w:t>
      </w:r>
    </w:p>
    <w:p w14:paraId="7207164C" w14:textId="77777777" w:rsidR="00AF5E10" w:rsidRPr="00FC00BD" w:rsidRDefault="00AF5E10" w:rsidP="000D48CE">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 xml:space="preserve">The TCA is different from normal trade agreements because it includes both substantive provisions on the bilateral trade between the EU and the UK and the so-called </w:t>
      </w:r>
      <w:r w:rsidRPr="00607EE0">
        <w:rPr>
          <w:rFonts w:ascii="Garamond" w:hAnsi="Garamond"/>
          <w:sz w:val="24"/>
          <w:szCs w:val="24"/>
          <w:u w:val="single"/>
          <w:lang w:val="en-GB"/>
        </w:rPr>
        <w:t>horizontal provisions</w:t>
      </w:r>
      <w:r w:rsidRPr="00FC00BD">
        <w:rPr>
          <w:rFonts w:ascii="Garamond" w:hAnsi="Garamond"/>
          <w:sz w:val="24"/>
          <w:szCs w:val="24"/>
          <w:lang w:val="en-GB"/>
        </w:rPr>
        <w:t xml:space="preserve"> that are meant to apply not just to the TCA itself but to all future EU-UK bilateral agreements. It has been noted that ‘[t]he result is a rather complex agreement which does not entirely follow the traditional structure of other framework agreements governing the EU’s relations with third countries’ (Van </w:t>
      </w:r>
      <w:proofErr w:type="spellStart"/>
      <w:r w:rsidRPr="00FC00BD">
        <w:rPr>
          <w:rFonts w:ascii="Garamond" w:hAnsi="Garamond"/>
          <w:sz w:val="24"/>
          <w:szCs w:val="24"/>
          <w:lang w:val="en-GB"/>
        </w:rPr>
        <w:t>Elsuwege</w:t>
      </w:r>
      <w:proofErr w:type="spellEnd"/>
      <w:r w:rsidRPr="00FC00BD">
        <w:rPr>
          <w:rFonts w:ascii="Garamond" w:hAnsi="Garamond"/>
          <w:sz w:val="24"/>
          <w:szCs w:val="24"/>
          <w:lang w:val="en-GB"/>
        </w:rPr>
        <w:t xml:space="preserve"> 2021, p. 789).</w:t>
      </w:r>
    </w:p>
    <w:p w14:paraId="14EF50E1" w14:textId="12A055D7" w:rsidR="00AF5E10" w:rsidRPr="00FC00BD" w:rsidRDefault="00AF5E10" w:rsidP="000D48CE">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 xml:space="preserve">On the one hand, the TCA goes beyond usual bilateral trade agreements because it includes provisions e.g. on transport, fisheries, and judicial cooperation in criminal matters. On the other hand, the TCA is different from other EU agreements with neighbouring countries because ‘rather than aiming at bringing diverging legal systems together, the EU-UK agreement aims to avoid a far-reaching divergence following the UK’s withdrawal from the EU legal system’ (Van </w:t>
      </w:r>
      <w:proofErr w:type="spellStart"/>
      <w:r w:rsidRPr="00FC00BD">
        <w:rPr>
          <w:rFonts w:ascii="Garamond" w:hAnsi="Garamond"/>
          <w:sz w:val="24"/>
          <w:szCs w:val="24"/>
          <w:lang w:val="en-GB"/>
        </w:rPr>
        <w:t>Elsuwege</w:t>
      </w:r>
      <w:proofErr w:type="spellEnd"/>
      <w:r w:rsidRPr="00FC00BD">
        <w:rPr>
          <w:rFonts w:ascii="Garamond" w:hAnsi="Garamond"/>
          <w:sz w:val="24"/>
          <w:szCs w:val="24"/>
          <w:lang w:val="en-GB"/>
        </w:rPr>
        <w:t xml:space="preserve"> 2021, p. 790). It is also noteworthy that the TCA does not include any provisions on cooperation in the field of C</w:t>
      </w:r>
      <w:r w:rsidR="00607EE0">
        <w:rPr>
          <w:rFonts w:ascii="Garamond" w:hAnsi="Garamond"/>
          <w:sz w:val="24"/>
          <w:szCs w:val="24"/>
          <w:lang w:val="en-GB"/>
        </w:rPr>
        <w:t xml:space="preserve">ommon </w:t>
      </w:r>
      <w:r w:rsidRPr="00FC00BD">
        <w:rPr>
          <w:rFonts w:ascii="Garamond" w:hAnsi="Garamond"/>
          <w:sz w:val="24"/>
          <w:szCs w:val="24"/>
          <w:lang w:val="en-GB"/>
        </w:rPr>
        <w:t>F</w:t>
      </w:r>
      <w:r w:rsidR="00607EE0">
        <w:rPr>
          <w:rFonts w:ascii="Garamond" w:hAnsi="Garamond"/>
          <w:sz w:val="24"/>
          <w:szCs w:val="24"/>
          <w:lang w:val="en-GB"/>
        </w:rPr>
        <w:t xml:space="preserve">oreign </w:t>
      </w:r>
      <w:r w:rsidR="00AA120B">
        <w:rPr>
          <w:rFonts w:ascii="Garamond" w:hAnsi="Garamond"/>
          <w:sz w:val="24"/>
          <w:szCs w:val="24"/>
          <w:lang w:val="en-GB"/>
        </w:rPr>
        <w:t>and Security Policy (CFSP)</w:t>
      </w:r>
      <w:r w:rsidRPr="00FC00BD">
        <w:rPr>
          <w:rFonts w:ascii="Garamond" w:hAnsi="Garamond"/>
          <w:sz w:val="24"/>
          <w:szCs w:val="24"/>
          <w:lang w:val="en-GB"/>
        </w:rPr>
        <w:t xml:space="preserve">. This arguably creates a major ‘gap’ in the post-Brexit EU-UK relations (e.g. Van </w:t>
      </w:r>
      <w:proofErr w:type="spellStart"/>
      <w:r w:rsidRPr="00FC00BD">
        <w:rPr>
          <w:rFonts w:ascii="Garamond" w:hAnsi="Garamond"/>
          <w:sz w:val="24"/>
          <w:szCs w:val="24"/>
          <w:lang w:val="en-GB"/>
        </w:rPr>
        <w:t>Elsuwege</w:t>
      </w:r>
      <w:proofErr w:type="spellEnd"/>
      <w:r w:rsidRPr="00FC00BD">
        <w:rPr>
          <w:rFonts w:ascii="Garamond" w:hAnsi="Garamond"/>
          <w:sz w:val="24"/>
          <w:szCs w:val="24"/>
          <w:lang w:val="en-GB"/>
        </w:rPr>
        <w:t xml:space="preserve"> 2021, p. 798).</w:t>
      </w:r>
    </w:p>
    <w:p w14:paraId="3BFE978A" w14:textId="77777777" w:rsidR="00AF5E10" w:rsidRPr="00FC00BD" w:rsidRDefault="00AF5E10" w:rsidP="000D48CE">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b/>
          <w:i/>
          <w:iCs/>
          <w:sz w:val="24"/>
          <w:szCs w:val="24"/>
          <w:lang w:val="en-GB"/>
        </w:rPr>
        <w:t>Unlike the WA, the TCA is a purely international treaty</w:t>
      </w:r>
      <w:r w:rsidRPr="00FC00BD">
        <w:rPr>
          <w:rFonts w:ascii="Garamond" w:hAnsi="Garamond"/>
          <w:sz w:val="24"/>
          <w:szCs w:val="24"/>
          <w:lang w:val="en-GB"/>
        </w:rPr>
        <w:t xml:space="preserve">. It is subject to the principles of public international law and there is no obligation to interpret the TCA in accordance with the domestic law of either Party (Article 4(1)-(2) TCA). Moreover, the rulings of the courts of either party (incl. the CJEU) do not bind the courts of the other party (Article 4(3) TCA). → These provisions rule out any argument that the UK should take EU law into account when it implements and applies the TCA. They also highlight that the CJEU only has jurisdiction to interpret the TCA in relation to the EU Member States – not in relation to the UK. The only exception to this concerns litigation over the UK’s continued participation in certain EU programmes (mainly research-related) under Article 728 TCA. </w:t>
      </w:r>
    </w:p>
    <w:p w14:paraId="31084DC5" w14:textId="32F60977" w:rsidR="00AF5E10" w:rsidRPr="00FC00BD" w:rsidRDefault="00AF5E10" w:rsidP="000D48CE">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lastRenderedPageBreak/>
        <w:t xml:space="preserve">Article 5 TCA: The TCA also differs from the WA in the sense that the TCA cannot be ‘directly invoked in the domestic legal systems of the Parties’, that is, </w:t>
      </w:r>
      <w:r w:rsidRPr="00086A74">
        <w:rPr>
          <w:rFonts w:ascii="Garamond" w:hAnsi="Garamond"/>
          <w:sz w:val="24"/>
          <w:szCs w:val="24"/>
          <w:lang w:val="en-GB"/>
        </w:rPr>
        <w:t>it cannot produce direct effect</w:t>
      </w:r>
      <w:r w:rsidRPr="00FC00BD">
        <w:rPr>
          <w:rFonts w:ascii="Garamond" w:hAnsi="Garamond"/>
          <w:sz w:val="24"/>
          <w:szCs w:val="24"/>
          <w:lang w:val="en-GB"/>
        </w:rPr>
        <w:t xml:space="preserve">. The only exceptions to this rule are provisions concerning social security cooperation and, with regard to the EU only, provisions concerning law enforcement and judicial cooperation in criminal matters. </w:t>
      </w:r>
    </w:p>
    <w:p w14:paraId="269C40BB" w14:textId="5EB9CDF9" w:rsidR="00AF5E10" w:rsidRPr="00FC00BD" w:rsidRDefault="00AF5E10" w:rsidP="000D48CE">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 xml:space="preserve">The original idea was that the TCA would be complemented by a series of further agreements on more specific sectoral questions in the EU-UK relations. </w:t>
      </w:r>
      <w:r w:rsidR="00AA120B">
        <w:rPr>
          <w:rFonts w:ascii="Garamond" w:hAnsi="Garamond"/>
          <w:sz w:val="24"/>
          <w:szCs w:val="24"/>
          <w:lang w:val="en-GB"/>
        </w:rPr>
        <w:t>T</w:t>
      </w:r>
      <w:r w:rsidRPr="00FC00BD">
        <w:rPr>
          <w:rFonts w:ascii="Garamond" w:hAnsi="Garamond"/>
          <w:sz w:val="24"/>
          <w:szCs w:val="24"/>
          <w:lang w:val="en-GB"/>
        </w:rPr>
        <w:t xml:space="preserve">he TCA itself will be reviewed by both Parties five years after its entry into force and every five years after that under Article 776 TCA. </w:t>
      </w:r>
    </w:p>
    <w:p w14:paraId="536C0852" w14:textId="77777777" w:rsidR="00AF5E10" w:rsidRPr="00FC00BD" w:rsidRDefault="00AF5E10" w:rsidP="000D48CE">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The final version of the TCA is 1,264 pages long and consists of seven main parts:</w:t>
      </w:r>
    </w:p>
    <w:p w14:paraId="72880914" w14:textId="77777777" w:rsidR="00AF5E10" w:rsidRPr="00FC00BD" w:rsidRDefault="00AF5E10" w:rsidP="00AA120B">
      <w:pPr>
        <w:pStyle w:val="ListParagraph"/>
        <w:numPr>
          <w:ilvl w:val="1"/>
          <w:numId w:val="17"/>
        </w:numPr>
        <w:contextualSpacing w:val="0"/>
        <w:jc w:val="both"/>
        <w:rPr>
          <w:rFonts w:ascii="Garamond" w:hAnsi="Garamond"/>
          <w:sz w:val="24"/>
          <w:szCs w:val="24"/>
          <w:lang w:val="en-GB"/>
        </w:rPr>
      </w:pPr>
      <w:r w:rsidRPr="00FC00BD">
        <w:rPr>
          <w:rFonts w:ascii="Garamond" w:hAnsi="Garamond"/>
          <w:sz w:val="24"/>
          <w:szCs w:val="24"/>
          <w:lang w:val="en-GB"/>
        </w:rPr>
        <w:t>Part One on Common and Institutional Provisions</w:t>
      </w:r>
    </w:p>
    <w:p w14:paraId="67D1358E" w14:textId="77777777" w:rsidR="00AF5E10" w:rsidRPr="00FC00BD" w:rsidRDefault="00AF5E10" w:rsidP="00AA120B">
      <w:pPr>
        <w:pStyle w:val="ListParagraph"/>
        <w:numPr>
          <w:ilvl w:val="1"/>
          <w:numId w:val="17"/>
        </w:numPr>
        <w:contextualSpacing w:val="0"/>
        <w:jc w:val="both"/>
        <w:rPr>
          <w:rFonts w:ascii="Garamond" w:hAnsi="Garamond"/>
          <w:sz w:val="24"/>
          <w:szCs w:val="24"/>
          <w:lang w:val="en-GB"/>
        </w:rPr>
      </w:pPr>
      <w:r w:rsidRPr="00FC00BD">
        <w:rPr>
          <w:rFonts w:ascii="Garamond" w:hAnsi="Garamond"/>
          <w:sz w:val="24"/>
          <w:szCs w:val="24"/>
          <w:lang w:val="en-GB"/>
        </w:rPr>
        <w:t>Part Two on Trade, Transport, Fisheries, and Other Arrangements</w:t>
      </w:r>
    </w:p>
    <w:p w14:paraId="60007B00" w14:textId="77777777" w:rsidR="00AF5E10" w:rsidRPr="00FC00BD" w:rsidRDefault="00AF5E10" w:rsidP="00AA120B">
      <w:pPr>
        <w:pStyle w:val="ListParagraph"/>
        <w:numPr>
          <w:ilvl w:val="1"/>
          <w:numId w:val="17"/>
        </w:numPr>
        <w:contextualSpacing w:val="0"/>
        <w:jc w:val="both"/>
        <w:rPr>
          <w:rFonts w:ascii="Garamond" w:hAnsi="Garamond"/>
          <w:sz w:val="24"/>
          <w:szCs w:val="24"/>
          <w:lang w:val="en-GB"/>
        </w:rPr>
      </w:pPr>
      <w:r w:rsidRPr="00FC00BD">
        <w:rPr>
          <w:rFonts w:ascii="Garamond" w:hAnsi="Garamond"/>
          <w:sz w:val="24"/>
          <w:szCs w:val="24"/>
          <w:lang w:val="en-GB"/>
        </w:rPr>
        <w:t>Part Three on Law Enforcement and Judicial Cooperation in Criminal Matters</w:t>
      </w:r>
    </w:p>
    <w:p w14:paraId="0D7B96DB" w14:textId="77777777" w:rsidR="00AF5E10" w:rsidRPr="00FC00BD" w:rsidRDefault="00AF5E10" w:rsidP="00AA120B">
      <w:pPr>
        <w:pStyle w:val="ListParagraph"/>
        <w:numPr>
          <w:ilvl w:val="1"/>
          <w:numId w:val="17"/>
        </w:numPr>
        <w:contextualSpacing w:val="0"/>
        <w:jc w:val="both"/>
        <w:rPr>
          <w:rFonts w:ascii="Garamond" w:hAnsi="Garamond"/>
          <w:sz w:val="24"/>
          <w:szCs w:val="24"/>
          <w:lang w:val="en-GB"/>
        </w:rPr>
      </w:pPr>
      <w:r w:rsidRPr="00FC00BD">
        <w:rPr>
          <w:rFonts w:ascii="Garamond" w:hAnsi="Garamond"/>
          <w:sz w:val="24"/>
          <w:szCs w:val="24"/>
          <w:lang w:val="en-GB"/>
        </w:rPr>
        <w:t xml:space="preserve">Part Four on Thematic Cooperation </w:t>
      </w:r>
    </w:p>
    <w:p w14:paraId="5956F998" w14:textId="77777777" w:rsidR="00AF5E10" w:rsidRPr="00FC00BD" w:rsidRDefault="00AF5E10" w:rsidP="00AA120B">
      <w:pPr>
        <w:pStyle w:val="ListParagraph"/>
        <w:numPr>
          <w:ilvl w:val="1"/>
          <w:numId w:val="17"/>
        </w:numPr>
        <w:contextualSpacing w:val="0"/>
        <w:jc w:val="both"/>
        <w:rPr>
          <w:rFonts w:ascii="Garamond" w:hAnsi="Garamond"/>
          <w:sz w:val="24"/>
          <w:szCs w:val="24"/>
          <w:lang w:val="en-GB"/>
        </w:rPr>
      </w:pPr>
      <w:r w:rsidRPr="00FC00BD">
        <w:rPr>
          <w:rFonts w:ascii="Garamond" w:hAnsi="Garamond"/>
          <w:sz w:val="24"/>
          <w:szCs w:val="24"/>
          <w:lang w:val="en-GB"/>
        </w:rPr>
        <w:t>Part Five on Participation in Union Programmes and Financial Issues</w:t>
      </w:r>
    </w:p>
    <w:p w14:paraId="78B2123C" w14:textId="77777777" w:rsidR="00AF5E10" w:rsidRPr="00FC00BD" w:rsidRDefault="00AF5E10" w:rsidP="00AA120B">
      <w:pPr>
        <w:pStyle w:val="ListParagraph"/>
        <w:numPr>
          <w:ilvl w:val="1"/>
          <w:numId w:val="17"/>
        </w:numPr>
        <w:contextualSpacing w:val="0"/>
        <w:jc w:val="both"/>
        <w:rPr>
          <w:rFonts w:ascii="Garamond" w:hAnsi="Garamond"/>
          <w:sz w:val="24"/>
          <w:szCs w:val="24"/>
          <w:lang w:val="en-GB"/>
        </w:rPr>
      </w:pPr>
      <w:r w:rsidRPr="00FC00BD">
        <w:rPr>
          <w:rFonts w:ascii="Garamond" w:hAnsi="Garamond"/>
          <w:sz w:val="24"/>
          <w:szCs w:val="24"/>
          <w:lang w:val="en-GB"/>
        </w:rPr>
        <w:t>Part Six on Dispute Settlement</w:t>
      </w:r>
    </w:p>
    <w:p w14:paraId="627275B7" w14:textId="77777777" w:rsidR="00AF5E10" w:rsidRPr="00FC00BD" w:rsidRDefault="00AF5E10" w:rsidP="00AA120B">
      <w:pPr>
        <w:pStyle w:val="ListParagraph"/>
        <w:numPr>
          <w:ilvl w:val="1"/>
          <w:numId w:val="17"/>
        </w:numPr>
        <w:contextualSpacing w:val="0"/>
        <w:jc w:val="both"/>
        <w:rPr>
          <w:rFonts w:ascii="Garamond" w:hAnsi="Garamond"/>
          <w:sz w:val="24"/>
          <w:szCs w:val="24"/>
          <w:lang w:val="en-GB"/>
        </w:rPr>
      </w:pPr>
      <w:r w:rsidRPr="00FC00BD">
        <w:rPr>
          <w:rFonts w:ascii="Garamond" w:hAnsi="Garamond"/>
          <w:sz w:val="24"/>
          <w:szCs w:val="24"/>
          <w:lang w:val="en-GB"/>
        </w:rPr>
        <w:t>Part Seven on Final Provisions</w:t>
      </w:r>
    </w:p>
    <w:p w14:paraId="5C1AD94D" w14:textId="77777777" w:rsidR="00AF5E10" w:rsidRPr="008A26D8" w:rsidRDefault="00AF5E10" w:rsidP="008A26D8">
      <w:pPr>
        <w:ind w:left="720"/>
        <w:jc w:val="both"/>
        <w:rPr>
          <w:rFonts w:ascii="Garamond" w:hAnsi="Garamond"/>
          <w:sz w:val="24"/>
          <w:szCs w:val="24"/>
          <w:lang w:val="en-GB"/>
        </w:rPr>
      </w:pPr>
      <w:r w:rsidRPr="008A26D8">
        <w:rPr>
          <w:rFonts w:ascii="Garamond" w:hAnsi="Garamond"/>
          <w:sz w:val="24"/>
          <w:szCs w:val="24"/>
          <w:lang w:val="en-GB"/>
        </w:rPr>
        <w:t>+ followed by Annexes and Protocols</w:t>
      </w:r>
    </w:p>
    <w:p w14:paraId="0D0F476D" w14:textId="6DE1848E" w:rsidR="00AF5E10" w:rsidRPr="00FC00BD" w:rsidRDefault="00AF5E10" w:rsidP="000D48CE">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Each of the main parts is divided into Titles, which are then divided into Chapters. For instance, Craig explains the TCA’s internal logic as follows: ‘. . . the TCA has three substantive levels. There are common and institutional provisions central to the TCA; there are general principles that apply to particular subject-matter areas, such as goods and services; and there are more detailed rules that apply to each subject-matter area, combined with exceptions and reservations that further shape the application of such rules.’ He also observes that ‘the TCA is detail from start to finish, the only difference being that the detail becomes more detailed the further one ventures into the terrain’. (Craig 2021</w:t>
      </w:r>
      <w:r w:rsidR="00AD0F89">
        <w:rPr>
          <w:rFonts w:ascii="Garamond" w:hAnsi="Garamond"/>
          <w:sz w:val="24"/>
          <w:szCs w:val="24"/>
          <w:lang w:val="en-GB"/>
        </w:rPr>
        <w:t xml:space="preserve">, pp. </w:t>
      </w:r>
      <w:r w:rsidRPr="00FC00BD">
        <w:rPr>
          <w:rFonts w:ascii="Garamond" w:hAnsi="Garamond"/>
          <w:sz w:val="24"/>
          <w:szCs w:val="24"/>
          <w:lang w:val="en-GB"/>
        </w:rPr>
        <w:t>132-133)</w:t>
      </w:r>
    </w:p>
    <w:p w14:paraId="1E33DC05" w14:textId="0CE98698" w:rsidR="00AF5E10" w:rsidRPr="00FC00BD" w:rsidRDefault="00AF5E10" w:rsidP="000D48CE">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The economic partnership between the EU and the UK is regulated by Part Two ‘Trade, Transport, Fisheries, and Other Arrangements’. The TCA’s economic partnership maintains many connections between the parties, but it falls short</w:t>
      </w:r>
      <w:r w:rsidR="00AD0F89">
        <w:rPr>
          <w:rFonts w:ascii="Garamond" w:hAnsi="Garamond"/>
          <w:sz w:val="24"/>
          <w:szCs w:val="24"/>
          <w:lang w:val="en-GB"/>
        </w:rPr>
        <w:t xml:space="preserve"> of</w:t>
      </w:r>
      <w:r w:rsidRPr="00FC00BD">
        <w:rPr>
          <w:rFonts w:ascii="Garamond" w:hAnsi="Garamond"/>
          <w:sz w:val="24"/>
          <w:szCs w:val="24"/>
          <w:lang w:val="en-GB"/>
        </w:rPr>
        <w:t xml:space="preserve"> participation in the </w:t>
      </w:r>
      <w:r w:rsidR="00AD0F89">
        <w:rPr>
          <w:rFonts w:ascii="Garamond" w:hAnsi="Garamond"/>
          <w:sz w:val="24"/>
          <w:szCs w:val="24"/>
          <w:lang w:val="en-GB"/>
        </w:rPr>
        <w:t>internal</w:t>
      </w:r>
      <w:r w:rsidRPr="00FC00BD">
        <w:rPr>
          <w:rFonts w:ascii="Garamond" w:hAnsi="Garamond"/>
          <w:sz w:val="24"/>
          <w:szCs w:val="24"/>
          <w:lang w:val="en-GB"/>
        </w:rPr>
        <w:t xml:space="preserve"> market</w:t>
      </w:r>
      <w:r w:rsidR="00AD0F89">
        <w:rPr>
          <w:rFonts w:ascii="Garamond" w:hAnsi="Garamond"/>
          <w:sz w:val="24"/>
          <w:szCs w:val="24"/>
          <w:lang w:val="en-GB"/>
        </w:rPr>
        <w:t>.</w:t>
      </w:r>
    </w:p>
    <w:p w14:paraId="468C60DE" w14:textId="0505D6C1" w:rsidR="00AF5E10" w:rsidRPr="00FC00BD" w:rsidRDefault="00AF5E10" w:rsidP="000D48CE">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 xml:space="preserve">In brief, Part Two of the TCA creates a free trade area for goods and services in accordance with the WTO (World Trade Organisation) rules. Article 19 TCA requires that the EU and the UK ‘accord national treatment to the goods of the other party’ in compliance with Article III of the WTO’s 1994 GATT (General Agreement on Trade and Tariffs) Agreement.  WTO case law must also be </w:t>
      </w:r>
      <w:proofErr w:type="gramStart"/>
      <w:r w:rsidRPr="00FC00BD">
        <w:rPr>
          <w:rFonts w:ascii="Garamond" w:hAnsi="Garamond"/>
          <w:sz w:val="24"/>
          <w:szCs w:val="24"/>
          <w:lang w:val="en-GB"/>
        </w:rPr>
        <w:t>taken into account</w:t>
      </w:r>
      <w:proofErr w:type="gramEnd"/>
      <w:r w:rsidRPr="00FC00BD">
        <w:rPr>
          <w:rFonts w:ascii="Garamond" w:hAnsi="Garamond"/>
          <w:sz w:val="24"/>
          <w:szCs w:val="24"/>
          <w:lang w:val="en-GB"/>
        </w:rPr>
        <w:t xml:space="preserve"> where relevant (e.g. Article 516 TCA). The fact that WTO/GATT rules are directly incorporated into Part Two of the TCA </w:t>
      </w:r>
      <w:r w:rsidRPr="00FC00BD">
        <w:rPr>
          <w:rFonts w:ascii="Garamond" w:hAnsi="Garamond"/>
          <w:sz w:val="24"/>
          <w:szCs w:val="24"/>
          <w:lang w:val="en-GB"/>
        </w:rPr>
        <w:lastRenderedPageBreak/>
        <w:t>is important because it rules out the possibility of interpreting the relevant provisions in accordance with EU la</w:t>
      </w:r>
      <w:r w:rsidR="00AD0F89">
        <w:rPr>
          <w:rFonts w:ascii="Garamond" w:hAnsi="Garamond"/>
          <w:sz w:val="24"/>
          <w:szCs w:val="24"/>
          <w:lang w:val="en-GB"/>
        </w:rPr>
        <w:t>w.</w:t>
      </w:r>
      <w:r w:rsidRPr="00FC00BD">
        <w:rPr>
          <w:rFonts w:ascii="Garamond" w:hAnsi="Garamond"/>
          <w:sz w:val="24"/>
          <w:szCs w:val="24"/>
          <w:lang w:val="en-GB"/>
        </w:rPr>
        <w:t xml:space="preserve"> </w:t>
      </w:r>
    </w:p>
    <w:p w14:paraId="15EB6830" w14:textId="77777777" w:rsidR="002A1F3C" w:rsidRDefault="00AF5E10" w:rsidP="002A1F3C">
      <w:pPr>
        <w:pStyle w:val="ListParagraph"/>
        <w:numPr>
          <w:ilvl w:val="0"/>
          <w:numId w:val="17"/>
        </w:numPr>
        <w:ind w:left="357" w:hanging="357"/>
        <w:contextualSpacing w:val="0"/>
        <w:jc w:val="both"/>
        <w:rPr>
          <w:rFonts w:ascii="Garamond" w:hAnsi="Garamond"/>
          <w:sz w:val="24"/>
          <w:szCs w:val="24"/>
          <w:lang w:val="en-GB"/>
        </w:rPr>
      </w:pPr>
      <w:r w:rsidRPr="00FC00BD">
        <w:rPr>
          <w:rFonts w:ascii="Garamond" w:hAnsi="Garamond"/>
          <w:sz w:val="24"/>
          <w:szCs w:val="24"/>
          <w:lang w:val="en-GB"/>
        </w:rPr>
        <w:t>In regard to goods (Articles 15-122 TCA), the main idea is that no customs tariffs or duties will be imposed on imported goods that comply with the TCA’s rules of origin. In other words, goods come within the scope of the TCA’s beneficial tariff treatment only if they originate in the UK or in the EU because, otherwise, tariff rules applicable to third countries could be circumvented by importing goods to the EU via the UK – or the other way around. The TCA includes detailed provisions on the rules of origin (31 articles and 6 annexes).</w:t>
      </w:r>
    </w:p>
    <w:p w14:paraId="78216D76" w14:textId="33CE8C5C" w:rsidR="00AF5E10" w:rsidRPr="002A1F3C" w:rsidRDefault="00AF5E10" w:rsidP="002A1F3C">
      <w:pPr>
        <w:pStyle w:val="ListParagraph"/>
        <w:numPr>
          <w:ilvl w:val="0"/>
          <w:numId w:val="17"/>
        </w:numPr>
        <w:ind w:left="357" w:hanging="357"/>
        <w:contextualSpacing w:val="0"/>
        <w:jc w:val="both"/>
        <w:rPr>
          <w:rStyle w:val="Hyperlink"/>
          <w:rFonts w:ascii="Garamond" w:hAnsi="Garamond"/>
          <w:color w:val="auto"/>
          <w:sz w:val="24"/>
          <w:szCs w:val="24"/>
          <w:u w:val="none"/>
          <w:lang w:val="en-GB"/>
        </w:rPr>
      </w:pPr>
      <w:r w:rsidRPr="002A1F3C">
        <w:rPr>
          <w:rFonts w:ascii="Garamond" w:hAnsi="Garamond"/>
          <w:sz w:val="24"/>
          <w:szCs w:val="24"/>
          <w:lang w:val="en-GB"/>
        </w:rPr>
        <w:t xml:space="preserve">You can access the full text of the TCA here: </w:t>
      </w:r>
      <w:hyperlink r:id="rId11" w:history="1">
        <w:r w:rsidRPr="002A1F3C">
          <w:rPr>
            <w:rStyle w:val="Hyperlink"/>
            <w:rFonts w:ascii="Garamond" w:eastAsiaTheme="majorEastAsia" w:hAnsi="Garamond"/>
            <w:sz w:val="24"/>
            <w:szCs w:val="24"/>
            <w:lang w:val="en-GB"/>
          </w:rPr>
          <w:t>https://ec.europa.eu/info/strategy/relations-non-eu-countries/relations-united-kingdom/eu-uk-trade-and-cooperation-agreement_en</w:t>
        </w:r>
      </w:hyperlink>
    </w:p>
    <w:p w14:paraId="788B1AFC" w14:textId="77777777" w:rsidR="00216B4C" w:rsidRDefault="00216B4C" w:rsidP="000A1BD0">
      <w:pPr>
        <w:jc w:val="both"/>
        <w:rPr>
          <w:rFonts w:ascii="Garamond" w:hAnsi="Garamond"/>
          <w:sz w:val="24"/>
          <w:szCs w:val="24"/>
          <w:lang w:val="en-GB"/>
        </w:rPr>
      </w:pPr>
    </w:p>
    <w:tbl>
      <w:tblPr>
        <w:tblStyle w:val="TableGrid"/>
        <w:tblW w:w="0" w:type="auto"/>
        <w:tblBorders>
          <w:insideH w:val="none" w:sz="0" w:space="0" w:color="auto"/>
          <w:insideV w:val="none" w:sz="0" w:space="0" w:color="auto"/>
        </w:tblBorders>
        <w:shd w:val="clear" w:color="auto" w:fill="C6D9F1" w:themeFill="text2" w:themeFillTint="33"/>
        <w:tblLook w:val="04A0" w:firstRow="1" w:lastRow="0" w:firstColumn="1" w:lastColumn="0" w:noHBand="0" w:noVBand="1"/>
      </w:tblPr>
      <w:tblGrid>
        <w:gridCol w:w="9242"/>
      </w:tblGrid>
      <w:tr w:rsidR="002A1F3C" w:rsidRPr="00E465FC" w14:paraId="00E77807" w14:textId="77777777" w:rsidTr="00746C38">
        <w:tc>
          <w:tcPr>
            <w:tcW w:w="9242" w:type="dxa"/>
            <w:shd w:val="clear" w:color="auto" w:fill="C6D9F1" w:themeFill="text2" w:themeFillTint="33"/>
          </w:tcPr>
          <w:p w14:paraId="52CC601C" w14:textId="77777777" w:rsidR="002A1F3C" w:rsidRPr="00E465FC" w:rsidRDefault="002A1F3C" w:rsidP="00746C38">
            <w:pPr>
              <w:jc w:val="both"/>
              <w:rPr>
                <w:rFonts w:ascii="Garamond" w:hAnsi="Garamond"/>
                <w:b/>
                <w:bCs/>
                <w:sz w:val="24"/>
                <w:szCs w:val="24"/>
              </w:rPr>
            </w:pPr>
            <w:r w:rsidRPr="00E465FC">
              <w:rPr>
                <w:rFonts w:ascii="Garamond" w:hAnsi="Garamond"/>
                <w:b/>
                <w:bCs/>
                <w:sz w:val="24"/>
                <w:szCs w:val="24"/>
              </w:rPr>
              <w:t xml:space="preserve">Further Reading: </w:t>
            </w:r>
          </w:p>
          <w:p w14:paraId="0590039E" w14:textId="77777777" w:rsidR="002A1F3C" w:rsidRPr="00E465FC" w:rsidRDefault="002A1F3C" w:rsidP="00746C38">
            <w:pPr>
              <w:jc w:val="both"/>
              <w:rPr>
                <w:rFonts w:ascii="Garamond" w:hAnsi="Garamond"/>
                <w:sz w:val="24"/>
                <w:szCs w:val="24"/>
              </w:rPr>
            </w:pPr>
          </w:p>
        </w:tc>
      </w:tr>
      <w:tr w:rsidR="002A1F3C" w:rsidRPr="00E465FC" w14:paraId="04923ED9" w14:textId="77777777" w:rsidTr="00746C38">
        <w:tc>
          <w:tcPr>
            <w:tcW w:w="9242" w:type="dxa"/>
            <w:shd w:val="clear" w:color="auto" w:fill="C6D9F1" w:themeFill="text2" w:themeFillTint="33"/>
          </w:tcPr>
          <w:p w14:paraId="4AF45DCA" w14:textId="34D91D38" w:rsidR="002A1F3C" w:rsidRDefault="00007BA8" w:rsidP="00746C38">
            <w:pPr>
              <w:pStyle w:val="NormalWeb"/>
              <w:jc w:val="both"/>
              <w:rPr>
                <w:rFonts w:ascii="Garamond" w:hAnsi="Garamond"/>
              </w:rPr>
            </w:pPr>
            <w:r>
              <w:rPr>
                <w:rFonts w:ascii="Garamond" w:hAnsi="Garamond"/>
              </w:rPr>
              <w:t xml:space="preserve">P. Van </w:t>
            </w:r>
            <w:proofErr w:type="spellStart"/>
            <w:r>
              <w:rPr>
                <w:rFonts w:ascii="Garamond" w:hAnsi="Garamond"/>
              </w:rPr>
              <w:t>Elsuwege</w:t>
            </w:r>
            <w:proofErr w:type="spellEnd"/>
            <w:r>
              <w:rPr>
                <w:rFonts w:ascii="Garamond" w:hAnsi="Garamond"/>
              </w:rPr>
              <w:t>, ‘A New Legal Framework for EU-UK Relations: Some Reflections from the Perspective of EU External Relations Law’ (2021) 6(1) European Papers 785.</w:t>
            </w:r>
          </w:p>
          <w:p w14:paraId="1BBEDF89" w14:textId="77777777" w:rsidR="002A1F3C" w:rsidRPr="00E465FC" w:rsidRDefault="002A1F3C" w:rsidP="00746C38">
            <w:pPr>
              <w:pStyle w:val="NormalWeb"/>
              <w:jc w:val="both"/>
              <w:rPr>
                <w:rFonts w:ascii="Garamond" w:hAnsi="Garamond"/>
              </w:rPr>
            </w:pPr>
          </w:p>
        </w:tc>
      </w:tr>
      <w:tr w:rsidR="002A1F3C" w:rsidRPr="00E465FC" w14:paraId="02D03E78" w14:textId="77777777" w:rsidTr="00746C38">
        <w:tc>
          <w:tcPr>
            <w:tcW w:w="9242" w:type="dxa"/>
            <w:shd w:val="clear" w:color="auto" w:fill="C6D9F1" w:themeFill="text2" w:themeFillTint="33"/>
          </w:tcPr>
          <w:p w14:paraId="7981C785" w14:textId="06FCE2A0" w:rsidR="002A1F3C" w:rsidRPr="00E465FC" w:rsidRDefault="00007BA8" w:rsidP="00746C38">
            <w:pPr>
              <w:pStyle w:val="NormalWeb"/>
              <w:jc w:val="both"/>
              <w:rPr>
                <w:rFonts w:ascii="Garamond" w:hAnsi="Garamond"/>
              </w:rPr>
            </w:pPr>
            <w:r>
              <w:rPr>
                <w:rFonts w:ascii="Garamond" w:hAnsi="Garamond"/>
              </w:rPr>
              <w:t>S. Peers, ‘So Close, Yet So Far: the EU/UK Trade and Cooperation Agreement’ (2022) 59(1) Common Market Law Review</w:t>
            </w:r>
            <w:r w:rsidR="00B75034">
              <w:rPr>
                <w:rFonts w:ascii="Garamond" w:hAnsi="Garamond"/>
              </w:rPr>
              <w:t xml:space="preserve"> 49.</w:t>
            </w:r>
          </w:p>
        </w:tc>
      </w:tr>
    </w:tbl>
    <w:p w14:paraId="4F9B9175" w14:textId="77777777" w:rsidR="002A1F3C" w:rsidRPr="002A1F3C" w:rsidRDefault="002A1F3C" w:rsidP="000A1BD0">
      <w:pPr>
        <w:jc w:val="both"/>
        <w:rPr>
          <w:rFonts w:ascii="Garamond" w:hAnsi="Garamond"/>
          <w:sz w:val="24"/>
          <w:szCs w:val="24"/>
        </w:rPr>
      </w:pPr>
    </w:p>
    <w:p w14:paraId="04C7F76A" w14:textId="44AE08AB" w:rsidR="006E249B" w:rsidRPr="00FC00BD" w:rsidRDefault="006E249B" w:rsidP="00DD6EBA">
      <w:pPr>
        <w:rPr>
          <w:rFonts w:ascii="Garamond" w:hAnsi="Garamond"/>
          <w:sz w:val="24"/>
          <w:szCs w:val="24"/>
          <w:lang w:val="en-GB"/>
        </w:rPr>
      </w:pPr>
    </w:p>
    <w:sectPr w:rsidR="006E249B" w:rsidRPr="00FC00B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D44064" w14:textId="77777777" w:rsidR="00EB70A1" w:rsidRDefault="00EB70A1" w:rsidP="00112AFF">
      <w:pPr>
        <w:spacing w:after="0" w:line="240" w:lineRule="auto"/>
      </w:pPr>
      <w:r>
        <w:separator/>
      </w:r>
    </w:p>
  </w:endnote>
  <w:endnote w:type="continuationSeparator" w:id="0">
    <w:p w14:paraId="3369A3E2" w14:textId="77777777" w:rsidR="00EB70A1" w:rsidRDefault="00EB70A1" w:rsidP="00112A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A70DF" w14:textId="77777777" w:rsidR="00EB70A1" w:rsidRDefault="00EB70A1" w:rsidP="00112AFF">
      <w:pPr>
        <w:spacing w:after="0" w:line="240" w:lineRule="auto"/>
      </w:pPr>
      <w:r>
        <w:separator/>
      </w:r>
    </w:p>
  </w:footnote>
  <w:footnote w:type="continuationSeparator" w:id="0">
    <w:p w14:paraId="11B22D49" w14:textId="77777777" w:rsidR="00EB70A1" w:rsidRDefault="00EB70A1" w:rsidP="00112A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D2918"/>
    <w:multiLevelType w:val="hybridMultilevel"/>
    <w:tmpl w:val="7646E4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B57691"/>
    <w:multiLevelType w:val="hybridMultilevel"/>
    <w:tmpl w:val="CFF47392"/>
    <w:lvl w:ilvl="0" w:tplc="1C1E0806">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7AA250F"/>
    <w:multiLevelType w:val="hybridMultilevel"/>
    <w:tmpl w:val="45F8B64E"/>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D531D26"/>
    <w:multiLevelType w:val="hybridMultilevel"/>
    <w:tmpl w:val="C07A8E48"/>
    <w:lvl w:ilvl="0" w:tplc="F13C3EC2">
      <w:start w:val="1"/>
      <w:numFmt w:val="bullet"/>
      <w:lvlText w:val=""/>
      <w:lvlJc w:val="left"/>
      <w:pPr>
        <w:tabs>
          <w:tab w:val="num" w:pos="1004"/>
        </w:tabs>
        <w:ind w:left="1004" w:hanging="284"/>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hint="default"/>
      </w:rPr>
    </w:lvl>
    <w:lvl w:ilvl="2" w:tplc="418ABA2C">
      <w:numFmt w:val="bullet"/>
      <w:lvlText w:val="-"/>
      <w:lvlJc w:val="left"/>
      <w:pPr>
        <w:ind w:left="2880" w:hanging="360"/>
      </w:pPr>
      <w:rPr>
        <w:rFonts w:ascii="Garamond" w:eastAsia="Times New Roman" w:hAnsi="Garamond"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1DD35ADD"/>
    <w:multiLevelType w:val="hybridMultilevel"/>
    <w:tmpl w:val="50786A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8425D5"/>
    <w:multiLevelType w:val="hybridMultilevel"/>
    <w:tmpl w:val="BB2E7C86"/>
    <w:lvl w:ilvl="0" w:tplc="1C1E0806">
      <w:start w:val="1"/>
      <w:numFmt w:val="bullet"/>
      <w:lvlText w:val=""/>
      <w:lvlJc w:val="left"/>
      <w:pPr>
        <w:tabs>
          <w:tab w:val="num" w:pos="284"/>
        </w:tabs>
        <w:ind w:left="284" w:hanging="284"/>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655D4C"/>
    <w:multiLevelType w:val="hybridMultilevel"/>
    <w:tmpl w:val="C100C2D6"/>
    <w:lvl w:ilvl="0" w:tplc="4E1867D4">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2F6D1ECA"/>
    <w:multiLevelType w:val="hybridMultilevel"/>
    <w:tmpl w:val="3C5C13F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E77235C"/>
    <w:multiLevelType w:val="hybridMultilevel"/>
    <w:tmpl w:val="25BE2D66"/>
    <w:lvl w:ilvl="0" w:tplc="1C1E0806">
      <w:start w:val="1"/>
      <w:numFmt w:val="bullet"/>
      <w:lvlText w:val=""/>
      <w:lvlJc w:val="left"/>
      <w:pPr>
        <w:tabs>
          <w:tab w:val="num" w:pos="284"/>
        </w:tabs>
        <w:ind w:left="284" w:hanging="284"/>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F13C3EC2">
      <w:start w:val="1"/>
      <w:numFmt w:val="bullet"/>
      <w:lvlText w:val=""/>
      <w:lvlJc w:val="left"/>
      <w:pPr>
        <w:tabs>
          <w:tab w:val="num" w:pos="2084"/>
        </w:tabs>
        <w:ind w:left="2084" w:hanging="284"/>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EDE163C"/>
    <w:multiLevelType w:val="hybridMultilevel"/>
    <w:tmpl w:val="28129BE6"/>
    <w:lvl w:ilvl="0" w:tplc="E19A7022">
      <w:numFmt w:val="bullet"/>
      <w:lvlText w:val="-"/>
      <w:lvlJc w:val="left"/>
      <w:pPr>
        <w:ind w:left="720" w:hanging="360"/>
      </w:pPr>
      <w:rPr>
        <w:rFonts w:ascii="Garamond" w:eastAsiaTheme="minorHAnsi"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24D497F"/>
    <w:multiLevelType w:val="hybridMultilevel"/>
    <w:tmpl w:val="04F21B7E"/>
    <w:lvl w:ilvl="0" w:tplc="8D381D9A">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45230B7E"/>
    <w:multiLevelType w:val="multilevel"/>
    <w:tmpl w:val="F934C19C"/>
    <w:lvl w:ilvl="0">
      <w:start w:val="1"/>
      <w:numFmt w:val="decimal"/>
      <w:lvlText w:val="%1."/>
      <w:lvlJc w:val="left"/>
      <w:pPr>
        <w:ind w:left="560" w:hanging="560"/>
      </w:pPr>
      <w:rPr>
        <w:rFonts w:cs="Times New Roman"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2" w15:restartNumberingAfterBreak="0">
    <w:nsid w:val="4C801C14"/>
    <w:multiLevelType w:val="hybridMultilevel"/>
    <w:tmpl w:val="19D8FB78"/>
    <w:lvl w:ilvl="0" w:tplc="D3D675D6">
      <w:start w:val="1"/>
      <w:numFmt w:val="decimal"/>
      <w:lvlText w:val="%1."/>
      <w:lvlJc w:val="left"/>
      <w:pPr>
        <w:ind w:left="644" w:hanging="360"/>
      </w:pPr>
      <w:rPr>
        <w:rFonts w:cs="Times New Roman" w:hint="default"/>
      </w:rPr>
    </w:lvl>
    <w:lvl w:ilvl="1" w:tplc="04090019" w:tentative="1">
      <w:start w:val="1"/>
      <w:numFmt w:val="lowerLetter"/>
      <w:lvlText w:val="%2."/>
      <w:lvlJc w:val="left"/>
      <w:pPr>
        <w:ind w:left="1364" w:hanging="360"/>
      </w:pPr>
      <w:rPr>
        <w:rFonts w:cs="Times New Roman"/>
      </w:rPr>
    </w:lvl>
    <w:lvl w:ilvl="2" w:tplc="0409001B" w:tentative="1">
      <w:start w:val="1"/>
      <w:numFmt w:val="lowerRoman"/>
      <w:lvlText w:val="%3."/>
      <w:lvlJc w:val="right"/>
      <w:pPr>
        <w:ind w:left="2084" w:hanging="180"/>
      </w:pPr>
      <w:rPr>
        <w:rFonts w:cs="Times New Roman"/>
      </w:rPr>
    </w:lvl>
    <w:lvl w:ilvl="3" w:tplc="0409000F" w:tentative="1">
      <w:start w:val="1"/>
      <w:numFmt w:val="decimal"/>
      <w:lvlText w:val="%4."/>
      <w:lvlJc w:val="left"/>
      <w:pPr>
        <w:ind w:left="2804" w:hanging="360"/>
      </w:pPr>
      <w:rPr>
        <w:rFonts w:cs="Times New Roman"/>
      </w:rPr>
    </w:lvl>
    <w:lvl w:ilvl="4" w:tplc="04090019" w:tentative="1">
      <w:start w:val="1"/>
      <w:numFmt w:val="lowerLetter"/>
      <w:lvlText w:val="%5."/>
      <w:lvlJc w:val="left"/>
      <w:pPr>
        <w:ind w:left="3524" w:hanging="360"/>
      </w:pPr>
      <w:rPr>
        <w:rFonts w:cs="Times New Roman"/>
      </w:rPr>
    </w:lvl>
    <w:lvl w:ilvl="5" w:tplc="0409001B" w:tentative="1">
      <w:start w:val="1"/>
      <w:numFmt w:val="lowerRoman"/>
      <w:lvlText w:val="%6."/>
      <w:lvlJc w:val="right"/>
      <w:pPr>
        <w:ind w:left="4244" w:hanging="180"/>
      </w:pPr>
      <w:rPr>
        <w:rFonts w:cs="Times New Roman"/>
      </w:rPr>
    </w:lvl>
    <w:lvl w:ilvl="6" w:tplc="0409000F" w:tentative="1">
      <w:start w:val="1"/>
      <w:numFmt w:val="decimal"/>
      <w:lvlText w:val="%7."/>
      <w:lvlJc w:val="left"/>
      <w:pPr>
        <w:ind w:left="4964" w:hanging="360"/>
      </w:pPr>
      <w:rPr>
        <w:rFonts w:cs="Times New Roman"/>
      </w:rPr>
    </w:lvl>
    <w:lvl w:ilvl="7" w:tplc="04090019" w:tentative="1">
      <w:start w:val="1"/>
      <w:numFmt w:val="lowerLetter"/>
      <w:lvlText w:val="%8."/>
      <w:lvlJc w:val="left"/>
      <w:pPr>
        <w:ind w:left="5684" w:hanging="360"/>
      </w:pPr>
      <w:rPr>
        <w:rFonts w:cs="Times New Roman"/>
      </w:rPr>
    </w:lvl>
    <w:lvl w:ilvl="8" w:tplc="0409001B" w:tentative="1">
      <w:start w:val="1"/>
      <w:numFmt w:val="lowerRoman"/>
      <w:lvlText w:val="%9."/>
      <w:lvlJc w:val="right"/>
      <w:pPr>
        <w:ind w:left="6404" w:hanging="180"/>
      </w:pPr>
      <w:rPr>
        <w:rFonts w:cs="Times New Roman"/>
      </w:rPr>
    </w:lvl>
  </w:abstractNum>
  <w:abstractNum w:abstractNumId="13" w15:restartNumberingAfterBreak="0">
    <w:nsid w:val="56A25A0C"/>
    <w:multiLevelType w:val="hybridMultilevel"/>
    <w:tmpl w:val="F6302A94"/>
    <w:lvl w:ilvl="0" w:tplc="CB80A77A">
      <w:start w:val="1"/>
      <w:numFmt w:val="lowerLetter"/>
      <w:lvlText w:val="%1."/>
      <w:lvlJc w:val="left"/>
      <w:pPr>
        <w:ind w:left="1440" w:hanging="360"/>
      </w:pPr>
      <w:rPr>
        <w:rFonts w:hint="default"/>
        <w:b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58556D72"/>
    <w:multiLevelType w:val="hybridMultilevel"/>
    <w:tmpl w:val="365A6B40"/>
    <w:lvl w:ilvl="0" w:tplc="85A44BCC">
      <w:start w:val="288"/>
      <w:numFmt w:val="bullet"/>
      <w:lvlText w:val="-"/>
      <w:lvlJc w:val="left"/>
      <w:pPr>
        <w:ind w:left="720" w:hanging="360"/>
      </w:pPr>
      <w:rPr>
        <w:rFonts w:ascii="Garamond" w:eastAsiaTheme="minorHAnsi" w:hAnsi="Garamond" w:cstheme="minorBidi" w:hint="default"/>
        <w:i/>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34E4022"/>
    <w:multiLevelType w:val="hybridMultilevel"/>
    <w:tmpl w:val="71369956"/>
    <w:lvl w:ilvl="0" w:tplc="1C1E0806">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E5C7466"/>
    <w:multiLevelType w:val="hybridMultilevel"/>
    <w:tmpl w:val="5A748930"/>
    <w:lvl w:ilvl="0" w:tplc="8A70797E">
      <w:start w:val="1"/>
      <w:numFmt w:val="low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FCF00FB"/>
    <w:multiLevelType w:val="hybridMultilevel"/>
    <w:tmpl w:val="9AF0591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36104278">
    <w:abstractNumId w:val="5"/>
  </w:num>
  <w:num w:numId="2" w16cid:durableId="702292038">
    <w:abstractNumId w:val="3"/>
  </w:num>
  <w:num w:numId="3" w16cid:durableId="1147936580">
    <w:abstractNumId w:val="8"/>
  </w:num>
  <w:num w:numId="4" w16cid:durableId="2141417557">
    <w:abstractNumId w:val="11"/>
  </w:num>
  <w:num w:numId="5" w16cid:durableId="871722189">
    <w:abstractNumId w:val="12"/>
  </w:num>
  <w:num w:numId="6" w16cid:durableId="953944607">
    <w:abstractNumId w:val="17"/>
  </w:num>
  <w:num w:numId="7" w16cid:durableId="1838423073">
    <w:abstractNumId w:val="2"/>
  </w:num>
  <w:num w:numId="8" w16cid:durableId="1394431090">
    <w:abstractNumId w:val="6"/>
  </w:num>
  <w:num w:numId="9" w16cid:durableId="1388643874">
    <w:abstractNumId w:val="10"/>
  </w:num>
  <w:num w:numId="10" w16cid:durableId="1943564436">
    <w:abstractNumId w:val="7"/>
  </w:num>
  <w:num w:numId="11" w16cid:durableId="940380587">
    <w:abstractNumId w:val="1"/>
  </w:num>
  <w:num w:numId="12" w16cid:durableId="426658479">
    <w:abstractNumId w:val="0"/>
  </w:num>
  <w:num w:numId="13" w16cid:durableId="75825985">
    <w:abstractNumId w:val="4"/>
  </w:num>
  <w:num w:numId="14" w16cid:durableId="24911945">
    <w:abstractNumId w:val="13"/>
  </w:num>
  <w:num w:numId="15" w16cid:durableId="209535618">
    <w:abstractNumId w:val="16"/>
  </w:num>
  <w:num w:numId="16" w16cid:durableId="2017219876">
    <w:abstractNumId w:val="9"/>
  </w:num>
  <w:num w:numId="17" w16cid:durableId="949167274">
    <w:abstractNumId w:val="15"/>
  </w:num>
  <w:num w:numId="18" w16cid:durableId="20005717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039B"/>
    <w:rsid w:val="000035DD"/>
    <w:rsid w:val="00007BA8"/>
    <w:rsid w:val="0001319C"/>
    <w:rsid w:val="00024AAF"/>
    <w:rsid w:val="000306EA"/>
    <w:rsid w:val="00036B83"/>
    <w:rsid w:val="00036DB2"/>
    <w:rsid w:val="0004190B"/>
    <w:rsid w:val="00041DBD"/>
    <w:rsid w:val="00043B38"/>
    <w:rsid w:val="00044514"/>
    <w:rsid w:val="000609EA"/>
    <w:rsid w:val="00066CD1"/>
    <w:rsid w:val="000731B1"/>
    <w:rsid w:val="00077A22"/>
    <w:rsid w:val="0008127D"/>
    <w:rsid w:val="00082A5B"/>
    <w:rsid w:val="00086A74"/>
    <w:rsid w:val="0009216E"/>
    <w:rsid w:val="000A191B"/>
    <w:rsid w:val="000A1BD0"/>
    <w:rsid w:val="000A3FF2"/>
    <w:rsid w:val="000C0105"/>
    <w:rsid w:val="000D48CE"/>
    <w:rsid w:val="000D4F7E"/>
    <w:rsid w:val="000E0999"/>
    <w:rsid w:val="001073C7"/>
    <w:rsid w:val="00112AFF"/>
    <w:rsid w:val="00112FF1"/>
    <w:rsid w:val="00114D65"/>
    <w:rsid w:val="00131BF3"/>
    <w:rsid w:val="001402FE"/>
    <w:rsid w:val="00140DB0"/>
    <w:rsid w:val="00154EE3"/>
    <w:rsid w:val="00156FEC"/>
    <w:rsid w:val="00160765"/>
    <w:rsid w:val="0017127F"/>
    <w:rsid w:val="00184485"/>
    <w:rsid w:val="001856A5"/>
    <w:rsid w:val="001865AD"/>
    <w:rsid w:val="00190501"/>
    <w:rsid w:val="00197D85"/>
    <w:rsid w:val="001A0CBA"/>
    <w:rsid w:val="001A6EE1"/>
    <w:rsid w:val="001A7E8D"/>
    <w:rsid w:val="001A7EEB"/>
    <w:rsid w:val="001B1E12"/>
    <w:rsid w:val="001B2C4D"/>
    <w:rsid w:val="001B62BE"/>
    <w:rsid w:val="001C7546"/>
    <w:rsid w:val="001D2E11"/>
    <w:rsid w:val="001D5EEB"/>
    <w:rsid w:val="001E76A6"/>
    <w:rsid w:val="001F3873"/>
    <w:rsid w:val="001F5EA4"/>
    <w:rsid w:val="00204D6E"/>
    <w:rsid w:val="00216001"/>
    <w:rsid w:val="00216737"/>
    <w:rsid w:val="00216B4C"/>
    <w:rsid w:val="00217D40"/>
    <w:rsid w:val="00217DE4"/>
    <w:rsid w:val="00222209"/>
    <w:rsid w:val="00223155"/>
    <w:rsid w:val="002235E1"/>
    <w:rsid w:val="00230635"/>
    <w:rsid w:val="00241706"/>
    <w:rsid w:val="002453E5"/>
    <w:rsid w:val="00257E4E"/>
    <w:rsid w:val="00260AA4"/>
    <w:rsid w:val="00276610"/>
    <w:rsid w:val="00276ECE"/>
    <w:rsid w:val="00282BF5"/>
    <w:rsid w:val="00297A5D"/>
    <w:rsid w:val="002A18ED"/>
    <w:rsid w:val="002A1F3C"/>
    <w:rsid w:val="002A7AC9"/>
    <w:rsid w:val="002B0924"/>
    <w:rsid w:val="002B1093"/>
    <w:rsid w:val="002C0D75"/>
    <w:rsid w:val="002C35B7"/>
    <w:rsid w:val="002C3E5E"/>
    <w:rsid w:val="002C54DD"/>
    <w:rsid w:val="002C6C9C"/>
    <w:rsid w:val="002C75B4"/>
    <w:rsid w:val="002D1B54"/>
    <w:rsid w:val="002E3A4A"/>
    <w:rsid w:val="002E4661"/>
    <w:rsid w:val="002E4FA1"/>
    <w:rsid w:val="002E5352"/>
    <w:rsid w:val="002E5BE8"/>
    <w:rsid w:val="002E7475"/>
    <w:rsid w:val="002F6721"/>
    <w:rsid w:val="002F72EF"/>
    <w:rsid w:val="003062E3"/>
    <w:rsid w:val="00316FF6"/>
    <w:rsid w:val="00317644"/>
    <w:rsid w:val="00323215"/>
    <w:rsid w:val="00323555"/>
    <w:rsid w:val="003418B6"/>
    <w:rsid w:val="003432ED"/>
    <w:rsid w:val="003466F9"/>
    <w:rsid w:val="003578D4"/>
    <w:rsid w:val="003732EC"/>
    <w:rsid w:val="0038072E"/>
    <w:rsid w:val="00380876"/>
    <w:rsid w:val="00383B81"/>
    <w:rsid w:val="00392A8C"/>
    <w:rsid w:val="00395643"/>
    <w:rsid w:val="003972F2"/>
    <w:rsid w:val="00397B7E"/>
    <w:rsid w:val="003A7327"/>
    <w:rsid w:val="003B07D5"/>
    <w:rsid w:val="003B2A9F"/>
    <w:rsid w:val="003B38B7"/>
    <w:rsid w:val="003D3282"/>
    <w:rsid w:val="003E09AF"/>
    <w:rsid w:val="003E4E6E"/>
    <w:rsid w:val="003E7216"/>
    <w:rsid w:val="00410B57"/>
    <w:rsid w:val="00413EEE"/>
    <w:rsid w:val="0041688E"/>
    <w:rsid w:val="00420B99"/>
    <w:rsid w:val="00427586"/>
    <w:rsid w:val="00440242"/>
    <w:rsid w:val="00441143"/>
    <w:rsid w:val="004457FD"/>
    <w:rsid w:val="004669B7"/>
    <w:rsid w:val="00472B29"/>
    <w:rsid w:val="004752B1"/>
    <w:rsid w:val="004845C0"/>
    <w:rsid w:val="00485242"/>
    <w:rsid w:val="004A0EE7"/>
    <w:rsid w:val="004A4832"/>
    <w:rsid w:val="004B1FC7"/>
    <w:rsid w:val="004B2575"/>
    <w:rsid w:val="004C509D"/>
    <w:rsid w:val="004C545F"/>
    <w:rsid w:val="004C75C7"/>
    <w:rsid w:val="004D205A"/>
    <w:rsid w:val="004D43CA"/>
    <w:rsid w:val="004E488B"/>
    <w:rsid w:val="004E6F12"/>
    <w:rsid w:val="004F0718"/>
    <w:rsid w:val="004F39FE"/>
    <w:rsid w:val="004F69B1"/>
    <w:rsid w:val="00511462"/>
    <w:rsid w:val="00515342"/>
    <w:rsid w:val="005204DE"/>
    <w:rsid w:val="00520CF3"/>
    <w:rsid w:val="00525198"/>
    <w:rsid w:val="005270F1"/>
    <w:rsid w:val="005302C5"/>
    <w:rsid w:val="00531818"/>
    <w:rsid w:val="0053290B"/>
    <w:rsid w:val="00537D93"/>
    <w:rsid w:val="00541AFF"/>
    <w:rsid w:val="00547EE8"/>
    <w:rsid w:val="00555417"/>
    <w:rsid w:val="005726C5"/>
    <w:rsid w:val="00572C88"/>
    <w:rsid w:val="00576D41"/>
    <w:rsid w:val="00583B0A"/>
    <w:rsid w:val="0058471A"/>
    <w:rsid w:val="00594EA3"/>
    <w:rsid w:val="00594EA9"/>
    <w:rsid w:val="005A688C"/>
    <w:rsid w:val="005B3B83"/>
    <w:rsid w:val="005C0744"/>
    <w:rsid w:val="005C079F"/>
    <w:rsid w:val="005C14A4"/>
    <w:rsid w:val="005C2320"/>
    <w:rsid w:val="005C2FA5"/>
    <w:rsid w:val="005C4946"/>
    <w:rsid w:val="005E1D06"/>
    <w:rsid w:val="005E2D4D"/>
    <w:rsid w:val="005E381B"/>
    <w:rsid w:val="005F0D55"/>
    <w:rsid w:val="005F4628"/>
    <w:rsid w:val="00601BE1"/>
    <w:rsid w:val="00603E0A"/>
    <w:rsid w:val="00604C6D"/>
    <w:rsid w:val="00607EE0"/>
    <w:rsid w:val="006114EC"/>
    <w:rsid w:val="00614F9B"/>
    <w:rsid w:val="00643F16"/>
    <w:rsid w:val="00654BC1"/>
    <w:rsid w:val="006576D6"/>
    <w:rsid w:val="00660888"/>
    <w:rsid w:val="006728BE"/>
    <w:rsid w:val="00673466"/>
    <w:rsid w:val="00684066"/>
    <w:rsid w:val="00686ADC"/>
    <w:rsid w:val="006954CB"/>
    <w:rsid w:val="00695AC9"/>
    <w:rsid w:val="006A28AF"/>
    <w:rsid w:val="006A4539"/>
    <w:rsid w:val="006A4CAC"/>
    <w:rsid w:val="006A7D69"/>
    <w:rsid w:val="006B61EE"/>
    <w:rsid w:val="006B71E9"/>
    <w:rsid w:val="006C4B46"/>
    <w:rsid w:val="006E1BA9"/>
    <w:rsid w:val="006E249B"/>
    <w:rsid w:val="006E2509"/>
    <w:rsid w:val="006F0971"/>
    <w:rsid w:val="006F194D"/>
    <w:rsid w:val="006F33F5"/>
    <w:rsid w:val="006F5C0A"/>
    <w:rsid w:val="006F669F"/>
    <w:rsid w:val="00702992"/>
    <w:rsid w:val="0072547D"/>
    <w:rsid w:val="00725DBB"/>
    <w:rsid w:val="00734210"/>
    <w:rsid w:val="00760FFC"/>
    <w:rsid w:val="0078003C"/>
    <w:rsid w:val="00782923"/>
    <w:rsid w:val="00790E11"/>
    <w:rsid w:val="00794B9E"/>
    <w:rsid w:val="007A069E"/>
    <w:rsid w:val="007A19AA"/>
    <w:rsid w:val="007A1FE9"/>
    <w:rsid w:val="007A3532"/>
    <w:rsid w:val="007D143E"/>
    <w:rsid w:val="007D30B1"/>
    <w:rsid w:val="007D4335"/>
    <w:rsid w:val="007D7D92"/>
    <w:rsid w:val="007E2441"/>
    <w:rsid w:val="007E6964"/>
    <w:rsid w:val="007F039B"/>
    <w:rsid w:val="007F13C7"/>
    <w:rsid w:val="007F1A0D"/>
    <w:rsid w:val="00801D48"/>
    <w:rsid w:val="00827027"/>
    <w:rsid w:val="00827F86"/>
    <w:rsid w:val="00833326"/>
    <w:rsid w:val="008427A4"/>
    <w:rsid w:val="008444A9"/>
    <w:rsid w:val="00850F9C"/>
    <w:rsid w:val="00862BF8"/>
    <w:rsid w:val="00864E16"/>
    <w:rsid w:val="00867E6D"/>
    <w:rsid w:val="00880BCB"/>
    <w:rsid w:val="00883103"/>
    <w:rsid w:val="008944EF"/>
    <w:rsid w:val="008A26D8"/>
    <w:rsid w:val="008A46DC"/>
    <w:rsid w:val="008A5F60"/>
    <w:rsid w:val="008A78F9"/>
    <w:rsid w:val="008B0CE7"/>
    <w:rsid w:val="008B1F5F"/>
    <w:rsid w:val="008B3E8C"/>
    <w:rsid w:val="008C4492"/>
    <w:rsid w:val="008D7932"/>
    <w:rsid w:val="008E34EB"/>
    <w:rsid w:val="008E7E3B"/>
    <w:rsid w:val="00907924"/>
    <w:rsid w:val="00915D25"/>
    <w:rsid w:val="00920883"/>
    <w:rsid w:val="00924981"/>
    <w:rsid w:val="00935A20"/>
    <w:rsid w:val="00937634"/>
    <w:rsid w:val="0094271F"/>
    <w:rsid w:val="009450FB"/>
    <w:rsid w:val="00951788"/>
    <w:rsid w:val="00956620"/>
    <w:rsid w:val="00960291"/>
    <w:rsid w:val="009639D2"/>
    <w:rsid w:val="00966680"/>
    <w:rsid w:val="009758BB"/>
    <w:rsid w:val="00977458"/>
    <w:rsid w:val="00977EBD"/>
    <w:rsid w:val="0098755D"/>
    <w:rsid w:val="009902C2"/>
    <w:rsid w:val="00995911"/>
    <w:rsid w:val="009A0AAA"/>
    <w:rsid w:val="009A0B43"/>
    <w:rsid w:val="009C55DA"/>
    <w:rsid w:val="009D5409"/>
    <w:rsid w:val="009D5839"/>
    <w:rsid w:val="009D7599"/>
    <w:rsid w:val="009D7F6F"/>
    <w:rsid w:val="009E1830"/>
    <w:rsid w:val="009F093C"/>
    <w:rsid w:val="009F2E4E"/>
    <w:rsid w:val="00A1130E"/>
    <w:rsid w:val="00A13377"/>
    <w:rsid w:val="00A14D51"/>
    <w:rsid w:val="00A24F97"/>
    <w:rsid w:val="00A32ECD"/>
    <w:rsid w:val="00A36698"/>
    <w:rsid w:val="00A37136"/>
    <w:rsid w:val="00A44A2A"/>
    <w:rsid w:val="00A4558E"/>
    <w:rsid w:val="00A56A49"/>
    <w:rsid w:val="00A56C19"/>
    <w:rsid w:val="00A61E53"/>
    <w:rsid w:val="00A6272B"/>
    <w:rsid w:val="00A63EAB"/>
    <w:rsid w:val="00A64DBE"/>
    <w:rsid w:val="00A67B03"/>
    <w:rsid w:val="00A71BE6"/>
    <w:rsid w:val="00A72CF7"/>
    <w:rsid w:val="00A73D1E"/>
    <w:rsid w:val="00A74D18"/>
    <w:rsid w:val="00A830F9"/>
    <w:rsid w:val="00A97B3D"/>
    <w:rsid w:val="00AA120B"/>
    <w:rsid w:val="00AB03D7"/>
    <w:rsid w:val="00AB1576"/>
    <w:rsid w:val="00AC5FC2"/>
    <w:rsid w:val="00AD04F5"/>
    <w:rsid w:val="00AD0F89"/>
    <w:rsid w:val="00AD410E"/>
    <w:rsid w:val="00AD57DB"/>
    <w:rsid w:val="00AE0256"/>
    <w:rsid w:val="00AE0C4F"/>
    <w:rsid w:val="00AE3680"/>
    <w:rsid w:val="00AF3002"/>
    <w:rsid w:val="00AF54FD"/>
    <w:rsid w:val="00AF5E10"/>
    <w:rsid w:val="00B010DE"/>
    <w:rsid w:val="00B14243"/>
    <w:rsid w:val="00B168F9"/>
    <w:rsid w:val="00B2295B"/>
    <w:rsid w:val="00B300EE"/>
    <w:rsid w:val="00B30A28"/>
    <w:rsid w:val="00B643E0"/>
    <w:rsid w:val="00B73A73"/>
    <w:rsid w:val="00B75034"/>
    <w:rsid w:val="00B76454"/>
    <w:rsid w:val="00B86DEF"/>
    <w:rsid w:val="00B91228"/>
    <w:rsid w:val="00B958D6"/>
    <w:rsid w:val="00B96B3D"/>
    <w:rsid w:val="00BA1E42"/>
    <w:rsid w:val="00BA3469"/>
    <w:rsid w:val="00BA3B0F"/>
    <w:rsid w:val="00BA678A"/>
    <w:rsid w:val="00BA79FB"/>
    <w:rsid w:val="00BB1AF6"/>
    <w:rsid w:val="00BB6E49"/>
    <w:rsid w:val="00BC1D12"/>
    <w:rsid w:val="00BC6D3F"/>
    <w:rsid w:val="00BE2752"/>
    <w:rsid w:val="00BE7263"/>
    <w:rsid w:val="00BF6417"/>
    <w:rsid w:val="00BF710B"/>
    <w:rsid w:val="00C053C1"/>
    <w:rsid w:val="00C13884"/>
    <w:rsid w:val="00C13991"/>
    <w:rsid w:val="00C170BF"/>
    <w:rsid w:val="00C2000E"/>
    <w:rsid w:val="00C22844"/>
    <w:rsid w:val="00C2508E"/>
    <w:rsid w:val="00C413E5"/>
    <w:rsid w:val="00C42E4C"/>
    <w:rsid w:val="00C679DE"/>
    <w:rsid w:val="00C70160"/>
    <w:rsid w:val="00C72259"/>
    <w:rsid w:val="00C76AB9"/>
    <w:rsid w:val="00C8070A"/>
    <w:rsid w:val="00C92E8D"/>
    <w:rsid w:val="00C93BD3"/>
    <w:rsid w:val="00C94EE1"/>
    <w:rsid w:val="00CA555D"/>
    <w:rsid w:val="00CA654D"/>
    <w:rsid w:val="00CB0F9B"/>
    <w:rsid w:val="00CB57EB"/>
    <w:rsid w:val="00CC60C5"/>
    <w:rsid w:val="00CD24E7"/>
    <w:rsid w:val="00CD5BEA"/>
    <w:rsid w:val="00CE0AA0"/>
    <w:rsid w:val="00CF14EB"/>
    <w:rsid w:val="00CF5A27"/>
    <w:rsid w:val="00CF66B4"/>
    <w:rsid w:val="00D22113"/>
    <w:rsid w:val="00D23357"/>
    <w:rsid w:val="00D2731B"/>
    <w:rsid w:val="00D45C55"/>
    <w:rsid w:val="00D46B5C"/>
    <w:rsid w:val="00D5483C"/>
    <w:rsid w:val="00D54FA7"/>
    <w:rsid w:val="00D6539F"/>
    <w:rsid w:val="00D67B48"/>
    <w:rsid w:val="00D71088"/>
    <w:rsid w:val="00D73CC0"/>
    <w:rsid w:val="00D744B8"/>
    <w:rsid w:val="00D80E89"/>
    <w:rsid w:val="00D8153C"/>
    <w:rsid w:val="00D81608"/>
    <w:rsid w:val="00D81ED2"/>
    <w:rsid w:val="00D869DD"/>
    <w:rsid w:val="00D8700C"/>
    <w:rsid w:val="00D93450"/>
    <w:rsid w:val="00DA2D32"/>
    <w:rsid w:val="00DA3C1D"/>
    <w:rsid w:val="00DA3C86"/>
    <w:rsid w:val="00DA50AC"/>
    <w:rsid w:val="00DA7377"/>
    <w:rsid w:val="00DB33ED"/>
    <w:rsid w:val="00DC7F29"/>
    <w:rsid w:val="00DD56F2"/>
    <w:rsid w:val="00DD6EBA"/>
    <w:rsid w:val="00DE1212"/>
    <w:rsid w:val="00DE24FC"/>
    <w:rsid w:val="00DE6A1D"/>
    <w:rsid w:val="00DF1A16"/>
    <w:rsid w:val="00DF71D9"/>
    <w:rsid w:val="00DF7705"/>
    <w:rsid w:val="00E0220C"/>
    <w:rsid w:val="00E23369"/>
    <w:rsid w:val="00E25C13"/>
    <w:rsid w:val="00E3286F"/>
    <w:rsid w:val="00E32BE1"/>
    <w:rsid w:val="00E415BD"/>
    <w:rsid w:val="00E45935"/>
    <w:rsid w:val="00E465FC"/>
    <w:rsid w:val="00E62893"/>
    <w:rsid w:val="00E6691D"/>
    <w:rsid w:val="00E728F1"/>
    <w:rsid w:val="00E75A13"/>
    <w:rsid w:val="00E762E7"/>
    <w:rsid w:val="00E838FE"/>
    <w:rsid w:val="00E91E9F"/>
    <w:rsid w:val="00EA37E7"/>
    <w:rsid w:val="00EA4E50"/>
    <w:rsid w:val="00EB0556"/>
    <w:rsid w:val="00EB349E"/>
    <w:rsid w:val="00EB4D30"/>
    <w:rsid w:val="00EB53C9"/>
    <w:rsid w:val="00EB6487"/>
    <w:rsid w:val="00EB70A1"/>
    <w:rsid w:val="00EC06B7"/>
    <w:rsid w:val="00EC7F23"/>
    <w:rsid w:val="00EE00CC"/>
    <w:rsid w:val="00EE45BD"/>
    <w:rsid w:val="00EE5DA2"/>
    <w:rsid w:val="00EF19F4"/>
    <w:rsid w:val="00EF57C5"/>
    <w:rsid w:val="00EF7FF2"/>
    <w:rsid w:val="00F16444"/>
    <w:rsid w:val="00F16822"/>
    <w:rsid w:val="00F4223D"/>
    <w:rsid w:val="00F451C3"/>
    <w:rsid w:val="00F53A6C"/>
    <w:rsid w:val="00F621DC"/>
    <w:rsid w:val="00F62864"/>
    <w:rsid w:val="00F64CCD"/>
    <w:rsid w:val="00F83308"/>
    <w:rsid w:val="00F870E0"/>
    <w:rsid w:val="00F92C96"/>
    <w:rsid w:val="00F959D5"/>
    <w:rsid w:val="00F95C44"/>
    <w:rsid w:val="00FB0B68"/>
    <w:rsid w:val="00FB0E4C"/>
    <w:rsid w:val="00FC00BD"/>
    <w:rsid w:val="00FC19B2"/>
    <w:rsid w:val="00FC336B"/>
    <w:rsid w:val="00FD16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91B03"/>
  <w15:docId w15:val="{29D5B753-20B5-EC46-B152-FC83C5BB4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39B"/>
    <w:rPr>
      <w:rFonts w:ascii="Calibri" w:eastAsia="Times New Roman" w:hAnsi="Calibri" w:cs="Times New Roman"/>
      <w:lang w:val="en-US"/>
    </w:rPr>
  </w:style>
  <w:style w:type="paragraph" w:styleId="Heading1">
    <w:name w:val="heading 1"/>
    <w:basedOn w:val="Normal"/>
    <w:next w:val="Normal"/>
    <w:link w:val="Heading1Char"/>
    <w:uiPriority w:val="9"/>
    <w:qFormat/>
    <w:rsid w:val="00A37136"/>
    <w:pPr>
      <w:keepNext/>
      <w:keepLines/>
      <w:spacing w:before="480" w:after="0" w:line="480" w:lineRule="auto"/>
      <w:outlineLvl w:val="0"/>
    </w:pPr>
    <w:rPr>
      <w:rFonts w:ascii="Garamond" w:eastAsiaTheme="majorEastAsia" w:hAnsi="Garamond" w:cstheme="majorBidi"/>
      <w:b/>
      <w:bCs/>
      <w:sz w:val="28"/>
      <w:szCs w:val="28"/>
      <w:lang w:val="en-GB"/>
    </w:rPr>
  </w:style>
  <w:style w:type="paragraph" w:styleId="Heading2">
    <w:name w:val="heading 2"/>
    <w:basedOn w:val="Normal"/>
    <w:next w:val="Normal"/>
    <w:link w:val="Heading2Char"/>
    <w:uiPriority w:val="9"/>
    <w:unhideWhenUsed/>
    <w:qFormat/>
    <w:rsid w:val="00F870E0"/>
    <w:pPr>
      <w:spacing w:line="360" w:lineRule="auto"/>
      <w:outlineLvl w:val="1"/>
    </w:pPr>
    <w:rPr>
      <w:rFonts w:ascii="Garamond" w:hAnsi="Garamond"/>
      <w:b/>
      <w:sz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7F039B"/>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paragraph" w:styleId="NoSpacing">
    <w:name w:val="No Spacing"/>
    <w:link w:val="NoSpacingChar"/>
    <w:uiPriority w:val="1"/>
    <w:qFormat/>
    <w:rsid w:val="007F039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F039B"/>
    <w:rPr>
      <w:rFonts w:eastAsiaTheme="minorEastAsia"/>
      <w:lang w:val="en-US"/>
    </w:rPr>
  </w:style>
  <w:style w:type="paragraph" w:styleId="BalloonText">
    <w:name w:val="Balloon Text"/>
    <w:basedOn w:val="Normal"/>
    <w:link w:val="BalloonTextChar"/>
    <w:uiPriority w:val="99"/>
    <w:semiHidden/>
    <w:unhideWhenUsed/>
    <w:rsid w:val="007F03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039B"/>
    <w:rPr>
      <w:rFonts w:ascii="Tahoma" w:eastAsia="Times New Roman" w:hAnsi="Tahoma" w:cs="Tahoma"/>
      <w:sz w:val="16"/>
      <w:szCs w:val="16"/>
      <w:lang w:val="en-US"/>
    </w:rPr>
  </w:style>
  <w:style w:type="character" w:customStyle="1" w:styleId="Heading1Char">
    <w:name w:val="Heading 1 Char"/>
    <w:basedOn w:val="DefaultParagraphFont"/>
    <w:link w:val="Heading1"/>
    <w:uiPriority w:val="9"/>
    <w:rsid w:val="00A37136"/>
    <w:rPr>
      <w:rFonts w:ascii="Garamond" w:eastAsiaTheme="majorEastAsia" w:hAnsi="Garamond" w:cstheme="majorBidi"/>
      <w:b/>
      <w:bCs/>
      <w:sz w:val="28"/>
      <w:szCs w:val="28"/>
    </w:rPr>
  </w:style>
  <w:style w:type="paragraph" w:styleId="ListParagraph">
    <w:name w:val="List Paragraph"/>
    <w:basedOn w:val="Normal"/>
    <w:uiPriority w:val="34"/>
    <w:qFormat/>
    <w:rsid w:val="00184485"/>
    <w:pPr>
      <w:ind w:left="720"/>
      <w:contextualSpacing/>
    </w:pPr>
  </w:style>
  <w:style w:type="table" w:styleId="TableGrid">
    <w:name w:val="Table Grid"/>
    <w:basedOn w:val="TableNormal"/>
    <w:uiPriority w:val="59"/>
    <w:rsid w:val="00A113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B1E12"/>
    <w:pPr>
      <w:spacing w:before="100" w:beforeAutospacing="1" w:after="100" w:afterAutospacing="1" w:line="240" w:lineRule="auto"/>
    </w:pPr>
    <w:rPr>
      <w:rFonts w:ascii="Times New Roman" w:hAnsi="Times New Roman"/>
      <w:sz w:val="24"/>
      <w:szCs w:val="24"/>
      <w:lang w:val="en-GB"/>
    </w:rPr>
  </w:style>
  <w:style w:type="paragraph" w:customStyle="1" w:styleId="c01pointnumerotealtn">
    <w:name w:val="c01pointnumerotealtn"/>
    <w:basedOn w:val="Normal"/>
    <w:rsid w:val="008B0CE7"/>
    <w:pPr>
      <w:spacing w:before="100" w:beforeAutospacing="1" w:after="100" w:afterAutospacing="1" w:line="240" w:lineRule="auto"/>
    </w:pPr>
    <w:rPr>
      <w:rFonts w:ascii="Times New Roman" w:hAnsi="Times New Roman"/>
      <w:sz w:val="24"/>
      <w:szCs w:val="24"/>
      <w:lang w:val="en-GB" w:eastAsia="en-GB"/>
    </w:rPr>
  </w:style>
  <w:style w:type="character" w:customStyle="1" w:styleId="Heading2Char">
    <w:name w:val="Heading 2 Char"/>
    <w:basedOn w:val="DefaultParagraphFont"/>
    <w:link w:val="Heading2"/>
    <w:uiPriority w:val="9"/>
    <w:rsid w:val="00F870E0"/>
    <w:rPr>
      <w:rFonts w:ascii="Garamond" w:eastAsia="Times New Roman" w:hAnsi="Garamond" w:cs="Times New Roman"/>
      <w:b/>
      <w:sz w:val="24"/>
    </w:rPr>
  </w:style>
  <w:style w:type="character" w:styleId="Hyperlink">
    <w:name w:val="Hyperlink"/>
    <w:basedOn w:val="DefaultParagraphFont"/>
    <w:uiPriority w:val="99"/>
    <w:unhideWhenUsed/>
    <w:rsid w:val="00DA2D32"/>
    <w:rPr>
      <w:color w:val="0000FF" w:themeColor="hyperlink"/>
      <w:u w:val="single"/>
    </w:rPr>
  </w:style>
  <w:style w:type="character" w:styleId="FollowedHyperlink">
    <w:name w:val="FollowedHyperlink"/>
    <w:basedOn w:val="DefaultParagraphFont"/>
    <w:uiPriority w:val="99"/>
    <w:semiHidden/>
    <w:unhideWhenUsed/>
    <w:rsid w:val="00E415BD"/>
    <w:rPr>
      <w:color w:val="800080" w:themeColor="followedHyperlink"/>
      <w:u w:val="single"/>
    </w:rPr>
  </w:style>
  <w:style w:type="paragraph" w:styleId="Revision">
    <w:name w:val="Revision"/>
    <w:hidden/>
    <w:uiPriority w:val="99"/>
    <w:semiHidden/>
    <w:rsid w:val="003466F9"/>
    <w:pPr>
      <w:spacing w:after="0" w:line="240" w:lineRule="auto"/>
    </w:pPr>
    <w:rPr>
      <w:rFonts w:ascii="Calibri" w:eastAsia="Times New Roman" w:hAnsi="Calibri" w:cs="Times New Roman"/>
      <w:lang w:val="en-US"/>
    </w:rPr>
  </w:style>
  <w:style w:type="paragraph" w:styleId="FootnoteText">
    <w:name w:val="footnote text"/>
    <w:basedOn w:val="Normal"/>
    <w:link w:val="FootnoteTextChar"/>
    <w:uiPriority w:val="99"/>
    <w:semiHidden/>
    <w:unhideWhenUsed/>
    <w:rsid w:val="00112AFF"/>
    <w:pPr>
      <w:spacing w:after="0" w:line="240" w:lineRule="auto"/>
      <w:jc w:val="both"/>
    </w:pPr>
    <w:rPr>
      <w:rFonts w:ascii="Times New Roman" w:eastAsiaTheme="minorHAnsi" w:hAnsi="Times New Roman"/>
      <w:bCs/>
      <w:sz w:val="20"/>
      <w:szCs w:val="20"/>
      <w:lang w:val="en-GB"/>
    </w:rPr>
  </w:style>
  <w:style w:type="character" w:customStyle="1" w:styleId="FootnoteTextChar">
    <w:name w:val="Footnote Text Char"/>
    <w:basedOn w:val="DefaultParagraphFont"/>
    <w:link w:val="FootnoteText"/>
    <w:uiPriority w:val="99"/>
    <w:semiHidden/>
    <w:rsid w:val="00112AFF"/>
    <w:rPr>
      <w:rFonts w:ascii="Times New Roman" w:hAnsi="Times New Roman" w:cs="Times New Roman"/>
      <w:bCs/>
      <w:sz w:val="20"/>
      <w:szCs w:val="20"/>
    </w:rPr>
  </w:style>
  <w:style w:type="character" w:styleId="FootnoteReference">
    <w:name w:val="footnote reference"/>
    <w:basedOn w:val="DefaultParagraphFont"/>
    <w:uiPriority w:val="99"/>
    <w:semiHidden/>
    <w:unhideWhenUsed/>
    <w:rsid w:val="00112AF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97685">
      <w:bodyDiv w:val="1"/>
      <w:marLeft w:val="0"/>
      <w:marRight w:val="0"/>
      <w:marTop w:val="0"/>
      <w:marBottom w:val="0"/>
      <w:divBdr>
        <w:top w:val="none" w:sz="0" w:space="0" w:color="auto"/>
        <w:left w:val="none" w:sz="0" w:space="0" w:color="auto"/>
        <w:bottom w:val="none" w:sz="0" w:space="0" w:color="auto"/>
        <w:right w:val="none" w:sz="0" w:space="0" w:color="auto"/>
      </w:divBdr>
      <w:divsChild>
        <w:div w:id="1681928349">
          <w:marLeft w:val="0"/>
          <w:marRight w:val="0"/>
          <w:marTop w:val="0"/>
          <w:marBottom w:val="0"/>
          <w:divBdr>
            <w:top w:val="none" w:sz="0" w:space="0" w:color="auto"/>
            <w:left w:val="none" w:sz="0" w:space="0" w:color="auto"/>
            <w:bottom w:val="none" w:sz="0" w:space="0" w:color="auto"/>
            <w:right w:val="none" w:sz="0" w:space="0" w:color="auto"/>
          </w:divBdr>
          <w:divsChild>
            <w:div w:id="529686867">
              <w:marLeft w:val="0"/>
              <w:marRight w:val="0"/>
              <w:marTop w:val="0"/>
              <w:marBottom w:val="0"/>
              <w:divBdr>
                <w:top w:val="none" w:sz="0" w:space="0" w:color="auto"/>
                <w:left w:val="none" w:sz="0" w:space="0" w:color="auto"/>
                <w:bottom w:val="none" w:sz="0" w:space="0" w:color="auto"/>
                <w:right w:val="none" w:sz="0" w:space="0" w:color="auto"/>
              </w:divBdr>
              <w:divsChild>
                <w:div w:id="96620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551276">
      <w:bodyDiv w:val="1"/>
      <w:marLeft w:val="0"/>
      <w:marRight w:val="0"/>
      <w:marTop w:val="0"/>
      <w:marBottom w:val="0"/>
      <w:divBdr>
        <w:top w:val="none" w:sz="0" w:space="0" w:color="auto"/>
        <w:left w:val="none" w:sz="0" w:space="0" w:color="auto"/>
        <w:bottom w:val="none" w:sz="0" w:space="0" w:color="auto"/>
        <w:right w:val="none" w:sz="0" w:space="0" w:color="auto"/>
      </w:divBdr>
      <w:divsChild>
        <w:div w:id="1392535844">
          <w:marLeft w:val="0"/>
          <w:marRight w:val="0"/>
          <w:marTop w:val="0"/>
          <w:marBottom w:val="0"/>
          <w:divBdr>
            <w:top w:val="none" w:sz="0" w:space="0" w:color="auto"/>
            <w:left w:val="none" w:sz="0" w:space="0" w:color="auto"/>
            <w:bottom w:val="none" w:sz="0" w:space="0" w:color="auto"/>
            <w:right w:val="none" w:sz="0" w:space="0" w:color="auto"/>
          </w:divBdr>
          <w:divsChild>
            <w:div w:id="20594471">
              <w:marLeft w:val="0"/>
              <w:marRight w:val="0"/>
              <w:marTop w:val="0"/>
              <w:marBottom w:val="0"/>
              <w:divBdr>
                <w:top w:val="none" w:sz="0" w:space="0" w:color="auto"/>
                <w:left w:val="none" w:sz="0" w:space="0" w:color="auto"/>
                <w:bottom w:val="none" w:sz="0" w:space="0" w:color="auto"/>
                <w:right w:val="none" w:sz="0" w:space="0" w:color="auto"/>
              </w:divBdr>
              <w:divsChild>
                <w:div w:id="204736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924466">
      <w:bodyDiv w:val="1"/>
      <w:marLeft w:val="0"/>
      <w:marRight w:val="0"/>
      <w:marTop w:val="0"/>
      <w:marBottom w:val="0"/>
      <w:divBdr>
        <w:top w:val="none" w:sz="0" w:space="0" w:color="auto"/>
        <w:left w:val="none" w:sz="0" w:space="0" w:color="auto"/>
        <w:bottom w:val="none" w:sz="0" w:space="0" w:color="auto"/>
        <w:right w:val="none" w:sz="0" w:space="0" w:color="auto"/>
      </w:divBdr>
    </w:div>
    <w:div w:id="1402095014">
      <w:bodyDiv w:val="1"/>
      <w:marLeft w:val="0"/>
      <w:marRight w:val="0"/>
      <w:marTop w:val="0"/>
      <w:marBottom w:val="0"/>
      <w:divBdr>
        <w:top w:val="none" w:sz="0" w:space="0" w:color="auto"/>
        <w:left w:val="none" w:sz="0" w:space="0" w:color="auto"/>
        <w:bottom w:val="none" w:sz="0" w:space="0" w:color="auto"/>
        <w:right w:val="none" w:sz="0" w:space="0" w:color="auto"/>
      </w:divBdr>
    </w:div>
    <w:div w:id="1837569884">
      <w:bodyDiv w:val="1"/>
      <w:marLeft w:val="0"/>
      <w:marRight w:val="0"/>
      <w:marTop w:val="0"/>
      <w:marBottom w:val="0"/>
      <w:divBdr>
        <w:top w:val="none" w:sz="0" w:space="0" w:color="auto"/>
        <w:left w:val="none" w:sz="0" w:space="0" w:color="auto"/>
        <w:bottom w:val="none" w:sz="0" w:space="0" w:color="auto"/>
        <w:right w:val="none" w:sz="0" w:space="0" w:color="auto"/>
      </w:divBdr>
      <w:divsChild>
        <w:div w:id="2003971218">
          <w:marLeft w:val="0"/>
          <w:marRight w:val="0"/>
          <w:marTop w:val="0"/>
          <w:marBottom w:val="0"/>
          <w:divBdr>
            <w:top w:val="none" w:sz="0" w:space="0" w:color="auto"/>
            <w:left w:val="none" w:sz="0" w:space="0" w:color="auto"/>
            <w:bottom w:val="none" w:sz="0" w:space="0" w:color="auto"/>
            <w:right w:val="none" w:sz="0" w:space="0" w:color="auto"/>
          </w:divBdr>
          <w:divsChild>
            <w:div w:id="2000422175">
              <w:marLeft w:val="0"/>
              <w:marRight w:val="0"/>
              <w:marTop w:val="0"/>
              <w:marBottom w:val="0"/>
              <w:divBdr>
                <w:top w:val="none" w:sz="0" w:space="0" w:color="auto"/>
                <w:left w:val="none" w:sz="0" w:space="0" w:color="auto"/>
                <w:bottom w:val="none" w:sz="0" w:space="0" w:color="auto"/>
                <w:right w:val="none" w:sz="0" w:space="0" w:color="auto"/>
              </w:divBdr>
              <w:divsChild>
                <w:div w:id="208032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990705">
      <w:bodyDiv w:val="1"/>
      <w:marLeft w:val="0"/>
      <w:marRight w:val="0"/>
      <w:marTop w:val="0"/>
      <w:marBottom w:val="0"/>
      <w:divBdr>
        <w:top w:val="none" w:sz="0" w:space="0" w:color="auto"/>
        <w:left w:val="none" w:sz="0" w:space="0" w:color="auto"/>
        <w:bottom w:val="none" w:sz="0" w:space="0" w:color="auto"/>
        <w:right w:val="none" w:sz="0" w:space="0" w:color="auto"/>
      </w:divBdr>
      <w:divsChild>
        <w:div w:id="691541350">
          <w:marLeft w:val="0"/>
          <w:marRight w:val="0"/>
          <w:marTop w:val="0"/>
          <w:marBottom w:val="0"/>
          <w:divBdr>
            <w:top w:val="none" w:sz="0" w:space="0" w:color="auto"/>
            <w:left w:val="none" w:sz="0" w:space="0" w:color="auto"/>
            <w:bottom w:val="none" w:sz="0" w:space="0" w:color="auto"/>
            <w:right w:val="none" w:sz="0" w:space="0" w:color="auto"/>
          </w:divBdr>
          <w:divsChild>
            <w:div w:id="1046642181">
              <w:marLeft w:val="0"/>
              <w:marRight w:val="0"/>
              <w:marTop w:val="0"/>
              <w:marBottom w:val="0"/>
              <w:divBdr>
                <w:top w:val="none" w:sz="0" w:space="0" w:color="auto"/>
                <w:left w:val="none" w:sz="0" w:space="0" w:color="auto"/>
                <w:bottom w:val="none" w:sz="0" w:space="0" w:color="auto"/>
                <w:right w:val="none" w:sz="0" w:space="0" w:color="auto"/>
              </w:divBdr>
              <w:divsChild>
                <w:div w:id="139076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europa.eu/info/strategy/relations-non-eu-countries/relations-united-kingdom/eu-uk-trade-and-cooperation-agreement_en" TargetMode="External"/><Relationship Id="rId5" Type="http://schemas.openxmlformats.org/officeDocument/2006/relationships/webSettings" Target="webSettings.xml"/><Relationship Id="rId10" Type="http://schemas.openxmlformats.org/officeDocument/2006/relationships/hyperlink" Target="https://ec.europa.eu/info/strategy/relations-non-eu-countries/relations-united-kingdom/eu-uk-withdrawal-agreement_en" TargetMode="External"/><Relationship Id="rId4" Type="http://schemas.openxmlformats.org/officeDocument/2006/relationships/settings" Target="settings.xml"/><Relationship Id="rId9" Type="http://schemas.openxmlformats.org/officeDocument/2006/relationships/hyperlink" Target="mailto:andreas.georgiou@durham.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E9B203-0412-1840-AAC6-B6314C761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9</Pages>
  <Words>3278</Words>
  <Characters>18689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Durham University</Company>
  <LinksUpToDate>false</LinksUpToDate>
  <CharactersWithSpaces>21924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GEORGIOU, ANDREAS</dc:creator>
  <cp:lastModifiedBy>Microsoft Office User</cp:lastModifiedBy>
  <cp:revision>128</cp:revision>
  <cp:lastPrinted>2019-02-20T13:05:00Z</cp:lastPrinted>
  <dcterms:created xsi:type="dcterms:W3CDTF">2019-02-20T14:45:00Z</dcterms:created>
  <dcterms:modified xsi:type="dcterms:W3CDTF">2024-02-20T12:06:00Z</dcterms:modified>
</cp:coreProperties>
</file>