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7DD01" w14:textId="1C2ECCA4"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Questions</w:t>
      </w:r>
    </w:p>
    <w:p w14:paraId="4BE67D0D" w14:textId="77777777" w:rsidR="0035287A" w:rsidRPr="0035287A" w:rsidRDefault="0035287A" w:rsidP="0035287A">
      <w:pPr>
        <w:spacing w:before="100" w:beforeAutospacing="1" w:after="100" w:afterAutospacing="1"/>
        <w:outlineLvl w:val="3"/>
        <w:rPr>
          <w:rFonts w:ascii="Times New Roman" w:hAnsi="Times New Roman"/>
          <w:b/>
          <w:bCs/>
          <w:lang w:val="en-HK"/>
        </w:rPr>
      </w:pPr>
      <w:r w:rsidRPr="0035287A">
        <w:rPr>
          <w:rFonts w:ascii="Times New Roman" w:hAnsi="Times New Roman"/>
          <w:b/>
          <w:bCs/>
          <w:lang w:val="en-HK"/>
        </w:rPr>
        <w:t>1. How does Article 34 TFEU contribute to the functioning of the EU internal market?</w:t>
      </w:r>
    </w:p>
    <w:p w14:paraId="64584824"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Article 34 TFEU ensures the free movement of goods by prohibiting quantitative restrictions (QRs) on imports and measures having equivalent effect (MEQRs). This provision underpins the internal market by preventing unjustified national barriers to trade, promoting legal certainty, and fostering economic integration.</w:t>
      </w:r>
    </w:p>
    <w:p w14:paraId="29D486EA" w14:textId="77777777" w:rsidR="0035287A" w:rsidRPr="0035287A" w:rsidRDefault="0035287A" w:rsidP="0035287A">
      <w:pPr>
        <w:numPr>
          <w:ilvl w:val="0"/>
          <w:numId w:val="1"/>
        </w:numPr>
        <w:spacing w:before="100" w:beforeAutospacing="1" w:after="100" w:afterAutospacing="1"/>
        <w:rPr>
          <w:rFonts w:ascii="Times New Roman" w:hAnsi="Times New Roman"/>
          <w:lang w:val="en-HK"/>
        </w:rPr>
      </w:pPr>
      <w:proofErr w:type="spellStart"/>
      <w:r w:rsidRPr="0035287A">
        <w:rPr>
          <w:rFonts w:ascii="Times New Roman" w:hAnsi="Times New Roman"/>
          <w:b/>
          <w:bCs/>
          <w:lang w:val="en-HK"/>
        </w:rPr>
        <w:t>Dassonville</w:t>
      </w:r>
      <w:proofErr w:type="spellEnd"/>
      <w:r w:rsidRPr="0035287A">
        <w:rPr>
          <w:rFonts w:ascii="Times New Roman" w:hAnsi="Times New Roman"/>
          <w:b/>
          <w:bCs/>
          <w:lang w:val="en-HK"/>
        </w:rPr>
        <w:t xml:space="preserve"> Formula</w:t>
      </w:r>
      <w:r w:rsidRPr="0035287A">
        <w:rPr>
          <w:rFonts w:ascii="Times New Roman" w:hAnsi="Times New Roman"/>
          <w:lang w:val="en-HK"/>
        </w:rPr>
        <w:t xml:space="preserve">: Established in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the principle prohibits measures that "hinder, directly or indirectly, actually or potentially, intra-Community trade" (European Law Review, </w:t>
      </w:r>
      <w:proofErr w:type="spellStart"/>
      <w:r w:rsidRPr="0035287A">
        <w:rPr>
          <w:rFonts w:ascii="Times New Roman" w:hAnsi="Times New Roman"/>
          <w:lang w:val="en-HK"/>
        </w:rPr>
        <w:t>Schütze</w:t>
      </w:r>
      <w:proofErr w:type="spellEnd"/>
      <w:r w:rsidRPr="0035287A">
        <w:rPr>
          <w:rFonts w:ascii="Times New Roman" w:hAnsi="Times New Roman"/>
          <w:lang w:val="en-HK"/>
        </w:rPr>
        <w:t>, 2016). This broad scope allows for the scrutiny of national measures, ensuring they do not unnecessarily restrict market access (European Law Review, Gormley, 2015).</w:t>
      </w:r>
    </w:p>
    <w:p w14:paraId="59487FD2" w14:textId="77777777" w:rsidR="0035287A" w:rsidRPr="0035287A" w:rsidRDefault="0035287A" w:rsidP="0035287A">
      <w:pPr>
        <w:numPr>
          <w:ilvl w:val="0"/>
          <w:numId w:val="1"/>
        </w:numPr>
        <w:spacing w:before="100" w:beforeAutospacing="1" w:after="100" w:afterAutospacing="1"/>
        <w:rPr>
          <w:rFonts w:ascii="Times New Roman" w:hAnsi="Times New Roman"/>
          <w:lang w:val="en-HK"/>
        </w:rPr>
      </w:pPr>
      <w:r w:rsidRPr="0035287A">
        <w:rPr>
          <w:rFonts w:ascii="Times New Roman" w:hAnsi="Times New Roman"/>
          <w:b/>
          <w:bCs/>
          <w:lang w:val="en-HK"/>
        </w:rPr>
        <w:t>Market Access Test</w:t>
      </w:r>
      <w:r w:rsidRPr="0035287A">
        <w:rPr>
          <w:rFonts w:ascii="Times New Roman" w:hAnsi="Times New Roman"/>
          <w:lang w:val="en-HK"/>
        </w:rPr>
        <w:t xml:space="preserve">: Cases such as </w:t>
      </w:r>
      <w:r w:rsidRPr="0035287A">
        <w:rPr>
          <w:rFonts w:ascii="Times New Roman" w:hAnsi="Times New Roman"/>
          <w:i/>
          <w:iCs/>
          <w:lang w:val="en-HK"/>
        </w:rPr>
        <w:t>Commission v Italy (Trailers)</w:t>
      </w:r>
      <w:r w:rsidRPr="0035287A">
        <w:rPr>
          <w:rFonts w:ascii="Times New Roman" w:hAnsi="Times New Roman"/>
          <w:lang w:val="en-HK"/>
        </w:rPr>
        <w:t xml:space="preserve"> and </w:t>
      </w:r>
      <w:proofErr w:type="spellStart"/>
      <w:r w:rsidRPr="0035287A">
        <w:rPr>
          <w:rFonts w:ascii="Times New Roman" w:hAnsi="Times New Roman"/>
          <w:i/>
          <w:iCs/>
          <w:lang w:val="en-HK"/>
        </w:rPr>
        <w:t>Mickelsson</w:t>
      </w:r>
      <w:proofErr w:type="spellEnd"/>
      <w:r w:rsidRPr="0035287A">
        <w:rPr>
          <w:rFonts w:ascii="Times New Roman" w:hAnsi="Times New Roman"/>
          <w:i/>
          <w:iCs/>
          <w:lang w:val="en-HK"/>
        </w:rPr>
        <w:t xml:space="preserve"> and </w:t>
      </w:r>
      <w:proofErr w:type="spellStart"/>
      <w:r w:rsidRPr="0035287A">
        <w:rPr>
          <w:rFonts w:ascii="Times New Roman" w:hAnsi="Times New Roman"/>
          <w:i/>
          <w:iCs/>
          <w:lang w:val="en-HK"/>
        </w:rPr>
        <w:t>Roos</w:t>
      </w:r>
      <w:proofErr w:type="spellEnd"/>
      <w:r w:rsidRPr="0035287A">
        <w:rPr>
          <w:rFonts w:ascii="Times New Roman" w:hAnsi="Times New Roman"/>
          <w:lang w:val="en-HK"/>
        </w:rPr>
        <w:t xml:space="preserve"> introduced the principle that measures hindering market access, even indirectly, may constitute MEQRs. This test represents a shift from purely focusing on discrimination to considering broader trade effects (European Law Review, </w:t>
      </w:r>
      <w:proofErr w:type="spellStart"/>
      <w:r w:rsidRPr="0035287A">
        <w:rPr>
          <w:rFonts w:ascii="Times New Roman" w:hAnsi="Times New Roman"/>
          <w:lang w:val="en-HK"/>
        </w:rPr>
        <w:t>Spaventa</w:t>
      </w:r>
      <w:proofErr w:type="spellEnd"/>
      <w:r w:rsidRPr="0035287A">
        <w:rPr>
          <w:rFonts w:ascii="Times New Roman" w:hAnsi="Times New Roman"/>
          <w:lang w:val="en-HK"/>
        </w:rPr>
        <w:t>, 2009).</w:t>
      </w:r>
    </w:p>
    <w:p w14:paraId="4D5C79B3" w14:textId="77777777" w:rsidR="0035287A" w:rsidRPr="0035287A" w:rsidRDefault="0035287A" w:rsidP="0035287A">
      <w:pPr>
        <w:numPr>
          <w:ilvl w:val="0"/>
          <w:numId w:val="1"/>
        </w:numPr>
        <w:spacing w:before="100" w:beforeAutospacing="1" w:after="100" w:afterAutospacing="1"/>
        <w:rPr>
          <w:rFonts w:ascii="Times New Roman" w:hAnsi="Times New Roman"/>
          <w:lang w:val="en-HK"/>
        </w:rPr>
      </w:pPr>
      <w:r w:rsidRPr="0035287A">
        <w:rPr>
          <w:rFonts w:ascii="Times New Roman" w:hAnsi="Times New Roman"/>
          <w:b/>
          <w:bCs/>
          <w:lang w:val="en-HK"/>
        </w:rPr>
        <w:t>Balancing Autonomy and Trade Integration</w:t>
      </w:r>
      <w:r w:rsidRPr="0035287A">
        <w:rPr>
          <w:rFonts w:ascii="Times New Roman" w:hAnsi="Times New Roman"/>
          <w:lang w:val="en-HK"/>
        </w:rPr>
        <w:t xml:space="preserve">: Article 34 provides for justifications under Article 36 TFEU and the mandatory requirements doctrine, allowing Member States to regulate in the public interest, such as for environmental or health protection, while ensuring proportionality (European Law Review, </w:t>
      </w:r>
      <w:proofErr w:type="spellStart"/>
      <w:r w:rsidRPr="0035287A">
        <w:rPr>
          <w:rFonts w:ascii="Times New Roman" w:hAnsi="Times New Roman"/>
          <w:lang w:val="en-HK"/>
        </w:rPr>
        <w:t>Lianos</w:t>
      </w:r>
      <w:proofErr w:type="spellEnd"/>
      <w:r w:rsidRPr="0035287A">
        <w:rPr>
          <w:rFonts w:ascii="Times New Roman" w:hAnsi="Times New Roman"/>
          <w:lang w:val="en-HK"/>
        </w:rPr>
        <w:t>, 2015).</w:t>
      </w:r>
    </w:p>
    <w:p w14:paraId="6FB59CC5"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By addressing both discriminatory and non-discriminatory barriers, Article 34 is pivotal in maintaining an integrated market while respecting national regulatory choices.</w:t>
      </w:r>
    </w:p>
    <w:p w14:paraId="531617A4" w14:textId="27B8CB35" w:rsidR="0035287A" w:rsidRDefault="00DC4CEA" w:rsidP="0035287A">
      <w:pPr>
        <w:spacing w:before="100" w:beforeAutospacing="1" w:after="100" w:afterAutospacing="1"/>
        <w:outlineLvl w:val="2"/>
        <w:rPr>
          <w:rFonts w:ascii="Times New Roman" w:hAnsi="Times New Roman"/>
          <w:b/>
          <w:bCs/>
          <w:sz w:val="27"/>
          <w:szCs w:val="27"/>
          <w:lang w:val="en-HK"/>
        </w:rPr>
      </w:pPr>
      <w:r w:rsidRPr="00DC4CEA">
        <w:rPr>
          <w:rFonts w:ascii="Times New Roman" w:hAnsi="Times New Roman"/>
          <w:noProof/>
          <w:lang w:val="en-HK"/>
          <w14:ligatures w14:val="standardContextual"/>
        </w:rPr>
        <w:pict w14:anchorId="77587EB3">
          <v:rect id="_x0000_i1045" alt="" style="width:451.3pt;height:.05pt;mso-width-percent:0;mso-height-percent:0;mso-width-percent:0;mso-height-percent:0" o:hralign="center" o:hrstd="t" o:hr="t" fillcolor="#a0a0a0" stroked="f"/>
        </w:pict>
      </w:r>
    </w:p>
    <w:p w14:paraId="48E101D1" w14:textId="49823D10" w:rsidR="0035287A" w:rsidRPr="0035287A" w:rsidRDefault="0035287A" w:rsidP="0003278C">
      <w:pPr>
        <w:spacing w:before="100" w:beforeAutospacing="1" w:after="100" w:afterAutospacing="1"/>
        <w:outlineLvl w:val="2"/>
        <w:rPr>
          <w:rFonts w:ascii="Times New Roman" w:hAnsi="Times New Roman"/>
          <w:b/>
          <w:bCs/>
          <w:sz w:val="27"/>
          <w:szCs w:val="27"/>
          <w:lang w:val="en-HK"/>
        </w:rPr>
      </w:pPr>
      <w:r>
        <w:rPr>
          <w:rFonts w:ascii="Times New Roman" w:hAnsi="Times New Roman"/>
          <w:b/>
          <w:bCs/>
          <w:sz w:val="27"/>
          <w:szCs w:val="27"/>
          <w:lang w:val="en-HK"/>
        </w:rPr>
        <w:t xml:space="preserve">2. </w:t>
      </w:r>
      <w:r w:rsidRPr="0035287A">
        <w:rPr>
          <w:rFonts w:ascii="Times New Roman" w:hAnsi="Times New Roman"/>
          <w:b/>
          <w:bCs/>
          <w:sz w:val="27"/>
          <w:szCs w:val="27"/>
          <w:lang w:val="en-HK"/>
        </w:rPr>
        <w:t>To What Extent Has the Court of Justice of the European Union (CJEU) Interpreted Article 34 TFEU to Strike a Balance Between Market Access and Member State Autonomy?</w:t>
      </w:r>
    </w:p>
    <w:p w14:paraId="7B0F913A" w14:textId="77777777"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1. Introduction</w:t>
      </w:r>
    </w:p>
    <w:p w14:paraId="1F436A43"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 xml:space="preserve">Article 34 TFEU prohibits quantitative restrictions (QRs) and measures having equivalent effect (MEQRs) on imports within the EU. The Court of Justice of the European Union (CJEU) has developed a nuanced jurisprudence under Article 34, attempting to strike a balance between ensuring market access and respecting Member State autonomy. This balance is informed by foundational cases such as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and </w:t>
      </w:r>
      <w:r w:rsidRPr="0035287A">
        <w:rPr>
          <w:rFonts w:ascii="Times New Roman" w:hAnsi="Times New Roman"/>
          <w:i/>
          <w:iCs/>
          <w:lang w:val="en-HK"/>
        </w:rPr>
        <w:t>Cassis de Dijon</w:t>
      </w:r>
      <w:r w:rsidRPr="0035287A">
        <w:rPr>
          <w:rFonts w:ascii="Times New Roman" w:hAnsi="Times New Roman"/>
          <w:lang w:val="en-HK"/>
        </w:rPr>
        <w:t xml:space="preserve">, the categorization approach in </w:t>
      </w:r>
      <w:r w:rsidRPr="0035287A">
        <w:rPr>
          <w:rFonts w:ascii="Times New Roman" w:hAnsi="Times New Roman"/>
          <w:i/>
          <w:iCs/>
          <w:lang w:val="en-HK"/>
        </w:rPr>
        <w:t>Keck</w:t>
      </w:r>
      <w:r w:rsidRPr="0035287A">
        <w:rPr>
          <w:rFonts w:ascii="Times New Roman" w:hAnsi="Times New Roman"/>
          <w:lang w:val="en-HK"/>
        </w:rPr>
        <w:t xml:space="preserve">, and the resurgence of market access principles in </w:t>
      </w:r>
      <w:r w:rsidRPr="0035287A">
        <w:rPr>
          <w:rFonts w:ascii="Times New Roman" w:hAnsi="Times New Roman"/>
          <w:i/>
          <w:iCs/>
          <w:lang w:val="en-HK"/>
        </w:rPr>
        <w:t>Italian Trailers</w:t>
      </w:r>
      <w:r w:rsidRPr="0035287A">
        <w:rPr>
          <w:rFonts w:ascii="Times New Roman" w:hAnsi="Times New Roman"/>
          <w:lang w:val="en-HK"/>
        </w:rPr>
        <w:t xml:space="preserve"> and </w:t>
      </w:r>
      <w:proofErr w:type="spellStart"/>
      <w:r w:rsidRPr="0035287A">
        <w:rPr>
          <w:rFonts w:ascii="Times New Roman" w:hAnsi="Times New Roman"/>
          <w:i/>
          <w:iCs/>
          <w:lang w:val="en-HK"/>
        </w:rPr>
        <w:t>Mickelsson</w:t>
      </w:r>
      <w:proofErr w:type="spellEnd"/>
      <w:r w:rsidRPr="0035287A">
        <w:rPr>
          <w:rFonts w:ascii="Times New Roman" w:hAnsi="Times New Roman"/>
          <w:i/>
          <w:iCs/>
          <w:lang w:val="en-HK"/>
        </w:rPr>
        <w:t xml:space="preserve"> and </w:t>
      </w:r>
      <w:proofErr w:type="spellStart"/>
      <w:r w:rsidRPr="0035287A">
        <w:rPr>
          <w:rFonts w:ascii="Times New Roman" w:hAnsi="Times New Roman"/>
          <w:i/>
          <w:iCs/>
          <w:lang w:val="en-HK"/>
        </w:rPr>
        <w:t>Roos</w:t>
      </w:r>
      <w:proofErr w:type="spellEnd"/>
      <w:r w:rsidRPr="0035287A">
        <w:rPr>
          <w:rFonts w:ascii="Times New Roman" w:hAnsi="Times New Roman"/>
          <w:lang w:val="en-HK"/>
        </w:rPr>
        <w:t>. The Court’s evolving doctrine reflects competing objectives: removing trade barriers for an integrated market while accommodating legitimate national interests.</w:t>
      </w:r>
    </w:p>
    <w:p w14:paraId="7850607B" w14:textId="77777777" w:rsidR="0035287A" w:rsidRPr="0035287A" w:rsidRDefault="00DC4CEA" w:rsidP="0035287A">
      <w:pPr>
        <w:rPr>
          <w:rFonts w:ascii="Times New Roman" w:hAnsi="Times New Roman"/>
          <w:lang w:val="en-HK"/>
        </w:rPr>
      </w:pPr>
      <w:r w:rsidRPr="00DC4CEA">
        <w:rPr>
          <w:rFonts w:ascii="Times New Roman" w:hAnsi="Times New Roman"/>
          <w:noProof/>
          <w:lang w:val="en-HK"/>
          <w14:ligatures w14:val="standardContextual"/>
        </w:rPr>
        <w:pict w14:anchorId="48ADFE36">
          <v:rect id="_x0000_i1044" alt="" style="width:451.3pt;height:.05pt;mso-width-percent:0;mso-height-percent:0;mso-width-percent:0;mso-height-percent:0" o:hralign="center" o:hrstd="t" o:hr="t" fillcolor="#a0a0a0" stroked="f"/>
        </w:pict>
      </w:r>
    </w:p>
    <w:p w14:paraId="3E924E36" w14:textId="77777777"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 xml:space="preserve">2. The </w:t>
      </w:r>
      <w:proofErr w:type="spellStart"/>
      <w:r w:rsidRPr="0035287A">
        <w:rPr>
          <w:rFonts w:ascii="Times New Roman" w:hAnsi="Times New Roman"/>
          <w:b/>
          <w:bCs/>
          <w:i/>
          <w:iCs/>
          <w:sz w:val="27"/>
          <w:szCs w:val="27"/>
          <w:lang w:val="en-HK"/>
        </w:rPr>
        <w:t>Dassonville</w:t>
      </w:r>
      <w:proofErr w:type="spellEnd"/>
      <w:r w:rsidRPr="0035287A">
        <w:rPr>
          <w:rFonts w:ascii="Times New Roman" w:hAnsi="Times New Roman"/>
          <w:b/>
          <w:bCs/>
          <w:sz w:val="27"/>
          <w:szCs w:val="27"/>
          <w:lang w:val="en-HK"/>
        </w:rPr>
        <w:t xml:space="preserve"> Formula: A Broad Interpretation of Market Access</w:t>
      </w:r>
    </w:p>
    <w:p w14:paraId="0DCF4D4E"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lastRenderedPageBreak/>
        <w:t xml:space="preserve">The seminal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judgment established a far-reaching definition of MEQRs: “All trading rules enacted by Member States which are capable of hindering, directly or indirectly, actually or potentially, intra-[Union] trade” constitute MEQRs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Schütze</w:t>
      </w:r>
      <w:proofErr w:type="spellEnd"/>
      <w:r w:rsidRPr="0035287A">
        <w:rPr>
          <w:rFonts w:ascii="Times New Roman" w:hAnsi="Times New Roman"/>
          <w:i/>
          <w:iCs/>
          <w:lang w:val="en-HK"/>
        </w:rPr>
        <w:t>, 2018</w:t>
      </w:r>
      <w:r w:rsidRPr="0035287A">
        <w:rPr>
          <w:rFonts w:ascii="Times New Roman" w:hAnsi="Times New Roman"/>
          <w:lang w:val="en-HK"/>
        </w:rPr>
        <w:t>). This definition prioritized market access by capturing measures beyond discriminatory ones, encompassing rules that merely hinder trade.</w:t>
      </w:r>
    </w:p>
    <w:p w14:paraId="64D55B16" w14:textId="77777777" w:rsidR="0035287A" w:rsidRPr="0035287A" w:rsidRDefault="0035287A" w:rsidP="0035287A">
      <w:pPr>
        <w:numPr>
          <w:ilvl w:val="0"/>
          <w:numId w:val="3"/>
        </w:numPr>
        <w:spacing w:before="100" w:beforeAutospacing="1" w:after="100" w:afterAutospacing="1"/>
        <w:rPr>
          <w:rFonts w:ascii="Times New Roman" w:hAnsi="Times New Roman"/>
          <w:lang w:val="en-HK"/>
        </w:rPr>
      </w:pPr>
      <w:r w:rsidRPr="0035287A">
        <w:rPr>
          <w:rFonts w:ascii="Times New Roman" w:hAnsi="Times New Roman"/>
          <w:b/>
          <w:bCs/>
          <w:lang w:val="en-HK"/>
        </w:rPr>
        <w:t>Critique of Overreach</w:t>
      </w:r>
      <w:r w:rsidRPr="0035287A">
        <w:rPr>
          <w:rFonts w:ascii="Times New Roman" w:hAnsi="Times New Roman"/>
          <w:lang w:val="en-HK"/>
        </w:rPr>
        <w:t xml:space="preserve">: </w:t>
      </w:r>
      <w:proofErr w:type="spellStart"/>
      <w:r w:rsidRPr="0035287A">
        <w:rPr>
          <w:rFonts w:ascii="Times New Roman" w:hAnsi="Times New Roman"/>
          <w:lang w:val="en-HK"/>
        </w:rPr>
        <w:t>Schütze</w:t>
      </w:r>
      <w:proofErr w:type="spellEnd"/>
      <w:r w:rsidRPr="0035287A">
        <w:rPr>
          <w:rFonts w:ascii="Times New Roman" w:hAnsi="Times New Roman"/>
          <w:lang w:val="en-HK"/>
        </w:rPr>
        <w:t xml:space="preserve"> contends that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promoted hyper-liberalism, potentially subjecting all national regulatory measures to judicial scrutiny. This approach risked undermining Member State autonomy, as even non-protectionist rules could fall within Article 34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Schütze</w:t>
      </w:r>
      <w:proofErr w:type="spellEnd"/>
      <w:r w:rsidRPr="0035287A">
        <w:rPr>
          <w:rFonts w:ascii="Times New Roman" w:hAnsi="Times New Roman"/>
          <w:i/>
          <w:iCs/>
          <w:lang w:val="en-HK"/>
        </w:rPr>
        <w:t>, 2018</w:t>
      </w:r>
      <w:r w:rsidRPr="0035287A">
        <w:rPr>
          <w:rFonts w:ascii="Times New Roman" w:hAnsi="Times New Roman"/>
          <w:lang w:val="en-HK"/>
        </w:rPr>
        <w:t xml:space="preserve">). </w:t>
      </w:r>
      <w:proofErr w:type="spellStart"/>
      <w:r w:rsidRPr="0035287A">
        <w:rPr>
          <w:rFonts w:ascii="Times New Roman" w:hAnsi="Times New Roman"/>
          <w:lang w:val="en-HK"/>
        </w:rPr>
        <w:t>Lianos</w:t>
      </w:r>
      <w:proofErr w:type="spellEnd"/>
      <w:r w:rsidRPr="0035287A">
        <w:rPr>
          <w:rFonts w:ascii="Times New Roman" w:hAnsi="Times New Roman"/>
          <w:lang w:val="en-HK"/>
        </w:rPr>
        <w:t xml:space="preserve"> similarly highlights concerns that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elevated market integration at the expense of proportional regulatory diversity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Lianos</w:t>
      </w:r>
      <w:proofErr w:type="spellEnd"/>
      <w:r w:rsidRPr="0035287A">
        <w:rPr>
          <w:rFonts w:ascii="Times New Roman" w:hAnsi="Times New Roman"/>
          <w:i/>
          <w:iCs/>
          <w:lang w:val="en-HK"/>
        </w:rPr>
        <w:t>, 2015</w:t>
      </w:r>
      <w:r w:rsidRPr="0035287A">
        <w:rPr>
          <w:rFonts w:ascii="Times New Roman" w:hAnsi="Times New Roman"/>
          <w:lang w:val="en-HK"/>
        </w:rPr>
        <w:t>).</w:t>
      </w:r>
    </w:p>
    <w:p w14:paraId="68144C35" w14:textId="77777777" w:rsidR="0035287A" w:rsidRPr="0035287A" w:rsidRDefault="00DC4CEA" w:rsidP="0035287A">
      <w:pPr>
        <w:rPr>
          <w:rFonts w:ascii="Times New Roman" w:hAnsi="Times New Roman"/>
          <w:lang w:val="en-HK"/>
        </w:rPr>
      </w:pPr>
      <w:r w:rsidRPr="00DC4CEA">
        <w:rPr>
          <w:rFonts w:ascii="Times New Roman" w:hAnsi="Times New Roman"/>
          <w:noProof/>
          <w:lang w:val="en-HK"/>
          <w14:ligatures w14:val="standardContextual"/>
        </w:rPr>
        <w:pict w14:anchorId="55FE4697">
          <v:rect id="_x0000_i1043" alt="" style="width:451.3pt;height:.05pt;mso-width-percent:0;mso-height-percent:0;mso-width-percent:0;mso-height-percent:0" o:hralign="center" o:hrstd="t" o:hr="t" fillcolor="#a0a0a0" stroked="f"/>
        </w:pict>
      </w:r>
    </w:p>
    <w:p w14:paraId="6DBC78B3" w14:textId="77777777"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 xml:space="preserve">3. </w:t>
      </w:r>
      <w:r w:rsidRPr="0035287A">
        <w:rPr>
          <w:rFonts w:ascii="Times New Roman" w:hAnsi="Times New Roman"/>
          <w:b/>
          <w:bCs/>
          <w:i/>
          <w:iCs/>
          <w:sz w:val="27"/>
          <w:szCs w:val="27"/>
          <w:lang w:val="en-HK"/>
        </w:rPr>
        <w:t>Cassis de Dijon</w:t>
      </w:r>
      <w:r w:rsidRPr="0035287A">
        <w:rPr>
          <w:rFonts w:ascii="Times New Roman" w:hAnsi="Times New Roman"/>
          <w:b/>
          <w:bCs/>
          <w:sz w:val="27"/>
          <w:szCs w:val="27"/>
          <w:lang w:val="en-HK"/>
        </w:rPr>
        <w:t>: Introducing Justifications Through Mutual Recognition</w:t>
      </w:r>
    </w:p>
    <w:p w14:paraId="726F56FF"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 xml:space="preserve">The </w:t>
      </w:r>
      <w:r w:rsidRPr="0035287A">
        <w:rPr>
          <w:rFonts w:ascii="Times New Roman" w:hAnsi="Times New Roman"/>
          <w:i/>
          <w:iCs/>
          <w:lang w:val="en-HK"/>
        </w:rPr>
        <w:t>Cassis de Dijon</w:t>
      </w:r>
      <w:r w:rsidRPr="0035287A">
        <w:rPr>
          <w:rFonts w:ascii="Times New Roman" w:hAnsi="Times New Roman"/>
          <w:lang w:val="en-HK"/>
        </w:rPr>
        <w:t xml:space="preserve"> case tempered the broad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formula by introducing the principle of mutual recognition and mandatory requirements. Goods lawfully marketed in one Member State must be accepted in another unless justified by mandatory requirements such as consumer protection, public health, or environmental concerns (</w:t>
      </w:r>
      <w:r w:rsidRPr="0035287A">
        <w:rPr>
          <w:rFonts w:ascii="Times New Roman" w:hAnsi="Times New Roman"/>
          <w:i/>
          <w:iCs/>
          <w:lang w:val="en-HK"/>
        </w:rPr>
        <w:t>European Law Review, Gormley, 2015</w:t>
      </w:r>
      <w:r w:rsidRPr="0035287A">
        <w:rPr>
          <w:rFonts w:ascii="Times New Roman" w:hAnsi="Times New Roman"/>
          <w:lang w:val="en-HK"/>
        </w:rPr>
        <w:t>).</w:t>
      </w:r>
    </w:p>
    <w:p w14:paraId="34696B19" w14:textId="77777777" w:rsidR="0035287A" w:rsidRPr="0035287A" w:rsidRDefault="0035287A" w:rsidP="0035287A">
      <w:pPr>
        <w:numPr>
          <w:ilvl w:val="0"/>
          <w:numId w:val="4"/>
        </w:numPr>
        <w:spacing w:before="100" w:beforeAutospacing="1" w:after="100" w:afterAutospacing="1"/>
        <w:rPr>
          <w:rFonts w:ascii="Times New Roman" w:hAnsi="Times New Roman"/>
          <w:lang w:val="en-HK"/>
        </w:rPr>
      </w:pPr>
      <w:r w:rsidRPr="0035287A">
        <w:rPr>
          <w:rFonts w:ascii="Times New Roman" w:hAnsi="Times New Roman"/>
          <w:b/>
          <w:bCs/>
          <w:lang w:val="en-HK"/>
        </w:rPr>
        <w:t>Proportionality Test</w:t>
      </w:r>
      <w:r w:rsidRPr="0035287A">
        <w:rPr>
          <w:rFonts w:ascii="Times New Roman" w:hAnsi="Times New Roman"/>
          <w:lang w:val="en-HK"/>
        </w:rPr>
        <w:t>: The proportionality requirement ensured that justifications pursued legitimate aims and employed the least restrictive means. This framework provided Member States with a tool to regulate in the public interest without disproportionately infringing on market access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Lianos</w:t>
      </w:r>
      <w:proofErr w:type="spellEnd"/>
      <w:r w:rsidRPr="0035287A">
        <w:rPr>
          <w:rFonts w:ascii="Times New Roman" w:hAnsi="Times New Roman"/>
          <w:i/>
          <w:iCs/>
          <w:lang w:val="en-HK"/>
        </w:rPr>
        <w:t>, 2015</w:t>
      </w:r>
      <w:r w:rsidRPr="0035287A">
        <w:rPr>
          <w:rFonts w:ascii="Times New Roman" w:hAnsi="Times New Roman"/>
          <w:lang w:val="en-HK"/>
        </w:rPr>
        <w:t>).</w:t>
      </w:r>
    </w:p>
    <w:p w14:paraId="4B3E7EAA" w14:textId="77777777" w:rsidR="0035287A" w:rsidRPr="0035287A" w:rsidRDefault="0035287A" w:rsidP="0035287A">
      <w:pPr>
        <w:numPr>
          <w:ilvl w:val="0"/>
          <w:numId w:val="4"/>
        </w:numPr>
        <w:spacing w:before="100" w:beforeAutospacing="1" w:after="100" w:afterAutospacing="1"/>
        <w:rPr>
          <w:rFonts w:ascii="Times New Roman" w:hAnsi="Times New Roman"/>
          <w:lang w:val="en-HK"/>
        </w:rPr>
      </w:pPr>
      <w:r w:rsidRPr="0035287A">
        <w:rPr>
          <w:rFonts w:ascii="Times New Roman" w:hAnsi="Times New Roman"/>
          <w:b/>
          <w:bCs/>
          <w:lang w:val="en-HK"/>
        </w:rPr>
        <w:t>Criticism of Mutual Recognition</w:t>
      </w:r>
      <w:r w:rsidRPr="0035287A">
        <w:rPr>
          <w:rFonts w:ascii="Times New Roman" w:hAnsi="Times New Roman"/>
          <w:lang w:val="en-HK"/>
        </w:rPr>
        <w:t xml:space="preserve">: </w:t>
      </w:r>
      <w:proofErr w:type="spellStart"/>
      <w:r w:rsidRPr="0035287A">
        <w:rPr>
          <w:rFonts w:ascii="Times New Roman" w:hAnsi="Times New Roman"/>
          <w:lang w:val="en-HK"/>
        </w:rPr>
        <w:t>Weatherill</w:t>
      </w:r>
      <w:proofErr w:type="spellEnd"/>
      <w:r w:rsidRPr="0035287A">
        <w:rPr>
          <w:rFonts w:ascii="Times New Roman" w:hAnsi="Times New Roman"/>
          <w:lang w:val="en-HK"/>
        </w:rPr>
        <w:t xml:space="preserve"> argues that mutual recognition remains conditional and non-absolute, requiring justification for trade restrictions rather than outright deregulation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Weatherill</w:t>
      </w:r>
      <w:proofErr w:type="spellEnd"/>
      <w:r w:rsidRPr="0035287A">
        <w:rPr>
          <w:rFonts w:ascii="Times New Roman" w:hAnsi="Times New Roman"/>
          <w:i/>
          <w:iCs/>
          <w:lang w:val="en-HK"/>
        </w:rPr>
        <w:t>, 2018</w:t>
      </w:r>
      <w:r w:rsidRPr="0035287A">
        <w:rPr>
          <w:rFonts w:ascii="Times New Roman" w:hAnsi="Times New Roman"/>
          <w:lang w:val="en-HK"/>
        </w:rPr>
        <w:t>). He emphasizes the procedural safeguards necessary for Member States to justify restrictions under Article 36.</w:t>
      </w:r>
    </w:p>
    <w:p w14:paraId="378E1EC5" w14:textId="77777777" w:rsidR="0035287A" w:rsidRPr="0035287A" w:rsidRDefault="00DC4CEA" w:rsidP="0035287A">
      <w:pPr>
        <w:rPr>
          <w:rFonts w:ascii="Times New Roman" w:hAnsi="Times New Roman"/>
          <w:lang w:val="en-HK"/>
        </w:rPr>
      </w:pPr>
      <w:r w:rsidRPr="00DC4CEA">
        <w:rPr>
          <w:rFonts w:ascii="Times New Roman" w:hAnsi="Times New Roman"/>
          <w:noProof/>
          <w:lang w:val="en-HK"/>
          <w14:ligatures w14:val="standardContextual"/>
        </w:rPr>
        <w:pict w14:anchorId="16E6FB0E">
          <v:rect id="_x0000_i1042" alt="" style="width:451.3pt;height:.05pt;mso-width-percent:0;mso-height-percent:0;mso-width-percent:0;mso-height-percent:0" o:hralign="center" o:hrstd="t" o:hr="t" fillcolor="#a0a0a0" stroked="f"/>
        </w:pict>
      </w:r>
    </w:p>
    <w:p w14:paraId="623F2B54" w14:textId="77777777"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 xml:space="preserve">4. </w:t>
      </w:r>
      <w:r w:rsidRPr="0035287A">
        <w:rPr>
          <w:rFonts w:ascii="Times New Roman" w:hAnsi="Times New Roman"/>
          <w:b/>
          <w:bCs/>
          <w:i/>
          <w:iCs/>
          <w:sz w:val="27"/>
          <w:szCs w:val="27"/>
          <w:lang w:val="en-HK"/>
        </w:rPr>
        <w:t>Keck</w:t>
      </w:r>
      <w:r w:rsidRPr="0035287A">
        <w:rPr>
          <w:rFonts w:ascii="Times New Roman" w:hAnsi="Times New Roman"/>
          <w:b/>
          <w:bCs/>
          <w:sz w:val="27"/>
          <w:szCs w:val="27"/>
          <w:lang w:val="en-HK"/>
        </w:rPr>
        <w:t>: Differentiating Selling Arrangements</w:t>
      </w:r>
    </w:p>
    <w:p w14:paraId="2C6E2576"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 xml:space="preserve">The </w:t>
      </w:r>
      <w:r w:rsidRPr="0035287A">
        <w:rPr>
          <w:rFonts w:ascii="Times New Roman" w:hAnsi="Times New Roman"/>
          <w:i/>
          <w:iCs/>
          <w:lang w:val="en-HK"/>
        </w:rPr>
        <w:t>Keck</w:t>
      </w:r>
      <w:r w:rsidRPr="0035287A">
        <w:rPr>
          <w:rFonts w:ascii="Times New Roman" w:hAnsi="Times New Roman"/>
          <w:lang w:val="en-HK"/>
        </w:rPr>
        <w:t xml:space="preserve"> judgment aimed to address overreach by distinguishing between product requirements and selling arrangements. The Court ruled that selling arrangements fall outside Article 34 if they apply equally in law and fact to domestic and imported goods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Schütze</w:t>
      </w:r>
      <w:proofErr w:type="spellEnd"/>
      <w:r w:rsidRPr="0035287A">
        <w:rPr>
          <w:rFonts w:ascii="Times New Roman" w:hAnsi="Times New Roman"/>
          <w:i/>
          <w:iCs/>
          <w:lang w:val="en-HK"/>
        </w:rPr>
        <w:t>, 2016</w:t>
      </w:r>
      <w:r w:rsidRPr="0035287A">
        <w:rPr>
          <w:rFonts w:ascii="Times New Roman" w:hAnsi="Times New Roman"/>
          <w:lang w:val="en-HK"/>
        </w:rPr>
        <w:t>).</w:t>
      </w:r>
    </w:p>
    <w:p w14:paraId="189FE195" w14:textId="77777777" w:rsidR="0035287A" w:rsidRPr="0035287A" w:rsidRDefault="0035287A" w:rsidP="0035287A">
      <w:pPr>
        <w:numPr>
          <w:ilvl w:val="0"/>
          <w:numId w:val="5"/>
        </w:numPr>
        <w:spacing w:before="100" w:beforeAutospacing="1" w:after="100" w:afterAutospacing="1"/>
        <w:rPr>
          <w:rFonts w:ascii="Times New Roman" w:hAnsi="Times New Roman"/>
          <w:lang w:val="en-HK"/>
        </w:rPr>
      </w:pPr>
      <w:r w:rsidRPr="0035287A">
        <w:rPr>
          <w:rFonts w:ascii="Times New Roman" w:hAnsi="Times New Roman"/>
          <w:b/>
          <w:bCs/>
          <w:lang w:val="en-HK"/>
        </w:rPr>
        <w:t>Restoring Autonomy</w:t>
      </w:r>
      <w:r w:rsidRPr="0035287A">
        <w:rPr>
          <w:rFonts w:ascii="Times New Roman" w:hAnsi="Times New Roman"/>
          <w:lang w:val="en-HK"/>
        </w:rPr>
        <w:t xml:space="preserve">: By excluding selling arrangements from Article 34, </w:t>
      </w:r>
      <w:r w:rsidRPr="0035287A">
        <w:rPr>
          <w:rFonts w:ascii="Times New Roman" w:hAnsi="Times New Roman"/>
          <w:i/>
          <w:iCs/>
          <w:lang w:val="en-HK"/>
        </w:rPr>
        <w:t>Keck</w:t>
      </w:r>
      <w:r w:rsidRPr="0035287A">
        <w:rPr>
          <w:rFonts w:ascii="Times New Roman" w:hAnsi="Times New Roman"/>
          <w:lang w:val="en-HK"/>
        </w:rPr>
        <w:t xml:space="preserve"> offered Member States greater regulatory freedom. Gormley notes, however, that </w:t>
      </w:r>
      <w:r w:rsidRPr="0035287A">
        <w:rPr>
          <w:rFonts w:ascii="Times New Roman" w:hAnsi="Times New Roman"/>
          <w:i/>
          <w:iCs/>
          <w:lang w:val="en-HK"/>
        </w:rPr>
        <w:t>Keck</w:t>
      </w:r>
      <w:r w:rsidRPr="0035287A">
        <w:rPr>
          <w:rFonts w:ascii="Times New Roman" w:hAnsi="Times New Roman"/>
          <w:lang w:val="en-HK"/>
        </w:rPr>
        <w:t xml:space="preserve"> added legal complexity without eliminating uncertainty (</w:t>
      </w:r>
      <w:r w:rsidRPr="0035287A">
        <w:rPr>
          <w:rFonts w:ascii="Times New Roman" w:hAnsi="Times New Roman"/>
          <w:i/>
          <w:iCs/>
          <w:lang w:val="en-HK"/>
        </w:rPr>
        <w:t>European Law Review, Gormley, 2015</w:t>
      </w:r>
      <w:r w:rsidRPr="0035287A">
        <w:rPr>
          <w:rFonts w:ascii="Times New Roman" w:hAnsi="Times New Roman"/>
          <w:lang w:val="en-HK"/>
        </w:rPr>
        <w:t>).</w:t>
      </w:r>
    </w:p>
    <w:p w14:paraId="489DD012" w14:textId="77777777" w:rsidR="0035287A" w:rsidRPr="0035287A" w:rsidRDefault="0035287A" w:rsidP="0035287A">
      <w:pPr>
        <w:numPr>
          <w:ilvl w:val="0"/>
          <w:numId w:val="5"/>
        </w:numPr>
        <w:spacing w:before="100" w:beforeAutospacing="1" w:after="100" w:afterAutospacing="1"/>
        <w:rPr>
          <w:rFonts w:ascii="Times New Roman" w:hAnsi="Times New Roman"/>
          <w:lang w:val="en-HK"/>
        </w:rPr>
      </w:pPr>
      <w:r w:rsidRPr="0035287A">
        <w:rPr>
          <w:rFonts w:ascii="Times New Roman" w:hAnsi="Times New Roman"/>
          <w:b/>
          <w:bCs/>
          <w:lang w:val="en-HK"/>
        </w:rPr>
        <w:t>Critiques of Legal Categorization</w:t>
      </w:r>
      <w:r w:rsidRPr="0035287A">
        <w:rPr>
          <w:rFonts w:ascii="Times New Roman" w:hAnsi="Times New Roman"/>
          <w:lang w:val="en-HK"/>
        </w:rPr>
        <w:t xml:space="preserve">: </w:t>
      </w:r>
      <w:proofErr w:type="spellStart"/>
      <w:r w:rsidRPr="0035287A">
        <w:rPr>
          <w:rFonts w:ascii="Times New Roman" w:hAnsi="Times New Roman"/>
          <w:lang w:val="en-HK"/>
        </w:rPr>
        <w:t>Spaventa</w:t>
      </w:r>
      <w:proofErr w:type="spellEnd"/>
      <w:r w:rsidRPr="0035287A">
        <w:rPr>
          <w:rFonts w:ascii="Times New Roman" w:hAnsi="Times New Roman"/>
          <w:lang w:val="en-HK"/>
        </w:rPr>
        <w:t xml:space="preserve"> critiques </w:t>
      </w:r>
      <w:r w:rsidRPr="0035287A">
        <w:rPr>
          <w:rFonts w:ascii="Times New Roman" w:hAnsi="Times New Roman"/>
          <w:i/>
          <w:iCs/>
          <w:lang w:val="en-HK"/>
        </w:rPr>
        <w:t>Keck</w:t>
      </w:r>
      <w:r w:rsidRPr="0035287A">
        <w:rPr>
          <w:rFonts w:ascii="Times New Roman" w:hAnsi="Times New Roman"/>
          <w:lang w:val="en-HK"/>
        </w:rPr>
        <w:t xml:space="preserve"> for its rigid dichotomy, which fails to address the impact of selling arrangements on market access. She argues that subsequent jurisprudence has blurred the distinction, particularly with the resurgence of the market access test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Spaventa</w:t>
      </w:r>
      <w:proofErr w:type="spellEnd"/>
      <w:r w:rsidRPr="0035287A">
        <w:rPr>
          <w:rFonts w:ascii="Times New Roman" w:hAnsi="Times New Roman"/>
          <w:i/>
          <w:iCs/>
          <w:lang w:val="en-HK"/>
        </w:rPr>
        <w:t>, 2009</w:t>
      </w:r>
      <w:r w:rsidRPr="0035287A">
        <w:rPr>
          <w:rFonts w:ascii="Times New Roman" w:hAnsi="Times New Roman"/>
          <w:lang w:val="en-HK"/>
        </w:rPr>
        <w:t>).</w:t>
      </w:r>
    </w:p>
    <w:p w14:paraId="69440C31" w14:textId="77777777" w:rsidR="0035287A" w:rsidRPr="0035287A" w:rsidRDefault="00DC4CEA" w:rsidP="0035287A">
      <w:pPr>
        <w:rPr>
          <w:rFonts w:ascii="Times New Roman" w:hAnsi="Times New Roman"/>
          <w:lang w:val="en-HK"/>
        </w:rPr>
      </w:pPr>
      <w:r w:rsidRPr="00DC4CEA">
        <w:rPr>
          <w:rFonts w:ascii="Times New Roman" w:hAnsi="Times New Roman"/>
          <w:noProof/>
          <w:lang w:val="en-HK"/>
          <w14:ligatures w14:val="standardContextual"/>
        </w:rPr>
        <w:lastRenderedPageBreak/>
        <w:pict w14:anchorId="363A06A7">
          <v:rect id="_x0000_i1041" alt="" style="width:451.3pt;height:.05pt;mso-width-percent:0;mso-height-percent:0;mso-width-percent:0;mso-height-percent:0" o:hralign="center" o:hrstd="t" o:hr="t" fillcolor="#a0a0a0" stroked="f"/>
        </w:pict>
      </w:r>
    </w:p>
    <w:p w14:paraId="7294A2D7" w14:textId="77777777"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5. Post-</w:t>
      </w:r>
      <w:r w:rsidRPr="0035287A">
        <w:rPr>
          <w:rFonts w:ascii="Times New Roman" w:hAnsi="Times New Roman"/>
          <w:b/>
          <w:bCs/>
          <w:i/>
          <w:iCs/>
          <w:sz w:val="27"/>
          <w:szCs w:val="27"/>
          <w:lang w:val="en-HK"/>
        </w:rPr>
        <w:t>Keck</w:t>
      </w:r>
      <w:r w:rsidRPr="0035287A">
        <w:rPr>
          <w:rFonts w:ascii="Times New Roman" w:hAnsi="Times New Roman"/>
          <w:b/>
          <w:bCs/>
          <w:sz w:val="27"/>
          <w:szCs w:val="27"/>
          <w:lang w:val="en-HK"/>
        </w:rPr>
        <w:t xml:space="preserve"> Developments: The Market Access Approach</w:t>
      </w:r>
    </w:p>
    <w:p w14:paraId="4B3819A7"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 xml:space="preserve">In </w:t>
      </w:r>
      <w:r w:rsidRPr="0035287A">
        <w:rPr>
          <w:rFonts w:ascii="Times New Roman" w:hAnsi="Times New Roman"/>
          <w:i/>
          <w:iCs/>
          <w:lang w:val="en-HK"/>
        </w:rPr>
        <w:t>Italian Trailers</w:t>
      </w:r>
      <w:r w:rsidRPr="0035287A">
        <w:rPr>
          <w:rFonts w:ascii="Times New Roman" w:hAnsi="Times New Roman"/>
          <w:lang w:val="en-HK"/>
        </w:rPr>
        <w:t xml:space="preserve"> and </w:t>
      </w:r>
      <w:proofErr w:type="spellStart"/>
      <w:r w:rsidRPr="0035287A">
        <w:rPr>
          <w:rFonts w:ascii="Times New Roman" w:hAnsi="Times New Roman"/>
          <w:i/>
          <w:iCs/>
          <w:lang w:val="en-HK"/>
        </w:rPr>
        <w:t>Mickelsson</w:t>
      </w:r>
      <w:proofErr w:type="spellEnd"/>
      <w:r w:rsidRPr="0035287A">
        <w:rPr>
          <w:rFonts w:ascii="Times New Roman" w:hAnsi="Times New Roman"/>
          <w:i/>
          <w:iCs/>
          <w:lang w:val="en-HK"/>
        </w:rPr>
        <w:t xml:space="preserve"> and </w:t>
      </w:r>
      <w:proofErr w:type="spellStart"/>
      <w:r w:rsidRPr="0035287A">
        <w:rPr>
          <w:rFonts w:ascii="Times New Roman" w:hAnsi="Times New Roman"/>
          <w:i/>
          <w:iCs/>
          <w:lang w:val="en-HK"/>
        </w:rPr>
        <w:t>Roos</w:t>
      </w:r>
      <w:proofErr w:type="spellEnd"/>
      <w:r w:rsidRPr="0035287A">
        <w:rPr>
          <w:rFonts w:ascii="Times New Roman" w:hAnsi="Times New Roman"/>
          <w:lang w:val="en-HK"/>
        </w:rPr>
        <w:t>, the Court revived the market access test for national measures restricting product use. Such measures were deemed MEQRs if they significantly hindered market access, regardless of discrimination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Schütze</w:t>
      </w:r>
      <w:proofErr w:type="spellEnd"/>
      <w:r w:rsidRPr="0035287A">
        <w:rPr>
          <w:rFonts w:ascii="Times New Roman" w:hAnsi="Times New Roman"/>
          <w:i/>
          <w:iCs/>
          <w:lang w:val="en-HK"/>
        </w:rPr>
        <w:t>, 2016</w:t>
      </w:r>
      <w:r w:rsidRPr="0035287A">
        <w:rPr>
          <w:rFonts w:ascii="Times New Roman" w:hAnsi="Times New Roman"/>
          <w:lang w:val="en-HK"/>
        </w:rPr>
        <w:t>).</w:t>
      </w:r>
    </w:p>
    <w:p w14:paraId="423CE5C6" w14:textId="77777777" w:rsidR="0035287A" w:rsidRPr="0035287A" w:rsidRDefault="0035287A" w:rsidP="0035287A">
      <w:pPr>
        <w:numPr>
          <w:ilvl w:val="0"/>
          <w:numId w:val="6"/>
        </w:numPr>
        <w:spacing w:before="100" w:beforeAutospacing="1" w:after="100" w:afterAutospacing="1"/>
        <w:rPr>
          <w:rFonts w:ascii="Times New Roman" w:hAnsi="Times New Roman"/>
          <w:lang w:val="en-HK"/>
        </w:rPr>
      </w:pPr>
      <w:r w:rsidRPr="0035287A">
        <w:rPr>
          <w:rFonts w:ascii="Times New Roman" w:hAnsi="Times New Roman"/>
          <w:b/>
          <w:bCs/>
          <w:lang w:val="en-HK"/>
        </w:rPr>
        <w:t>Consumer Use Restrictions</w:t>
      </w:r>
      <w:r w:rsidRPr="0035287A">
        <w:rPr>
          <w:rFonts w:ascii="Times New Roman" w:hAnsi="Times New Roman"/>
          <w:lang w:val="en-HK"/>
        </w:rPr>
        <w:t xml:space="preserve">: Measures that limited the use of products were found to affect consumer </w:t>
      </w:r>
      <w:proofErr w:type="spellStart"/>
      <w:r w:rsidRPr="0035287A">
        <w:rPr>
          <w:rFonts w:ascii="Times New Roman" w:hAnsi="Times New Roman"/>
          <w:lang w:val="en-HK"/>
        </w:rPr>
        <w:t>behavior</w:t>
      </w:r>
      <w:proofErr w:type="spellEnd"/>
      <w:r w:rsidRPr="0035287A">
        <w:rPr>
          <w:rFonts w:ascii="Times New Roman" w:hAnsi="Times New Roman"/>
          <w:lang w:val="en-HK"/>
        </w:rPr>
        <w:t>, thereby impeding market access. This broadened the scope of Article 34 but retained proportionality as a safeguard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Spaventa</w:t>
      </w:r>
      <w:proofErr w:type="spellEnd"/>
      <w:r w:rsidRPr="0035287A">
        <w:rPr>
          <w:rFonts w:ascii="Times New Roman" w:hAnsi="Times New Roman"/>
          <w:i/>
          <w:iCs/>
          <w:lang w:val="en-HK"/>
        </w:rPr>
        <w:t>, 2009</w:t>
      </w:r>
      <w:r w:rsidRPr="0035287A">
        <w:rPr>
          <w:rFonts w:ascii="Times New Roman" w:hAnsi="Times New Roman"/>
          <w:lang w:val="en-HK"/>
        </w:rPr>
        <w:t>).</w:t>
      </w:r>
    </w:p>
    <w:p w14:paraId="3547A90F" w14:textId="77777777" w:rsidR="0035287A" w:rsidRPr="0035287A" w:rsidRDefault="0035287A" w:rsidP="0035287A">
      <w:pPr>
        <w:numPr>
          <w:ilvl w:val="0"/>
          <w:numId w:val="6"/>
        </w:numPr>
        <w:spacing w:before="100" w:beforeAutospacing="1" w:after="100" w:afterAutospacing="1"/>
        <w:rPr>
          <w:rFonts w:ascii="Times New Roman" w:hAnsi="Times New Roman"/>
          <w:lang w:val="en-HK"/>
        </w:rPr>
      </w:pPr>
      <w:r w:rsidRPr="0035287A">
        <w:rPr>
          <w:rFonts w:ascii="Times New Roman" w:hAnsi="Times New Roman"/>
          <w:b/>
          <w:bCs/>
          <w:lang w:val="en-HK"/>
        </w:rPr>
        <w:t xml:space="preserve">A Return to </w:t>
      </w:r>
      <w:proofErr w:type="spellStart"/>
      <w:r w:rsidRPr="0035287A">
        <w:rPr>
          <w:rFonts w:ascii="Times New Roman" w:hAnsi="Times New Roman"/>
          <w:b/>
          <w:bCs/>
          <w:i/>
          <w:iCs/>
          <w:lang w:val="en-HK"/>
        </w:rPr>
        <w:t>Dassonville</w:t>
      </w:r>
      <w:proofErr w:type="spellEnd"/>
      <w:r w:rsidRPr="0035287A">
        <w:rPr>
          <w:rFonts w:ascii="Times New Roman" w:hAnsi="Times New Roman"/>
          <w:b/>
          <w:bCs/>
          <w:lang w:val="en-HK"/>
        </w:rPr>
        <w:t>?</w:t>
      </w:r>
      <w:r w:rsidRPr="0035287A">
        <w:rPr>
          <w:rFonts w:ascii="Times New Roman" w:hAnsi="Times New Roman"/>
          <w:lang w:val="en-HK"/>
        </w:rPr>
        <w:t xml:space="preserve">: </w:t>
      </w:r>
      <w:proofErr w:type="spellStart"/>
      <w:r w:rsidRPr="0035287A">
        <w:rPr>
          <w:rFonts w:ascii="Times New Roman" w:hAnsi="Times New Roman"/>
          <w:lang w:val="en-HK"/>
        </w:rPr>
        <w:t>Schütze</w:t>
      </w:r>
      <w:proofErr w:type="spellEnd"/>
      <w:r w:rsidRPr="0035287A">
        <w:rPr>
          <w:rFonts w:ascii="Times New Roman" w:hAnsi="Times New Roman"/>
          <w:lang w:val="en-HK"/>
        </w:rPr>
        <w:t xml:space="preserve"> highlights that the resurgence of market access resembles the overreach seen in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threatening to undermine the </w:t>
      </w:r>
      <w:r w:rsidRPr="0035287A">
        <w:rPr>
          <w:rFonts w:ascii="Times New Roman" w:hAnsi="Times New Roman"/>
          <w:i/>
          <w:iCs/>
          <w:lang w:val="en-HK"/>
        </w:rPr>
        <w:t>Keck</w:t>
      </w:r>
      <w:r w:rsidRPr="0035287A">
        <w:rPr>
          <w:rFonts w:ascii="Times New Roman" w:hAnsi="Times New Roman"/>
          <w:lang w:val="en-HK"/>
        </w:rPr>
        <w:t xml:space="preserve"> categorization approach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Schütze</w:t>
      </w:r>
      <w:proofErr w:type="spellEnd"/>
      <w:r w:rsidRPr="0035287A">
        <w:rPr>
          <w:rFonts w:ascii="Times New Roman" w:hAnsi="Times New Roman"/>
          <w:i/>
          <w:iCs/>
          <w:lang w:val="en-HK"/>
        </w:rPr>
        <w:t>, 2016</w:t>
      </w:r>
      <w:r w:rsidRPr="0035287A">
        <w:rPr>
          <w:rFonts w:ascii="Times New Roman" w:hAnsi="Times New Roman"/>
          <w:lang w:val="en-HK"/>
        </w:rPr>
        <w:t>).</w:t>
      </w:r>
    </w:p>
    <w:p w14:paraId="192D6CE8" w14:textId="77777777" w:rsidR="0035287A" w:rsidRPr="0035287A" w:rsidRDefault="00DC4CEA" w:rsidP="0035287A">
      <w:pPr>
        <w:rPr>
          <w:rFonts w:ascii="Times New Roman" w:hAnsi="Times New Roman"/>
          <w:lang w:val="en-HK"/>
        </w:rPr>
      </w:pPr>
      <w:r w:rsidRPr="00DC4CEA">
        <w:rPr>
          <w:rFonts w:ascii="Times New Roman" w:hAnsi="Times New Roman"/>
          <w:noProof/>
          <w:lang w:val="en-HK"/>
          <w14:ligatures w14:val="standardContextual"/>
        </w:rPr>
        <w:pict w14:anchorId="6B1E01D8">
          <v:rect id="_x0000_i1040" alt="" style="width:451.3pt;height:.05pt;mso-width-percent:0;mso-height-percent:0;mso-width-percent:0;mso-height-percent:0" o:hralign="center" o:hrstd="t" o:hr="t" fillcolor="#a0a0a0" stroked="f"/>
        </w:pict>
      </w:r>
    </w:p>
    <w:p w14:paraId="7EB7CC8E" w14:textId="77777777"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6. Balancing Market Access and Regulatory Diversity</w:t>
      </w:r>
    </w:p>
    <w:p w14:paraId="6C2F6057"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The Court employs proportionality and justifications under Article 36 to balance market access with Member State autonomy. These tools allow national regulations to persist when they pursue legitimate objectives proportionately.</w:t>
      </w:r>
    </w:p>
    <w:p w14:paraId="708FD413" w14:textId="77777777" w:rsidR="0035287A" w:rsidRPr="0035287A" w:rsidRDefault="0035287A" w:rsidP="0035287A">
      <w:pPr>
        <w:numPr>
          <w:ilvl w:val="0"/>
          <w:numId w:val="7"/>
        </w:numPr>
        <w:spacing w:before="100" w:beforeAutospacing="1" w:after="100" w:afterAutospacing="1"/>
        <w:rPr>
          <w:rFonts w:ascii="Times New Roman" w:hAnsi="Times New Roman"/>
          <w:lang w:val="en-HK"/>
        </w:rPr>
      </w:pPr>
      <w:r w:rsidRPr="0035287A">
        <w:rPr>
          <w:rFonts w:ascii="Times New Roman" w:hAnsi="Times New Roman"/>
          <w:b/>
          <w:bCs/>
          <w:lang w:val="en-HK"/>
        </w:rPr>
        <w:t>Proportionality as a Mediator</w:t>
      </w:r>
      <w:r w:rsidRPr="0035287A">
        <w:rPr>
          <w:rFonts w:ascii="Times New Roman" w:hAnsi="Times New Roman"/>
          <w:lang w:val="en-HK"/>
        </w:rPr>
        <w:t xml:space="preserve">: </w:t>
      </w:r>
      <w:proofErr w:type="spellStart"/>
      <w:r w:rsidRPr="0035287A">
        <w:rPr>
          <w:rFonts w:ascii="Times New Roman" w:hAnsi="Times New Roman"/>
          <w:lang w:val="en-HK"/>
        </w:rPr>
        <w:t>Lianos</w:t>
      </w:r>
      <w:proofErr w:type="spellEnd"/>
      <w:r w:rsidRPr="0035287A">
        <w:rPr>
          <w:rFonts w:ascii="Times New Roman" w:hAnsi="Times New Roman"/>
          <w:lang w:val="en-HK"/>
        </w:rPr>
        <w:t xml:space="preserve"> argues that proportionality provides a critical mechanism to evaluate the legitimacy and necessity of national measures (</w:t>
      </w:r>
      <w:r w:rsidRPr="0035287A">
        <w:rPr>
          <w:rFonts w:ascii="Times New Roman" w:hAnsi="Times New Roman"/>
          <w:i/>
          <w:iCs/>
          <w:lang w:val="en-HK"/>
        </w:rPr>
        <w:t xml:space="preserve">European Law Review, </w:t>
      </w:r>
      <w:proofErr w:type="spellStart"/>
      <w:r w:rsidRPr="0035287A">
        <w:rPr>
          <w:rFonts w:ascii="Times New Roman" w:hAnsi="Times New Roman"/>
          <w:i/>
          <w:iCs/>
          <w:lang w:val="en-HK"/>
        </w:rPr>
        <w:t>Lianos</w:t>
      </w:r>
      <w:proofErr w:type="spellEnd"/>
      <w:r w:rsidRPr="0035287A">
        <w:rPr>
          <w:rFonts w:ascii="Times New Roman" w:hAnsi="Times New Roman"/>
          <w:i/>
          <w:iCs/>
          <w:lang w:val="en-HK"/>
        </w:rPr>
        <w:t>, 2015</w:t>
      </w:r>
      <w:r w:rsidRPr="0035287A">
        <w:rPr>
          <w:rFonts w:ascii="Times New Roman" w:hAnsi="Times New Roman"/>
          <w:lang w:val="en-HK"/>
        </w:rPr>
        <w:t>).</w:t>
      </w:r>
    </w:p>
    <w:p w14:paraId="58C7E173" w14:textId="77777777" w:rsidR="0035287A" w:rsidRPr="0035287A" w:rsidRDefault="0035287A" w:rsidP="0035287A">
      <w:pPr>
        <w:numPr>
          <w:ilvl w:val="0"/>
          <w:numId w:val="7"/>
        </w:numPr>
        <w:spacing w:before="100" w:beforeAutospacing="1" w:after="100" w:afterAutospacing="1"/>
        <w:rPr>
          <w:rFonts w:ascii="Times New Roman" w:hAnsi="Times New Roman"/>
          <w:lang w:val="en-HK"/>
        </w:rPr>
      </w:pPr>
      <w:r w:rsidRPr="0035287A">
        <w:rPr>
          <w:rFonts w:ascii="Times New Roman" w:hAnsi="Times New Roman"/>
          <w:b/>
          <w:bCs/>
          <w:lang w:val="en-HK"/>
        </w:rPr>
        <w:t>Challenges to Legal Certainty</w:t>
      </w:r>
      <w:r w:rsidRPr="0035287A">
        <w:rPr>
          <w:rFonts w:ascii="Times New Roman" w:hAnsi="Times New Roman"/>
          <w:lang w:val="en-HK"/>
        </w:rPr>
        <w:t>: Gormley critiques the lack of clarity in distinguishing permissible measures, noting inconsistencies in the Court’s application of proportionality (</w:t>
      </w:r>
      <w:r w:rsidRPr="0035287A">
        <w:rPr>
          <w:rFonts w:ascii="Times New Roman" w:hAnsi="Times New Roman"/>
          <w:i/>
          <w:iCs/>
          <w:lang w:val="en-HK"/>
        </w:rPr>
        <w:t>European Law Review, Gormley, 2015</w:t>
      </w:r>
      <w:r w:rsidRPr="0035287A">
        <w:rPr>
          <w:rFonts w:ascii="Times New Roman" w:hAnsi="Times New Roman"/>
          <w:lang w:val="en-HK"/>
        </w:rPr>
        <w:t>).</w:t>
      </w:r>
    </w:p>
    <w:p w14:paraId="0720DF0F" w14:textId="77777777" w:rsidR="0035287A" w:rsidRPr="0035287A" w:rsidRDefault="00DC4CEA" w:rsidP="0035287A">
      <w:pPr>
        <w:rPr>
          <w:rFonts w:ascii="Times New Roman" w:hAnsi="Times New Roman"/>
          <w:lang w:val="en-HK"/>
        </w:rPr>
      </w:pPr>
      <w:r w:rsidRPr="00DC4CEA">
        <w:rPr>
          <w:rFonts w:ascii="Times New Roman" w:hAnsi="Times New Roman"/>
          <w:noProof/>
          <w:lang w:val="en-HK"/>
          <w14:ligatures w14:val="standardContextual"/>
        </w:rPr>
        <w:pict w14:anchorId="793998C0">
          <v:rect id="_x0000_i1039" alt="" style="width:451.3pt;height:.05pt;mso-width-percent:0;mso-height-percent:0;mso-width-percent:0;mso-height-percent:0" o:hralign="center" o:hrstd="t" o:hr="t" fillcolor="#a0a0a0" stroked="f"/>
        </w:pict>
      </w:r>
    </w:p>
    <w:p w14:paraId="1319F39B" w14:textId="77777777" w:rsidR="0035287A" w:rsidRPr="0035287A" w:rsidRDefault="0035287A" w:rsidP="0035287A">
      <w:pPr>
        <w:spacing w:before="100" w:beforeAutospacing="1" w:after="100" w:afterAutospacing="1"/>
        <w:outlineLvl w:val="2"/>
        <w:rPr>
          <w:rFonts w:ascii="Times New Roman" w:hAnsi="Times New Roman"/>
          <w:b/>
          <w:bCs/>
          <w:sz w:val="27"/>
          <w:szCs w:val="27"/>
          <w:lang w:val="en-HK"/>
        </w:rPr>
      </w:pPr>
      <w:r w:rsidRPr="0035287A">
        <w:rPr>
          <w:rFonts w:ascii="Times New Roman" w:hAnsi="Times New Roman"/>
          <w:b/>
          <w:bCs/>
          <w:sz w:val="27"/>
          <w:szCs w:val="27"/>
          <w:lang w:val="en-HK"/>
        </w:rPr>
        <w:t>7. Conclusion</w:t>
      </w:r>
    </w:p>
    <w:p w14:paraId="65A33AC7"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 xml:space="preserve">The CJEU’s interpretation of Article 34 has evolved from a broad market access focus in </w:t>
      </w:r>
      <w:proofErr w:type="spellStart"/>
      <w:r w:rsidRPr="0035287A">
        <w:rPr>
          <w:rFonts w:ascii="Times New Roman" w:hAnsi="Times New Roman"/>
          <w:i/>
          <w:iCs/>
          <w:lang w:val="en-HK"/>
        </w:rPr>
        <w:t>Dassonville</w:t>
      </w:r>
      <w:proofErr w:type="spellEnd"/>
      <w:r w:rsidRPr="0035287A">
        <w:rPr>
          <w:rFonts w:ascii="Times New Roman" w:hAnsi="Times New Roman"/>
          <w:lang w:val="en-HK"/>
        </w:rPr>
        <w:t xml:space="preserve"> to a more balanced approach incorporating mutual recognition, categorization in </w:t>
      </w:r>
      <w:r w:rsidRPr="0035287A">
        <w:rPr>
          <w:rFonts w:ascii="Times New Roman" w:hAnsi="Times New Roman"/>
          <w:i/>
          <w:iCs/>
          <w:lang w:val="en-HK"/>
        </w:rPr>
        <w:t>Keck</w:t>
      </w:r>
      <w:r w:rsidRPr="0035287A">
        <w:rPr>
          <w:rFonts w:ascii="Times New Roman" w:hAnsi="Times New Roman"/>
          <w:lang w:val="en-HK"/>
        </w:rPr>
        <w:t xml:space="preserve">, and proportionality. However, the resurgence of market access principles in </w:t>
      </w:r>
      <w:r w:rsidRPr="0035287A">
        <w:rPr>
          <w:rFonts w:ascii="Times New Roman" w:hAnsi="Times New Roman"/>
          <w:i/>
          <w:iCs/>
          <w:lang w:val="en-HK"/>
        </w:rPr>
        <w:t>Italian Trailers</w:t>
      </w:r>
      <w:r w:rsidRPr="0035287A">
        <w:rPr>
          <w:rFonts w:ascii="Times New Roman" w:hAnsi="Times New Roman"/>
          <w:lang w:val="en-HK"/>
        </w:rPr>
        <w:t xml:space="preserve"> and </w:t>
      </w:r>
      <w:proofErr w:type="spellStart"/>
      <w:r w:rsidRPr="0035287A">
        <w:rPr>
          <w:rFonts w:ascii="Times New Roman" w:hAnsi="Times New Roman"/>
          <w:i/>
          <w:iCs/>
          <w:lang w:val="en-HK"/>
        </w:rPr>
        <w:t>Mickelsson</w:t>
      </w:r>
      <w:proofErr w:type="spellEnd"/>
      <w:r w:rsidRPr="0035287A">
        <w:rPr>
          <w:rFonts w:ascii="Times New Roman" w:hAnsi="Times New Roman"/>
          <w:i/>
          <w:iCs/>
          <w:lang w:val="en-HK"/>
        </w:rPr>
        <w:t xml:space="preserve"> and </w:t>
      </w:r>
      <w:proofErr w:type="spellStart"/>
      <w:r w:rsidRPr="0035287A">
        <w:rPr>
          <w:rFonts w:ascii="Times New Roman" w:hAnsi="Times New Roman"/>
          <w:i/>
          <w:iCs/>
          <w:lang w:val="en-HK"/>
        </w:rPr>
        <w:t>Roos</w:t>
      </w:r>
      <w:proofErr w:type="spellEnd"/>
      <w:r w:rsidRPr="0035287A">
        <w:rPr>
          <w:rFonts w:ascii="Times New Roman" w:hAnsi="Times New Roman"/>
          <w:lang w:val="en-HK"/>
        </w:rPr>
        <w:t xml:space="preserve"> reflects the continuing tension between integration and autonomy. Scholars such as </w:t>
      </w:r>
      <w:proofErr w:type="spellStart"/>
      <w:r w:rsidRPr="0035287A">
        <w:rPr>
          <w:rFonts w:ascii="Times New Roman" w:hAnsi="Times New Roman"/>
          <w:lang w:val="en-HK"/>
        </w:rPr>
        <w:t>Lianos</w:t>
      </w:r>
      <w:proofErr w:type="spellEnd"/>
      <w:r w:rsidRPr="0035287A">
        <w:rPr>
          <w:rFonts w:ascii="Times New Roman" w:hAnsi="Times New Roman"/>
          <w:lang w:val="en-HK"/>
        </w:rPr>
        <w:t xml:space="preserve"> and </w:t>
      </w:r>
      <w:proofErr w:type="spellStart"/>
      <w:r w:rsidRPr="0035287A">
        <w:rPr>
          <w:rFonts w:ascii="Times New Roman" w:hAnsi="Times New Roman"/>
          <w:lang w:val="en-HK"/>
        </w:rPr>
        <w:t>Weatherill</w:t>
      </w:r>
      <w:proofErr w:type="spellEnd"/>
      <w:r w:rsidRPr="0035287A">
        <w:rPr>
          <w:rFonts w:ascii="Times New Roman" w:hAnsi="Times New Roman"/>
          <w:lang w:val="en-HK"/>
        </w:rPr>
        <w:t xml:space="preserve"> underscore the importance of proportionality in preserving national diversity while ensuring free movement. The Court’s jurisprudence thus reflects a dynamic equilibrium, shaped by the competing imperatives of market integration and subsidiarity.</w:t>
      </w:r>
    </w:p>
    <w:p w14:paraId="086E2CD2" w14:textId="1933F15F" w:rsidR="0035287A" w:rsidRDefault="00DC4CEA" w:rsidP="0035287A">
      <w:pPr>
        <w:spacing w:before="100" w:beforeAutospacing="1" w:after="100" w:afterAutospacing="1"/>
        <w:outlineLvl w:val="3"/>
        <w:rPr>
          <w:rFonts w:ascii="Times New Roman" w:hAnsi="Times New Roman"/>
          <w:b/>
          <w:bCs/>
          <w:lang w:val="en-HK"/>
        </w:rPr>
      </w:pPr>
      <w:r w:rsidRPr="00DC4CEA">
        <w:rPr>
          <w:rFonts w:ascii="Times New Roman" w:hAnsi="Times New Roman"/>
          <w:noProof/>
          <w:lang w:val="en-HK"/>
          <w14:ligatures w14:val="standardContextual"/>
        </w:rPr>
        <w:pict w14:anchorId="78BF92B7">
          <v:rect id="_x0000_i1038" alt="" style="width:451.3pt;height:.05pt;mso-width-percent:0;mso-height-percent:0;mso-width-percent:0;mso-height-percent:0" o:hralign="center" o:hrstd="t" o:hr="t" fillcolor="#a0a0a0" stroked="f"/>
        </w:pict>
      </w:r>
    </w:p>
    <w:p w14:paraId="68935F67" w14:textId="78E51BF3" w:rsidR="0035287A" w:rsidRPr="0035287A" w:rsidRDefault="0035287A" w:rsidP="0035287A">
      <w:pPr>
        <w:spacing w:before="100" w:beforeAutospacing="1" w:after="100" w:afterAutospacing="1"/>
        <w:outlineLvl w:val="3"/>
        <w:rPr>
          <w:rFonts w:ascii="Times New Roman" w:hAnsi="Times New Roman"/>
          <w:b/>
          <w:bCs/>
          <w:lang w:val="en-HK"/>
        </w:rPr>
      </w:pPr>
      <w:r w:rsidRPr="0035287A">
        <w:rPr>
          <w:rFonts w:ascii="Times New Roman" w:hAnsi="Times New Roman"/>
          <w:b/>
          <w:bCs/>
          <w:lang w:val="en-HK"/>
        </w:rPr>
        <w:t>3. Compare and contrast the prohibition of quantitative restrictions under Article 34 TFEU with the principle of free movement of services under Article 56 TFEU.</w:t>
      </w:r>
    </w:p>
    <w:p w14:paraId="78BFF132"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lastRenderedPageBreak/>
        <w:t>While both provisions aim to eliminate barriers to the internal market, they differ in scope, application, and judicial interpretation.</w:t>
      </w:r>
    </w:p>
    <w:p w14:paraId="7694F1E3" w14:textId="77777777" w:rsidR="0035287A" w:rsidRPr="0035287A" w:rsidRDefault="0035287A" w:rsidP="0035287A">
      <w:pPr>
        <w:numPr>
          <w:ilvl w:val="0"/>
          <w:numId w:val="2"/>
        </w:numPr>
        <w:spacing w:before="100" w:beforeAutospacing="1" w:after="100" w:afterAutospacing="1"/>
        <w:rPr>
          <w:rFonts w:ascii="Times New Roman" w:hAnsi="Times New Roman"/>
          <w:lang w:val="en-HK"/>
        </w:rPr>
      </w:pPr>
      <w:r w:rsidRPr="0035287A">
        <w:rPr>
          <w:rFonts w:ascii="Times New Roman" w:hAnsi="Times New Roman"/>
          <w:b/>
          <w:bCs/>
          <w:lang w:val="en-HK"/>
        </w:rPr>
        <w:t>Scope and Application</w:t>
      </w:r>
      <w:r w:rsidRPr="0035287A">
        <w:rPr>
          <w:rFonts w:ascii="Times New Roman" w:hAnsi="Times New Roman"/>
          <w:lang w:val="en-HK"/>
        </w:rPr>
        <w:t xml:space="preserve">: Article 34 focuses on goods, prohibiting QRs and MEQRs, while Article 56 governs services, preventing restrictions that impede cross-border service provision (European Law Review, </w:t>
      </w:r>
      <w:proofErr w:type="spellStart"/>
      <w:r w:rsidRPr="0035287A">
        <w:rPr>
          <w:rFonts w:ascii="Times New Roman" w:hAnsi="Times New Roman"/>
          <w:lang w:val="en-HK"/>
        </w:rPr>
        <w:t>Schütze</w:t>
      </w:r>
      <w:proofErr w:type="spellEnd"/>
      <w:r w:rsidRPr="0035287A">
        <w:rPr>
          <w:rFonts w:ascii="Times New Roman" w:hAnsi="Times New Roman"/>
          <w:lang w:val="en-HK"/>
        </w:rPr>
        <w:t>, 2016). Both aim to ensure market access but operate in distinct contexts.</w:t>
      </w:r>
    </w:p>
    <w:p w14:paraId="4B1092DE" w14:textId="77777777" w:rsidR="0035287A" w:rsidRPr="0035287A" w:rsidRDefault="0035287A" w:rsidP="0035287A">
      <w:pPr>
        <w:numPr>
          <w:ilvl w:val="0"/>
          <w:numId w:val="2"/>
        </w:numPr>
        <w:spacing w:before="100" w:beforeAutospacing="1" w:after="100" w:afterAutospacing="1"/>
        <w:rPr>
          <w:rFonts w:ascii="Times New Roman" w:hAnsi="Times New Roman"/>
          <w:lang w:val="en-HK"/>
        </w:rPr>
      </w:pPr>
      <w:r w:rsidRPr="0035287A">
        <w:rPr>
          <w:rFonts w:ascii="Times New Roman" w:hAnsi="Times New Roman"/>
          <w:b/>
          <w:bCs/>
          <w:lang w:val="en-HK"/>
        </w:rPr>
        <w:t>Judicial Tests</w:t>
      </w:r>
      <w:r w:rsidRPr="0035287A">
        <w:rPr>
          <w:rFonts w:ascii="Times New Roman" w:hAnsi="Times New Roman"/>
          <w:lang w:val="en-HK"/>
        </w:rPr>
        <w:t>: The CJEU applies broad definitions in both areas, but the "market access" test is more pronounced under Article 34. For services, the Court often considers the service provider’s rights and regulatory alignment (European Law Review, Gormley, 2015).</w:t>
      </w:r>
    </w:p>
    <w:p w14:paraId="55DF1CCC" w14:textId="77777777" w:rsidR="0035287A" w:rsidRPr="0035287A" w:rsidRDefault="0035287A" w:rsidP="0035287A">
      <w:pPr>
        <w:numPr>
          <w:ilvl w:val="0"/>
          <w:numId w:val="2"/>
        </w:numPr>
        <w:spacing w:before="100" w:beforeAutospacing="1" w:after="100" w:afterAutospacing="1"/>
        <w:rPr>
          <w:rFonts w:ascii="Times New Roman" w:hAnsi="Times New Roman"/>
          <w:lang w:val="en-HK"/>
        </w:rPr>
      </w:pPr>
      <w:r w:rsidRPr="0035287A">
        <w:rPr>
          <w:rFonts w:ascii="Times New Roman" w:hAnsi="Times New Roman"/>
          <w:b/>
          <w:bCs/>
          <w:lang w:val="en-HK"/>
        </w:rPr>
        <w:t>Exceptions and Justifications</w:t>
      </w:r>
      <w:r w:rsidRPr="0035287A">
        <w:rPr>
          <w:rFonts w:ascii="Times New Roman" w:hAnsi="Times New Roman"/>
          <w:lang w:val="en-HK"/>
        </w:rPr>
        <w:t xml:space="preserve">: Both allow for justifications—Article 34 under Article 36 TFEU and mandatory requirements, and Article 56 through public interest grounds, including overriding reasons (European Law Review, </w:t>
      </w:r>
      <w:proofErr w:type="spellStart"/>
      <w:r w:rsidRPr="0035287A">
        <w:rPr>
          <w:rFonts w:ascii="Times New Roman" w:hAnsi="Times New Roman"/>
          <w:lang w:val="en-HK"/>
        </w:rPr>
        <w:t>Lianos</w:t>
      </w:r>
      <w:proofErr w:type="spellEnd"/>
      <w:r w:rsidRPr="0035287A">
        <w:rPr>
          <w:rFonts w:ascii="Times New Roman" w:hAnsi="Times New Roman"/>
          <w:lang w:val="en-HK"/>
        </w:rPr>
        <w:t>, 2015). The proportionality principle governs both areas.</w:t>
      </w:r>
    </w:p>
    <w:p w14:paraId="6B60A941" w14:textId="77777777" w:rsidR="0035287A" w:rsidRPr="0035287A" w:rsidRDefault="0035287A" w:rsidP="0035287A">
      <w:pPr>
        <w:spacing w:before="100" w:beforeAutospacing="1" w:after="100" w:afterAutospacing="1"/>
        <w:rPr>
          <w:rFonts w:ascii="Times New Roman" w:hAnsi="Times New Roman"/>
          <w:lang w:val="en-HK"/>
        </w:rPr>
      </w:pPr>
      <w:r w:rsidRPr="0035287A">
        <w:rPr>
          <w:rFonts w:ascii="Times New Roman" w:hAnsi="Times New Roman"/>
          <w:lang w:val="en-HK"/>
        </w:rPr>
        <w:t>Despite their different focuses, both provisions share the overarching goal of balancing free movement with regulatory diversity in the internal market.</w:t>
      </w:r>
    </w:p>
    <w:p w14:paraId="0AA3917F" w14:textId="40116098" w:rsidR="0003278C" w:rsidRDefault="00DC4CEA" w:rsidP="0035287A">
      <w:pPr>
        <w:pStyle w:val="NormalWeb"/>
        <w:rPr>
          <w:b/>
          <w:bCs/>
        </w:rPr>
      </w:pPr>
      <w:r w:rsidRPr="00DC4CEA">
        <w:rPr>
          <w:noProof/>
          <w14:ligatures w14:val="standardContextual"/>
        </w:rPr>
        <w:pict w14:anchorId="75B38E8B">
          <v:rect id="_x0000_i1037" alt="" style="width:451.3pt;height:.05pt;mso-width-percent:0;mso-height-percent:0;mso-width-percent:0;mso-height-percent:0" o:hralign="center" o:hrstd="t" o:hr="t" fillcolor="#a0a0a0" stroked="f"/>
        </w:pict>
      </w:r>
    </w:p>
    <w:p w14:paraId="412022FF" w14:textId="77777777" w:rsidR="0035287A" w:rsidRPr="0003278C" w:rsidRDefault="0035287A" w:rsidP="0035287A">
      <w:pPr>
        <w:pStyle w:val="NormalWeb"/>
        <w:rPr>
          <w:b/>
          <w:bCs/>
        </w:rPr>
      </w:pPr>
      <w:r w:rsidRPr="0003278C">
        <w:rPr>
          <w:b/>
          <w:bCs/>
        </w:rPr>
        <w:t xml:space="preserve">4. </w:t>
      </w:r>
      <w:r w:rsidRPr="0003278C">
        <w:rPr>
          <w:b/>
          <w:bCs/>
        </w:rPr>
        <w:t xml:space="preserve">Critically evaluate whether the current scope and application of Article 34 TFEU effectively address the challenges of maintaining an integrated EU internal market and its proposed reform. </w:t>
      </w:r>
    </w:p>
    <w:p w14:paraId="11234E45"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1. What is Article 34 TFEU?</w:t>
      </w:r>
    </w:p>
    <w:p w14:paraId="127E73BA"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Article 34 TFEU prohibits quantitative restrictions (QRs) and measures having equivalent effect (MEQRs) on imports between Member States, forming the bedrock of EU internal market law. It seeks to eliminate barriers to trade, ensuring goods move freely across Member State borders. As defined in </w:t>
      </w:r>
      <w:r w:rsidRPr="00725462">
        <w:rPr>
          <w:rFonts w:ascii="Times New Roman" w:hAnsi="Times New Roman"/>
          <w:i/>
          <w:iCs/>
          <w:color w:val="000000" w:themeColor="text1"/>
          <w:lang w:val="en-HK"/>
        </w:rPr>
        <w:t xml:space="preserve">Procureur du Roi v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MEQRs encompass “all trading rules enacted by Member States which are capable of hindering, directly or indirectly, actually or potentially, intra-[Union] trade” (European Law Journal,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2018). This broad scope emphasizes market access and the removal of unjustified restrictions, even where measures are non-discriminatory.</w:t>
      </w:r>
    </w:p>
    <w:p w14:paraId="182A6510"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formula significantly expanded Article 34's scope, capturing measures beyond explicit </w:t>
      </w:r>
      <w:proofErr w:type="spellStart"/>
      <w:r w:rsidRPr="00725462">
        <w:rPr>
          <w:rFonts w:ascii="Times New Roman" w:hAnsi="Times New Roman"/>
          <w:color w:val="000000" w:themeColor="text1"/>
          <w:lang w:val="en-HK"/>
        </w:rPr>
        <w:t>QRs.</w:t>
      </w:r>
      <w:proofErr w:type="spellEnd"/>
      <w:r w:rsidRPr="00725462">
        <w:rPr>
          <w:rFonts w:ascii="Times New Roman" w:hAnsi="Times New Roman"/>
          <w:color w:val="000000" w:themeColor="text1"/>
          <w:lang w:val="en-HK"/>
        </w:rPr>
        <w:t xml:space="preserve"> However, this expansive interpretation has led to concerns over legal overreach, with critics such as Gormley highlighting its potential to subsume national regulatory autonomy under EU scrutiny (European Law Review, Gormley, 2015).</w:t>
      </w:r>
    </w:p>
    <w:p w14:paraId="69CE3852" w14:textId="77777777" w:rsidR="0003278C" w:rsidRPr="0003278C" w:rsidRDefault="00DC4CEA" w:rsidP="00725462">
      <w:pPr>
        <w:rPr>
          <w:rFonts w:ascii="Times New Roman" w:hAnsi="Times New Roman"/>
          <w:color w:val="000000" w:themeColor="text1"/>
          <w:lang w:val="en-HK"/>
        </w:rPr>
      </w:pPr>
      <w:r w:rsidRPr="00DC4CEA">
        <w:rPr>
          <w:rFonts w:ascii="Times New Roman" w:hAnsi="Times New Roman"/>
          <w:noProof/>
          <w:color w:val="000000" w:themeColor="text1"/>
          <w:lang w:val="en-HK"/>
          <w14:ligatures w14:val="standardContextual"/>
        </w:rPr>
        <w:pict w14:anchorId="44772891">
          <v:rect id="_x0000_i1036" alt="" style="width:451.3pt;height:.05pt;mso-width-percent:0;mso-height-percent:0;mso-width-percent:0;mso-height-percent:0" o:hralign="center" o:hrstd="t" o:hr="t" fillcolor="#a0a0a0" stroked="f"/>
        </w:pict>
      </w:r>
    </w:p>
    <w:p w14:paraId="0449F2AD"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2. Current Scope and Application of Article 34 TFEU</w:t>
      </w:r>
    </w:p>
    <w:p w14:paraId="23EF8575"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A. Quantitative Restrictions</w:t>
      </w:r>
    </w:p>
    <w:p w14:paraId="36DF8C3B"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Quantitative restrictions are explicit limitations on imports, such as quotas or bans, which directly obstruct market access. Article 34 unequivocally prohibits such measures unless justified under Article 36 TFEU.</w:t>
      </w:r>
    </w:p>
    <w:p w14:paraId="39138C26" w14:textId="77777777" w:rsidR="00725462" w:rsidRPr="00725462" w:rsidRDefault="00725462" w:rsidP="00725462">
      <w:pPr>
        <w:numPr>
          <w:ilvl w:val="0"/>
          <w:numId w:val="31"/>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lastRenderedPageBreak/>
        <w:t>Case Example</w:t>
      </w:r>
      <w:r w:rsidRPr="00725462">
        <w:rPr>
          <w:rFonts w:ascii="Times New Roman" w:hAnsi="Times New Roman"/>
          <w:color w:val="000000" w:themeColor="text1"/>
          <w:lang w:val="en-HK"/>
        </w:rPr>
        <w:t>:</w:t>
      </w:r>
    </w:p>
    <w:p w14:paraId="3DF46A0B" w14:textId="77777777" w:rsidR="00725462" w:rsidRPr="00725462" w:rsidRDefault="00725462" w:rsidP="00725462">
      <w:pPr>
        <w:numPr>
          <w:ilvl w:val="1"/>
          <w:numId w:val="31"/>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In </w:t>
      </w:r>
      <w:r w:rsidRPr="00725462">
        <w:rPr>
          <w:rFonts w:ascii="Times New Roman" w:hAnsi="Times New Roman"/>
          <w:i/>
          <w:iCs/>
          <w:color w:val="000000" w:themeColor="text1"/>
          <w:lang w:val="en-HK"/>
        </w:rPr>
        <w:t>Henn and Darby</w:t>
      </w:r>
      <w:r w:rsidRPr="00725462">
        <w:rPr>
          <w:rFonts w:ascii="Times New Roman" w:hAnsi="Times New Roman"/>
          <w:color w:val="000000" w:themeColor="text1"/>
          <w:lang w:val="en-HK"/>
        </w:rPr>
        <w:t xml:space="preserve"> (Case 34/79), a UK ban on importing obscene materials constituted a QR. However, the measure was upheld under Article 36, as it was deemed necessary to protect public morality (European Law Review, </w:t>
      </w:r>
      <w:proofErr w:type="spellStart"/>
      <w:r w:rsidRPr="00725462">
        <w:rPr>
          <w:rFonts w:ascii="Times New Roman" w:hAnsi="Times New Roman"/>
          <w:color w:val="000000" w:themeColor="text1"/>
          <w:lang w:val="en-HK"/>
        </w:rPr>
        <w:t>Spaventa</w:t>
      </w:r>
      <w:proofErr w:type="spellEnd"/>
      <w:r w:rsidRPr="00725462">
        <w:rPr>
          <w:rFonts w:ascii="Times New Roman" w:hAnsi="Times New Roman"/>
          <w:color w:val="000000" w:themeColor="text1"/>
          <w:lang w:val="en-HK"/>
        </w:rPr>
        <w:t>, 2009).</w:t>
      </w:r>
    </w:p>
    <w:p w14:paraId="6494F279"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B. Measures Having Equivalent Effect (MEQRs)</w:t>
      </w:r>
    </w:p>
    <w:p w14:paraId="4126FAED"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MEQRs represent the broader application of Article 34, capturing non-quantitative barriers to trade.</w:t>
      </w:r>
    </w:p>
    <w:p w14:paraId="0F753051" w14:textId="77777777" w:rsidR="00725462" w:rsidRPr="00725462" w:rsidRDefault="00725462" w:rsidP="00725462">
      <w:pPr>
        <w:numPr>
          <w:ilvl w:val="0"/>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 xml:space="preserve">The </w:t>
      </w:r>
      <w:proofErr w:type="spellStart"/>
      <w:r w:rsidRPr="00725462">
        <w:rPr>
          <w:rFonts w:ascii="Times New Roman" w:hAnsi="Times New Roman"/>
          <w:b/>
          <w:bCs/>
          <w:color w:val="000000" w:themeColor="text1"/>
          <w:lang w:val="en-HK"/>
        </w:rPr>
        <w:t>Dassonville</w:t>
      </w:r>
      <w:proofErr w:type="spellEnd"/>
      <w:r w:rsidRPr="00725462">
        <w:rPr>
          <w:rFonts w:ascii="Times New Roman" w:hAnsi="Times New Roman"/>
          <w:b/>
          <w:bCs/>
          <w:color w:val="000000" w:themeColor="text1"/>
          <w:lang w:val="en-HK"/>
        </w:rPr>
        <w:t xml:space="preserve"> Formula</w:t>
      </w:r>
      <w:r w:rsidRPr="00725462">
        <w:rPr>
          <w:rFonts w:ascii="Times New Roman" w:hAnsi="Times New Roman"/>
          <w:color w:val="000000" w:themeColor="text1"/>
          <w:lang w:val="en-HK"/>
        </w:rPr>
        <w:t>:</w:t>
      </w:r>
    </w:p>
    <w:p w14:paraId="1DCB3B37" w14:textId="77777777" w:rsidR="00725462" w:rsidRPr="00725462" w:rsidRDefault="00725462" w:rsidP="00725462">
      <w:pPr>
        <w:numPr>
          <w:ilvl w:val="1"/>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judgment marked the genesis of MEQRs, encompassing both discriminatory and non-discriminatory measures capable of hindering trade (European Law Journal,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xml:space="preserve">, 2018). However, the formula’s breadth led to criticisms that it risks overregulating areas better left to Member States (European Law Journal,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2018).</w:t>
      </w:r>
    </w:p>
    <w:p w14:paraId="18AB71C4" w14:textId="77777777" w:rsidR="00725462" w:rsidRPr="00725462" w:rsidRDefault="00725462" w:rsidP="00725462">
      <w:pPr>
        <w:numPr>
          <w:ilvl w:val="0"/>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Mutual Recognition and Mandatory Requirements</w:t>
      </w:r>
      <w:r w:rsidRPr="00725462">
        <w:rPr>
          <w:rFonts w:ascii="Times New Roman" w:hAnsi="Times New Roman"/>
          <w:color w:val="000000" w:themeColor="text1"/>
          <w:lang w:val="en-HK"/>
        </w:rPr>
        <w:t>:</w:t>
      </w:r>
    </w:p>
    <w:p w14:paraId="04383C4E" w14:textId="77777777" w:rsidR="00725462" w:rsidRPr="00725462" w:rsidRDefault="00725462" w:rsidP="00725462">
      <w:pPr>
        <w:numPr>
          <w:ilvl w:val="1"/>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In </w:t>
      </w:r>
      <w:r w:rsidRPr="00725462">
        <w:rPr>
          <w:rFonts w:ascii="Times New Roman" w:hAnsi="Times New Roman"/>
          <w:i/>
          <w:iCs/>
          <w:color w:val="000000" w:themeColor="text1"/>
          <w:lang w:val="en-HK"/>
        </w:rPr>
        <w:t>Cassis de Dijon</w:t>
      </w:r>
      <w:r w:rsidRPr="00725462">
        <w:rPr>
          <w:rFonts w:ascii="Times New Roman" w:hAnsi="Times New Roman"/>
          <w:color w:val="000000" w:themeColor="text1"/>
          <w:lang w:val="en-HK"/>
        </w:rPr>
        <w:t xml:space="preserve"> (Case 120/78), the Court introduced the principle of mutual recognition, requiring that goods lawfully marketed in one Member State be accepted in others. It also established mandatory requirements, permitting restrictions justified by public interests, such as consumer protection, provided they are proportionate (European Law Review, </w:t>
      </w:r>
      <w:proofErr w:type="spellStart"/>
      <w:r w:rsidRPr="00725462">
        <w:rPr>
          <w:rFonts w:ascii="Times New Roman" w:hAnsi="Times New Roman"/>
          <w:color w:val="000000" w:themeColor="text1"/>
          <w:lang w:val="en-HK"/>
        </w:rPr>
        <w:t>Lianos</w:t>
      </w:r>
      <w:proofErr w:type="spellEnd"/>
      <w:r w:rsidRPr="00725462">
        <w:rPr>
          <w:rFonts w:ascii="Times New Roman" w:hAnsi="Times New Roman"/>
          <w:color w:val="000000" w:themeColor="text1"/>
          <w:lang w:val="en-HK"/>
        </w:rPr>
        <w:t>, 2015; Gormley, 2015).</w:t>
      </w:r>
    </w:p>
    <w:p w14:paraId="7C6E367A" w14:textId="77777777" w:rsidR="00725462" w:rsidRPr="00725462" w:rsidRDefault="00725462" w:rsidP="00725462">
      <w:pPr>
        <w:numPr>
          <w:ilvl w:val="0"/>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The Keck Doctrine</w:t>
      </w:r>
      <w:r w:rsidRPr="00725462">
        <w:rPr>
          <w:rFonts w:ascii="Times New Roman" w:hAnsi="Times New Roman"/>
          <w:color w:val="000000" w:themeColor="text1"/>
          <w:lang w:val="en-HK"/>
        </w:rPr>
        <w:t>:</w:t>
      </w:r>
    </w:p>
    <w:p w14:paraId="2B2CE4BA" w14:textId="77777777" w:rsidR="00725462" w:rsidRPr="00725462" w:rsidRDefault="00725462" w:rsidP="00725462">
      <w:pPr>
        <w:numPr>
          <w:ilvl w:val="1"/>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w:t>
      </w:r>
      <w:r w:rsidRPr="00725462">
        <w:rPr>
          <w:rFonts w:ascii="Times New Roman" w:hAnsi="Times New Roman"/>
          <w:i/>
          <w:iCs/>
          <w:color w:val="000000" w:themeColor="text1"/>
          <w:lang w:val="en-HK"/>
        </w:rPr>
        <w:t>Keck</w:t>
      </w:r>
      <w:r w:rsidRPr="00725462">
        <w:rPr>
          <w:rFonts w:ascii="Times New Roman" w:hAnsi="Times New Roman"/>
          <w:color w:val="000000" w:themeColor="text1"/>
          <w:lang w:val="en-HK"/>
        </w:rPr>
        <w:t xml:space="preserve"> judgment distinguished between product requirements and selling arrangements, excluding the latter from Article 34 if they applied equally to domestic and imported goods without disproportionate effects. However, critics argue this distinction is artificial and inconsistently applied, as seen in subsequent cases like </w:t>
      </w:r>
      <w:proofErr w:type="spellStart"/>
      <w:r w:rsidRPr="00725462">
        <w:rPr>
          <w:rFonts w:ascii="Times New Roman" w:hAnsi="Times New Roman"/>
          <w:i/>
          <w:iCs/>
          <w:color w:val="000000" w:themeColor="text1"/>
          <w:lang w:val="en-HK"/>
        </w:rPr>
        <w:t>Mickelsson</w:t>
      </w:r>
      <w:proofErr w:type="spellEnd"/>
      <w:r w:rsidRPr="00725462">
        <w:rPr>
          <w:rFonts w:ascii="Times New Roman" w:hAnsi="Times New Roman"/>
          <w:i/>
          <w:iCs/>
          <w:color w:val="000000" w:themeColor="text1"/>
          <w:lang w:val="en-HK"/>
        </w:rPr>
        <w:t xml:space="preserve"> and </w:t>
      </w:r>
      <w:proofErr w:type="spellStart"/>
      <w:r w:rsidRPr="00725462">
        <w:rPr>
          <w:rFonts w:ascii="Times New Roman" w:hAnsi="Times New Roman"/>
          <w:i/>
          <w:iCs/>
          <w:color w:val="000000" w:themeColor="text1"/>
          <w:lang w:val="en-HK"/>
        </w:rPr>
        <w:t>Roos</w:t>
      </w:r>
      <w:proofErr w:type="spellEnd"/>
      <w:r w:rsidRPr="00725462">
        <w:rPr>
          <w:rFonts w:ascii="Times New Roman" w:hAnsi="Times New Roman"/>
          <w:color w:val="000000" w:themeColor="text1"/>
          <w:lang w:val="en-HK"/>
        </w:rPr>
        <w:t xml:space="preserve"> and </w:t>
      </w:r>
      <w:r w:rsidRPr="00725462">
        <w:rPr>
          <w:rFonts w:ascii="Times New Roman" w:hAnsi="Times New Roman"/>
          <w:i/>
          <w:iCs/>
          <w:color w:val="000000" w:themeColor="text1"/>
          <w:lang w:val="en-HK"/>
        </w:rPr>
        <w:t>Italian Trailers</w:t>
      </w:r>
      <w:r w:rsidRPr="00725462">
        <w:rPr>
          <w:rFonts w:ascii="Times New Roman" w:hAnsi="Times New Roman"/>
          <w:color w:val="000000" w:themeColor="text1"/>
          <w:lang w:val="en-HK"/>
        </w:rPr>
        <w:t xml:space="preserve"> (European Law Review, </w:t>
      </w:r>
      <w:proofErr w:type="spellStart"/>
      <w:r w:rsidRPr="00725462">
        <w:rPr>
          <w:rFonts w:ascii="Times New Roman" w:hAnsi="Times New Roman"/>
          <w:color w:val="000000" w:themeColor="text1"/>
          <w:lang w:val="en-HK"/>
        </w:rPr>
        <w:t>Spaventa</w:t>
      </w:r>
      <w:proofErr w:type="spellEnd"/>
      <w:r w:rsidRPr="00725462">
        <w:rPr>
          <w:rFonts w:ascii="Times New Roman" w:hAnsi="Times New Roman"/>
          <w:color w:val="000000" w:themeColor="text1"/>
          <w:lang w:val="en-HK"/>
        </w:rPr>
        <w:t xml:space="preserve">, 2009;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2016).</w:t>
      </w:r>
    </w:p>
    <w:p w14:paraId="744F7787" w14:textId="77777777" w:rsidR="00725462" w:rsidRPr="00725462" w:rsidRDefault="00725462" w:rsidP="00725462">
      <w:pPr>
        <w:numPr>
          <w:ilvl w:val="0"/>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Market Access Approach</w:t>
      </w:r>
      <w:r w:rsidRPr="00725462">
        <w:rPr>
          <w:rFonts w:ascii="Times New Roman" w:hAnsi="Times New Roman"/>
          <w:color w:val="000000" w:themeColor="text1"/>
          <w:lang w:val="en-HK"/>
        </w:rPr>
        <w:t>:</w:t>
      </w:r>
    </w:p>
    <w:p w14:paraId="27A96C95" w14:textId="77777777" w:rsidR="00725462" w:rsidRPr="00725462" w:rsidRDefault="00725462" w:rsidP="00725462">
      <w:pPr>
        <w:numPr>
          <w:ilvl w:val="1"/>
          <w:numId w:val="32"/>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Court’s recent focus on market access, exemplified in </w:t>
      </w:r>
      <w:r w:rsidRPr="00725462">
        <w:rPr>
          <w:rFonts w:ascii="Times New Roman" w:hAnsi="Times New Roman"/>
          <w:i/>
          <w:iCs/>
          <w:color w:val="000000" w:themeColor="text1"/>
          <w:lang w:val="en-HK"/>
        </w:rPr>
        <w:t>Italian Trailers</w:t>
      </w:r>
      <w:r w:rsidRPr="00725462">
        <w:rPr>
          <w:rFonts w:ascii="Times New Roman" w:hAnsi="Times New Roman"/>
          <w:color w:val="000000" w:themeColor="text1"/>
          <w:lang w:val="en-HK"/>
        </w:rPr>
        <w:t xml:space="preserve"> (Case C-110/05) and </w:t>
      </w:r>
      <w:proofErr w:type="spellStart"/>
      <w:r w:rsidRPr="00725462">
        <w:rPr>
          <w:rFonts w:ascii="Times New Roman" w:hAnsi="Times New Roman"/>
          <w:i/>
          <w:iCs/>
          <w:color w:val="000000" w:themeColor="text1"/>
          <w:lang w:val="en-HK"/>
        </w:rPr>
        <w:t>Mickelsson</w:t>
      </w:r>
      <w:proofErr w:type="spellEnd"/>
      <w:r w:rsidRPr="00725462">
        <w:rPr>
          <w:rFonts w:ascii="Times New Roman" w:hAnsi="Times New Roman"/>
          <w:i/>
          <w:iCs/>
          <w:color w:val="000000" w:themeColor="text1"/>
          <w:lang w:val="en-HK"/>
        </w:rPr>
        <w:t xml:space="preserve"> and </w:t>
      </w:r>
      <w:proofErr w:type="spellStart"/>
      <w:r w:rsidRPr="00725462">
        <w:rPr>
          <w:rFonts w:ascii="Times New Roman" w:hAnsi="Times New Roman"/>
          <w:i/>
          <w:iCs/>
          <w:color w:val="000000" w:themeColor="text1"/>
          <w:lang w:val="en-HK"/>
        </w:rPr>
        <w:t>Roos</w:t>
      </w:r>
      <w:proofErr w:type="spellEnd"/>
      <w:r w:rsidRPr="00725462">
        <w:rPr>
          <w:rFonts w:ascii="Times New Roman" w:hAnsi="Times New Roman"/>
          <w:color w:val="000000" w:themeColor="text1"/>
          <w:lang w:val="en-HK"/>
        </w:rPr>
        <w:t xml:space="preserve"> (Case C-142/05), assesses whether national measures hinder market entry or access. While this approach seeks to address limitations of </w:t>
      </w:r>
      <w:r w:rsidRPr="00725462">
        <w:rPr>
          <w:rFonts w:ascii="Times New Roman" w:hAnsi="Times New Roman"/>
          <w:i/>
          <w:iCs/>
          <w:color w:val="000000" w:themeColor="text1"/>
          <w:lang w:val="en-HK"/>
        </w:rPr>
        <w:t>Keck</w:t>
      </w:r>
      <w:r w:rsidRPr="00725462">
        <w:rPr>
          <w:rFonts w:ascii="Times New Roman" w:hAnsi="Times New Roman"/>
          <w:color w:val="000000" w:themeColor="text1"/>
          <w:lang w:val="en-HK"/>
        </w:rPr>
        <w:t xml:space="preserve">, it risks reintroducing the overreach of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(European Law Review,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2016).</w:t>
      </w:r>
    </w:p>
    <w:p w14:paraId="29B7513E"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C. Horizontal Scope</w:t>
      </w:r>
    </w:p>
    <w:p w14:paraId="0EEBC1E8" w14:textId="020C8AAD" w:rsidR="0003278C" w:rsidRPr="0003278C"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While Article 34 is traditionally applied vertically (state measures), its potential horizontal effect—applicability to private parties—remains contested. In </w:t>
      </w:r>
      <w:r w:rsidRPr="00725462">
        <w:rPr>
          <w:rFonts w:ascii="Times New Roman" w:hAnsi="Times New Roman"/>
          <w:i/>
          <w:iCs/>
          <w:color w:val="000000" w:themeColor="text1"/>
          <w:lang w:val="en-HK"/>
        </w:rPr>
        <w:t>Fra.bo</w:t>
      </w:r>
      <w:r w:rsidRPr="00725462">
        <w:rPr>
          <w:rFonts w:ascii="Times New Roman" w:hAnsi="Times New Roman"/>
          <w:color w:val="000000" w:themeColor="text1"/>
          <w:lang w:val="en-HK"/>
        </w:rPr>
        <w:t xml:space="preserve"> (Case C-171/11), the Court extended Article 34 to private standardization bodies with significant control over market access (Common Market Law Review, </w:t>
      </w:r>
      <w:proofErr w:type="spellStart"/>
      <w:r w:rsidRPr="00725462">
        <w:rPr>
          <w:rFonts w:ascii="Times New Roman" w:hAnsi="Times New Roman"/>
          <w:color w:val="000000" w:themeColor="text1"/>
          <w:lang w:val="en-HK"/>
        </w:rPr>
        <w:t>Krenn</w:t>
      </w:r>
      <w:proofErr w:type="spellEnd"/>
      <w:r w:rsidRPr="00725462">
        <w:rPr>
          <w:rFonts w:ascii="Times New Roman" w:hAnsi="Times New Roman"/>
          <w:color w:val="000000" w:themeColor="text1"/>
          <w:lang w:val="en-HK"/>
        </w:rPr>
        <w:t>, 2012).</w:t>
      </w:r>
    </w:p>
    <w:p w14:paraId="49FD2FE8" w14:textId="77777777" w:rsidR="0003278C" w:rsidRPr="0003278C" w:rsidRDefault="0003278C" w:rsidP="00725462">
      <w:pPr>
        <w:spacing w:before="100" w:beforeAutospacing="1" w:after="100" w:afterAutospacing="1"/>
        <w:rPr>
          <w:rFonts w:ascii="Times New Roman" w:hAnsi="Times New Roman"/>
          <w:color w:val="000000" w:themeColor="text1"/>
          <w:lang w:val="en-HK"/>
        </w:rPr>
      </w:pPr>
      <w:r w:rsidRPr="0003278C">
        <w:rPr>
          <w:rFonts w:ascii="Times New Roman" w:hAnsi="Times New Roman"/>
          <w:color w:val="000000" w:themeColor="text1"/>
          <w:lang w:val="en-HK"/>
        </w:rPr>
        <w:t xml:space="preserve">The current scope of Article 34 TFEU, shaped by </w:t>
      </w:r>
      <w:proofErr w:type="spellStart"/>
      <w:r w:rsidRPr="0003278C">
        <w:rPr>
          <w:rFonts w:ascii="Times New Roman" w:hAnsi="Times New Roman"/>
          <w:i/>
          <w:iCs/>
          <w:color w:val="000000" w:themeColor="text1"/>
          <w:lang w:val="en-HK"/>
        </w:rPr>
        <w:t>Dassonville</w:t>
      </w:r>
      <w:proofErr w:type="spellEnd"/>
      <w:r w:rsidRPr="0003278C">
        <w:rPr>
          <w:rFonts w:ascii="Times New Roman" w:hAnsi="Times New Roman"/>
          <w:color w:val="000000" w:themeColor="text1"/>
          <w:lang w:val="en-HK"/>
        </w:rPr>
        <w:t xml:space="preserve">, </w:t>
      </w:r>
      <w:r w:rsidRPr="0003278C">
        <w:rPr>
          <w:rFonts w:ascii="Times New Roman" w:hAnsi="Times New Roman"/>
          <w:i/>
          <w:iCs/>
          <w:color w:val="000000" w:themeColor="text1"/>
          <w:lang w:val="en-HK"/>
        </w:rPr>
        <w:t>Cassis de Dijon</w:t>
      </w:r>
      <w:r w:rsidRPr="0003278C">
        <w:rPr>
          <w:rFonts w:ascii="Times New Roman" w:hAnsi="Times New Roman"/>
          <w:color w:val="000000" w:themeColor="text1"/>
          <w:lang w:val="en-HK"/>
        </w:rPr>
        <w:t xml:space="preserve">, </w:t>
      </w:r>
      <w:r w:rsidRPr="0003278C">
        <w:rPr>
          <w:rFonts w:ascii="Times New Roman" w:hAnsi="Times New Roman"/>
          <w:i/>
          <w:iCs/>
          <w:color w:val="000000" w:themeColor="text1"/>
          <w:lang w:val="en-HK"/>
        </w:rPr>
        <w:t>Keck</w:t>
      </w:r>
      <w:r w:rsidRPr="0003278C">
        <w:rPr>
          <w:rFonts w:ascii="Times New Roman" w:hAnsi="Times New Roman"/>
          <w:color w:val="000000" w:themeColor="text1"/>
          <w:lang w:val="en-HK"/>
        </w:rPr>
        <w:t xml:space="preserve">, and subsequent case law, reflects the CJEU’s efforts to ensure market integration while addressing concerns over regulatory autonomy. However, the coexistence of multiple tests—mutual recognition, selling arrangements, and market access—has introduced legal uncertainty. While the proportionality test offers a mechanism to balance these competing interests, critics argue that clearer guidelines are needed to ensure the effective and consistent </w:t>
      </w:r>
      <w:r w:rsidRPr="0003278C">
        <w:rPr>
          <w:rFonts w:ascii="Times New Roman" w:hAnsi="Times New Roman"/>
          <w:color w:val="000000" w:themeColor="text1"/>
          <w:lang w:val="en-HK"/>
        </w:rPr>
        <w:lastRenderedPageBreak/>
        <w:t>application of Article 34. The CJEU’s approach must continue evolving to address the complexities of a modern, integrated EU market while respecting the diversity of national regulatory frameworks.</w:t>
      </w:r>
    </w:p>
    <w:p w14:paraId="22AB2877" w14:textId="17EDC793" w:rsidR="00725462" w:rsidRPr="00725462" w:rsidRDefault="00DC4CEA" w:rsidP="00725462">
      <w:pPr>
        <w:pStyle w:val="Heading3"/>
        <w:rPr>
          <w:rFonts w:ascii="Times New Roman" w:eastAsia="Times New Roman" w:hAnsi="Times New Roman" w:cs="Times New Roman"/>
          <w:b/>
          <w:bCs/>
          <w:color w:val="000000" w:themeColor="text1"/>
          <w:sz w:val="24"/>
          <w:szCs w:val="24"/>
          <w:lang w:val="en-HK"/>
        </w:rPr>
      </w:pPr>
      <w:r w:rsidRPr="00DC4CEA">
        <w:rPr>
          <w:rFonts w:ascii="Times New Roman" w:hAnsi="Times New Roman" w:cs="Times New Roman"/>
          <w:noProof/>
          <w:color w:val="000000" w:themeColor="text1"/>
          <w:sz w:val="24"/>
          <w:szCs w:val="24"/>
          <w:lang w:val="en-HK"/>
          <w14:ligatures w14:val="standardContextual"/>
        </w:rPr>
        <w:pict w14:anchorId="25FD8933">
          <v:rect id="_x0000_i1035" alt="" style="width:451.3pt;height:.05pt;mso-width-percent:0;mso-height-percent:0;mso-width-percent:0;mso-height-percent:0" o:hralign="center" o:hrstd="t" o:hr="t" fillcolor="#a0a0a0" stroked="f"/>
        </w:pict>
      </w:r>
      <w:r w:rsidR="00725462" w:rsidRPr="00725462">
        <w:rPr>
          <w:rFonts w:ascii="Times New Roman" w:eastAsia="Times New Roman" w:hAnsi="Times New Roman" w:cs="Times New Roman"/>
          <w:b/>
          <w:bCs/>
          <w:color w:val="000000" w:themeColor="text1"/>
          <w:sz w:val="24"/>
          <w:szCs w:val="24"/>
          <w:lang w:val="en-HK"/>
        </w:rPr>
        <w:t>3. Challenges: Addressing the Scope and Application of Article 34 TFEU</w:t>
      </w:r>
    </w:p>
    <w:p w14:paraId="1B3C1967"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1. Overreach and Subsidiarity</w:t>
      </w:r>
    </w:p>
    <w:p w14:paraId="6BA7496D"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 xml:space="preserve">A. Broad Scope of the </w:t>
      </w:r>
      <w:proofErr w:type="spellStart"/>
      <w:r w:rsidRPr="00725462">
        <w:rPr>
          <w:rFonts w:ascii="Times New Roman" w:hAnsi="Times New Roman"/>
          <w:b/>
          <w:bCs/>
          <w:color w:val="000000" w:themeColor="text1"/>
          <w:lang w:val="en-HK"/>
        </w:rPr>
        <w:t>Dassonville</w:t>
      </w:r>
      <w:proofErr w:type="spellEnd"/>
      <w:r w:rsidRPr="00725462">
        <w:rPr>
          <w:rFonts w:ascii="Times New Roman" w:hAnsi="Times New Roman"/>
          <w:b/>
          <w:bCs/>
          <w:color w:val="000000" w:themeColor="text1"/>
          <w:lang w:val="en-HK"/>
        </w:rPr>
        <w:t xml:space="preserve"> Formula</w:t>
      </w:r>
    </w:p>
    <w:p w14:paraId="0BB8BF9B"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expansive interpretation in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established that “all trading rules ... capable of hindering, directly or indirectly, actually or potentially, intra-[Union] trade” are prohibited as MEQRs (European Law Journal,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2018). This formulation brought even non-discriminatory measures within the purview of Article 34, significantly broadening its scope.</w:t>
      </w:r>
    </w:p>
    <w:p w14:paraId="499B4B17" w14:textId="77777777" w:rsidR="00725462" w:rsidRPr="00725462" w:rsidRDefault="00725462" w:rsidP="00725462">
      <w:pPr>
        <w:numPr>
          <w:ilvl w:val="0"/>
          <w:numId w:val="33"/>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Critique of Overreach</w:t>
      </w:r>
      <w:r w:rsidRPr="00725462">
        <w:rPr>
          <w:rFonts w:ascii="Times New Roman" w:hAnsi="Times New Roman"/>
          <w:color w:val="000000" w:themeColor="text1"/>
          <w:lang w:val="en-HK"/>
        </w:rPr>
        <w:t>:</w:t>
      </w:r>
    </w:p>
    <w:p w14:paraId="659C8A85" w14:textId="77777777" w:rsidR="00725462" w:rsidRPr="00725462" w:rsidRDefault="00725462" w:rsidP="00725462">
      <w:pPr>
        <w:numPr>
          <w:ilvl w:val="1"/>
          <w:numId w:val="33"/>
        </w:numPr>
        <w:spacing w:before="100" w:beforeAutospacing="1" w:after="100" w:afterAutospacing="1"/>
        <w:rPr>
          <w:rFonts w:ascii="Times New Roman" w:hAnsi="Times New Roman"/>
          <w:color w:val="000000" w:themeColor="text1"/>
          <w:lang w:val="en-HK"/>
        </w:rPr>
      </w:pP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xml:space="preserve"> describes the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formula as a "hyper-liberal" approach that risks overregulating Member States' ability to legislate for legitimate policy goals (European Law Journal,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xml:space="preserve">, 2018). This breadth undermines the subsidiarity principle, which is central to preserving national autonomy (European Law Review, </w:t>
      </w:r>
      <w:proofErr w:type="spellStart"/>
      <w:r w:rsidRPr="00725462">
        <w:rPr>
          <w:rFonts w:ascii="Times New Roman" w:hAnsi="Times New Roman"/>
          <w:color w:val="000000" w:themeColor="text1"/>
          <w:lang w:val="en-HK"/>
        </w:rPr>
        <w:t>Lianos</w:t>
      </w:r>
      <w:proofErr w:type="spellEnd"/>
      <w:r w:rsidRPr="00725462">
        <w:rPr>
          <w:rFonts w:ascii="Times New Roman" w:hAnsi="Times New Roman"/>
          <w:color w:val="000000" w:themeColor="text1"/>
          <w:lang w:val="en-HK"/>
        </w:rPr>
        <w:t>, 2015).</w:t>
      </w:r>
    </w:p>
    <w:p w14:paraId="417AF000" w14:textId="77777777" w:rsidR="00725462" w:rsidRPr="00725462" w:rsidRDefault="00725462" w:rsidP="00725462">
      <w:pPr>
        <w:numPr>
          <w:ilvl w:val="1"/>
          <w:numId w:val="33"/>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Horsley notes that the Court’s wide interpretation of MEQRs disrupts the balance between negative integration (removing trade barriers) and respecting national regulatory powers. This expansive approach could transform Article 34 into a de facto "economic due process clause" (European Law Review, Horsley, 2012).</w:t>
      </w:r>
    </w:p>
    <w:p w14:paraId="2456081E" w14:textId="77777777" w:rsidR="00725462" w:rsidRPr="00725462" w:rsidRDefault="00725462" w:rsidP="00725462">
      <w:pPr>
        <w:numPr>
          <w:ilvl w:val="0"/>
          <w:numId w:val="33"/>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Case Example</w:t>
      </w:r>
      <w:r w:rsidRPr="00725462">
        <w:rPr>
          <w:rFonts w:ascii="Times New Roman" w:hAnsi="Times New Roman"/>
          <w:color w:val="000000" w:themeColor="text1"/>
          <w:lang w:val="en-HK"/>
        </w:rPr>
        <w:t>:</w:t>
      </w:r>
    </w:p>
    <w:p w14:paraId="138231C1" w14:textId="77777777" w:rsidR="00725462" w:rsidRPr="00725462" w:rsidRDefault="00725462" w:rsidP="00725462">
      <w:pPr>
        <w:numPr>
          <w:ilvl w:val="1"/>
          <w:numId w:val="33"/>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In </w:t>
      </w:r>
      <w:r w:rsidRPr="00725462">
        <w:rPr>
          <w:rFonts w:ascii="Times New Roman" w:hAnsi="Times New Roman"/>
          <w:i/>
          <w:iCs/>
          <w:color w:val="000000" w:themeColor="text1"/>
          <w:lang w:val="en-HK"/>
        </w:rPr>
        <w:t>Cassis de Dijon</w:t>
      </w:r>
      <w:r w:rsidRPr="00725462">
        <w:rPr>
          <w:rFonts w:ascii="Times New Roman" w:hAnsi="Times New Roman"/>
          <w:color w:val="000000" w:themeColor="text1"/>
          <w:lang w:val="en-HK"/>
        </w:rPr>
        <w:t xml:space="preserve"> (Case 120/78), the Court attempted to address these concerns by introducing mandatory requirements, allowing Member States to justify non-discriminatory measures based on legitimate public interests such as consumer protection and public health (European Law Review, Gormley, 2015). However, the breadth of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still influences the assessment of national rules.</w:t>
      </w:r>
    </w:p>
    <w:p w14:paraId="04BB7E33"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B. Inconsistencies in Jurisprudence Post-Keck</w:t>
      </w:r>
    </w:p>
    <w:p w14:paraId="27E53023"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w:t>
      </w:r>
      <w:r w:rsidRPr="00725462">
        <w:rPr>
          <w:rFonts w:ascii="Times New Roman" w:hAnsi="Times New Roman"/>
          <w:i/>
          <w:iCs/>
          <w:color w:val="000000" w:themeColor="text1"/>
          <w:lang w:val="en-HK"/>
        </w:rPr>
        <w:t>Keck</w:t>
      </w:r>
      <w:r w:rsidRPr="00725462">
        <w:rPr>
          <w:rFonts w:ascii="Times New Roman" w:hAnsi="Times New Roman"/>
          <w:color w:val="000000" w:themeColor="text1"/>
          <w:lang w:val="en-HK"/>
        </w:rPr>
        <w:t xml:space="preserve"> judgment (Cases C-267/91 and C-268/91) sought to limit Article 34’s reach by distinguishing product requirements from selling arrangements. The latter were excluded from the scope of Article 34 if they applied equally in law and fact to domestic and imported goods.</w:t>
      </w:r>
    </w:p>
    <w:p w14:paraId="1E747EBE" w14:textId="77777777" w:rsidR="00725462" w:rsidRPr="00725462" w:rsidRDefault="00725462" w:rsidP="00725462">
      <w:pPr>
        <w:numPr>
          <w:ilvl w:val="0"/>
          <w:numId w:val="34"/>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Challenges in Implementation</w:t>
      </w:r>
      <w:r w:rsidRPr="00725462">
        <w:rPr>
          <w:rFonts w:ascii="Times New Roman" w:hAnsi="Times New Roman"/>
          <w:color w:val="000000" w:themeColor="text1"/>
          <w:lang w:val="en-HK"/>
        </w:rPr>
        <w:t>:</w:t>
      </w:r>
    </w:p>
    <w:p w14:paraId="762EF232" w14:textId="77777777" w:rsidR="00725462" w:rsidRPr="00725462" w:rsidRDefault="00725462" w:rsidP="00725462">
      <w:pPr>
        <w:numPr>
          <w:ilvl w:val="1"/>
          <w:numId w:val="34"/>
        </w:numPr>
        <w:spacing w:before="100" w:beforeAutospacing="1" w:after="100" w:afterAutospacing="1"/>
        <w:rPr>
          <w:rFonts w:ascii="Times New Roman" w:hAnsi="Times New Roman"/>
          <w:color w:val="000000" w:themeColor="text1"/>
          <w:lang w:val="en-HK"/>
        </w:rPr>
      </w:pPr>
      <w:proofErr w:type="spellStart"/>
      <w:r w:rsidRPr="00725462">
        <w:rPr>
          <w:rFonts w:ascii="Times New Roman" w:hAnsi="Times New Roman"/>
          <w:color w:val="000000" w:themeColor="text1"/>
          <w:lang w:val="en-HK"/>
        </w:rPr>
        <w:t>Spaventa</w:t>
      </w:r>
      <w:proofErr w:type="spellEnd"/>
      <w:r w:rsidRPr="00725462">
        <w:rPr>
          <w:rFonts w:ascii="Times New Roman" w:hAnsi="Times New Roman"/>
          <w:color w:val="000000" w:themeColor="text1"/>
          <w:lang w:val="en-HK"/>
        </w:rPr>
        <w:t xml:space="preserve"> critiques </w:t>
      </w:r>
      <w:r w:rsidRPr="00725462">
        <w:rPr>
          <w:rFonts w:ascii="Times New Roman" w:hAnsi="Times New Roman"/>
          <w:i/>
          <w:iCs/>
          <w:color w:val="000000" w:themeColor="text1"/>
          <w:lang w:val="en-HK"/>
        </w:rPr>
        <w:t>Keck</w:t>
      </w:r>
      <w:r w:rsidRPr="00725462">
        <w:rPr>
          <w:rFonts w:ascii="Times New Roman" w:hAnsi="Times New Roman"/>
          <w:color w:val="000000" w:themeColor="text1"/>
          <w:lang w:val="en-HK"/>
        </w:rPr>
        <w:t xml:space="preserve"> for its artificial distinctions, arguing that selling arrangements often indirectly impact market access. This inconsistency has led to contradictory judgments, as seen in </w:t>
      </w:r>
      <w:proofErr w:type="spellStart"/>
      <w:r w:rsidRPr="00725462">
        <w:rPr>
          <w:rFonts w:ascii="Times New Roman" w:hAnsi="Times New Roman"/>
          <w:i/>
          <w:iCs/>
          <w:color w:val="000000" w:themeColor="text1"/>
          <w:lang w:val="en-HK"/>
        </w:rPr>
        <w:t>Mickelsson</w:t>
      </w:r>
      <w:proofErr w:type="spellEnd"/>
      <w:r w:rsidRPr="00725462">
        <w:rPr>
          <w:rFonts w:ascii="Times New Roman" w:hAnsi="Times New Roman"/>
          <w:i/>
          <w:iCs/>
          <w:color w:val="000000" w:themeColor="text1"/>
          <w:lang w:val="en-HK"/>
        </w:rPr>
        <w:t xml:space="preserve"> and </w:t>
      </w:r>
      <w:proofErr w:type="spellStart"/>
      <w:r w:rsidRPr="00725462">
        <w:rPr>
          <w:rFonts w:ascii="Times New Roman" w:hAnsi="Times New Roman"/>
          <w:i/>
          <w:iCs/>
          <w:color w:val="000000" w:themeColor="text1"/>
          <w:lang w:val="en-HK"/>
        </w:rPr>
        <w:t>Roos</w:t>
      </w:r>
      <w:proofErr w:type="spellEnd"/>
      <w:r w:rsidRPr="00725462">
        <w:rPr>
          <w:rFonts w:ascii="Times New Roman" w:hAnsi="Times New Roman"/>
          <w:color w:val="000000" w:themeColor="text1"/>
          <w:lang w:val="en-HK"/>
        </w:rPr>
        <w:t xml:space="preserve"> (Case C-142/05) and </w:t>
      </w:r>
      <w:r w:rsidRPr="00725462">
        <w:rPr>
          <w:rFonts w:ascii="Times New Roman" w:hAnsi="Times New Roman"/>
          <w:i/>
          <w:iCs/>
          <w:color w:val="000000" w:themeColor="text1"/>
          <w:lang w:val="en-HK"/>
        </w:rPr>
        <w:t>Italian Trailers</w:t>
      </w:r>
      <w:r w:rsidRPr="00725462">
        <w:rPr>
          <w:rFonts w:ascii="Times New Roman" w:hAnsi="Times New Roman"/>
          <w:color w:val="000000" w:themeColor="text1"/>
          <w:lang w:val="en-HK"/>
        </w:rPr>
        <w:t xml:space="preserve"> (Case C-110/05), where the Court reverted to a broader market access approach (European Law Review, </w:t>
      </w:r>
      <w:proofErr w:type="spellStart"/>
      <w:r w:rsidRPr="00725462">
        <w:rPr>
          <w:rFonts w:ascii="Times New Roman" w:hAnsi="Times New Roman"/>
          <w:color w:val="000000" w:themeColor="text1"/>
          <w:lang w:val="en-HK"/>
        </w:rPr>
        <w:t>Spaventa</w:t>
      </w:r>
      <w:proofErr w:type="spellEnd"/>
      <w:r w:rsidRPr="00725462">
        <w:rPr>
          <w:rFonts w:ascii="Times New Roman" w:hAnsi="Times New Roman"/>
          <w:color w:val="000000" w:themeColor="text1"/>
          <w:lang w:val="en-HK"/>
        </w:rPr>
        <w:t>, 2009).</w:t>
      </w:r>
    </w:p>
    <w:p w14:paraId="020E6AB1" w14:textId="77777777" w:rsidR="00725462" w:rsidRPr="00725462" w:rsidRDefault="00725462" w:rsidP="00725462">
      <w:pPr>
        <w:numPr>
          <w:ilvl w:val="1"/>
          <w:numId w:val="34"/>
        </w:numPr>
        <w:spacing w:before="100" w:beforeAutospacing="1" w:after="100" w:afterAutospacing="1"/>
        <w:rPr>
          <w:rFonts w:ascii="Times New Roman" w:hAnsi="Times New Roman"/>
          <w:color w:val="000000" w:themeColor="text1"/>
          <w:lang w:val="en-HK"/>
        </w:rPr>
      </w:pPr>
      <w:proofErr w:type="spellStart"/>
      <w:r w:rsidRPr="00725462">
        <w:rPr>
          <w:rFonts w:ascii="Times New Roman" w:hAnsi="Times New Roman"/>
          <w:color w:val="000000" w:themeColor="text1"/>
          <w:lang w:val="en-HK"/>
        </w:rPr>
        <w:lastRenderedPageBreak/>
        <w:t>Lianos</w:t>
      </w:r>
      <w:proofErr w:type="spellEnd"/>
      <w:r w:rsidRPr="00725462">
        <w:rPr>
          <w:rFonts w:ascii="Times New Roman" w:hAnsi="Times New Roman"/>
          <w:color w:val="000000" w:themeColor="text1"/>
          <w:lang w:val="en-HK"/>
        </w:rPr>
        <w:t xml:space="preserve"> highlights how </w:t>
      </w:r>
      <w:r w:rsidRPr="00725462">
        <w:rPr>
          <w:rFonts w:ascii="Times New Roman" w:hAnsi="Times New Roman"/>
          <w:i/>
          <w:iCs/>
          <w:color w:val="000000" w:themeColor="text1"/>
          <w:lang w:val="en-HK"/>
        </w:rPr>
        <w:t>Keck</w:t>
      </w:r>
      <w:r w:rsidRPr="00725462">
        <w:rPr>
          <w:rFonts w:ascii="Times New Roman" w:hAnsi="Times New Roman"/>
          <w:color w:val="000000" w:themeColor="text1"/>
          <w:lang w:val="en-HK"/>
        </w:rPr>
        <w:t xml:space="preserve"> failed to address measures that disproportionately impact imports despite being non-discriminatory. This has created uncertainty for both traders and Member States (European Law Review, </w:t>
      </w:r>
      <w:proofErr w:type="spellStart"/>
      <w:r w:rsidRPr="00725462">
        <w:rPr>
          <w:rFonts w:ascii="Times New Roman" w:hAnsi="Times New Roman"/>
          <w:color w:val="000000" w:themeColor="text1"/>
          <w:lang w:val="en-HK"/>
        </w:rPr>
        <w:t>Lianos</w:t>
      </w:r>
      <w:proofErr w:type="spellEnd"/>
      <w:r w:rsidRPr="00725462">
        <w:rPr>
          <w:rFonts w:ascii="Times New Roman" w:hAnsi="Times New Roman"/>
          <w:color w:val="000000" w:themeColor="text1"/>
          <w:lang w:val="en-HK"/>
        </w:rPr>
        <w:t>, 2015).</w:t>
      </w:r>
    </w:p>
    <w:p w14:paraId="7E1FCBCF" w14:textId="77777777" w:rsidR="00725462" w:rsidRPr="00725462" w:rsidRDefault="00725462" w:rsidP="00725462">
      <w:pPr>
        <w:numPr>
          <w:ilvl w:val="0"/>
          <w:numId w:val="34"/>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Return to Market Access</w:t>
      </w:r>
      <w:r w:rsidRPr="00725462">
        <w:rPr>
          <w:rFonts w:ascii="Times New Roman" w:hAnsi="Times New Roman"/>
          <w:color w:val="000000" w:themeColor="text1"/>
          <w:lang w:val="en-HK"/>
        </w:rPr>
        <w:t>:</w:t>
      </w:r>
    </w:p>
    <w:p w14:paraId="24DAB74B" w14:textId="77777777" w:rsidR="00725462" w:rsidRPr="00725462" w:rsidRDefault="00725462" w:rsidP="00725462">
      <w:pPr>
        <w:numPr>
          <w:ilvl w:val="1"/>
          <w:numId w:val="34"/>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Court’s renewed emphasis on market access in cases like </w:t>
      </w:r>
      <w:r w:rsidRPr="00725462">
        <w:rPr>
          <w:rFonts w:ascii="Times New Roman" w:hAnsi="Times New Roman"/>
          <w:i/>
          <w:iCs/>
          <w:color w:val="000000" w:themeColor="text1"/>
          <w:lang w:val="en-HK"/>
        </w:rPr>
        <w:t>Italian Trailers</w:t>
      </w:r>
      <w:r w:rsidRPr="00725462">
        <w:rPr>
          <w:rFonts w:ascii="Times New Roman" w:hAnsi="Times New Roman"/>
          <w:color w:val="000000" w:themeColor="text1"/>
          <w:lang w:val="en-HK"/>
        </w:rPr>
        <w:t xml:space="preserve"> risks reintroducing the broad scope of </w:t>
      </w:r>
      <w:proofErr w:type="spellStart"/>
      <w:r w:rsidRPr="00725462">
        <w:rPr>
          <w:rFonts w:ascii="Times New Roman" w:hAnsi="Times New Roman"/>
          <w:i/>
          <w:iCs/>
          <w:color w:val="000000" w:themeColor="text1"/>
          <w:lang w:val="en-HK"/>
        </w:rPr>
        <w:t>Dassonville</w:t>
      </w:r>
      <w:proofErr w:type="spellEnd"/>
      <w:r w:rsidRPr="00725462">
        <w:rPr>
          <w:rFonts w:ascii="Times New Roman" w:hAnsi="Times New Roman"/>
          <w:color w:val="000000" w:themeColor="text1"/>
          <w:lang w:val="en-HK"/>
        </w:rPr>
        <w:t xml:space="preserve">, undermining the stabilizing effects of </w:t>
      </w:r>
      <w:r w:rsidRPr="00725462">
        <w:rPr>
          <w:rFonts w:ascii="Times New Roman" w:hAnsi="Times New Roman"/>
          <w:i/>
          <w:iCs/>
          <w:color w:val="000000" w:themeColor="text1"/>
          <w:lang w:val="en-HK"/>
        </w:rPr>
        <w:t>Keck</w:t>
      </w:r>
      <w:r w:rsidRPr="00725462">
        <w:rPr>
          <w:rFonts w:ascii="Times New Roman" w:hAnsi="Times New Roman"/>
          <w:color w:val="000000" w:themeColor="text1"/>
          <w:lang w:val="en-HK"/>
        </w:rPr>
        <w:t xml:space="preserve"> (European Law Review,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2016).</w:t>
      </w:r>
    </w:p>
    <w:p w14:paraId="75B682A6" w14:textId="77777777" w:rsidR="00725462" w:rsidRPr="00725462" w:rsidRDefault="00DC4CEA" w:rsidP="00725462">
      <w:pPr>
        <w:rPr>
          <w:rFonts w:ascii="Times New Roman" w:hAnsi="Times New Roman"/>
          <w:color w:val="000000" w:themeColor="text1"/>
          <w:lang w:val="en-HK"/>
        </w:rPr>
      </w:pPr>
      <w:r w:rsidRPr="00DC4CEA">
        <w:rPr>
          <w:rFonts w:ascii="Times New Roman" w:hAnsi="Times New Roman"/>
          <w:noProof/>
          <w:color w:val="000000" w:themeColor="text1"/>
          <w:lang w:val="en-HK"/>
          <w14:ligatures w14:val="standardContextual"/>
        </w:rPr>
        <w:pict w14:anchorId="52CE7600">
          <v:rect id="_x0000_i1034" alt="" style="width:451.3pt;height:.05pt;mso-width-percent:0;mso-height-percent:0;mso-width-percent:0;mso-height-percent:0" o:hralign="center" o:hrstd="t" o:hr="t" fillcolor="#a0a0a0" stroked="f"/>
        </w:pict>
      </w:r>
    </w:p>
    <w:p w14:paraId="75BF024D"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2. Balancing Market Integration and National Autonomy</w:t>
      </w:r>
    </w:p>
    <w:p w14:paraId="3BC848AC"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A. The Market Access Approach</w:t>
      </w:r>
    </w:p>
    <w:p w14:paraId="0D98BC57"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The market access approach assesses whether a measure hinders access to the market, even if it applies equally to domestic and imported goods. While this approach promotes trade integration, it also increases scrutiny on Member States’ regulatory choices.</w:t>
      </w:r>
    </w:p>
    <w:p w14:paraId="377DFE84" w14:textId="77777777" w:rsidR="00725462" w:rsidRPr="00725462" w:rsidRDefault="00725462" w:rsidP="00725462">
      <w:pPr>
        <w:numPr>
          <w:ilvl w:val="0"/>
          <w:numId w:val="35"/>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Tensions with National Sovereignty</w:t>
      </w:r>
      <w:r w:rsidRPr="00725462">
        <w:rPr>
          <w:rFonts w:ascii="Times New Roman" w:hAnsi="Times New Roman"/>
          <w:color w:val="000000" w:themeColor="text1"/>
          <w:lang w:val="en-HK"/>
        </w:rPr>
        <w:t>:</w:t>
      </w:r>
    </w:p>
    <w:p w14:paraId="7799EE88" w14:textId="77777777" w:rsidR="00725462" w:rsidRPr="00725462" w:rsidRDefault="00725462" w:rsidP="00725462">
      <w:pPr>
        <w:numPr>
          <w:ilvl w:val="1"/>
          <w:numId w:val="35"/>
        </w:numPr>
        <w:spacing w:before="100" w:beforeAutospacing="1" w:after="100" w:afterAutospacing="1"/>
        <w:rPr>
          <w:rFonts w:ascii="Times New Roman" w:hAnsi="Times New Roman"/>
          <w:color w:val="000000" w:themeColor="text1"/>
          <w:lang w:val="en-HK"/>
        </w:rPr>
      </w:pP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xml:space="preserve"> criticizes the market access approach for treating regulatory diversity as inherently suspect, potentially undermining legitimate national objectives (European Law Review, </w:t>
      </w: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2018).</w:t>
      </w:r>
    </w:p>
    <w:p w14:paraId="6760DCC7" w14:textId="77777777" w:rsidR="00725462" w:rsidRPr="00725462" w:rsidRDefault="00725462" w:rsidP="00725462">
      <w:pPr>
        <w:numPr>
          <w:ilvl w:val="1"/>
          <w:numId w:val="35"/>
        </w:numPr>
        <w:spacing w:before="100" w:beforeAutospacing="1" w:after="100" w:afterAutospacing="1"/>
        <w:rPr>
          <w:rFonts w:ascii="Times New Roman" w:hAnsi="Times New Roman"/>
          <w:color w:val="000000" w:themeColor="text1"/>
          <w:lang w:val="en-HK"/>
        </w:rPr>
      </w:pP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xml:space="preserve"> contends that the approach risks conflating market integration with deregulation, which could erode Member States’ ability to legislate for social and economic policy goals (European Law Journal, </w:t>
      </w:r>
      <w:proofErr w:type="spellStart"/>
      <w:r w:rsidRPr="00725462">
        <w:rPr>
          <w:rFonts w:ascii="Times New Roman" w:hAnsi="Times New Roman"/>
          <w:color w:val="000000" w:themeColor="text1"/>
          <w:lang w:val="en-HK"/>
        </w:rPr>
        <w:t>Schütze</w:t>
      </w:r>
      <w:proofErr w:type="spellEnd"/>
      <w:r w:rsidRPr="00725462">
        <w:rPr>
          <w:rFonts w:ascii="Times New Roman" w:hAnsi="Times New Roman"/>
          <w:color w:val="000000" w:themeColor="text1"/>
          <w:lang w:val="en-HK"/>
        </w:rPr>
        <w:t>, 2018).</w:t>
      </w:r>
    </w:p>
    <w:p w14:paraId="0A02A46D" w14:textId="77777777" w:rsidR="00725462" w:rsidRPr="00725462" w:rsidRDefault="00725462" w:rsidP="00725462">
      <w:pPr>
        <w:numPr>
          <w:ilvl w:val="0"/>
          <w:numId w:val="35"/>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Proportionality as a Safeguard</w:t>
      </w:r>
      <w:r w:rsidRPr="00725462">
        <w:rPr>
          <w:rFonts w:ascii="Times New Roman" w:hAnsi="Times New Roman"/>
          <w:color w:val="000000" w:themeColor="text1"/>
          <w:lang w:val="en-HK"/>
        </w:rPr>
        <w:t>:</w:t>
      </w:r>
    </w:p>
    <w:p w14:paraId="226A8CD1" w14:textId="77777777" w:rsidR="00725462" w:rsidRPr="00725462" w:rsidRDefault="00725462" w:rsidP="00725462">
      <w:pPr>
        <w:numPr>
          <w:ilvl w:val="1"/>
          <w:numId w:val="35"/>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Proportionality is essential in balancing integration with autonomy. </w:t>
      </w:r>
      <w:proofErr w:type="spellStart"/>
      <w:r w:rsidRPr="00725462">
        <w:rPr>
          <w:rFonts w:ascii="Times New Roman" w:hAnsi="Times New Roman"/>
          <w:color w:val="000000" w:themeColor="text1"/>
          <w:lang w:val="en-HK"/>
        </w:rPr>
        <w:t>Lianos</w:t>
      </w:r>
      <w:proofErr w:type="spellEnd"/>
      <w:r w:rsidRPr="00725462">
        <w:rPr>
          <w:rFonts w:ascii="Times New Roman" w:hAnsi="Times New Roman"/>
          <w:color w:val="000000" w:themeColor="text1"/>
          <w:lang w:val="en-HK"/>
        </w:rPr>
        <w:t xml:space="preserve"> emphasizes that national measures must pursue legitimate objectives and use the least restrictive means. However, he critiques the Court for providing insufficient guidance on proportionality, leaving Member States uncertain about the validity of their measures (European Law Review, </w:t>
      </w:r>
      <w:proofErr w:type="spellStart"/>
      <w:r w:rsidRPr="00725462">
        <w:rPr>
          <w:rFonts w:ascii="Times New Roman" w:hAnsi="Times New Roman"/>
          <w:color w:val="000000" w:themeColor="text1"/>
          <w:lang w:val="en-HK"/>
        </w:rPr>
        <w:t>Lianos</w:t>
      </w:r>
      <w:proofErr w:type="spellEnd"/>
      <w:r w:rsidRPr="00725462">
        <w:rPr>
          <w:rFonts w:ascii="Times New Roman" w:hAnsi="Times New Roman"/>
          <w:color w:val="000000" w:themeColor="text1"/>
          <w:lang w:val="en-HK"/>
        </w:rPr>
        <w:t>, 2015).</w:t>
      </w:r>
    </w:p>
    <w:p w14:paraId="6CA8EFA3"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B. Subsidiarity Concerns</w:t>
      </w:r>
    </w:p>
    <w:p w14:paraId="27FE2585"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The broad application of Article 34 has raised concerns about the erosion of subsidiarity, a principle meant to protect national regulatory autonomy. Gormley argues that the Court's expansive interpretation disproportionately encroaches on Member States' competence, particularly in areas like public health and safety regulation (European Law Review, Gormley, 2015).</w:t>
      </w:r>
    </w:p>
    <w:p w14:paraId="5BF228F8" w14:textId="77777777" w:rsidR="00725462" w:rsidRPr="00725462" w:rsidRDefault="00DC4CEA" w:rsidP="00725462">
      <w:pPr>
        <w:rPr>
          <w:rFonts w:ascii="Times New Roman" w:hAnsi="Times New Roman"/>
          <w:color w:val="000000" w:themeColor="text1"/>
          <w:lang w:val="en-HK"/>
        </w:rPr>
      </w:pPr>
      <w:r w:rsidRPr="00DC4CEA">
        <w:rPr>
          <w:rFonts w:ascii="Times New Roman" w:hAnsi="Times New Roman"/>
          <w:noProof/>
          <w:color w:val="000000" w:themeColor="text1"/>
          <w:lang w:val="en-HK"/>
          <w14:ligatures w14:val="standardContextual"/>
        </w:rPr>
        <w:pict w14:anchorId="5591AEB2">
          <v:rect id="_x0000_i1033" alt="" style="width:451.3pt;height:.05pt;mso-width-percent:0;mso-height-percent:0;mso-width-percent:0;mso-height-percent:0" o:hralign="center" o:hrstd="t" o:hr="t" fillcolor="#a0a0a0" stroked="f"/>
        </w:pict>
      </w:r>
    </w:p>
    <w:p w14:paraId="741AA122"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3. Horizontal Scope and Private Regulation</w:t>
      </w:r>
    </w:p>
    <w:p w14:paraId="3CA49CE6"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A. Extending Article 34 to Private Entities</w:t>
      </w:r>
    </w:p>
    <w:p w14:paraId="1223EDA9"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Traditionally, Article 34 has been applied vertically, targeting state measures. However, cases like </w:t>
      </w:r>
      <w:r w:rsidRPr="00725462">
        <w:rPr>
          <w:rFonts w:ascii="Times New Roman" w:hAnsi="Times New Roman"/>
          <w:i/>
          <w:iCs/>
          <w:color w:val="000000" w:themeColor="text1"/>
          <w:lang w:val="en-HK"/>
        </w:rPr>
        <w:t>Fra.bo</w:t>
      </w:r>
      <w:r w:rsidRPr="00725462">
        <w:rPr>
          <w:rFonts w:ascii="Times New Roman" w:hAnsi="Times New Roman"/>
          <w:color w:val="000000" w:themeColor="text1"/>
          <w:lang w:val="en-HK"/>
        </w:rPr>
        <w:t xml:space="preserve"> (Case C-171/11) suggest potential horizontal applicability when private entities exercise significant control over market access.</w:t>
      </w:r>
    </w:p>
    <w:p w14:paraId="07613887" w14:textId="77777777" w:rsidR="00725462" w:rsidRPr="00725462" w:rsidRDefault="00725462" w:rsidP="00725462">
      <w:pPr>
        <w:numPr>
          <w:ilvl w:val="0"/>
          <w:numId w:val="36"/>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lastRenderedPageBreak/>
        <w:t>Implications of Horizontal Effect</w:t>
      </w:r>
      <w:r w:rsidRPr="00725462">
        <w:rPr>
          <w:rFonts w:ascii="Times New Roman" w:hAnsi="Times New Roman"/>
          <w:color w:val="000000" w:themeColor="text1"/>
          <w:lang w:val="en-HK"/>
        </w:rPr>
        <w:t>:</w:t>
      </w:r>
    </w:p>
    <w:p w14:paraId="37C23523" w14:textId="77777777" w:rsidR="00725462" w:rsidRPr="00725462" w:rsidRDefault="00725462" w:rsidP="00725462">
      <w:pPr>
        <w:numPr>
          <w:ilvl w:val="1"/>
          <w:numId w:val="36"/>
        </w:numPr>
        <w:spacing w:before="100" w:beforeAutospacing="1" w:after="100" w:afterAutospacing="1"/>
        <w:rPr>
          <w:rFonts w:ascii="Times New Roman" w:hAnsi="Times New Roman"/>
          <w:color w:val="000000" w:themeColor="text1"/>
          <w:lang w:val="en-HK"/>
        </w:rPr>
      </w:pPr>
      <w:proofErr w:type="spellStart"/>
      <w:r w:rsidRPr="00725462">
        <w:rPr>
          <w:rFonts w:ascii="Times New Roman" w:hAnsi="Times New Roman"/>
          <w:color w:val="000000" w:themeColor="text1"/>
          <w:lang w:val="en-HK"/>
        </w:rPr>
        <w:t>Krenn</w:t>
      </w:r>
      <w:proofErr w:type="spellEnd"/>
      <w:r w:rsidRPr="00725462">
        <w:rPr>
          <w:rFonts w:ascii="Times New Roman" w:hAnsi="Times New Roman"/>
          <w:color w:val="000000" w:themeColor="text1"/>
          <w:lang w:val="en-HK"/>
        </w:rPr>
        <w:t xml:space="preserve"> highlights that extending Article 34 to private entities could dilute its focus and create enforcement challenges. The Court has avoided clearly defining the boundaries of horizontal effect, leaving ambiguity in its scope (Common Market Law Review, </w:t>
      </w:r>
      <w:proofErr w:type="spellStart"/>
      <w:r w:rsidRPr="00725462">
        <w:rPr>
          <w:rFonts w:ascii="Times New Roman" w:hAnsi="Times New Roman"/>
          <w:color w:val="000000" w:themeColor="text1"/>
          <w:lang w:val="en-HK"/>
        </w:rPr>
        <w:t>Krenn</w:t>
      </w:r>
      <w:proofErr w:type="spellEnd"/>
      <w:r w:rsidRPr="00725462">
        <w:rPr>
          <w:rFonts w:ascii="Times New Roman" w:hAnsi="Times New Roman"/>
          <w:color w:val="000000" w:themeColor="text1"/>
          <w:lang w:val="en-HK"/>
        </w:rPr>
        <w:t>, 2012).</w:t>
      </w:r>
    </w:p>
    <w:p w14:paraId="307D4BFE" w14:textId="77777777" w:rsidR="00725462" w:rsidRPr="00725462" w:rsidRDefault="00725462" w:rsidP="00725462">
      <w:pPr>
        <w:numPr>
          <w:ilvl w:val="0"/>
          <w:numId w:val="36"/>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Case Example</w:t>
      </w:r>
      <w:r w:rsidRPr="00725462">
        <w:rPr>
          <w:rFonts w:ascii="Times New Roman" w:hAnsi="Times New Roman"/>
          <w:color w:val="000000" w:themeColor="text1"/>
          <w:lang w:val="en-HK"/>
        </w:rPr>
        <w:t>:</w:t>
      </w:r>
    </w:p>
    <w:p w14:paraId="51D925AA" w14:textId="77777777" w:rsidR="00725462" w:rsidRPr="00725462" w:rsidRDefault="00725462" w:rsidP="00725462">
      <w:pPr>
        <w:numPr>
          <w:ilvl w:val="1"/>
          <w:numId w:val="36"/>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In </w:t>
      </w:r>
      <w:r w:rsidRPr="00725462">
        <w:rPr>
          <w:rFonts w:ascii="Times New Roman" w:hAnsi="Times New Roman"/>
          <w:i/>
          <w:iCs/>
          <w:color w:val="000000" w:themeColor="text1"/>
          <w:lang w:val="en-HK"/>
        </w:rPr>
        <w:t>Fra.bo</w:t>
      </w:r>
      <w:r w:rsidRPr="00725462">
        <w:rPr>
          <w:rFonts w:ascii="Times New Roman" w:hAnsi="Times New Roman"/>
          <w:color w:val="000000" w:themeColor="text1"/>
          <w:lang w:val="en-HK"/>
        </w:rPr>
        <w:t xml:space="preserve">, a private standardization body’s refusal to approve a product was found to breach Article 34. While this judgment highlights the importance of private regulatory bodies in maintaining market access, it also raises concerns about overburdening private actors with public law obligations (Common Market Law Review, </w:t>
      </w:r>
      <w:proofErr w:type="spellStart"/>
      <w:r w:rsidRPr="00725462">
        <w:rPr>
          <w:rFonts w:ascii="Times New Roman" w:hAnsi="Times New Roman"/>
          <w:color w:val="000000" w:themeColor="text1"/>
          <w:lang w:val="en-HK"/>
        </w:rPr>
        <w:t>Krenn</w:t>
      </w:r>
      <w:proofErr w:type="spellEnd"/>
      <w:r w:rsidRPr="00725462">
        <w:rPr>
          <w:rFonts w:ascii="Times New Roman" w:hAnsi="Times New Roman"/>
          <w:color w:val="000000" w:themeColor="text1"/>
          <w:lang w:val="en-HK"/>
        </w:rPr>
        <w:t>, 2012).</w:t>
      </w:r>
    </w:p>
    <w:p w14:paraId="1286D529" w14:textId="77777777" w:rsidR="00725462" w:rsidRPr="00725462" w:rsidRDefault="00DC4CEA" w:rsidP="00725462">
      <w:pPr>
        <w:rPr>
          <w:rFonts w:ascii="Times New Roman" w:hAnsi="Times New Roman"/>
          <w:color w:val="000000" w:themeColor="text1"/>
          <w:lang w:val="en-HK"/>
        </w:rPr>
      </w:pPr>
      <w:r w:rsidRPr="00DC4CEA">
        <w:rPr>
          <w:rFonts w:ascii="Times New Roman" w:hAnsi="Times New Roman"/>
          <w:noProof/>
          <w:color w:val="000000" w:themeColor="text1"/>
          <w:lang w:val="en-HK"/>
          <w14:ligatures w14:val="standardContextual"/>
        </w:rPr>
        <w:pict w14:anchorId="50E7D48E">
          <v:rect id="_x0000_i1032" alt="" style="width:451.3pt;height:.05pt;mso-width-percent:0;mso-height-percent:0;mso-width-percent:0;mso-height-percent:0" o:hralign="center" o:hrstd="t" o:hr="t" fillcolor="#a0a0a0" stroked="f"/>
        </w:pict>
      </w:r>
    </w:p>
    <w:p w14:paraId="59AC36AC"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4. Procedural and Practical Challenges</w:t>
      </w:r>
    </w:p>
    <w:p w14:paraId="3EBA47D7"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A. Reliance on Judicial Interpretation</w:t>
      </w:r>
    </w:p>
    <w:p w14:paraId="0B62D767"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The absence of comprehensive harmonized standards has placed significant reliance on judicial interpretation to address trade barriers. This reliance increases litigation and creates uncertainty for traders.</w:t>
      </w:r>
    </w:p>
    <w:p w14:paraId="69EE4B27" w14:textId="77777777" w:rsidR="00725462" w:rsidRPr="00725462" w:rsidRDefault="00725462" w:rsidP="00725462">
      <w:pPr>
        <w:numPr>
          <w:ilvl w:val="0"/>
          <w:numId w:val="37"/>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Case Example</w:t>
      </w:r>
      <w:r w:rsidRPr="00725462">
        <w:rPr>
          <w:rFonts w:ascii="Times New Roman" w:hAnsi="Times New Roman"/>
          <w:color w:val="000000" w:themeColor="text1"/>
          <w:lang w:val="en-HK"/>
        </w:rPr>
        <w:t>:</w:t>
      </w:r>
    </w:p>
    <w:p w14:paraId="75C614F8" w14:textId="77777777" w:rsidR="00725462" w:rsidRPr="00725462" w:rsidRDefault="00725462" w:rsidP="00725462">
      <w:pPr>
        <w:numPr>
          <w:ilvl w:val="1"/>
          <w:numId w:val="37"/>
        </w:num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In </w:t>
      </w:r>
      <w:r w:rsidRPr="00725462">
        <w:rPr>
          <w:rFonts w:ascii="Times New Roman" w:hAnsi="Times New Roman"/>
          <w:i/>
          <w:iCs/>
          <w:color w:val="000000" w:themeColor="text1"/>
          <w:lang w:val="en-HK"/>
        </w:rPr>
        <w:t>Noria</w:t>
      </w:r>
      <w:r w:rsidRPr="00725462">
        <w:rPr>
          <w:rFonts w:ascii="Times New Roman" w:hAnsi="Times New Roman"/>
          <w:color w:val="000000" w:themeColor="text1"/>
          <w:lang w:val="en-HK"/>
        </w:rPr>
        <w:t xml:space="preserve">, the Court highlighted the inefficiencies traders face when relying on litigation to challenge restrictive national rules. </w:t>
      </w: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xml:space="preserve"> critiques the lack of procedural harmonization, calling for more robust mechanisms to facilitate trade without resorting to the courts (European Law Review, </w:t>
      </w: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2018).</w:t>
      </w:r>
    </w:p>
    <w:p w14:paraId="4B1F6D52"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B. Administrative Burdens</w:t>
      </w:r>
    </w:p>
    <w:p w14:paraId="0FB1CCF7"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 xml:space="preserve">The current system disproportionately impacts small and medium-sized enterprises (SMEs), which often lack the resources to navigate complex litigation. </w:t>
      </w: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xml:space="preserve"> suggests expanding alternative dispute resolution mechanisms, such as SOLVIT, to address procedural inefficiencies (European Law Review, </w:t>
      </w: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2018).</w:t>
      </w:r>
    </w:p>
    <w:p w14:paraId="3310E1F8" w14:textId="77777777" w:rsidR="00725462" w:rsidRPr="00725462" w:rsidRDefault="00DC4CEA" w:rsidP="00725462">
      <w:pPr>
        <w:rPr>
          <w:rFonts w:ascii="Times New Roman" w:hAnsi="Times New Roman"/>
          <w:color w:val="000000" w:themeColor="text1"/>
          <w:lang w:val="en-HK"/>
        </w:rPr>
      </w:pPr>
      <w:r w:rsidRPr="00DC4CEA">
        <w:rPr>
          <w:rFonts w:ascii="Times New Roman" w:hAnsi="Times New Roman"/>
          <w:noProof/>
          <w:color w:val="000000" w:themeColor="text1"/>
          <w:lang w:val="en-HK"/>
          <w14:ligatures w14:val="standardContextual"/>
        </w:rPr>
        <w:pict w14:anchorId="68D22905">
          <v:rect id="_x0000_i1031" alt="" style="width:451.3pt;height:.05pt;mso-width-percent:0;mso-height-percent:0;mso-width-percent:0;mso-height-percent:0" o:hralign="center" o:hrstd="t" o:hr="t" fillcolor="#a0a0a0" stroked="f"/>
        </w:pict>
      </w:r>
    </w:p>
    <w:p w14:paraId="29B9B073"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5. Lack of Harmonization</w:t>
      </w:r>
    </w:p>
    <w:p w14:paraId="53B2FEF2" w14:textId="77777777" w:rsidR="00725462" w:rsidRPr="00725462" w:rsidRDefault="00725462" w:rsidP="00725462">
      <w:pPr>
        <w:spacing w:before="100" w:beforeAutospacing="1" w:after="100" w:afterAutospacing="1"/>
        <w:outlineLvl w:val="3"/>
        <w:rPr>
          <w:rFonts w:ascii="Times New Roman" w:hAnsi="Times New Roman"/>
          <w:b/>
          <w:bCs/>
          <w:color w:val="000000" w:themeColor="text1"/>
          <w:lang w:val="en-HK"/>
        </w:rPr>
      </w:pPr>
      <w:r w:rsidRPr="00725462">
        <w:rPr>
          <w:rFonts w:ascii="Times New Roman" w:hAnsi="Times New Roman"/>
          <w:b/>
          <w:bCs/>
          <w:color w:val="000000" w:themeColor="text1"/>
          <w:lang w:val="en-HK"/>
        </w:rPr>
        <w:t>A. Gaps in Substantive and Procedural Harmonization</w:t>
      </w:r>
    </w:p>
    <w:p w14:paraId="14EB7B95"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The reliance on judicial interpretation of Article 34 has exposed gaps in harmonized rules, particularly for technical regulations. These gaps create barriers to market integration and place undue burdens on traders.</w:t>
      </w:r>
    </w:p>
    <w:p w14:paraId="28F0CBA9" w14:textId="77777777" w:rsidR="00725462" w:rsidRPr="00725462" w:rsidRDefault="00725462" w:rsidP="00725462">
      <w:pPr>
        <w:numPr>
          <w:ilvl w:val="0"/>
          <w:numId w:val="38"/>
        </w:numPr>
        <w:spacing w:before="100" w:beforeAutospacing="1" w:after="100" w:afterAutospacing="1"/>
        <w:rPr>
          <w:rFonts w:ascii="Times New Roman" w:hAnsi="Times New Roman"/>
          <w:color w:val="000000" w:themeColor="text1"/>
          <w:lang w:val="en-HK"/>
        </w:rPr>
      </w:pPr>
      <w:r w:rsidRPr="00725462">
        <w:rPr>
          <w:rFonts w:ascii="Times New Roman" w:hAnsi="Times New Roman"/>
          <w:b/>
          <w:bCs/>
          <w:color w:val="000000" w:themeColor="text1"/>
          <w:lang w:val="en-HK"/>
        </w:rPr>
        <w:t>Critique of Harmonization</w:t>
      </w:r>
      <w:r w:rsidRPr="00725462">
        <w:rPr>
          <w:rFonts w:ascii="Times New Roman" w:hAnsi="Times New Roman"/>
          <w:color w:val="000000" w:themeColor="text1"/>
          <w:lang w:val="en-HK"/>
        </w:rPr>
        <w:t>:</w:t>
      </w:r>
    </w:p>
    <w:p w14:paraId="38C1E5A4" w14:textId="77777777" w:rsidR="00725462" w:rsidRPr="00725462" w:rsidRDefault="00725462" w:rsidP="00725462">
      <w:pPr>
        <w:numPr>
          <w:ilvl w:val="1"/>
          <w:numId w:val="38"/>
        </w:numPr>
        <w:spacing w:before="100" w:beforeAutospacing="1" w:after="100" w:afterAutospacing="1"/>
        <w:rPr>
          <w:rFonts w:ascii="Times New Roman" w:hAnsi="Times New Roman"/>
          <w:color w:val="000000" w:themeColor="text1"/>
          <w:lang w:val="en-HK"/>
        </w:rPr>
      </w:pP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xml:space="preserve"> argues that the absence of a comprehensive regulatory framework undermines the practical effectiveness of Article 34. He calls for expanding </w:t>
      </w:r>
      <w:r w:rsidRPr="00725462">
        <w:rPr>
          <w:rFonts w:ascii="Times New Roman" w:hAnsi="Times New Roman"/>
          <w:color w:val="000000" w:themeColor="text1"/>
          <w:lang w:val="en-HK"/>
        </w:rPr>
        <w:lastRenderedPageBreak/>
        <w:t xml:space="preserve">Regulation 764/2008 to address procedural deficiencies and promote mutual recognition (European Law Review, </w:t>
      </w:r>
      <w:proofErr w:type="spellStart"/>
      <w:r w:rsidRPr="00725462">
        <w:rPr>
          <w:rFonts w:ascii="Times New Roman" w:hAnsi="Times New Roman"/>
          <w:color w:val="000000" w:themeColor="text1"/>
          <w:lang w:val="en-HK"/>
        </w:rPr>
        <w:t>Weatherill</w:t>
      </w:r>
      <w:proofErr w:type="spellEnd"/>
      <w:r w:rsidRPr="00725462">
        <w:rPr>
          <w:rFonts w:ascii="Times New Roman" w:hAnsi="Times New Roman"/>
          <w:color w:val="000000" w:themeColor="text1"/>
          <w:lang w:val="en-HK"/>
        </w:rPr>
        <w:t>, 2018).</w:t>
      </w:r>
    </w:p>
    <w:p w14:paraId="019396DB" w14:textId="77777777" w:rsidR="00725462" w:rsidRPr="00725462" w:rsidRDefault="00DC4CEA" w:rsidP="00725462">
      <w:pPr>
        <w:rPr>
          <w:rFonts w:ascii="Times New Roman" w:hAnsi="Times New Roman"/>
          <w:color w:val="000000" w:themeColor="text1"/>
          <w:lang w:val="en-HK"/>
        </w:rPr>
      </w:pPr>
      <w:r w:rsidRPr="00DC4CEA">
        <w:rPr>
          <w:rFonts w:ascii="Times New Roman" w:hAnsi="Times New Roman"/>
          <w:noProof/>
          <w:color w:val="000000" w:themeColor="text1"/>
          <w:lang w:val="en-HK"/>
          <w14:ligatures w14:val="standardContextual"/>
        </w:rPr>
        <w:pict w14:anchorId="617C920F">
          <v:rect id="_x0000_i1030" alt="" style="width:451.3pt;height:.05pt;mso-width-percent:0;mso-height-percent:0;mso-width-percent:0;mso-height-percent:0" o:hralign="center" o:hrstd="t" o:hr="t" fillcolor="#a0a0a0" stroked="f"/>
        </w:pict>
      </w:r>
    </w:p>
    <w:p w14:paraId="160EED9C" w14:textId="77777777" w:rsidR="00725462" w:rsidRPr="00725462" w:rsidRDefault="00725462" w:rsidP="00725462">
      <w:pPr>
        <w:spacing w:before="100" w:beforeAutospacing="1" w:after="100" w:afterAutospacing="1"/>
        <w:outlineLvl w:val="2"/>
        <w:rPr>
          <w:rFonts w:ascii="Times New Roman" w:hAnsi="Times New Roman"/>
          <w:b/>
          <w:bCs/>
          <w:color w:val="000000" w:themeColor="text1"/>
          <w:lang w:val="en-HK"/>
        </w:rPr>
      </w:pPr>
      <w:r w:rsidRPr="00725462">
        <w:rPr>
          <w:rFonts w:ascii="Times New Roman" w:hAnsi="Times New Roman"/>
          <w:b/>
          <w:bCs/>
          <w:color w:val="000000" w:themeColor="text1"/>
          <w:lang w:val="en-HK"/>
        </w:rPr>
        <w:t>Conclusion</w:t>
      </w:r>
    </w:p>
    <w:p w14:paraId="55BE26EE" w14:textId="77777777" w:rsidR="00725462" w:rsidRPr="00725462" w:rsidRDefault="00725462" w:rsidP="00725462">
      <w:pPr>
        <w:spacing w:before="100" w:beforeAutospacing="1" w:after="100" w:afterAutospacing="1"/>
        <w:rPr>
          <w:rFonts w:ascii="Times New Roman" w:hAnsi="Times New Roman"/>
          <w:color w:val="000000" w:themeColor="text1"/>
          <w:lang w:val="en-HK"/>
        </w:rPr>
      </w:pPr>
      <w:r w:rsidRPr="00725462">
        <w:rPr>
          <w:rFonts w:ascii="Times New Roman" w:hAnsi="Times New Roman"/>
          <w:color w:val="000000" w:themeColor="text1"/>
          <w:lang w:val="en-HK"/>
        </w:rPr>
        <w:t>The challenges associated with Article 34 TFEU highlight tensions between market integration and national regulatory autonomy. While the provision has been instrumental in dismantling barriers to trade, its expansive interpretation, doctrinal inconsistencies, and procedural gaps undermine its effectiveness. Addressing these challenges requires clearer jurisprudential guidance, enhanced harmonization, and respect for subsidiarity principles to ensure a balanced and integrated internal market.</w:t>
      </w:r>
    </w:p>
    <w:p w14:paraId="30049CB5" w14:textId="7AE852B5" w:rsidR="0035287A" w:rsidRPr="00725462" w:rsidRDefault="00DC4CEA" w:rsidP="00725462">
      <w:pPr>
        <w:spacing w:before="100" w:beforeAutospacing="1" w:after="100" w:afterAutospacing="1"/>
        <w:outlineLvl w:val="2"/>
        <w:rPr>
          <w:rFonts w:ascii="Times New Roman" w:hAnsi="Times New Roman"/>
          <w:color w:val="000000" w:themeColor="text1"/>
        </w:rPr>
      </w:pPr>
      <w:r w:rsidRPr="00DC4CEA">
        <w:rPr>
          <w:rFonts w:ascii="Times New Roman" w:hAnsi="Times New Roman"/>
          <w:noProof/>
          <w:color w:val="000000" w:themeColor="text1"/>
          <w:lang w:val="en-HK"/>
          <w14:ligatures w14:val="standardContextual"/>
        </w:rPr>
        <w:pict w14:anchorId="1CF55C3F">
          <v:rect id="_x0000_i1029" alt="" style="width:451.3pt;height:.05pt;mso-width-percent:0;mso-height-percent:0;mso-width-percent:0;mso-height-percent:0" o:hralign="center" o:hrstd="t" o:hr="t" fillcolor="#a0a0a0" stroked="f"/>
        </w:pict>
      </w:r>
    </w:p>
    <w:p w14:paraId="07D88A4D" w14:textId="77777777" w:rsidR="00725462" w:rsidRPr="00725462" w:rsidRDefault="00725462" w:rsidP="00725462">
      <w:pPr>
        <w:pStyle w:val="Heading3"/>
        <w:rPr>
          <w:rFonts w:ascii="Times New Roman" w:hAnsi="Times New Roman" w:cs="Times New Roman"/>
          <w:color w:val="000000" w:themeColor="text1"/>
          <w:sz w:val="24"/>
          <w:szCs w:val="24"/>
          <w:lang w:val="en-HK"/>
        </w:rPr>
      </w:pPr>
      <w:r w:rsidRPr="00725462">
        <w:rPr>
          <w:rStyle w:val="Strong"/>
          <w:rFonts w:ascii="Times New Roman" w:hAnsi="Times New Roman" w:cs="Times New Roman"/>
          <w:b w:val="0"/>
          <w:bCs w:val="0"/>
          <w:color w:val="000000" w:themeColor="text1"/>
          <w:sz w:val="24"/>
          <w:szCs w:val="24"/>
        </w:rPr>
        <w:t>4. Proposed Reforms to Article 34 TFEU</w:t>
      </w:r>
    </w:p>
    <w:p w14:paraId="193E4DD8" w14:textId="77777777" w:rsidR="00725462" w:rsidRPr="00725462" w:rsidRDefault="00DC4CEA" w:rsidP="00725462">
      <w:pPr>
        <w:rPr>
          <w:rFonts w:ascii="Times New Roman" w:hAnsi="Times New Roman"/>
          <w:color w:val="000000" w:themeColor="text1"/>
        </w:rPr>
      </w:pPr>
      <w:r w:rsidRPr="00DC4CEA">
        <w:rPr>
          <w:rFonts w:ascii="Times New Roman" w:hAnsi="Times New Roman"/>
          <w:noProof/>
          <w:color w:val="000000" w:themeColor="text1"/>
          <w14:ligatures w14:val="standardContextual"/>
        </w:rPr>
        <w:pict w14:anchorId="65C7ED03">
          <v:rect id="_x0000_i1028" alt="" style="width:451.3pt;height:.05pt;mso-width-percent:0;mso-height-percent:0;mso-width-percent:0;mso-height-percent:0" o:hralign="center" o:hrstd="t" o:hr="t" fillcolor="#a0a0a0" stroked="f"/>
        </w:pict>
      </w:r>
    </w:p>
    <w:p w14:paraId="063D0ED8" w14:textId="77777777" w:rsidR="00725462" w:rsidRPr="00725462" w:rsidRDefault="00725462" w:rsidP="00725462">
      <w:pPr>
        <w:pStyle w:val="Heading3"/>
        <w:rPr>
          <w:rFonts w:ascii="Times New Roman" w:hAnsi="Times New Roman" w:cs="Times New Roman"/>
          <w:color w:val="000000" w:themeColor="text1"/>
          <w:sz w:val="24"/>
          <w:szCs w:val="24"/>
        </w:rPr>
      </w:pPr>
      <w:r w:rsidRPr="00725462">
        <w:rPr>
          <w:rStyle w:val="Strong"/>
          <w:rFonts w:ascii="Times New Roman" w:hAnsi="Times New Roman" w:cs="Times New Roman"/>
          <w:b w:val="0"/>
          <w:bCs w:val="0"/>
          <w:color w:val="000000" w:themeColor="text1"/>
          <w:sz w:val="24"/>
          <w:szCs w:val="24"/>
        </w:rPr>
        <w:t>1. Unifying the Doctrinal Framework</w:t>
      </w:r>
    </w:p>
    <w:p w14:paraId="6F6F30DC"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A. Addressing Fragmentation</w:t>
      </w:r>
    </w:p>
    <w:p w14:paraId="17B25133" w14:textId="77777777" w:rsidR="00725462" w:rsidRPr="00725462" w:rsidRDefault="00725462" w:rsidP="00725462">
      <w:pPr>
        <w:pStyle w:val="NormalWeb"/>
        <w:rPr>
          <w:color w:val="000000" w:themeColor="text1"/>
        </w:rPr>
      </w:pPr>
      <w:r w:rsidRPr="00725462">
        <w:rPr>
          <w:color w:val="000000" w:themeColor="text1"/>
        </w:rPr>
        <w:t>One of the most significant critiques of Article 34 TFEU is the coexistence of multiple legal tests—</w:t>
      </w:r>
      <w:proofErr w:type="spellStart"/>
      <w:r w:rsidRPr="00725462">
        <w:rPr>
          <w:rStyle w:val="Emphasis"/>
          <w:rFonts w:eastAsiaTheme="majorEastAsia"/>
          <w:color w:val="000000" w:themeColor="text1"/>
        </w:rPr>
        <w:t>Dassonville</w:t>
      </w:r>
      <w:proofErr w:type="spellEnd"/>
      <w:r w:rsidRPr="00725462">
        <w:rPr>
          <w:color w:val="000000" w:themeColor="text1"/>
        </w:rPr>
        <w:t xml:space="preserve">, </w:t>
      </w:r>
      <w:r w:rsidRPr="00725462">
        <w:rPr>
          <w:rStyle w:val="Emphasis"/>
          <w:rFonts w:eastAsiaTheme="majorEastAsia"/>
          <w:color w:val="000000" w:themeColor="text1"/>
        </w:rPr>
        <w:t>Keck</w:t>
      </w:r>
      <w:r w:rsidRPr="00725462">
        <w:rPr>
          <w:color w:val="000000" w:themeColor="text1"/>
        </w:rPr>
        <w:t>, and the market access approach—each focusing on different aspects of trade barriers. This fragmentation creates legal uncertainty for Member States and traders.</w:t>
      </w:r>
    </w:p>
    <w:p w14:paraId="2EE1CCF2" w14:textId="77777777" w:rsidR="00725462" w:rsidRPr="00725462" w:rsidRDefault="00725462" w:rsidP="00725462">
      <w:pPr>
        <w:pStyle w:val="NormalWeb"/>
        <w:numPr>
          <w:ilvl w:val="0"/>
          <w:numId w:val="39"/>
        </w:numPr>
        <w:rPr>
          <w:color w:val="000000" w:themeColor="text1"/>
        </w:rPr>
      </w:pPr>
      <w:proofErr w:type="spellStart"/>
      <w:r w:rsidRPr="00725462">
        <w:rPr>
          <w:rStyle w:val="Strong"/>
          <w:rFonts w:eastAsiaTheme="majorEastAsia"/>
          <w:color w:val="000000" w:themeColor="text1"/>
        </w:rPr>
        <w:t>Schütze’s</w:t>
      </w:r>
      <w:proofErr w:type="spellEnd"/>
      <w:r w:rsidRPr="00725462">
        <w:rPr>
          <w:rStyle w:val="Strong"/>
          <w:rFonts w:eastAsiaTheme="majorEastAsia"/>
          <w:color w:val="000000" w:themeColor="text1"/>
        </w:rPr>
        <w:t xml:space="preserve"> Unified Framework</w:t>
      </w:r>
      <w:r w:rsidRPr="00725462">
        <w:rPr>
          <w:color w:val="000000" w:themeColor="text1"/>
        </w:rPr>
        <w:t>:</w:t>
      </w:r>
    </w:p>
    <w:p w14:paraId="27803B54" w14:textId="77777777" w:rsidR="00725462" w:rsidRPr="00725462" w:rsidRDefault="00725462" w:rsidP="00725462">
      <w:pPr>
        <w:numPr>
          <w:ilvl w:val="1"/>
          <w:numId w:val="39"/>
        </w:numPr>
        <w:spacing w:before="100" w:beforeAutospacing="1" w:after="100" w:afterAutospacing="1"/>
        <w:rPr>
          <w:rFonts w:ascii="Times New Roman" w:hAnsi="Times New Roman"/>
          <w:color w:val="000000" w:themeColor="text1"/>
        </w:rPr>
      </w:pPr>
      <w:proofErr w:type="spellStart"/>
      <w:r w:rsidRPr="00725462">
        <w:rPr>
          <w:rFonts w:ascii="Times New Roman" w:hAnsi="Times New Roman"/>
          <w:color w:val="000000" w:themeColor="text1"/>
        </w:rPr>
        <w:t>Schütze</w:t>
      </w:r>
      <w:proofErr w:type="spellEnd"/>
      <w:r w:rsidRPr="00725462">
        <w:rPr>
          <w:rFonts w:ascii="Times New Roman" w:hAnsi="Times New Roman"/>
          <w:color w:val="000000" w:themeColor="text1"/>
        </w:rPr>
        <w:t xml:space="preserve"> advocates for a single proportionality-based framework that integrates these tests. He argues that such a framework would ensure coherence and clarity, reducing reliance on ad hoc judicial interpretation (European Law Review, </w:t>
      </w:r>
      <w:proofErr w:type="spellStart"/>
      <w:r w:rsidRPr="00725462">
        <w:rPr>
          <w:rFonts w:ascii="Times New Roman" w:hAnsi="Times New Roman"/>
          <w:color w:val="000000" w:themeColor="text1"/>
        </w:rPr>
        <w:t>Schütze</w:t>
      </w:r>
      <w:proofErr w:type="spellEnd"/>
      <w:r w:rsidRPr="00725462">
        <w:rPr>
          <w:rFonts w:ascii="Times New Roman" w:hAnsi="Times New Roman"/>
          <w:color w:val="000000" w:themeColor="text1"/>
        </w:rPr>
        <w:t>, 2016).</w:t>
      </w:r>
    </w:p>
    <w:p w14:paraId="7D70D011" w14:textId="77777777" w:rsidR="00725462" w:rsidRPr="00725462" w:rsidRDefault="00725462" w:rsidP="00725462">
      <w:pPr>
        <w:numPr>
          <w:ilvl w:val="1"/>
          <w:numId w:val="39"/>
        </w:numPr>
        <w:spacing w:before="100" w:beforeAutospacing="1" w:after="100" w:afterAutospacing="1"/>
        <w:rPr>
          <w:rFonts w:ascii="Times New Roman" w:hAnsi="Times New Roman"/>
          <w:color w:val="000000" w:themeColor="text1"/>
        </w:rPr>
      </w:pPr>
      <w:r w:rsidRPr="00725462">
        <w:rPr>
          <w:rFonts w:ascii="Times New Roman" w:hAnsi="Times New Roman"/>
          <w:color w:val="000000" w:themeColor="text1"/>
        </w:rPr>
        <w:t xml:space="preserve">A unified test would assess whether a measure genuinely restricts market access, whether it serves legitimate objectives, and whether it is proportionate in achieving those aims (European Law Journal, </w:t>
      </w:r>
      <w:proofErr w:type="spellStart"/>
      <w:r w:rsidRPr="00725462">
        <w:rPr>
          <w:rFonts w:ascii="Times New Roman" w:hAnsi="Times New Roman"/>
          <w:color w:val="000000" w:themeColor="text1"/>
        </w:rPr>
        <w:t>Schütze</w:t>
      </w:r>
      <w:proofErr w:type="spellEnd"/>
      <w:r w:rsidRPr="00725462">
        <w:rPr>
          <w:rFonts w:ascii="Times New Roman" w:hAnsi="Times New Roman"/>
          <w:color w:val="000000" w:themeColor="text1"/>
        </w:rPr>
        <w:t>, 2018).</w:t>
      </w:r>
    </w:p>
    <w:p w14:paraId="6BEB121C" w14:textId="77777777" w:rsidR="00725462" w:rsidRPr="00725462" w:rsidRDefault="00725462" w:rsidP="00725462">
      <w:pPr>
        <w:pStyle w:val="NormalWeb"/>
        <w:numPr>
          <w:ilvl w:val="0"/>
          <w:numId w:val="39"/>
        </w:numPr>
        <w:rPr>
          <w:color w:val="000000" w:themeColor="text1"/>
        </w:rPr>
      </w:pPr>
      <w:r w:rsidRPr="00725462">
        <w:rPr>
          <w:rStyle w:val="Strong"/>
          <w:rFonts w:eastAsiaTheme="majorEastAsia"/>
          <w:color w:val="000000" w:themeColor="text1"/>
        </w:rPr>
        <w:t>Balancing Integration and Autonomy</w:t>
      </w:r>
      <w:r w:rsidRPr="00725462">
        <w:rPr>
          <w:color w:val="000000" w:themeColor="text1"/>
        </w:rPr>
        <w:t>:</w:t>
      </w:r>
    </w:p>
    <w:p w14:paraId="3422B8A1" w14:textId="77777777" w:rsidR="00725462" w:rsidRPr="00725462" w:rsidRDefault="00725462" w:rsidP="00725462">
      <w:pPr>
        <w:numPr>
          <w:ilvl w:val="1"/>
          <w:numId w:val="39"/>
        </w:numPr>
        <w:spacing w:before="100" w:beforeAutospacing="1" w:after="100" w:afterAutospacing="1"/>
        <w:rPr>
          <w:rFonts w:ascii="Times New Roman" w:hAnsi="Times New Roman"/>
          <w:color w:val="000000" w:themeColor="text1"/>
        </w:rPr>
      </w:pPr>
      <w:proofErr w:type="spellStart"/>
      <w:r w:rsidRPr="00725462">
        <w:rPr>
          <w:rFonts w:ascii="Times New Roman" w:hAnsi="Times New Roman"/>
          <w:color w:val="000000" w:themeColor="text1"/>
        </w:rPr>
        <w:t>Lianos</w:t>
      </w:r>
      <w:proofErr w:type="spellEnd"/>
      <w:r w:rsidRPr="00725462">
        <w:rPr>
          <w:rFonts w:ascii="Times New Roman" w:hAnsi="Times New Roman"/>
          <w:color w:val="000000" w:themeColor="text1"/>
        </w:rPr>
        <w:t xml:space="preserve"> highlights that a unified framework must balance market integration with respect for subsidiarity. This would involve recalibrating the proportionality test to better accommodate non-economic justifications, such as environmental protection and social policy (European Law Review, </w:t>
      </w:r>
      <w:proofErr w:type="spellStart"/>
      <w:r w:rsidRPr="00725462">
        <w:rPr>
          <w:rFonts w:ascii="Times New Roman" w:hAnsi="Times New Roman"/>
          <w:color w:val="000000" w:themeColor="text1"/>
        </w:rPr>
        <w:t>Lianos</w:t>
      </w:r>
      <w:proofErr w:type="spellEnd"/>
      <w:r w:rsidRPr="00725462">
        <w:rPr>
          <w:rFonts w:ascii="Times New Roman" w:hAnsi="Times New Roman"/>
          <w:color w:val="000000" w:themeColor="text1"/>
        </w:rPr>
        <w:t>, 2015).</w:t>
      </w:r>
    </w:p>
    <w:p w14:paraId="3311C717"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 xml:space="preserve">B. Revisiting </w:t>
      </w:r>
      <w:r w:rsidRPr="00725462">
        <w:rPr>
          <w:rStyle w:val="Emphasis"/>
          <w:rFonts w:ascii="Times New Roman" w:hAnsi="Times New Roman" w:cs="Times New Roman"/>
          <w:color w:val="000000" w:themeColor="text1"/>
        </w:rPr>
        <w:t>Keck</w:t>
      </w:r>
    </w:p>
    <w:p w14:paraId="4C0F8596" w14:textId="77777777" w:rsidR="00725462" w:rsidRPr="00725462" w:rsidRDefault="00725462" w:rsidP="00725462">
      <w:pPr>
        <w:pStyle w:val="NormalWeb"/>
        <w:rPr>
          <w:color w:val="000000" w:themeColor="text1"/>
        </w:rPr>
      </w:pPr>
      <w:r w:rsidRPr="00725462">
        <w:rPr>
          <w:color w:val="000000" w:themeColor="text1"/>
        </w:rPr>
        <w:t xml:space="preserve">The </w:t>
      </w:r>
      <w:r w:rsidRPr="00725462">
        <w:rPr>
          <w:rStyle w:val="Emphasis"/>
          <w:rFonts w:eastAsiaTheme="majorEastAsia"/>
          <w:color w:val="000000" w:themeColor="text1"/>
        </w:rPr>
        <w:t>Keck</w:t>
      </w:r>
      <w:r w:rsidRPr="00725462">
        <w:rPr>
          <w:color w:val="000000" w:themeColor="text1"/>
        </w:rPr>
        <w:t xml:space="preserve"> doctrine aimed to clarify the scope of Article 34 by excluding certain selling arrangements. However, its rigid distinctions between product requirements and selling arrangements have led to inconsistent application.</w:t>
      </w:r>
    </w:p>
    <w:p w14:paraId="0A84A93B" w14:textId="77777777" w:rsidR="00725462" w:rsidRPr="00725462" w:rsidRDefault="00725462" w:rsidP="00725462">
      <w:pPr>
        <w:numPr>
          <w:ilvl w:val="0"/>
          <w:numId w:val="40"/>
        </w:numPr>
        <w:spacing w:before="100" w:beforeAutospacing="1" w:after="100" w:afterAutospacing="1"/>
        <w:rPr>
          <w:rFonts w:ascii="Times New Roman" w:hAnsi="Times New Roman"/>
          <w:color w:val="000000" w:themeColor="text1"/>
        </w:rPr>
      </w:pPr>
      <w:r w:rsidRPr="00725462">
        <w:rPr>
          <w:rStyle w:val="Strong"/>
          <w:rFonts w:ascii="Times New Roman" w:eastAsiaTheme="majorEastAsia" w:hAnsi="Times New Roman"/>
          <w:color w:val="000000" w:themeColor="text1"/>
        </w:rPr>
        <w:t xml:space="preserve">Critiques of </w:t>
      </w:r>
      <w:r w:rsidRPr="00725462">
        <w:rPr>
          <w:rStyle w:val="Emphasis"/>
          <w:rFonts w:ascii="Times New Roman" w:eastAsiaTheme="majorEastAsia" w:hAnsi="Times New Roman"/>
          <w:b/>
          <w:bCs/>
          <w:color w:val="000000" w:themeColor="text1"/>
        </w:rPr>
        <w:t>Keck</w:t>
      </w:r>
      <w:r w:rsidRPr="00725462">
        <w:rPr>
          <w:rFonts w:ascii="Times New Roman" w:hAnsi="Times New Roman"/>
          <w:color w:val="000000" w:themeColor="text1"/>
        </w:rPr>
        <w:t>:</w:t>
      </w:r>
    </w:p>
    <w:p w14:paraId="1E5CF8D4" w14:textId="77777777" w:rsidR="00725462" w:rsidRPr="00725462" w:rsidRDefault="00725462" w:rsidP="00725462">
      <w:pPr>
        <w:numPr>
          <w:ilvl w:val="1"/>
          <w:numId w:val="40"/>
        </w:numPr>
        <w:spacing w:before="100" w:beforeAutospacing="1" w:after="100" w:afterAutospacing="1"/>
        <w:rPr>
          <w:rFonts w:ascii="Times New Roman" w:hAnsi="Times New Roman"/>
          <w:color w:val="000000" w:themeColor="text1"/>
        </w:rPr>
      </w:pPr>
      <w:proofErr w:type="spellStart"/>
      <w:r w:rsidRPr="00725462">
        <w:rPr>
          <w:rFonts w:ascii="Times New Roman" w:hAnsi="Times New Roman"/>
          <w:color w:val="000000" w:themeColor="text1"/>
        </w:rPr>
        <w:lastRenderedPageBreak/>
        <w:t>Spaventa</w:t>
      </w:r>
      <w:proofErr w:type="spellEnd"/>
      <w:r w:rsidRPr="00725462">
        <w:rPr>
          <w:rFonts w:ascii="Times New Roman" w:hAnsi="Times New Roman"/>
          <w:color w:val="000000" w:themeColor="text1"/>
        </w:rPr>
        <w:t xml:space="preserve"> critiques </w:t>
      </w:r>
      <w:r w:rsidRPr="00725462">
        <w:rPr>
          <w:rStyle w:val="Emphasis"/>
          <w:rFonts w:ascii="Times New Roman" w:eastAsiaTheme="majorEastAsia" w:hAnsi="Times New Roman"/>
          <w:color w:val="000000" w:themeColor="text1"/>
        </w:rPr>
        <w:t>Keck</w:t>
      </w:r>
      <w:r w:rsidRPr="00725462">
        <w:rPr>
          <w:rFonts w:ascii="Times New Roman" w:hAnsi="Times New Roman"/>
          <w:color w:val="000000" w:themeColor="text1"/>
        </w:rPr>
        <w:t xml:space="preserve"> for creating artificial distinctions, noting that selling arrangements often have an indirect impact on market access. She proposes abandoning the dichotomy in </w:t>
      </w:r>
      <w:proofErr w:type="spellStart"/>
      <w:r w:rsidRPr="00725462">
        <w:rPr>
          <w:rFonts w:ascii="Times New Roman" w:hAnsi="Times New Roman"/>
          <w:color w:val="000000" w:themeColor="text1"/>
        </w:rPr>
        <w:t>favor</w:t>
      </w:r>
      <w:proofErr w:type="spellEnd"/>
      <w:r w:rsidRPr="00725462">
        <w:rPr>
          <w:rFonts w:ascii="Times New Roman" w:hAnsi="Times New Roman"/>
          <w:color w:val="000000" w:themeColor="text1"/>
        </w:rPr>
        <w:t xml:space="preserve"> of a proportionality-based assessment that evaluates the actual effects of measures on trade (European Law Review, </w:t>
      </w:r>
      <w:proofErr w:type="spellStart"/>
      <w:r w:rsidRPr="00725462">
        <w:rPr>
          <w:rFonts w:ascii="Times New Roman" w:hAnsi="Times New Roman"/>
          <w:color w:val="000000" w:themeColor="text1"/>
        </w:rPr>
        <w:t>Spaventa</w:t>
      </w:r>
      <w:proofErr w:type="spellEnd"/>
      <w:r w:rsidRPr="00725462">
        <w:rPr>
          <w:rFonts w:ascii="Times New Roman" w:hAnsi="Times New Roman"/>
          <w:color w:val="000000" w:themeColor="text1"/>
        </w:rPr>
        <w:t>, 2009).</w:t>
      </w:r>
    </w:p>
    <w:p w14:paraId="6FC29FED" w14:textId="77777777" w:rsidR="00725462" w:rsidRPr="00725462" w:rsidRDefault="00725462" w:rsidP="00725462">
      <w:pPr>
        <w:numPr>
          <w:ilvl w:val="1"/>
          <w:numId w:val="40"/>
        </w:numPr>
        <w:spacing w:before="100" w:beforeAutospacing="1" w:after="100" w:afterAutospacing="1"/>
        <w:rPr>
          <w:rFonts w:ascii="Times New Roman" w:hAnsi="Times New Roman"/>
          <w:color w:val="000000" w:themeColor="text1"/>
        </w:rPr>
      </w:pPr>
      <w:proofErr w:type="spellStart"/>
      <w:r w:rsidRPr="00725462">
        <w:rPr>
          <w:rFonts w:ascii="Times New Roman" w:hAnsi="Times New Roman"/>
          <w:color w:val="000000" w:themeColor="text1"/>
        </w:rPr>
        <w:t>Schütze</w:t>
      </w:r>
      <w:proofErr w:type="spellEnd"/>
      <w:r w:rsidRPr="00725462">
        <w:rPr>
          <w:rFonts w:ascii="Times New Roman" w:hAnsi="Times New Roman"/>
          <w:color w:val="000000" w:themeColor="text1"/>
        </w:rPr>
        <w:t xml:space="preserve"> highlights that </w:t>
      </w:r>
      <w:r w:rsidRPr="00725462">
        <w:rPr>
          <w:rStyle w:val="Emphasis"/>
          <w:rFonts w:ascii="Times New Roman" w:eastAsiaTheme="majorEastAsia" w:hAnsi="Times New Roman"/>
          <w:color w:val="000000" w:themeColor="text1"/>
        </w:rPr>
        <w:t>Keck</w:t>
      </w:r>
      <w:r w:rsidRPr="00725462">
        <w:rPr>
          <w:rFonts w:ascii="Times New Roman" w:hAnsi="Times New Roman"/>
          <w:color w:val="000000" w:themeColor="text1"/>
        </w:rPr>
        <w:t xml:space="preserve">'s legal fiction has been undermined by cases like </w:t>
      </w:r>
      <w:r w:rsidRPr="00725462">
        <w:rPr>
          <w:rStyle w:val="Emphasis"/>
          <w:rFonts w:ascii="Times New Roman" w:eastAsiaTheme="majorEastAsia" w:hAnsi="Times New Roman"/>
          <w:color w:val="000000" w:themeColor="text1"/>
        </w:rPr>
        <w:t>Italian Trailers</w:t>
      </w:r>
      <w:r w:rsidRPr="00725462">
        <w:rPr>
          <w:rFonts w:ascii="Times New Roman" w:hAnsi="Times New Roman"/>
          <w:color w:val="000000" w:themeColor="text1"/>
        </w:rPr>
        <w:t xml:space="preserve"> and </w:t>
      </w:r>
      <w:proofErr w:type="spellStart"/>
      <w:r w:rsidRPr="00725462">
        <w:rPr>
          <w:rStyle w:val="Emphasis"/>
          <w:rFonts w:ascii="Times New Roman" w:eastAsiaTheme="majorEastAsia" w:hAnsi="Times New Roman"/>
          <w:color w:val="000000" w:themeColor="text1"/>
        </w:rPr>
        <w:t>Mickelsson</w:t>
      </w:r>
      <w:proofErr w:type="spellEnd"/>
      <w:r w:rsidRPr="00725462">
        <w:rPr>
          <w:rStyle w:val="Emphasis"/>
          <w:rFonts w:ascii="Times New Roman" w:eastAsiaTheme="majorEastAsia" w:hAnsi="Times New Roman"/>
          <w:color w:val="000000" w:themeColor="text1"/>
        </w:rPr>
        <w:t xml:space="preserve"> and </w:t>
      </w:r>
      <w:proofErr w:type="spellStart"/>
      <w:r w:rsidRPr="00725462">
        <w:rPr>
          <w:rStyle w:val="Emphasis"/>
          <w:rFonts w:ascii="Times New Roman" w:eastAsiaTheme="majorEastAsia" w:hAnsi="Times New Roman"/>
          <w:color w:val="000000" w:themeColor="text1"/>
        </w:rPr>
        <w:t>Roos</w:t>
      </w:r>
      <w:proofErr w:type="spellEnd"/>
      <w:r w:rsidRPr="00725462">
        <w:rPr>
          <w:rFonts w:ascii="Times New Roman" w:hAnsi="Times New Roman"/>
          <w:color w:val="000000" w:themeColor="text1"/>
        </w:rPr>
        <w:t xml:space="preserve">, which reintroduced a market access test for consumer use restrictions (European Law Review, </w:t>
      </w:r>
      <w:proofErr w:type="spellStart"/>
      <w:r w:rsidRPr="00725462">
        <w:rPr>
          <w:rFonts w:ascii="Times New Roman" w:hAnsi="Times New Roman"/>
          <w:color w:val="000000" w:themeColor="text1"/>
        </w:rPr>
        <w:t>Schütze</w:t>
      </w:r>
      <w:proofErr w:type="spellEnd"/>
      <w:r w:rsidRPr="00725462">
        <w:rPr>
          <w:rFonts w:ascii="Times New Roman" w:hAnsi="Times New Roman"/>
          <w:color w:val="000000" w:themeColor="text1"/>
        </w:rPr>
        <w:t>, 2016).</w:t>
      </w:r>
    </w:p>
    <w:p w14:paraId="187E28CF" w14:textId="77777777" w:rsidR="00725462" w:rsidRPr="00725462" w:rsidRDefault="00DC4CEA" w:rsidP="00725462">
      <w:pPr>
        <w:rPr>
          <w:rFonts w:ascii="Times New Roman" w:hAnsi="Times New Roman"/>
          <w:color w:val="000000" w:themeColor="text1"/>
        </w:rPr>
      </w:pPr>
      <w:r w:rsidRPr="00DC4CEA">
        <w:rPr>
          <w:rFonts w:ascii="Times New Roman" w:hAnsi="Times New Roman"/>
          <w:noProof/>
          <w:color w:val="000000" w:themeColor="text1"/>
          <w14:ligatures w14:val="standardContextual"/>
        </w:rPr>
        <w:pict w14:anchorId="41DC7E5B">
          <v:rect id="_x0000_i1027" alt="" style="width:451.3pt;height:.05pt;mso-width-percent:0;mso-height-percent:0;mso-width-percent:0;mso-height-percent:0" o:hralign="center" o:hrstd="t" o:hr="t" fillcolor="#a0a0a0" stroked="f"/>
        </w:pict>
      </w:r>
    </w:p>
    <w:p w14:paraId="3AF03B48" w14:textId="77777777" w:rsidR="00725462" w:rsidRPr="00725462" w:rsidRDefault="00725462" w:rsidP="00725462">
      <w:pPr>
        <w:pStyle w:val="Heading3"/>
        <w:rPr>
          <w:rFonts w:ascii="Times New Roman" w:hAnsi="Times New Roman" w:cs="Times New Roman"/>
          <w:color w:val="000000" w:themeColor="text1"/>
          <w:sz w:val="24"/>
          <w:szCs w:val="24"/>
        </w:rPr>
      </w:pPr>
      <w:r w:rsidRPr="00725462">
        <w:rPr>
          <w:rStyle w:val="Strong"/>
          <w:rFonts w:ascii="Times New Roman" w:hAnsi="Times New Roman" w:cs="Times New Roman"/>
          <w:b w:val="0"/>
          <w:bCs w:val="0"/>
          <w:color w:val="000000" w:themeColor="text1"/>
          <w:sz w:val="24"/>
          <w:szCs w:val="24"/>
        </w:rPr>
        <w:t>2. Enhancing Legislative Harmonization</w:t>
      </w:r>
    </w:p>
    <w:p w14:paraId="2D1F07D5"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A. Expanding Substantive Harmonization</w:t>
      </w:r>
    </w:p>
    <w:p w14:paraId="1A7C4595" w14:textId="77777777" w:rsidR="00725462" w:rsidRPr="00725462" w:rsidRDefault="00725462" w:rsidP="00725462">
      <w:pPr>
        <w:pStyle w:val="NormalWeb"/>
        <w:rPr>
          <w:color w:val="000000" w:themeColor="text1"/>
        </w:rPr>
      </w:pPr>
      <w:r w:rsidRPr="00725462">
        <w:rPr>
          <w:color w:val="000000" w:themeColor="text1"/>
        </w:rPr>
        <w:t>The reliance on judicial interpretation of Article 34 has exposed gaps in harmonized rules, particularly for technical standards. These gaps place undue burdens on traders and courts, leading to inefficiencies.</w:t>
      </w:r>
    </w:p>
    <w:p w14:paraId="2C861862" w14:textId="77777777" w:rsidR="00725462" w:rsidRPr="00725462" w:rsidRDefault="00725462" w:rsidP="00725462">
      <w:pPr>
        <w:numPr>
          <w:ilvl w:val="0"/>
          <w:numId w:val="41"/>
        </w:numPr>
        <w:spacing w:before="100" w:beforeAutospacing="1" w:after="100" w:afterAutospacing="1"/>
        <w:rPr>
          <w:rFonts w:ascii="Times New Roman" w:hAnsi="Times New Roman"/>
          <w:color w:val="000000" w:themeColor="text1"/>
        </w:rPr>
      </w:pPr>
      <w:proofErr w:type="spellStart"/>
      <w:r w:rsidRPr="00725462">
        <w:rPr>
          <w:rStyle w:val="Strong"/>
          <w:rFonts w:ascii="Times New Roman" w:eastAsiaTheme="majorEastAsia" w:hAnsi="Times New Roman"/>
          <w:color w:val="000000" w:themeColor="text1"/>
        </w:rPr>
        <w:t>Weatherill’s</w:t>
      </w:r>
      <w:proofErr w:type="spellEnd"/>
      <w:r w:rsidRPr="00725462">
        <w:rPr>
          <w:rStyle w:val="Strong"/>
          <w:rFonts w:ascii="Times New Roman" w:eastAsiaTheme="majorEastAsia" w:hAnsi="Times New Roman"/>
          <w:color w:val="000000" w:themeColor="text1"/>
        </w:rPr>
        <w:t xml:space="preserve"> Call for Harmonization</w:t>
      </w:r>
      <w:r w:rsidRPr="00725462">
        <w:rPr>
          <w:rFonts w:ascii="Times New Roman" w:hAnsi="Times New Roman"/>
          <w:color w:val="000000" w:themeColor="text1"/>
        </w:rPr>
        <w:t>:</w:t>
      </w:r>
    </w:p>
    <w:p w14:paraId="2F62245F" w14:textId="77777777" w:rsidR="00725462" w:rsidRPr="00725462" w:rsidRDefault="00725462" w:rsidP="00725462">
      <w:pPr>
        <w:numPr>
          <w:ilvl w:val="1"/>
          <w:numId w:val="41"/>
        </w:numPr>
        <w:spacing w:before="100" w:beforeAutospacing="1" w:after="100" w:afterAutospacing="1"/>
        <w:rPr>
          <w:rFonts w:ascii="Times New Roman" w:hAnsi="Times New Roman"/>
          <w:color w:val="000000" w:themeColor="text1"/>
        </w:rPr>
      </w:pPr>
      <w:proofErr w:type="spellStart"/>
      <w:r w:rsidRPr="00725462">
        <w:rPr>
          <w:rFonts w:ascii="Times New Roman" w:hAnsi="Times New Roman"/>
          <w:color w:val="000000" w:themeColor="text1"/>
        </w:rPr>
        <w:t>Weatherill</w:t>
      </w:r>
      <w:proofErr w:type="spellEnd"/>
      <w:r w:rsidRPr="00725462">
        <w:rPr>
          <w:rFonts w:ascii="Times New Roman" w:hAnsi="Times New Roman"/>
          <w:color w:val="000000" w:themeColor="text1"/>
        </w:rPr>
        <w:t xml:space="preserve"> emphasizes the need for legislative harmonization to address procedural and substantive deficiencies. He critiques the reliance on judicial remedies, calling for a broader regulatory framework that provides clear guidance to Member States and traders (European Law Review, </w:t>
      </w:r>
      <w:proofErr w:type="spellStart"/>
      <w:r w:rsidRPr="00725462">
        <w:rPr>
          <w:rFonts w:ascii="Times New Roman" w:hAnsi="Times New Roman"/>
          <w:color w:val="000000" w:themeColor="text1"/>
        </w:rPr>
        <w:t>Weatherill</w:t>
      </w:r>
      <w:proofErr w:type="spellEnd"/>
      <w:r w:rsidRPr="00725462">
        <w:rPr>
          <w:rFonts w:ascii="Times New Roman" w:hAnsi="Times New Roman"/>
          <w:color w:val="000000" w:themeColor="text1"/>
        </w:rPr>
        <w:t>, 2018).</w:t>
      </w:r>
    </w:p>
    <w:p w14:paraId="631A0FE6" w14:textId="77777777" w:rsidR="00725462" w:rsidRPr="00725462" w:rsidRDefault="00725462" w:rsidP="00725462">
      <w:pPr>
        <w:numPr>
          <w:ilvl w:val="1"/>
          <w:numId w:val="41"/>
        </w:numPr>
        <w:spacing w:before="100" w:beforeAutospacing="1" w:after="100" w:afterAutospacing="1"/>
        <w:rPr>
          <w:rFonts w:ascii="Times New Roman" w:hAnsi="Times New Roman"/>
          <w:color w:val="000000" w:themeColor="text1"/>
        </w:rPr>
      </w:pPr>
      <w:r w:rsidRPr="00725462">
        <w:rPr>
          <w:rFonts w:ascii="Times New Roman" w:hAnsi="Times New Roman"/>
          <w:color w:val="000000" w:themeColor="text1"/>
        </w:rPr>
        <w:t xml:space="preserve">Regulation 764/2008, which facilitates mutual recognition, could be expanded to include enhanced procedural safeguards and mechanisms for resolving disputes </w:t>
      </w:r>
      <w:proofErr w:type="spellStart"/>
      <w:r w:rsidRPr="00725462">
        <w:rPr>
          <w:rFonts w:ascii="Times New Roman" w:hAnsi="Times New Roman"/>
          <w:color w:val="000000" w:themeColor="text1"/>
        </w:rPr>
        <w:t>preemptively</w:t>
      </w:r>
      <w:proofErr w:type="spellEnd"/>
      <w:r w:rsidRPr="00725462">
        <w:rPr>
          <w:rFonts w:ascii="Times New Roman" w:hAnsi="Times New Roman"/>
          <w:color w:val="000000" w:themeColor="text1"/>
        </w:rPr>
        <w:t xml:space="preserve"> (European Law Review, </w:t>
      </w:r>
      <w:proofErr w:type="spellStart"/>
      <w:r w:rsidRPr="00725462">
        <w:rPr>
          <w:rFonts w:ascii="Times New Roman" w:hAnsi="Times New Roman"/>
          <w:color w:val="000000" w:themeColor="text1"/>
        </w:rPr>
        <w:t>Weatherill</w:t>
      </w:r>
      <w:proofErr w:type="spellEnd"/>
      <w:r w:rsidRPr="00725462">
        <w:rPr>
          <w:rFonts w:ascii="Times New Roman" w:hAnsi="Times New Roman"/>
          <w:color w:val="000000" w:themeColor="text1"/>
        </w:rPr>
        <w:t>, 2018).</w:t>
      </w:r>
    </w:p>
    <w:p w14:paraId="79E0DE04"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B. Procedural Streamlining</w:t>
      </w:r>
    </w:p>
    <w:p w14:paraId="42B23C22" w14:textId="77777777" w:rsidR="00725462" w:rsidRPr="00725462" w:rsidRDefault="00725462" w:rsidP="00725462">
      <w:pPr>
        <w:pStyle w:val="NormalWeb"/>
        <w:rPr>
          <w:color w:val="000000" w:themeColor="text1"/>
        </w:rPr>
      </w:pPr>
      <w:r w:rsidRPr="00725462">
        <w:rPr>
          <w:color w:val="000000" w:themeColor="text1"/>
        </w:rPr>
        <w:t xml:space="preserve">The lack of uniform procedures for applying Article 34 exacerbates litigation and creates barriers for smaller traders. Administrative solutions, such as expanded use of SOLVIT, could provide effective alternatives to court proceedings (European Law Review, </w:t>
      </w:r>
      <w:proofErr w:type="spellStart"/>
      <w:r w:rsidRPr="00725462">
        <w:rPr>
          <w:color w:val="000000" w:themeColor="text1"/>
        </w:rPr>
        <w:t>Weatherill</w:t>
      </w:r>
      <w:proofErr w:type="spellEnd"/>
      <w:r w:rsidRPr="00725462">
        <w:rPr>
          <w:color w:val="000000" w:themeColor="text1"/>
        </w:rPr>
        <w:t>, 2018).</w:t>
      </w:r>
    </w:p>
    <w:p w14:paraId="4AB9C7C8" w14:textId="77777777" w:rsidR="00725462" w:rsidRPr="00725462" w:rsidRDefault="00725462" w:rsidP="00725462">
      <w:pPr>
        <w:numPr>
          <w:ilvl w:val="0"/>
          <w:numId w:val="42"/>
        </w:numPr>
        <w:spacing w:before="100" w:beforeAutospacing="1" w:after="100" w:afterAutospacing="1"/>
        <w:rPr>
          <w:rFonts w:ascii="Times New Roman" w:hAnsi="Times New Roman"/>
          <w:color w:val="000000" w:themeColor="text1"/>
        </w:rPr>
      </w:pPr>
      <w:r w:rsidRPr="00725462">
        <w:rPr>
          <w:rStyle w:val="Strong"/>
          <w:rFonts w:ascii="Times New Roman" w:eastAsiaTheme="majorEastAsia" w:hAnsi="Times New Roman"/>
          <w:color w:val="000000" w:themeColor="text1"/>
        </w:rPr>
        <w:t>Practical Reforms</w:t>
      </w:r>
      <w:r w:rsidRPr="00725462">
        <w:rPr>
          <w:rFonts w:ascii="Times New Roman" w:hAnsi="Times New Roman"/>
          <w:color w:val="000000" w:themeColor="text1"/>
        </w:rPr>
        <w:t>:</w:t>
      </w:r>
    </w:p>
    <w:p w14:paraId="54321EEB" w14:textId="77777777" w:rsidR="00725462" w:rsidRPr="00725462" w:rsidRDefault="00725462" w:rsidP="00725462">
      <w:pPr>
        <w:numPr>
          <w:ilvl w:val="1"/>
          <w:numId w:val="42"/>
        </w:numPr>
        <w:spacing w:before="100" w:beforeAutospacing="1" w:after="100" w:afterAutospacing="1"/>
        <w:rPr>
          <w:rFonts w:ascii="Times New Roman" w:hAnsi="Times New Roman"/>
          <w:color w:val="000000" w:themeColor="text1"/>
        </w:rPr>
      </w:pPr>
      <w:r w:rsidRPr="00725462">
        <w:rPr>
          <w:rFonts w:ascii="Times New Roman" w:hAnsi="Times New Roman"/>
          <w:color w:val="000000" w:themeColor="text1"/>
        </w:rPr>
        <w:t xml:space="preserve">Establishing clear procedural frameworks for handling disputes over MEQRs would alleviate the burden on traders, particularly SMEs, and promote smoother market integration (European Law Review, </w:t>
      </w:r>
      <w:proofErr w:type="spellStart"/>
      <w:r w:rsidRPr="00725462">
        <w:rPr>
          <w:rFonts w:ascii="Times New Roman" w:hAnsi="Times New Roman"/>
          <w:color w:val="000000" w:themeColor="text1"/>
        </w:rPr>
        <w:t>Weatherill</w:t>
      </w:r>
      <w:proofErr w:type="spellEnd"/>
      <w:r w:rsidRPr="00725462">
        <w:rPr>
          <w:rFonts w:ascii="Times New Roman" w:hAnsi="Times New Roman"/>
          <w:color w:val="000000" w:themeColor="text1"/>
        </w:rPr>
        <w:t>, 2018).</w:t>
      </w:r>
    </w:p>
    <w:p w14:paraId="21D9005B" w14:textId="77777777" w:rsidR="00725462" w:rsidRPr="00725462" w:rsidRDefault="00DC4CEA" w:rsidP="00725462">
      <w:pPr>
        <w:rPr>
          <w:rFonts w:ascii="Times New Roman" w:hAnsi="Times New Roman"/>
          <w:color w:val="000000" w:themeColor="text1"/>
        </w:rPr>
      </w:pPr>
      <w:r w:rsidRPr="00DC4CEA">
        <w:rPr>
          <w:rFonts w:ascii="Times New Roman" w:hAnsi="Times New Roman"/>
          <w:noProof/>
          <w:color w:val="000000" w:themeColor="text1"/>
          <w14:ligatures w14:val="standardContextual"/>
        </w:rPr>
        <w:pict w14:anchorId="42E842F9">
          <v:rect id="_x0000_i1026" alt="" style="width:451.3pt;height:.05pt;mso-width-percent:0;mso-height-percent:0;mso-width-percent:0;mso-height-percent:0" o:hralign="center" o:hrstd="t" o:hr="t" fillcolor="#a0a0a0" stroked="f"/>
        </w:pict>
      </w:r>
    </w:p>
    <w:p w14:paraId="1CEF5484" w14:textId="77777777" w:rsidR="00725462" w:rsidRPr="00725462" w:rsidRDefault="00725462" w:rsidP="00725462">
      <w:pPr>
        <w:pStyle w:val="Heading3"/>
        <w:rPr>
          <w:rFonts w:ascii="Times New Roman" w:hAnsi="Times New Roman" w:cs="Times New Roman"/>
          <w:color w:val="000000" w:themeColor="text1"/>
          <w:sz w:val="24"/>
          <w:szCs w:val="24"/>
        </w:rPr>
      </w:pPr>
      <w:r w:rsidRPr="00725462">
        <w:rPr>
          <w:rStyle w:val="Strong"/>
          <w:rFonts w:ascii="Times New Roman" w:hAnsi="Times New Roman" w:cs="Times New Roman"/>
          <w:b w:val="0"/>
          <w:bCs w:val="0"/>
          <w:color w:val="000000" w:themeColor="text1"/>
          <w:sz w:val="24"/>
          <w:szCs w:val="24"/>
        </w:rPr>
        <w:t>3. Respecting Subsidiarity and Proportionality</w:t>
      </w:r>
    </w:p>
    <w:p w14:paraId="2489FAEF"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A. Limiting Judicial Overreach</w:t>
      </w:r>
    </w:p>
    <w:p w14:paraId="5C6C7864" w14:textId="77777777" w:rsidR="00725462" w:rsidRPr="00725462" w:rsidRDefault="00725462" w:rsidP="00725462">
      <w:pPr>
        <w:pStyle w:val="NormalWeb"/>
        <w:rPr>
          <w:color w:val="000000" w:themeColor="text1"/>
        </w:rPr>
      </w:pPr>
      <w:r w:rsidRPr="00725462">
        <w:rPr>
          <w:color w:val="000000" w:themeColor="text1"/>
        </w:rPr>
        <w:t>The expansive interpretation of Article 34 has raised concerns about judicial overreach into Member State autonomy. Horsley argues for reaffirming the exclusionary rules, such as those excluding measures with negligible effects on trade, to respect subsidiarity principles (European Law Review, Horsley, 2012).</w:t>
      </w:r>
    </w:p>
    <w:p w14:paraId="48537ECD" w14:textId="77777777" w:rsidR="00725462" w:rsidRPr="00725462" w:rsidRDefault="00725462" w:rsidP="00725462">
      <w:pPr>
        <w:numPr>
          <w:ilvl w:val="0"/>
          <w:numId w:val="43"/>
        </w:numPr>
        <w:spacing w:before="100" w:beforeAutospacing="1" w:after="100" w:afterAutospacing="1"/>
        <w:rPr>
          <w:rFonts w:ascii="Times New Roman" w:hAnsi="Times New Roman"/>
          <w:color w:val="000000" w:themeColor="text1"/>
        </w:rPr>
      </w:pPr>
      <w:r w:rsidRPr="00725462">
        <w:rPr>
          <w:rStyle w:val="Strong"/>
          <w:rFonts w:ascii="Times New Roman" w:eastAsiaTheme="majorEastAsia" w:hAnsi="Times New Roman"/>
          <w:color w:val="000000" w:themeColor="text1"/>
        </w:rPr>
        <w:lastRenderedPageBreak/>
        <w:t>Exclusionary Rules</w:t>
      </w:r>
      <w:r w:rsidRPr="00725462">
        <w:rPr>
          <w:rFonts w:ascii="Times New Roman" w:hAnsi="Times New Roman"/>
          <w:color w:val="000000" w:themeColor="text1"/>
        </w:rPr>
        <w:t>:</w:t>
      </w:r>
    </w:p>
    <w:p w14:paraId="46345C95" w14:textId="77777777" w:rsidR="00725462" w:rsidRPr="00725462" w:rsidRDefault="00725462" w:rsidP="00725462">
      <w:pPr>
        <w:numPr>
          <w:ilvl w:val="1"/>
          <w:numId w:val="43"/>
        </w:numPr>
        <w:spacing w:before="100" w:beforeAutospacing="1" w:after="100" w:afterAutospacing="1"/>
        <w:rPr>
          <w:rFonts w:ascii="Times New Roman" w:hAnsi="Times New Roman"/>
          <w:color w:val="000000" w:themeColor="text1"/>
        </w:rPr>
      </w:pPr>
      <w:r w:rsidRPr="00725462">
        <w:rPr>
          <w:rFonts w:ascii="Times New Roman" w:hAnsi="Times New Roman"/>
          <w:color w:val="000000" w:themeColor="text1"/>
        </w:rPr>
        <w:t xml:space="preserve">Horsley advocates for revisiting the exclusionary rules established in cases like </w:t>
      </w:r>
      <w:r w:rsidRPr="00725462">
        <w:rPr>
          <w:rStyle w:val="Emphasis"/>
          <w:rFonts w:ascii="Times New Roman" w:eastAsiaTheme="majorEastAsia" w:hAnsi="Times New Roman"/>
          <w:color w:val="000000" w:themeColor="text1"/>
        </w:rPr>
        <w:t>Krantz</w:t>
      </w:r>
      <w:r w:rsidRPr="00725462">
        <w:rPr>
          <w:rFonts w:ascii="Times New Roman" w:hAnsi="Times New Roman"/>
          <w:color w:val="000000" w:themeColor="text1"/>
        </w:rPr>
        <w:t xml:space="preserve"> and </w:t>
      </w:r>
      <w:r w:rsidRPr="00725462">
        <w:rPr>
          <w:rStyle w:val="Emphasis"/>
          <w:rFonts w:ascii="Times New Roman" w:eastAsiaTheme="majorEastAsia" w:hAnsi="Times New Roman"/>
          <w:color w:val="000000" w:themeColor="text1"/>
        </w:rPr>
        <w:t>Corsica Ferries</w:t>
      </w:r>
      <w:r w:rsidRPr="00725462">
        <w:rPr>
          <w:rFonts w:ascii="Times New Roman" w:hAnsi="Times New Roman"/>
          <w:color w:val="000000" w:themeColor="text1"/>
        </w:rPr>
        <w:t>, which limited Article 34’s scope by excluding measures with effects that were “too uncertain and indirect” (European Law Review, Horsley, 2012).</w:t>
      </w:r>
    </w:p>
    <w:p w14:paraId="61D09F5C"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B. Expanding the Proportionality Test</w:t>
      </w:r>
    </w:p>
    <w:p w14:paraId="1B7E8775" w14:textId="77777777" w:rsidR="00725462" w:rsidRPr="00725462" w:rsidRDefault="00725462" w:rsidP="00725462">
      <w:pPr>
        <w:pStyle w:val="NormalWeb"/>
        <w:rPr>
          <w:color w:val="000000" w:themeColor="text1"/>
        </w:rPr>
      </w:pPr>
      <w:r w:rsidRPr="00725462">
        <w:rPr>
          <w:color w:val="000000" w:themeColor="text1"/>
        </w:rPr>
        <w:t xml:space="preserve">The proportionality principle must be recalibrated to better reflect non-economic objectives. </w:t>
      </w:r>
      <w:proofErr w:type="spellStart"/>
      <w:r w:rsidRPr="00725462">
        <w:rPr>
          <w:color w:val="000000" w:themeColor="text1"/>
        </w:rPr>
        <w:t>Lianos</w:t>
      </w:r>
      <w:proofErr w:type="spellEnd"/>
      <w:r w:rsidRPr="00725462">
        <w:rPr>
          <w:color w:val="000000" w:themeColor="text1"/>
        </w:rPr>
        <w:t xml:space="preserve"> argues that the test should include greater recognition of public interest goals, such as environmental protection and cultural diversity (European Law Review, </w:t>
      </w:r>
      <w:proofErr w:type="spellStart"/>
      <w:r w:rsidRPr="00725462">
        <w:rPr>
          <w:color w:val="000000" w:themeColor="text1"/>
        </w:rPr>
        <w:t>Lianos</w:t>
      </w:r>
      <w:proofErr w:type="spellEnd"/>
      <w:r w:rsidRPr="00725462">
        <w:rPr>
          <w:color w:val="000000" w:themeColor="text1"/>
        </w:rPr>
        <w:t>, 2015).</w:t>
      </w:r>
    </w:p>
    <w:p w14:paraId="601F50B8" w14:textId="77777777" w:rsidR="00725462" w:rsidRPr="00725462" w:rsidRDefault="00725462" w:rsidP="00725462">
      <w:pPr>
        <w:numPr>
          <w:ilvl w:val="0"/>
          <w:numId w:val="44"/>
        </w:numPr>
        <w:spacing w:before="100" w:beforeAutospacing="1" w:after="100" w:afterAutospacing="1"/>
        <w:rPr>
          <w:rFonts w:ascii="Times New Roman" w:hAnsi="Times New Roman"/>
          <w:color w:val="000000" w:themeColor="text1"/>
        </w:rPr>
      </w:pPr>
      <w:r w:rsidRPr="00725462">
        <w:rPr>
          <w:rStyle w:val="Strong"/>
          <w:rFonts w:ascii="Times New Roman" w:eastAsiaTheme="majorEastAsia" w:hAnsi="Times New Roman"/>
          <w:color w:val="000000" w:themeColor="text1"/>
        </w:rPr>
        <w:t>Mandatory Requirements</w:t>
      </w:r>
      <w:r w:rsidRPr="00725462">
        <w:rPr>
          <w:rFonts w:ascii="Times New Roman" w:hAnsi="Times New Roman"/>
          <w:color w:val="000000" w:themeColor="text1"/>
        </w:rPr>
        <w:t>:</w:t>
      </w:r>
    </w:p>
    <w:p w14:paraId="2C688C0B" w14:textId="77777777" w:rsidR="00725462" w:rsidRPr="00725462" w:rsidRDefault="00725462" w:rsidP="00725462">
      <w:pPr>
        <w:numPr>
          <w:ilvl w:val="1"/>
          <w:numId w:val="44"/>
        </w:numPr>
        <w:spacing w:before="100" w:beforeAutospacing="1" w:after="100" w:afterAutospacing="1"/>
        <w:rPr>
          <w:rFonts w:ascii="Times New Roman" w:hAnsi="Times New Roman"/>
          <w:color w:val="000000" w:themeColor="text1"/>
        </w:rPr>
      </w:pPr>
      <w:r w:rsidRPr="00725462">
        <w:rPr>
          <w:rFonts w:ascii="Times New Roman" w:hAnsi="Times New Roman"/>
          <w:color w:val="000000" w:themeColor="text1"/>
        </w:rPr>
        <w:t xml:space="preserve">Expanding the list of mandatory requirements would allow Member States to justify measures based on evolving societal priorities, such as sustainability and digital innovation (European Law Review, </w:t>
      </w:r>
      <w:proofErr w:type="spellStart"/>
      <w:r w:rsidRPr="00725462">
        <w:rPr>
          <w:rFonts w:ascii="Times New Roman" w:hAnsi="Times New Roman"/>
          <w:color w:val="000000" w:themeColor="text1"/>
        </w:rPr>
        <w:t>Lianos</w:t>
      </w:r>
      <w:proofErr w:type="spellEnd"/>
      <w:r w:rsidRPr="00725462">
        <w:rPr>
          <w:rFonts w:ascii="Times New Roman" w:hAnsi="Times New Roman"/>
          <w:color w:val="000000" w:themeColor="text1"/>
        </w:rPr>
        <w:t>, 2015).</w:t>
      </w:r>
    </w:p>
    <w:p w14:paraId="41D15CBC" w14:textId="77777777" w:rsidR="00725462" w:rsidRPr="00725462" w:rsidRDefault="00DC4CEA" w:rsidP="00725462">
      <w:pPr>
        <w:rPr>
          <w:rFonts w:ascii="Times New Roman" w:hAnsi="Times New Roman"/>
          <w:color w:val="000000" w:themeColor="text1"/>
        </w:rPr>
      </w:pPr>
      <w:r w:rsidRPr="00DC4CEA">
        <w:rPr>
          <w:rFonts w:ascii="Times New Roman" w:hAnsi="Times New Roman"/>
          <w:noProof/>
          <w:color w:val="000000" w:themeColor="text1"/>
          <w14:ligatures w14:val="standardContextual"/>
        </w:rPr>
        <w:pict w14:anchorId="635E2318">
          <v:rect id="_x0000_i1025" alt="" style="width:451.3pt;height:.05pt;mso-width-percent:0;mso-height-percent:0;mso-width-percent:0;mso-height-percent:0" o:hralign="center" o:hrstd="t" o:hr="t" fillcolor="#a0a0a0" stroked="f"/>
        </w:pict>
      </w:r>
    </w:p>
    <w:p w14:paraId="17DF70DD" w14:textId="77777777" w:rsidR="00725462" w:rsidRPr="00725462" w:rsidRDefault="00725462" w:rsidP="00725462">
      <w:pPr>
        <w:pStyle w:val="Heading3"/>
        <w:rPr>
          <w:rFonts w:ascii="Times New Roman" w:hAnsi="Times New Roman" w:cs="Times New Roman"/>
          <w:color w:val="000000" w:themeColor="text1"/>
          <w:sz w:val="24"/>
          <w:szCs w:val="24"/>
        </w:rPr>
      </w:pPr>
      <w:r w:rsidRPr="00725462">
        <w:rPr>
          <w:rStyle w:val="Strong"/>
          <w:rFonts w:ascii="Times New Roman" w:hAnsi="Times New Roman" w:cs="Times New Roman"/>
          <w:b w:val="0"/>
          <w:bCs w:val="0"/>
          <w:color w:val="000000" w:themeColor="text1"/>
          <w:sz w:val="24"/>
          <w:szCs w:val="24"/>
        </w:rPr>
        <w:t>4. Supporting Traders and Reducing Litigation</w:t>
      </w:r>
    </w:p>
    <w:p w14:paraId="71F99C95"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A. Improving Access to Remedies</w:t>
      </w:r>
    </w:p>
    <w:p w14:paraId="0FF8F937" w14:textId="77777777" w:rsidR="00725462" w:rsidRPr="00725462" w:rsidRDefault="00725462" w:rsidP="00725462">
      <w:pPr>
        <w:pStyle w:val="NormalWeb"/>
        <w:rPr>
          <w:color w:val="000000" w:themeColor="text1"/>
        </w:rPr>
      </w:pPr>
      <w:r w:rsidRPr="00725462">
        <w:rPr>
          <w:color w:val="000000" w:themeColor="text1"/>
        </w:rPr>
        <w:t xml:space="preserve">The current system places a disproportionate burden on traders to challenge restrictive national measures through litigation. </w:t>
      </w:r>
      <w:proofErr w:type="spellStart"/>
      <w:r w:rsidRPr="00725462">
        <w:rPr>
          <w:color w:val="000000" w:themeColor="text1"/>
        </w:rPr>
        <w:t>Weatherill</w:t>
      </w:r>
      <w:proofErr w:type="spellEnd"/>
      <w:r w:rsidRPr="00725462">
        <w:rPr>
          <w:color w:val="000000" w:themeColor="text1"/>
        </w:rPr>
        <w:t xml:space="preserve"> suggests enhancing pre-litigation mechanisms to resolve disputes efficiently (European Law Review, </w:t>
      </w:r>
      <w:proofErr w:type="spellStart"/>
      <w:r w:rsidRPr="00725462">
        <w:rPr>
          <w:color w:val="000000" w:themeColor="text1"/>
        </w:rPr>
        <w:t>Weatherill</w:t>
      </w:r>
      <w:proofErr w:type="spellEnd"/>
      <w:r w:rsidRPr="00725462">
        <w:rPr>
          <w:color w:val="000000" w:themeColor="text1"/>
        </w:rPr>
        <w:t>, 2018).</w:t>
      </w:r>
    </w:p>
    <w:p w14:paraId="5D7D7AD6" w14:textId="77777777" w:rsidR="00725462" w:rsidRPr="00725462" w:rsidRDefault="00725462" w:rsidP="00725462">
      <w:pPr>
        <w:numPr>
          <w:ilvl w:val="0"/>
          <w:numId w:val="45"/>
        </w:numPr>
        <w:spacing w:before="100" w:beforeAutospacing="1" w:after="100" w:afterAutospacing="1"/>
        <w:rPr>
          <w:rFonts w:ascii="Times New Roman" w:hAnsi="Times New Roman"/>
          <w:color w:val="000000" w:themeColor="text1"/>
        </w:rPr>
      </w:pPr>
      <w:r w:rsidRPr="00725462">
        <w:rPr>
          <w:rStyle w:val="Strong"/>
          <w:rFonts w:ascii="Times New Roman" w:eastAsiaTheme="majorEastAsia" w:hAnsi="Times New Roman"/>
          <w:color w:val="000000" w:themeColor="text1"/>
        </w:rPr>
        <w:t>Alternative Dispute Resolution</w:t>
      </w:r>
      <w:r w:rsidRPr="00725462">
        <w:rPr>
          <w:rFonts w:ascii="Times New Roman" w:hAnsi="Times New Roman"/>
          <w:color w:val="000000" w:themeColor="text1"/>
        </w:rPr>
        <w:t>:</w:t>
      </w:r>
    </w:p>
    <w:p w14:paraId="31DE4500" w14:textId="77777777" w:rsidR="00725462" w:rsidRPr="00725462" w:rsidRDefault="00725462" w:rsidP="00725462">
      <w:pPr>
        <w:numPr>
          <w:ilvl w:val="1"/>
          <w:numId w:val="45"/>
        </w:numPr>
        <w:spacing w:before="100" w:beforeAutospacing="1" w:after="100" w:afterAutospacing="1"/>
        <w:rPr>
          <w:rFonts w:ascii="Times New Roman" w:hAnsi="Times New Roman"/>
          <w:color w:val="000000" w:themeColor="text1"/>
        </w:rPr>
      </w:pPr>
      <w:r w:rsidRPr="00725462">
        <w:rPr>
          <w:rFonts w:ascii="Times New Roman" w:hAnsi="Times New Roman"/>
          <w:color w:val="000000" w:themeColor="text1"/>
        </w:rPr>
        <w:t xml:space="preserve">Systems like SOLVIT could be expanded to handle Article 34 cases, providing traders with cost-effective and timely solutions. This would reduce reliance on the judiciary and foster compliance (European Law Review, </w:t>
      </w:r>
      <w:proofErr w:type="spellStart"/>
      <w:r w:rsidRPr="00725462">
        <w:rPr>
          <w:rFonts w:ascii="Times New Roman" w:hAnsi="Times New Roman"/>
          <w:color w:val="000000" w:themeColor="text1"/>
        </w:rPr>
        <w:t>Weatherill</w:t>
      </w:r>
      <w:proofErr w:type="spellEnd"/>
      <w:r w:rsidRPr="00725462">
        <w:rPr>
          <w:rFonts w:ascii="Times New Roman" w:hAnsi="Times New Roman"/>
          <w:color w:val="000000" w:themeColor="text1"/>
        </w:rPr>
        <w:t>, 2018).</w:t>
      </w:r>
    </w:p>
    <w:p w14:paraId="3709E200" w14:textId="77777777" w:rsidR="00725462" w:rsidRPr="00725462" w:rsidRDefault="00725462" w:rsidP="00725462">
      <w:pPr>
        <w:pStyle w:val="Heading4"/>
        <w:rPr>
          <w:rFonts w:ascii="Times New Roman" w:hAnsi="Times New Roman" w:cs="Times New Roman"/>
          <w:color w:val="000000" w:themeColor="text1"/>
        </w:rPr>
      </w:pPr>
      <w:r w:rsidRPr="00725462">
        <w:rPr>
          <w:rStyle w:val="Strong"/>
          <w:rFonts w:ascii="Times New Roman" w:hAnsi="Times New Roman" w:cs="Times New Roman"/>
          <w:b w:val="0"/>
          <w:bCs w:val="0"/>
          <w:color w:val="000000" w:themeColor="text1"/>
        </w:rPr>
        <w:t>B. Supporting SMEs</w:t>
      </w:r>
    </w:p>
    <w:p w14:paraId="249442A6" w14:textId="77777777" w:rsidR="00725462" w:rsidRPr="00725462" w:rsidRDefault="00725462" w:rsidP="00725462">
      <w:pPr>
        <w:pStyle w:val="NormalWeb"/>
        <w:rPr>
          <w:color w:val="000000" w:themeColor="text1"/>
        </w:rPr>
      </w:pPr>
      <w:r w:rsidRPr="00725462">
        <w:rPr>
          <w:color w:val="000000" w:themeColor="text1"/>
        </w:rPr>
        <w:t xml:space="preserve">Small and medium-sized enterprises (SMEs) face significant barriers when navigating Article 34’s complex legal framework. Procedural harmonization and administrative support could address these challenges, ensuring equitable access to the internal market (European Law Review, </w:t>
      </w:r>
      <w:proofErr w:type="spellStart"/>
      <w:r w:rsidRPr="00725462">
        <w:rPr>
          <w:color w:val="000000" w:themeColor="text1"/>
        </w:rPr>
        <w:t>Weatherill</w:t>
      </w:r>
      <w:proofErr w:type="spellEnd"/>
      <w:r w:rsidRPr="00725462">
        <w:rPr>
          <w:color w:val="000000" w:themeColor="text1"/>
        </w:rPr>
        <w:t>, 2018).</w:t>
      </w:r>
    </w:p>
    <w:p w14:paraId="6D2643AE" w14:textId="3270986C" w:rsidR="00725462" w:rsidRPr="00725462" w:rsidRDefault="00725462" w:rsidP="00725462">
      <w:pPr>
        <w:pStyle w:val="NormalWeb"/>
        <w:rPr>
          <w:color w:val="000000" w:themeColor="text1"/>
        </w:rPr>
      </w:pPr>
      <w:r w:rsidRPr="00725462">
        <w:rPr>
          <w:color w:val="000000" w:themeColor="text1"/>
        </w:rPr>
        <w:t>The proposed reforms aim to address the challenges of legal uncertainty, overreach, and procedural inefficiency in the application of Article 34 TFEU. A unified doctrinal framework, increased legislative harmonization, and enhanced respect for subsidiarity would provide greater clarity and fairness. By balancing market integration with national diversity, these reforms would ensure that Article 34 remains a cornerstone of the EU internal market while addressing the complexities of modern trade regulation.</w:t>
      </w:r>
    </w:p>
    <w:p w14:paraId="08548A62" w14:textId="1B98DF06" w:rsidR="0003278C" w:rsidRPr="00725462" w:rsidRDefault="0003278C" w:rsidP="00725462">
      <w:pPr>
        <w:pStyle w:val="NormalWeb"/>
        <w:rPr>
          <w:color w:val="000000" w:themeColor="text1"/>
        </w:rPr>
      </w:pPr>
      <w:r w:rsidRPr="00725462">
        <w:rPr>
          <w:color w:val="000000" w:themeColor="text1"/>
        </w:rPr>
        <w:t xml:space="preserve">Overall conclusion </w:t>
      </w:r>
    </w:p>
    <w:p w14:paraId="0CE45269" w14:textId="77777777" w:rsidR="00725462" w:rsidRPr="00725462" w:rsidRDefault="00725462" w:rsidP="00725462">
      <w:pPr>
        <w:pStyle w:val="NormalWeb"/>
        <w:rPr>
          <w:color w:val="000000" w:themeColor="text1"/>
        </w:rPr>
      </w:pPr>
      <w:r w:rsidRPr="00725462">
        <w:rPr>
          <w:color w:val="000000" w:themeColor="text1"/>
        </w:rPr>
        <w:t xml:space="preserve">While Article 34 TFEU has been instrumental in promoting market integration, its broad interpretation and fragmented jurisprudence pose challenges. Proposed reforms—including a </w:t>
      </w:r>
      <w:r w:rsidRPr="00725462">
        <w:rPr>
          <w:color w:val="000000" w:themeColor="text1"/>
        </w:rPr>
        <w:lastRenderedPageBreak/>
        <w:t>unified doctrinal framework, enhanced harmonization, and respect for subsidiarity—aim to address these issues while maintaining an integrated yet diverse internal market. Judicial restraint, coupled with legislative improvements, is essential to balance market access with regulatory autonomy.</w:t>
      </w:r>
    </w:p>
    <w:p w14:paraId="5D70BF73" w14:textId="77777777" w:rsidR="0003278C" w:rsidRDefault="0003278C" w:rsidP="00725462">
      <w:pPr>
        <w:spacing w:before="100" w:beforeAutospacing="1" w:after="100" w:afterAutospacing="1"/>
      </w:pPr>
    </w:p>
    <w:sectPr w:rsidR="00032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F212B"/>
    <w:multiLevelType w:val="multilevel"/>
    <w:tmpl w:val="3E9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E2D49"/>
    <w:multiLevelType w:val="multilevel"/>
    <w:tmpl w:val="EA4C0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670FF"/>
    <w:multiLevelType w:val="multilevel"/>
    <w:tmpl w:val="53486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6265"/>
    <w:multiLevelType w:val="multilevel"/>
    <w:tmpl w:val="F786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02594"/>
    <w:multiLevelType w:val="multilevel"/>
    <w:tmpl w:val="A768C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31CA4"/>
    <w:multiLevelType w:val="multilevel"/>
    <w:tmpl w:val="ECD6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1145F"/>
    <w:multiLevelType w:val="multilevel"/>
    <w:tmpl w:val="7642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3576"/>
    <w:multiLevelType w:val="multilevel"/>
    <w:tmpl w:val="6A18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D552D"/>
    <w:multiLevelType w:val="multilevel"/>
    <w:tmpl w:val="BC54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F2E4F"/>
    <w:multiLevelType w:val="multilevel"/>
    <w:tmpl w:val="AD7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950A1"/>
    <w:multiLevelType w:val="multilevel"/>
    <w:tmpl w:val="EE90C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1331B"/>
    <w:multiLevelType w:val="multilevel"/>
    <w:tmpl w:val="81366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43BC6"/>
    <w:multiLevelType w:val="multilevel"/>
    <w:tmpl w:val="D5D03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0422"/>
    <w:multiLevelType w:val="multilevel"/>
    <w:tmpl w:val="7B92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53AC8"/>
    <w:multiLevelType w:val="multilevel"/>
    <w:tmpl w:val="8D84A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90C99"/>
    <w:multiLevelType w:val="multilevel"/>
    <w:tmpl w:val="D86A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A4125"/>
    <w:multiLevelType w:val="multilevel"/>
    <w:tmpl w:val="E016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40F5E"/>
    <w:multiLevelType w:val="multilevel"/>
    <w:tmpl w:val="563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F1607"/>
    <w:multiLevelType w:val="multilevel"/>
    <w:tmpl w:val="9F6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57605"/>
    <w:multiLevelType w:val="multilevel"/>
    <w:tmpl w:val="F940A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C30C11"/>
    <w:multiLevelType w:val="multilevel"/>
    <w:tmpl w:val="3ACAB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C798D"/>
    <w:multiLevelType w:val="multilevel"/>
    <w:tmpl w:val="D43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579CD"/>
    <w:multiLevelType w:val="multilevel"/>
    <w:tmpl w:val="F58A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66337"/>
    <w:multiLevelType w:val="multilevel"/>
    <w:tmpl w:val="1BC0E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40BC8"/>
    <w:multiLevelType w:val="multilevel"/>
    <w:tmpl w:val="50F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51EC7"/>
    <w:multiLevelType w:val="multilevel"/>
    <w:tmpl w:val="BE4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0DE7"/>
    <w:multiLevelType w:val="multilevel"/>
    <w:tmpl w:val="FB60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303E32"/>
    <w:multiLevelType w:val="multilevel"/>
    <w:tmpl w:val="6D6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F2AE5"/>
    <w:multiLevelType w:val="multilevel"/>
    <w:tmpl w:val="97C25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12B55"/>
    <w:multiLevelType w:val="multilevel"/>
    <w:tmpl w:val="3C34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C4B7C"/>
    <w:multiLevelType w:val="multilevel"/>
    <w:tmpl w:val="1332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20CBD"/>
    <w:multiLevelType w:val="multilevel"/>
    <w:tmpl w:val="AF2E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D1F7F"/>
    <w:multiLevelType w:val="multilevel"/>
    <w:tmpl w:val="1BD2B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F4C9D"/>
    <w:multiLevelType w:val="multilevel"/>
    <w:tmpl w:val="AF5271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AAC408E"/>
    <w:multiLevelType w:val="multilevel"/>
    <w:tmpl w:val="99E0B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533E8"/>
    <w:multiLevelType w:val="multilevel"/>
    <w:tmpl w:val="2A044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1315E"/>
    <w:multiLevelType w:val="multilevel"/>
    <w:tmpl w:val="2F006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25796"/>
    <w:multiLevelType w:val="multilevel"/>
    <w:tmpl w:val="BA12F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A5323"/>
    <w:multiLevelType w:val="multilevel"/>
    <w:tmpl w:val="751E6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E2048"/>
    <w:multiLevelType w:val="multilevel"/>
    <w:tmpl w:val="6344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11FFE"/>
    <w:multiLevelType w:val="multilevel"/>
    <w:tmpl w:val="0AB8B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80EA9"/>
    <w:multiLevelType w:val="multilevel"/>
    <w:tmpl w:val="1AD2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D44AA"/>
    <w:multiLevelType w:val="multilevel"/>
    <w:tmpl w:val="F67CB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A202D"/>
    <w:multiLevelType w:val="multilevel"/>
    <w:tmpl w:val="192E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D21D9"/>
    <w:multiLevelType w:val="multilevel"/>
    <w:tmpl w:val="90A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909327">
    <w:abstractNumId w:val="33"/>
  </w:num>
  <w:num w:numId="2" w16cid:durableId="1153451540">
    <w:abstractNumId w:val="24"/>
  </w:num>
  <w:num w:numId="3" w16cid:durableId="722172377">
    <w:abstractNumId w:val="9"/>
  </w:num>
  <w:num w:numId="4" w16cid:durableId="376394206">
    <w:abstractNumId w:val="25"/>
  </w:num>
  <w:num w:numId="5" w16cid:durableId="1555000619">
    <w:abstractNumId w:val="44"/>
  </w:num>
  <w:num w:numId="6" w16cid:durableId="847863240">
    <w:abstractNumId w:val="29"/>
  </w:num>
  <w:num w:numId="7" w16cid:durableId="1018626990">
    <w:abstractNumId w:val="7"/>
  </w:num>
  <w:num w:numId="8" w16cid:durableId="11611631">
    <w:abstractNumId w:val="20"/>
  </w:num>
  <w:num w:numId="9" w16cid:durableId="452942561">
    <w:abstractNumId w:val="40"/>
  </w:num>
  <w:num w:numId="10" w16cid:durableId="644243559">
    <w:abstractNumId w:val="27"/>
  </w:num>
  <w:num w:numId="11" w16cid:durableId="838079896">
    <w:abstractNumId w:val="18"/>
  </w:num>
  <w:num w:numId="12" w16cid:durableId="482698793">
    <w:abstractNumId w:val="17"/>
  </w:num>
  <w:num w:numId="13" w16cid:durableId="1852332299">
    <w:abstractNumId w:val="2"/>
  </w:num>
  <w:num w:numId="14" w16cid:durableId="566654069">
    <w:abstractNumId w:val="12"/>
  </w:num>
  <w:num w:numId="15" w16cid:durableId="913472305">
    <w:abstractNumId w:val="39"/>
  </w:num>
  <w:num w:numId="16" w16cid:durableId="348721168">
    <w:abstractNumId w:val="32"/>
  </w:num>
  <w:num w:numId="17" w16cid:durableId="870916858">
    <w:abstractNumId w:val="38"/>
  </w:num>
  <w:num w:numId="18" w16cid:durableId="1812743924">
    <w:abstractNumId w:val="5"/>
  </w:num>
  <w:num w:numId="19" w16cid:durableId="1291940651">
    <w:abstractNumId w:val="21"/>
  </w:num>
  <w:num w:numId="20" w16cid:durableId="1476679981">
    <w:abstractNumId w:val="8"/>
  </w:num>
  <w:num w:numId="21" w16cid:durableId="77990083">
    <w:abstractNumId w:val="30"/>
  </w:num>
  <w:num w:numId="22" w16cid:durableId="1973172554">
    <w:abstractNumId w:val="26"/>
  </w:num>
  <w:num w:numId="23" w16cid:durableId="463502086">
    <w:abstractNumId w:val="16"/>
  </w:num>
  <w:num w:numId="24" w16cid:durableId="1188253561">
    <w:abstractNumId w:val="43"/>
  </w:num>
  <w:num w:numId="25" w16cid:durableId="18044847">
    <w:abstractNumId w:val="3"/>
  </w:num>
  <w:num w:numId="26" w16cid:durableId="158548326">
    <w:abstractNumId w:val="1"/>
  </w:num>
  <w:num w:numId="27" w16cid:durableId="1784887142">
    <w:abstractNumId w:val="14"/>
  </w:num>
  <w:num w:numId="28" w16cid:durableId="388651580">
    <w:abstractNumId w:val="11"/>
  </w:num>
  <w:num w:numId="29" w16cid:durableId="2065565109">
    <w:abstractNumId w:val="41"/>
  </w:num>
  <w:num w:numId="30" w16cid:durableId="2097088378">
    <w:abstractNumId w:val="6"/>
  </w:num>
  <w:num w:numId="31" w16cid:durableId="1008873432">
    <w:abstractNumId w:val="28"/>
  </w:num>
  <w:num w:numId="32" w16cid:durableId="1749157691">
    <w:abstractNumId w:val="19"/>
  </w:num>
  <w:num w:numId="33" w16cid:durableId="1214080129">
    <w:abstractNumId w:val="0"/>
  </w:num>
  <w:num w:numId="34" w16cid:durableId="351689205">
    <w:abstractNumId w:val="42"/>
  </w:num>
  <w:num w:numId="35" w16cid:durableId="1983267459">
    <w:abstractNumId w:val="37"/>
  </w:num>
  <w:num w:numId="36" w16cid:durableId="963658095">
    <w:abstractNumId w:val="31"/>
  </w:num>
  <w:num w:numId="37" w16cid:durableId="2027361470">
    <w:abstractNumId w:val="10"/>
  </w:num>
  <w:num w:numId="38" w16cid:durableId="896159680">
    <w:abstractNumId w:val="36"/>
  </w:num>
  <w:num w:numId="39" w16cid:durableId="1250506969">
    <w:abstractNumId w:val="34"/>
  </w:num>
  <w:num w:numId="40" w16cid:durableId="206721057">
    <w:abstractNumId w:val="15"/>
  </w:num>
  <w:num w:numId="41" w16cid:durableId="224416320">
    <w:abstractNumId w:val="22"/>
  </w:num>
  <w:num w:numId="42" w16cid:durableId="634407767">
    <w:abstractNumId w:val="23"/>
  </w:num>
  <w:num w:numId="43" w16cid:durableId="1608194079">
    <w:abstractNumId w:val="13"/>
  </w:num>
  <w:num w:numId="44" w16cid:durableId="1864437032">
    <w:abstractNumId w:val="4"/>
  </w:num>
  <w:num w:numId="45" w16cid:durableId="10352791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EB"/>
    <w:rsid w:val="00012117"/>
    <w:rsid w:val="000147A9"/>
    <w:rsid w:val="0003278C"/>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5287A"/>
    <w:rsid w:val="00361975"/>
    <w:rsid w:val="00376E23"/>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63CEB"/>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4D8B"/>
    <w:rsid w:val="00661136"/>
    <w:rsid w:val="0068027B"/>
    <w:rsid w:val="006B7BA3"/>
    <w:rsid w:val="006C42B8"/>
    <w:rsid w:val="006C50C7"/>
    <w:rsid w:val="006D1612"/>
    <w:rsid w:val="00713CA9"/>
    <w:rsid w:val="00725462"/>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4CEA"/>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6E8F"/>
  <w15:chartTrackingRefBased/>
  <w15:docId w15:val="{FD9B6A50-BF23-874C-860E-5557790A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63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3CE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63C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3C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3C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3C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3C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3C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CE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63CE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63CE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63CE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63CE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63CE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63CE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63CE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63CE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63C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CE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63CE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CE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63C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3CE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63CEB"/>
    <w:pPr>
      <w:ind w:left="720"/>
      <w:contextualSpacing/>
    </w:pPr>
  </w:style>
  <w:style w:type="character" w:styleId="IntenseEmphasis">
    <w:name w:val="Intense Emphasis"/>
    <w:basedOn w:val="DefaultParagraphFont"/>
    <w:uiPriority w:val="21"/>
    <w:qFormat/>
    <w:rsid w:val="00563CEB"/>
    <w:rPr>
      <w:i/>
      <w:iCs/>
      <w:color w:val="2F5496" w:themeColor="accent1" w:themeShade="BF"/>
    </w:rPr>
  </w:style>
  <w:style w:type="paragraph" w:styleId="IntenseQuote">
    <w:name w:val="Intense Quote"/>
    <w:basedOn w:val="Normal"/>
    <w:next w:val="Normal"/>
    <w:link w:val="IntenseQuoteChar"/>
    <w:uiPriority w:val="30"/>
    <w:qFormat/>
    <w:rsid w:val="00563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CE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63CEB"/>
    <w:rPr>
      <w:b/>
      <w:bCs/>
      <w:smallCaps/>
      <w:color w:val="2F5496" w:themeColor="accent1" w:themeShade="BF"/>
      <w:spacing w:val="5"/>
    </w:rPr>
  </w:style>
  <w:style w:type="character" w:styleId="Strong">
    <w:name w:val="Strong"/>
    <w:basedOn w:val="DefaultParagraphFont"/>
    <w:uiPriority w:val="22"/>
    <w:qFormat/>
    <w:rsid w:val="0035287A"/>
    <w:rPr>
      <w:b/>
      <w:bCs/>
    </w:rPr>
  </w:style>
  <w:style w:type="paragraph" w:styleId="NormalWeb">
    <w:name w:val="Normal (Web)"/>
    <w:basedOn w:val="Normal"/>
    <w:uiPriority w:val="99"/>
    <w:unhideWhenUsed/>
    <w:rsid w:val="0035287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3528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4532">
      <w:bodyDiv w:val="1"/>
      <w:marLeft w:val="0"/>
      <w:marRight w:val="0"/>
      <w:marTop w:val="0"/>
      <w:marBottom w:val="0"/>
      <w:divBdr>
        <w:top w:val="none" w:sz="0" w:space="0" w:color="auto"/>
        <w:left w:val="none" w:sz="0" w:space="0" w:color="auto"/>
        <w:bottom w:val="none" w:sz="0" w:space="0" w:color="auto"/>
        <w:right w:val="none" w:sz="0" w:space="0" w:color="auto"/>
      </w:divBdr>
    </w:div>
    <w:div w:id="107815809">
      <w:bodyDiv w:val="1"/>
      <w:marLeft w:val="0"/>
      <w:marRight w:val="0"/>
      <w:marTop w:val="0"/>
      <w:marBottom w:val="0"/>
      <w:divBdr>
        <w:top w:val="none" w:sz="0" w:space="0" w:color="auto"/>
        <w:left w:val="none" w:sz="0" w:space="0" w:color="auto"/>
        <w:bottom w:val="none" w:sz="0" w:space="0" w:color="auto"/>
        <w:right w:val="none" w:sz="0" w:space="0" w:color="auto"/>
      </w:divBdr>
    </w:div>
    <w:div w:id="339505187">
      <w:bodyDiv w:val="1"/>
      <w:marLeft w:val="0"/>
      <w:marRight w:val="0"/>
      <w:marTop w:val="0"/>
      <w:marBottom w:val="0"/>
      <w:divBdr>
        <w:top w:val="none" w:sz="0" w:space="0" w:color="auto"/>
        <w:left w:val="none" w:sz="0" w:space="0" w:color="auto"/>
        <w:bottom w:val="none" w:sz="0" w:space="0" w:color="auto"/>
        <w:right w:val="none" w:sz="0" w:space="0" w:color="auto"/>
      </w:divBdr>
    </w:div>
    <w:div w:id="431586171">
      <w:bodyDiv w:val="1"/>
      <w:marLeft w:val="0"/>
      <w:marRight w:val="0"/>
      <w:marTop w:val="0"/>
      <w:marBottom w:val="0"/>
      <w:divBdr>
        <w:top w:val="none" w:sz="0" w:space="0" w:color="auto"/>
        <w:left w:val="none" w:sz="0" w:space="0" w:color="auto"/>
        <w:bottom w:val="none" w:sz="0" w:space="0" w:color="auto"/>
        <w:right w:val="none" w:sz="0" w:space="0" w:color="auto"/>
      </w:divBdr>
    </w:div>
    <w:div w:id="456415961">
      <w:bodyDiv w:val="1"/>
      <w:marLeft w:val="0"/>
      <w:marRight w:val="0"/>
      <w:marTop w:val="0"/>
      <w:marBottom w:val="0"/>
      <w:divBdr>
        <w:top w:val="none" w:sz="0" w:space="0" w:color="auto"/>
        <w:left w:val="none" w:sz="0" w:space="0" w:color="auto"/>
        <w:bottom w:val="none" w:sz="0" w:space="0" w:color="auto"/>
        <w:right w:val="none" w:sz="0" w:space="0" w:color="auto"/>
      </w:divBdr>
    </w:div>
    <w:div w:id="489561548">
      <w:bodyDiv w:val="1"/>
      <w:marLeft w:val="0"/>
      <w:marRight w:val="0"/>
      <w:marTop w:val="0"/>
      <w:marBottom w:val="0"/>
      <w:divBdr>
        <w:top w:val="none" w:sz="0" w:space="0" w:color="auto"/>
        <w:left w:val="none" w:sz="0" w:space="0" w:color="auto"/>
        <w:bottom w:val="none" w:sz="0" w:space="0" w:color="auto"/>
        <w:right w:val="none" w:sz="0" w:space="0" w:color="auto"/>
      </w:divBdr>
    </w:div>
    <w:div w:id="560139882">
      <w:bodyDiv w:val="1"/>
      <w:marLeft w:val="0"/>
      <w:marRight w:val="0"/>
      <w:marTop w:val="0"/>
      <w:marBottom w:val="0"/>
      <w:divBdr>
        <w:top w:val="none" w:sz="0" w:space="0" w:color="auto"/>
        <w:left w:val="none" w:sz="0" w:space="0" w:color="auto"/>
        <w:bottom w:val="none" w:sz="0" w:space="0" w:color="auto"/>
        <w:right w:val="none" w:sz="0" w:space="0" w:color="auto"/>
      </w:divBdr>
    </w:div>
    <w:div w:id="939528079">
      <w:bodyDiv w:val="1"/>
      <w:marLeft w:val="0"/>
      <w:marRight w:val="0"/>
      <w:marTop w:val="0"/>
      <w:marBottom w:val="0"/>
      <w:divBdr>
        <w:top w:val="none" w:sz="0" w:space="0" w:color="auto"/>
        <w:left w:val="none" w:sz="0" w:space="0" w:color="auto"/>
        <w:bottom w:val="none" w:sz="0" w:space="0" w:color="auto"/>
        <w:right w:val="none" w:sz="0" w:space="0" w:color="auto"/>
      </w:divBdr>
    </w:div>
    <w:div w:id="1068456887">
      <w:bodyDiv w:val="1"/>
      <w:marLeft w:val="0"/>
      <w:marRight w:val="0"/>
      <w:marTop w:val="0"/>
      <w:marBottom w:val="0"/>
      <w:divBdr>
        <w:top w:val="none" w:sz="0" w:space="0" w:color="auto"/>
        <w:left w:val="none" w:sz="0" w:space="0" w:color="auto"/>
        <w:bottom w:val="none" w:sz="0" w:space="0" w:color="auto"/>
        <w:right w:val="none" w:sz="0" w:space="0" w:color="auto"/>
      </w:divBdr>
    </w:div>
    <w:div w:id="1211453957">
      <w:bodyDiv w:val="1"/>
      <w:marLeft w:val="0"/>
      <w:marRight w:val="0"/>
      <w:marTop w:val="0"/>
      <w:marBottom w:val="0"/>
      <w:divBdr>
        <w:top w:val="none" w:sz="0" w:space="0" w:color="auto"/>
        <w:left w:val="none" w:sz="0" w:space="0" w:color="auto"/>
        <w:bottom w:val="none" w:sz="0" w:space="0" w:color="auto"/>
        <w:right w:val="none" w:sz="0" w:space="0" w:color="auto"/>
      </w:divBdr>
    </w:div>
    <w:div w:id="1240794125">
      <w:bodyDiv w:val="1"/>
      <w:marLeft w:val="0"/>
      <w:marRight w:val="0"/>
      <w:marTop w:val="0"/>
      <w:marBottom w:val="0"/>
      <w:divBdr>
        <w:top w:val="none" w:sz="0" w:space="0" w:color="auto"/>
        <w:left w:val="none" w:sz="0" w:space="0" w:color="auto"/>
        <w:bottom w:val="none" w:sz="0" w:space="0" w:color="auto"/>
        <w:right w:val="none" w:sz="0" w:space="0" w:color="auto"/>
      </w:divBdr>
    </w:div>
    <w:div w:id="1247685392">
      <w:bodyDiv w:val="1"/>
      <w:marLeft w:val="0"/>
      <w:marRight w:val="0"/>
      <w:marTop w:val="0"/>
      <w:marBottom w:val="0"/>
      <w:divBdr>
        <w:top w:val="none" w:sz="0" w:space="0" w:color="auto"/>
        <w:left w:val="none" w:sz="0" w:space="0" w:color="auto"/>
        <w:bottom w:val="none" w:sz="0" w:space="0" w:color="auto"/>
        <w:right w:val="none" w:sz="0" w:space="0" w:color="auto"/>
      </w:divBdr>
    </w:div>
    <w:div w:id="1271745560">
      <w:bodyDiv w:val="1"/>
      <w:marLeft w:val="0"/>
      <w:marRight w:val="0"/>
      <w:marTop w:val="0"/>
      <w:marBottom w:val="0"/>
      <w:divBdr>
        <w:top w:val="none" w:sz="0" w:space="0" w:color="auto"/>
        <w:left w:val="none" w:sz="0" w:space="0" w:color="auto"/>
        <w:bottom w:val="none" w:sz="0" w:space="0" w:color="auto"/>
        <w:right w:val="none" w:sz="0" w:space="0" w:color="auto"/>
      </w:divBdr>
    </w:div>
    <w:div w:id="1632320261">
      <w:bodyDiv w:val="1"/>
      <w:marLeft w:val="0"/>
      <w:marRight w:val="0"/>
      <w:marTop w:val="0"/>
      <w:marBottom w:val="0"/>
      <w:divBdr>
        <w:top w:val="none" w:sz="0" w:space="0" w:color="auto"/>
        <w:left w:val="none" w:sz="0" w:space="0" w:color="auto"/>
        <w:bottom w:val="none" w:sz="0" w:space="0" w:color="auto"/>
        <w:right w:val="none" w:sz="0" w:space="0" w:color="auto"/>
      </w:divBdr>
    </w:div>
    <w:div w:id="1764377810">
      <w:bodyDiv w:val="1"/>
      <w:marLeft w:val="0"/>
      <w:marRight w:val="0"/>
      <w:marTop w:val="0"/>
      <w:marBottom w:val="0"/>
      <w:divBdr>
        <w:top w:val="none" w:sz="0" w:space="0" w:color="auto"/>
        <w:left w:val="none" w:sz="0" w:space="0" w:color="auto"/>
        <w:bottom w:val="none" w:sz="0" w:space="0" w:color="auto"/>
        <w:right w:val="none" w:sz="0" w:space="0" w:color="auto"/>
      </w:divBdr>
    </w:div>
    <w:div w:id="1910073225">
      <w:bodyDiv w:val="1"/>
      <w:marLeft w:val="0"/>
      <w:marRight w:val="0"/>
      <w:marTop w:val="0"/>
      <w:marBottom w:val="0"/>
      <w:divBdr>
        <w:top w:val="none" w:sz="0" w:space="0" w:color="auto"/>
        <w:left w:val="none" w:sz="0" w:space="0" w:color="auto"/>
        <w:bottom w:val="none" w:sz="0" w:space="0" w:color="auto"/>
        <w:right w:val="none" w:sz="0" w:space="0" w:color="auto"/>
      </w:divBdr>
    </w:div>
    <w:div w:id="2040621916">
      <w:bodyDiv w:val="1"/>
      <w:marLeft w:val="0"/>
      <w:marRight w:val="0"/>
      <w:marTop w:val="0"/>
      <w:marBottom w:val="0"/>
      <w:divBdr>
        <w:top w:val="none" w:sz="0" w:space="0" w:color="auto"/>
        <w:left w:val="none" w:sz="0" w:space="0" w:color="auto"/>
        <w:bottom w:val="none" w:sz="0" w:space="0" w:color="auto"/>
        <w:right w:val="none" w:sz="0" w:space="0" w:color="auto"/>
      </w:divBdr>
    </w:div>
    <w:div w:id="213309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4115</Words>
  <Characters>23460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2025-01-18T14:43:00Z</dcterms:created>
  <dcterms:modified xsi:type="dcterms:W3CDTF">2025-01-18T15:11:00Z</dcterms:modified>
</cp:coreProperties>
</file>