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A9EF85"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1. Introduction</w:t>
      </w:r>
    </w:p>
    <w:p w14:paraId="7056AE56"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Purpose of the Article</w:t>
      </w:r>
    </w:p>
    <w:p w14:paraId="486AFE2C" w14:textId="77777777" w:rsidR="00D27597" w:rsidRPr="00BF485B" w:rsidRDefault="00D27597" w:rsidP="00BF485B">
      <w:pPr>
        <w:numPr>
          <w:ilvl w:val="0"/>
          <w:numId w:val="1"/>
        </w:numPr>
        <w:spacing w:before="100" w:beforeAutospacing="1" w:after="100" w:afterAutospacing="1" w:line="276" w:lineRule="auto"/>
        <w:rPr>
          <w:rFonts w:ascii="Times New Roman" w:hAnsi="Times New Roman"/>
          <w:b/>
          <w:bCs/>
          <w:lang w:val="en-HK"/>
        </w:rPr>
      </w:pPr>
      <w:r w:rsidRPr="00BF485B">
        <w:rPr>
          <w:rFonts w:ascii="Times New Roman" w:hAnsi="Times New Roman"/>
          <w:lang w:val="en-HK"/>
        </w:rPr>
        <w:t xml:space="preserve">The article explores the Court of Justice of the European Union’s (CJEU) </w:t>
      </w:r>
      <w:r w:rsidRPr="00BF485B">
        <w:rPr>
          <w:rFonts w:ascii="Times New Roman" w:hAnsi="Times New Roman"/>
          <w:b/>
          <w:bCs/>
          <w:lang w:val="en-HK"/>
        </w:rPr>
        <w:t>inconsistent approach to horizontal direct effect across the EU’s fundamental freedoms.</w:t>
      </w:r>
    </w:p>
    <w:p w14:paraId="4BA5AB3C" w14:textId="77777777" w:rsidR="00D27597" w:rsidRPr="00BF485B" w:rsidRDefault="00D27597" w:rsidP="00BF485B">
      <w:pPr>
        <w:numPr>
          <w:ilvl w:val="0"/>
          <w:numId w:val="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While the free movement of workers (Article 45 TFEU), services (Article 56 TFEU), and establishment (Article 49 TFEU) enjoy horizontal direct effect, </w:t>
      </w:r>
      <w:r w:rsidRPr="00BF485B">
        <w:rPr>
          <w:rFonts w:ascii="Times New Roman" w:hAnsi="Times New Roman"/>
          <w:b/>
          <w:bCs/>
          <w:lang w:val="en-HK"/>
        </w:rPr>
        <w:t>Article 34 TFEU (free movement of goods)</w:t>
      </w:r>
      <w:r w:rsidRPr="00BF485B">
        <w:rPr>
          <w:rFonts w:ascii="Times New Roman" w:hAnsi="Times New Roman"/>
          <w:lang w:val="en-HK"/>
        </w:rPr>
        <w:t xml:space="preserve"> does not.</w:t>
      </w:r>
    </w:p>
    <w:p w14:paraId="2DA7010D" w14:textId="77777777" w:rsidR="00D27597" w:rsidRPr="00BF485B" w:rsidRDefault="00D27597" w:rsidP="00BF485B">
      <w:pPr>
        <w:numPr>
          <w:ilvl w:val="0"/>
          <w:numId w:val="1"/>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critiques this discrepancy, arguing that it creates gaps in the EU’s internal market and undermines its objectives.</w:t>
      </w:r>
    </w:p>
    <w:p w14:paraId="7AE02AE8"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3D6A09BA">
          <v:rect id="_x0000_i1063" alt="" style="width:451.3pt;height:.05pt;mso-width-percent:0;mso-height-percent:0;mso-width-percent:0;mso-height-percent:0" o:hralign="center" o:hrstd="t" o:hr="t" fillcolor="#a0a0a0" stroked="f"/>
        </w:pict>
      </w:r>
    </w:p>
    <w:p w14:paraId="04DB08A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Defining Horizontal Direct Effect</w:t>
      </w:r>
    </w:p>
    <w:p w14:paraId="61E7F0F7" w14:textId="77777777" w:rsidR="00D27597" w:rsidRPr="00BF485B" w:rsidRDefault="00D27597" w:rsidP="00BF485B">
      <w:pPr>
        <w:numPr>
          <w:ilvl w:val="0"/>
          <w:numId w:val="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Horizontal direct effect refers to the ability of individuals to invoke Treaty provisions against other private parties.</w:t>
      </w:r>
    </w:p>
    <w:p w14:paraId="1A142F11" w14:textId="77777777" w:rsidR="00D27597" w:rsidRPr="00BF485B" w:rsidRDefault="00D27597" w:rsidP="00BF485B">
      <w:pPr>
        <w:numPr>
          <w:ilvl w:val="0"/>
          <w:numId w:val="2"/>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Case Example</w:t>
      </w:r>
      <w:r w:rsidRPr="00BF485B">
        <w:rPr>
          <w:rFonts w:ascii="Times New Roman" w:hAnsi="Times New Roman"/>
          <w:lang w:val="en-HK"/>
        </w:rPr>
        <w:t>:</w:t>
      </w:r>
    </w:p>
    <w:p w14:paraId="135E51E8" w14:textId="77777777" w:rsidR="00D27597" w:rsidRPr="00BF485B" w:rsidRDefault="00D27597" w:rsidP="00BF485B">
      <w:pPr>
        <w:numPr>
          <w:ilvl w:val="1"/>
          <w:numId w:val="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w:t>
      </w:r>
      <w:proofErr w:type="spellStart"/>
      <w:r w:rsidRPr="00BF485B">
        <w:rPr>
          <w:rFonts w:ascii="Times New Roman" w:hAnsi="Times New Roman"/>
          <w:i/>
          <w:iCs/>
          <w:lang w:val="en-HK"/>
        </w:rPr>
        <w:t>Angonese</w:t>
      </w:r>
      <w:proofErr w:type="spellEnd"/>
      <w:r w:rsidRPr="00BF485B">
        <w:rPr>
          <w:rFonts w:ascii="Times New Roman" w:hAnsi="Times New Roman"/>
          <w:i/>
          <w:iCs/>
          <w:lang w:val="en-HK"/>
        </w:rPr>
        <w:t xml:space="preserve"> v Cassa di </w:t>
      </w:r>
      <w:proofErr w:type="spellStart"/>
      <w:r w:rsidRPr="00BF485B">
        <w:rPr>
          <w:rFonts w:ascii="Times New Roman" w:hAnsi="Times New Roman"/>
          <w:i/>
          <w:iCs/>
          <w:lang w:val="en-HK"/>
        </w:rPr>
        <w:t>Risparmio</w:t>
      </w:r>
      <w:proofErr w:type="spellEnd"/>
      <w:r w:rsidRPr="00BF485B">
        <w:rPr>
          <w:rFonts w:ascii="Times New Roman" w:hAnsi="Times New Roman"/>
          <w:i/>
          <w:iCs/>
          <w:lang w:val="en-HK"/>
        </w:rPr>
        <w:t xml:space="preserve"> di Bolzano (Case C-281/98)</w:t>
      </w:r>
      <w:r w:rsidRPr="00BF485B">
        <w:rPr>
          <w:rFonts w:ascii="Times New Roman" w:hAnsi="Times New Roman"/>
          <w:lang w:val="en-HK"/>
        </w:rPr>
        <w:t>, the Court applied horizontal direct effect to Article 45 TFEU, allowing a private individual to challenge a private employer’s discriminatory practices.</w:t>
      </w:r>
    </w:p>
    <w:p w14:paraId="2478E3A3"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2803FD5D">
          <v:rect id="_x0000_i1062" alt="" style="width:451.3pt;height:.05pt;mso-width-percent:0;mso-height-percent:0;mso-width-percent:0;mso-height-percent:0" o:hralign="center" o:hrstd="t" o:hr="t" fillcolor="#a0a0a0" stroked="f"/>
        </w:pict>
      </w:r>
    </w:p>
    <w:p w14:paraId="4CC19A16"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Fundamental Freedoms and Horizontal Effect</w:t>
      </w:r>
    </w:p>
    <w:p w14:paraId="3A412ED6" w14:textId="77777777" w:rsidR="00D27597" w:rsidRPr="00BF485B" w:rsidRDefault="00D27597" w:rsidP="00BF485B">
      <w:pPr>
        <w:numPr>
          <w:ilvl w:val="0"/>
          <w:numId w:val="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All fundamental freedoms—workers, goods, services, establishment—are designed to remove barriers and create the EU’s internal market.</w:t>
      </w:r>
    </w:p>
    <w:p w14:paraId="71AE9058" w14:textId="77777777" w:rsidR="00D27597" w:rsidRPr="00BF485B" w:rsidRDefault="00D27597" w:rsidP="00BF485B">
      <w:pPr>
        <w:numPr>
          <w:ilvl w:val="0"/>
          <w:numId w:val="3"/>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these freedoms should logically enjoy similar legal treatment. However, the Court has treated them differently:</w:t>
      </w:r>
    </w:p>
    <w:p w14:paraId="50E4808C" w14:textId="77777777" w:rsidR="00D27597" w:rsidRPr="00BF485B" w:rsidRDefault="00D27597" w:rsidP="00BF485B">
      <w:pPr>
        <w:numPr>
          <w:ilvl w:val="1"/>
          <w:numId w:val="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Articles 45, 49, and 56 have been granted horizontal direct effect.</w:t>
      </w:r>
    </w:p>
    <w:p w14:paraId="69244902" w14:textId="77777777" w:rsidR="00D27597" w:rsidRPr="00BF485B" w:rsidRDefault="00D27597" w:rsidP="00BF485B">
      <w:pPr>
        <w:numPr>
          <w:ilvl w:val="1"/>
          <w:numId w:val="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34 remains limited to vertical direct effect (against Member States or state-like bodies).</w:t>
      </w:r>
    </w:p>
    <w:p w14:paraId="3011BCE0"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Historical Context of Article 34 TFEU</w:t>
      </w:r>
    </w:p>
    <w:p w14:paraId="3387AD79" w14:textId="77777777" w:rsidR="00D27597" w:rsidRPr="00BF485B" w:rsidRDefault="00D27597" w:rsidP="00BF485B">
      <w:pPr>
        <w:numPr>
          <w:ilvl w:val="0"/>
          <w:numId w:val="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34 prohibits quantitative restrictions and measures having equivalent effect (MEQRs) on imports between Member States.</w:t>
      </w:r>
    </w:p>
    <w:p w14:paraId="7716DB76" w14:textId="77777777" w:rsidR="00D27597" w:rsidRPr="00BF485B" w:rsidRDefault="00D27597" w:rsidP="00BF485B">
      <w:pPr>
        <w:numPr>
          <w:ilvl w:val="0"/>
          <w:numId w:val="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Initially interpreted in a broad and flexible manner in cases like </w:t>
      </w:r>
      <w:proofErr w:type="spellStart"/>
      <w:r w:rsidRPr="00BF485B">
        <w:rPr>
          <w:rFonts w:ascii="Times New Roman" w:hAnsi="Times New Roman"/>
          <w:i/>
          <w:iCs/>
          <w:lang w:val="en-HK"/>
        </w:rPr>
        <w:t>Dassonville</w:t>
      </w:r>
      <w:proofErr w:type="spellEnd"/>
      <w:r w:rsidRPr="00BF485B">
        <w:rPr>
          <w:rFonts w:ascii="Times New Roman" w:hAnsi="Times New Roman"/>
          <w:i/>
          <w:iCs/>
          <w:lang w:val="en-HK"/>
        </w:rPr>
        <w:t xml:space="preserve"> (Case 8/74)</w:t>
      </w:r>
      <w:r w:rsidRPr="00BF485B">
        <w:rPr>
          <w:rFonts w:ascii="Times New Roman" w:hAnsi="Times New Roman"/>
          <w:lang w:val="en-HK"/>
        </w:rPr>
        <w:t xml:space="preserve">, the Court later developed limits, such as excluding non-discriminatory selling arrangements under </w:t>
      </w:r>
      <w:r w:rsidRPr="00BF485B">
        <w:rPr>
          <w:rFonts w:ascii="Times New Roman" w:hAnsi="Times New Roman"/>
          <w:i/>
          <w:iCs/>
          <w:lang w:val="en-HK"/>
        </w:rPr>
        <w:t>Keck (Joined Cases C-267/91 and C-268/91)</w:t>
      </w:r>
      <w:r w:rsidRPr="00BF485B">
        <w:rPr>
          <w:rFonts w:ascii="Times New Roman" w:hAnsi="Times New Roman"/>
          <w:lang w:val="en-HK"/>
        </w:rPr>
        <w:t>.</w:t>
      </w:r>
    </w:p>
    <w:p w14:paraId="42EE3C45" w14:textId="77777777" w:rsidR="00D27597" w:rsidRPr="00BF485B" w:rsidRDefault="00D27597" w:rsidP="00BF485B">
      <w:pPr>
        <w:numPr>
          <w:ilvl w:val="0"/>
          <w:numId w:val="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The scope of Article 34 has focused on public measures, while private barriers are addressed through other areas of law, such as competition law (Articles 101 and 102 TFEU).</w:t>
      </w:r>
    </w:p>
    <w:p w14:paraId="488B0D64"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3C1B95A1">
          <v:rect id="_x0000_i1061" alt="" style="width:451.3pt;height:.05pt;mso-width-percent:0;mso-height-percent:0;mso-width-percent:0;mso-height-percent:0" o:hralign="center" o:hrstd="t" o:hr="t" fillcolor="#a0a0a0" stroked="f"/>
        </w:pict>
      </w:r>
    </w:p>
    <w:p w14:paraId="198D8581" w14:textId="77777777" w:rsidR="00D27597" w:rsidRPr="00BF485B" w:rsidRDefault="00D27597" w:rsidP="00BF485B">
      <w:pPr>
        <w:spacing w:before="100" w:beforeAutospacing="1" w:after="100" w:afterAutospacing="1" w:line="276" w:lineRule="auto"/>
        <w:outlineLvl w:val="3"/>
        <w:rPr>
          <w:rFonts w:ascii="Times New Roman" w:hAnsi="Times New Roman"/>
          <w:b/>
          <w:bCs/>
          <w:u w:val="single"/>
          <w:lang w:val="en-HK"/>
        </w:rPr>
      </w:pPr>
      <w:r w:rsidRPr="00BF485B">
        <w:rPr>
          <w:rFonts w:ascii="Times New Roman" w:hAnsi="Times New Roman"/>
          <w:b/>
          <w:bCs/>
          <w:lang w:val="en-HK"/>
        </w:rPr>
        <w:t xml:space="preserve">The Key Issue: </w:t>
      </w:r>
      <w:r w:rsidRPr="00BF485B">
        <w:rPr>
          <w:rFonts w:ascii="Times New Roman" w:hAnsi="Times New Roman"/>
          <w:b/>
          <w:bCs/>
          <w:u w:val="single"/>
          <w:lang w:val="en-HK"/>
        </w:rPr>
        <w:t>Why is Article 34 Treated Differently?</w:t>
      </w:r>
    </w:p>
    <w:p w14:paraId="654766F9" w14:textId="77777777" w:rsidR="00D27597" w:rsidRPr="00BF485B" w:rsidRDefault="00D27597" w:rsidP="00BF485B">
      <w:pPr>
        <w:numPr>
          <w:ilvl w:val="0"/>
          <w:numId w:val="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Inconsistency in Fundamental Freedoms</w:t>
      </w:r>
      <w:r w:rsidRPr="00BF485B">
        <w:rPr>
          <w:rFonts w:ascii="Times New Roman" w:hAnsi="Times New Roman"/>
          <w:lang w:val="en-HK"/>
        </w:rPr>
        <w:t>:</w:t>
      </w:r>
    </w:p>
    <w:p w14:paraId="7F4658BD" w14:textId="77777777" w:rsidR="00D27597" w:rsidRPr="00BF485B" w:rsidRDefault="00D27597" w:rsidP="00BF485B">
      <w:pPr>
        <w:numPr>
          <w:ilvl w:val="1"/>
          <w:numId w:val="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CJEU’s recognition of horizontal direct effect for workers, services, and establishment creates an </w:t>
      </w:r>
      <w:r w:rsidRPr="00BF485B">
        <w:rPr>
          <w:rFonts w:ascii="Times New Roman" w:hAnsi="Times New Roman"/>
          <w:b/>
          <w:bCs/>
          <w:lang w:val="en-HK"/>
        </w:rPr>
        <w:t>uneven application of Treaty principles</w:t>
      </w:r>
      <w:r w:rsidRPr="00BF485B">
        <w:rPr>
          <w:rFonts w:ascii="Times New Roman" w:hAnsi="Times New Roman"/>
          <w:lang w:val="en-HK"/>
        </w:rPr>
        <w:t>.</w:t>
      </w:r>
    </w:p>
    <w:p w14:paraId="48C73548" w14:textId="77777777" w:rsidR="00D27597" w:rsidRPr="00BF485B" w:rsidRDefault="00D27597" w:rsidP="00BF485B">
      <w:pPr>
        <w:numPr>
          <w:ilvl w:val="1"/>
          <w:numId w:val="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Horizontal direct effect ensures 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(practical effectiveness) of EU law by preventing private parties from undermining fundamental freedoms. However, Article 34’s exclusion leaves gaps in the internal market.</w:t>
      </w:r>
    </w:p>
    <w:p w14:paraId="1D53F748" w14:textId="77777777" w:rsidR="00D27597" w:rsidRPr="00BF485B" w:rsidRDefault="00D27597" w:rsidP="00BF485B">
      <w:pPr>
        <w:numPr>
          <w:ilvl w:val="0"/>
          <w:numId w:val="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Case Law Confusion</w:t>
      </w:r>
      <w:r w:rsidRPr="00BF485B">
        <w:rPr>
          <w:rFonts w:ascii="Times New Roman" w:hAnsi="Times New Roman"/>
          <w:lang w:val="en-HK"/>
        </w:rPr>
        <w:t>:</w:t>
      </w:r>
    </w:p>
    <w:p w14:paraId="39423CC1" w14:textId="77777777" w:rsidR="00D27597" w:rsidRPr="00BF485B" w:rsidRDefault="00D27597" w:rsidP="00BF485B">
      <w:pPr>
        <w:numPr>
          <w:ilvl w:val="1"/>
          <w:numId w:val="5"/>
        </w:numPr>
        <w:spacing w:before="100" w:beforeAutospacing="1" w:after="100" w:afterAutospacing="1" w:line="276" w:lineRule="auto"/>
        <w:rPr>
          <w:rFonts w:ascii="Times New Roman" w:hAnsi="Times New Roman"/>
          <w:b/>
          <w:bCs/>
          <w:lang w:val="en-HK"/>
        </w:rPr>
      </w:pPr>
      <w:r w:rsidRPr="00BF485B">
        <w:rPr>
          <w:rFonts w:ascii="Times New Roman" w:hAnsi="Times New Roman"/>
          <w:lang w:val="en-HK"/>
        </w:rPr>
        <w:t xml:space="preserve">Early CJEU judgments </w:t>
      </w:r>
      <w:r w:rsidRPr="00BF485B">
        <w:rPr>
          <w:rFonts w:ascii="Times New Roman" w:hAnsi="Times New Roman"/>
          <w:b/>
          <w:bCs/>
          <w:lang w:val="en-HK"/>
        </w:rPr>
        <w:t>hinted at horizontal direct effect for Article 34, but later cases explicitly rejected it.</w:t>
      </w:r>
    </w:p>
    <w:p w14:paraId="3D218969" w14:textId="77777777" w:rsidR="00D27597" w:rsidRPr="00BF485B" w:rsidRDefault="00D27597" w:rsidP="00BF485B">
      <w:pPr>
        <w:numPr>
          <w:ilvl w:val="1"/>
          <w:numId w:val="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w:t>
      </w:r>
    </w:p>
    <w:p w14:paraId="4AA15E0E" w14:textId="77777777" w:rsidR="00D27597" w:rsidRPr="00BF485B" w:rsidRDefault="00D27597" w:rsidP="00BF485B">
      <w:pPr>
        <w:numPr>
          <w:ilvl w:val="2"/>
          <w:numId w:val="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w:t>
      </w:r>
      <w:proofErr w:type="spellStart"/>
      <w:r w:rsidRPr="00BF485B">
        <w:rPr>
          <w:rFonts w:ascii="Times New Roman" w:hAnsi="Times New Roman"/>
          <w:i/>
          <w:iCs/>
          <w:lang w:val="en-HK"/>
        </w:rPr>
        <w:t>Sapod</w:t>
      </w:r>
      <w:proofErr w:type="spellEnd"/>
      <w:r w:rsidRPr="00BF485B">
        <w:rPr>
          <w:rFonts w:ascii="Times New Roman" w:hAnsi="Times New Roman"/>
          <w:i/>
          <w:iCs/>
          <w:lang w:val="en-HK"/>
        </w:rPr>
        <w:t xml:space="preserve"> </w:t>
      </w:r>
      <w:proofErr w:type="spellStart"/>
      <w:r w:rsidRPr="00BF485B">
        <w:rPr>
          <w:rFonts w:ascii="Times New Roman" w:hAnsi="Times New Roman"/>
          <w:i/>
          <w:iCs/>
          <w:lang w:val="en-HK"/>
        </w:rPr>
        <w:t>Audic</w:t>
      </w:r>
      <w:proofErr w:type="spellEnd"/>
      <w:r w:rsidRPr="00BF485B">
        <w:rPr>
          <w:rFonts w:ascii="Times New Roman" w:hAnsi="Times New Roman"/>
          <w:i/>
          <w:iCs/>
          <w:lang w:val="en-HK"/>
        </w:rPr>
        <w:t xml:space="preserve"> (Case C-159/00)</w:t>
      </w:r>
      <w:r w:rsidRPr="00BF485B">
        <w:rPr>
          <w:rFonts w:ascii="Times New Roman" w:hAnsi="Times New Roman"/>
          <w:lang w:val="en-HK"/>
        </w:rPr>
        <w:t>, the Court declared that Article 34 does not impose obligations on private individuals, restricting its application to Member States.</w:t>
      </w:r>
    </w:p>
    <w:p w14:paraId="2BA221EB" w14:textId="77777777" w:rsidR="00D27597" w:rsidRPr="00BF485B" w:rsidRDefault="00D27597" w:rsidP="00BF485B">
      <w:pPr>
        <w:numPr>
          <w:ilvl w:val="0"/>
          <w:numId w:val="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Critique of the Court’s Approach</w:t>
      </w:r>
      <w:r w:rsidRPr="00BF485B">
        <w:rPr>
          <w:rFonts w:ascii="Times New Roman" w:hAnsi="Times New Roman"/>
          <w:lang w:val="en-HK"/>
        </w:rPr>
        <w:t>:</w:t>
      </w:r>
    </w:p>
    <w:p w14:paraId="05FBFE41" w14:textId="77777777" w:rsidR="00D27597" w:rsidRPr="00BF485B" w:rsidRDefault="00D27597" w:rsidP="00BF485B">
      <w:pPr>
        <w:numPr>
          <w:ilvl w:val="1"/>
          <w:numId w:val="5"/>
        </w:numPr>
        <w:spacing w:before="100" w:beforeAutospacing="1" w:after="100" w:afterAutospacing="1" w:line="276" w:lineRule="auto"/>
        <w:rPr>
          <w:rFonts w:ascii="Times New Roman" w:hAnsi="Times New Roman"/>
          <w:b/>
          <w:bCs/>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w:t>
      </w:r>
      <w:r w:rsidRPr="00BF485B">
        <w:rPr>
          <w:rFonts w:ascii="Times New Roman" w:hAnsi="Times New Roman"/>
          <w:b/>
          <w:bCs/>
          <w:lang w:val="en-HK"/>
        </w:rPr>
        <w:t>the CJEU’s exclusion of horizontal direct effect for Article 34 is based on a formalistic distinction rather than substantive reasoning.</w:t>
      </w:r>
    </w:p>
    <w:p w14:paraId="2F55BAD6" w14:textId="77777777" w:rsidR="00D27597" w:rsidRPr="00BF485B" w:rsidRDefault="00D27597" w:rsidP="00BF485B">
      <w:pPr>
        <w:numPr>
          <w:ilvl w:val="1"/>
          <w:numId w:val="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This undermines the Treaties’ objective of creating a fully integrated internal market.</w:t>
      </w:r>
    </w:p>
    <w:p w14:paraId="06ED7891"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94807DA">
          <v:rect id="_x0000_i1060" alt="" style="width:451.3pt;height:.05pt;mso-width-percent:0;mso-height-percent:0;mso-width-percent:0;mso-height-percent:0" o:hralign="center" o:hrstd="t" o:hr="t" fillcolor="#a0a0a0" stroked="f"/>
        </w:pict>
      </w:r>
    </w:p>
    <w:p w14:paraId="5F36F777"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Objectives of the Article</w:t>
      </w:r>
    </w:p>
    <w:p w14:paraId="5AC07130" w14:textId="77777777" w:rsidR="00D27597" w:rsidRPr="00BF485B" w:rsidRDefault="00D27597" w:rsidP="00BF485B">
      <w:pPr>
        <w:numPr>
          <w:ilvl w:val="0"/>
          <w:numId w:val="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aims to:</w:t>
      </w:r>
    </w:p>
    <w:p w14:paraId="23C319ED" w14:textId="77777777" w:rsidR="00D27597" w:rsidRPr="00BF485B" w:rsidRDefault="00D27597" w:rsidP="00BF485B">
      <w:pPr>
        <w:numPr>
          <w:ilvl w:val="1"/>
          <w:numId w:val="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Analyze</w:t>
      </w:r>
      <w:proofErr w:type="spellEnd"/>
      <w:r w:rsidRPr="00BF485B">
        <w:rPr>
          <w:rFonts w:ascii="Times New Roman" w:hAnsi="Times New Roman"/>
          <w:lang w:val="en-HK"/>
        </w:rPr>
        <w:t xml:space="preserve"> the CJEU’s inconsistent treatment of fundamental freedoms.</w:t>
      </w:r>
    </w:p>
    <w:p w14:paraId="0EC66A9F" w14:textId="77777777" w:rsidR="00D27597" w:rsidRPr="00BF485B" w:rsidRDefault="00D27597" w:rsidP="00BF485B">
      <w:pPr>
        <w:numPr>
          <w:ilvl w:val="1"/>
          <w:numId w:val="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Critically examine the reasoning behind the exclusion of Article 34 from horizontal direct effect.</w:t>
      </w:r>
    </w:p>
    <w:p w14:paraId="6CF52136" w14:textId="77777777" w:rsidR="00D27597" w:rsidRPr="00BF485B" w:rsidRDefault="00D27597" w:rsidP="00BF485B">
      <w:pPr>
        <w:numPr>
          <w:ilvl w:val="1"/>
          <w:numId w:val="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Propose a solution that aligns Article 34 with other fundamental freedoms, ensuring coherence in the internal market.</w:t>
      </w:r>
    </w:p>
    <w:p w14:paraId="13081173"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Structure of the Article</w:t>
      </w:r>
    </w:p>
    <w:p w14:paraId="379233C8" w14:textId="77777777" w:rsidR="00D27597" w:rsidRPr="00BF485B" w:rsidRDefault="00D27597" w:rsidP="00BF485B">
      <w:pPr>
        <w:numPr>
          <w:ilvl w:val="0"/>
          <w:numId w:val="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Part 2</w:t>
      </w:r>
      <w:r w:rsidRPr="00BF485B">
        <w:rPr>
          <w:rFonts w:ascii="Times New Roman" w:hAnsi="Times New Roman"/>
          <w:lang w:val="en-HK"/>
        </w:rPr>
        <w:t>: Examines the Court’s case law on horizontal direct effect and highlights the inconsistent treatment of Article 34.</w:t>
      </w:r>
    </w:p>
    <w:p w14:paraId="7ED952AC" w14:textId="77777777" w:rsidR="00D27597" w:rsidRPr="00BF485B" w:rsidRDefault="00D27597" w:rsidP="00BF485B">
      <w:pPr>
        <w:numPr>
          <w:ilvl w:val="0"/>
          <w:numId w:val="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Part 3</w:t>
      </w:r>
      <w:r w:rsidRPr="00BF485B">
        <w:rPr>
          <w:rFonts w:ascii="Times New Roman" w:hAnsi="Times New Roman"/>
          <w:lang w:val="en-HK"/>
        </w:rPr>
        <w:t>: Discusses the broader coherence of fundamental freedoms and explores whether Article 34 should logically include horizontal direct effect.</w:t>
      </w:r>
    </w:p>
    <w:p w14:paraId="72459A93" w14:textId="77777777" w:rsidR="00D27597" w:rsidRPr="00BF485B" w:rsidRDefault="00D27597" w:rsidP="00BF485B">
      <w:pPr>
        <w:numPr>
          <w:ilvl w:val="0"/>
          <w:numId w:val="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lastRenderedPageBreak/>
        <w:t>Part 4</w:t>
      </w:r>
      <w:r w:rsidRPr="00BF485B">
        <w:rPr>
          <w:rFonts w:ascii="Times New Roman" w:hAnsi="Times New Roman"/>
          <w:lang w:val="en-HK"/>
        </w:rPr>
        <w:t xml:space="preserve">: Proposes a normative framework for extending horizontal direct effect to Article 34, based on the principle of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and the goals of the internal market.</w:t>
      </w:r>
    </w:p>
    <w:p w14:paraId="7347F09C"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2B61D8D0">
          <v:rect id="_x0000_i1059" alt="" style="width:451.3pt;height:.05pt;mso-width-percent:0;mso-height-percent:0;mso-width-percent:0;mso-height-percent:0" o:hralign="center" o:hrstd="t" o:hr="t" fillcolor="#a0a0a0" stroked="f"/>
        </w:pict>
      </w:r>
    </w:p>
    <w:p w14:paraId="29E69093"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Conclusion of Section 1</w:t>
      </w:r>
    </w:p>
    <w:p w14:paraId="0D4533A4" w14:textId="77777777" w:rsidR="00D27597" w:rsidRPr="00BF485B" w:rsidRDefault="00D27597" w:rsidP="00BF485B">
      <w:pPr>
        <w:numPr>
          <w:ilvl w:val="0"/>
          <w:numId w:val="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introduction sets the stage for a critical evaluation of the CJEU’s jurisprudence on horizontal direct effect and its implications for Article 34 TFEU.</w:t>
      </w:r>
    </w:p>
    <w:p w14:paraId="32DAE50F" w14:textId="77777777" w:rsidR="00D27597" w:rsidRPr="00BF485B" w:rsidRDefault="00D27597" w:rsidP="00BF485B">
      <w:pPr>
        <w:numPr>
          <w:ilvl w:val="0"/>
          <w:numId w:val="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highlights the inconsistency in the Court’s treatment of fundamental freedoms and the gap it creates in the internal market.</w:t>
      </w:r>
    </w:p>
    <w:p w14:paraId="1292390F" w14:textId="77777777" w:rsidR="00D27597" w:rsidRPr="00BF485B" w:rsidRDefault="00D27597" w:rsidP="00BF485B">
      <w:pPr>
        <w:numPr>
          <w:ilvl w:val="0"/>
          <w:numId w:val="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By questioning the exclusion of Article 34, </w:t>
      </w:r>
      <w:proofErr w:type="spellStart"/>
      <w:r w:rsidRPr="00BF485B">
        <w:rPr>
          <w:rFonts w:ascii="Times New Roman" w:hAnsi="Times New Roman"/>
          <w:lang w:val="en-HK"/>
        </w:rPr>
        <w:t>Krenn</w:t>
      </w:r>
      <w:proofErr w:type="spellEnd"/>
      <w:r w:rsidRPr="00BF485B">
        <w:rPr>
          <w:rFonts w:ascii="Times New Roman" w:hAnsi="Times New Roman"/>
          <w:lang w:val="en-HK"/>
        </w:rPr>
        <w:t xml:space="preserve"> lays the foundation for a discussion on how horizontal direct effect could enhance the coherence and effectiveness of EU law.</w:t>
      </w:r>
    </w:p>
    <w:p w14:paraId="0EA3A84E"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63C77A41">
          <v:rect id="_x0000_i1058" alt="" style="width:451.3pt;height:.05pt;mso-width-percent:0;mso-height-percent:0;mso-width-percent:0;mso-height-percent:0" o:hralign="center" o:hrstd="t" o:hr="t" fillcolor="#a0a0a0" stroked="f"/>
        </w:pict>
      </w:r>
    </w:p>
    <w:p w14:paraId="5046FED4"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2. Glimpses of Horizontal Direct Effect and Recent Clarity</w:t>
      </w:r>
    </w:p>
    <w:p w14:paraId="4EAAE262"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Introduction</w:t>
      </w:r>
    </w:p>
    <w:p w14:paraId="0CBB9B80" w14:textId="77777777" w:rsidR="00D27597" w:rsidRPr="00BF485B" w:rsidRDefault="00D27597" w:rsidP="00BF485B">
      <w:pPr>
        <w:numPr>
          <w:ilvl w:val="0"/>
          <w:numId w:val="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This section examines the CJEU’s inconsistent treatment of horizontal direct effect under Article 34 TFEU.</w:t>
      </w:r>
    </w:p>
    <w:p w14:paraId="1449456F" w14:textId="77777777" w:rsidR="00D27597" w:rsidRPr="00BF485B" w:rsidRDefault="00D27597" w:rsidP="00BF485B">
      <w:pPr>
        <w:numPr>
          <w:ilvl w:val="0"/>
          <w:numId w:val="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While some early judgments appeared to acknowledge horizontal direct effect, subsequent case law clarified that </w:t>
      </w:r>
      <w:r w:rsidRPr="00BF485B">
        <w:rPr>
          <w:rFonts w:ascii="Times New Roman" w:hAnsi="Times New Roman"/>
          <w:b/>
          <w:bCs/>
          <w:lang w:val="en-HK"/>
        </w:rPr>
        <w:t>Article 34 targets Member States, not private actors</w:t>
      </w:r>
      <w:r w:rsidRPr="00BF485B">
        <w:rPr>
          <w:rFonts w:ascii="Times New Roman" w:hAnsi="Times New Roman"/>
          <w:lang w:val="en-HK"/>
        </w:rPr>
        <w:t>. This limitation has created a distinct treatment for free movement of goods compared to other fundamental freedoms.</w:t>
      </w:r>
    </w:p>
    <w:p w14:paraId="59F9752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8347045">
          <v:rect id="_x0000_i1057" alt="" style="width:451.3pt;height:.05pt;mso-width-percent:0;mso-height-percent:0;mso-width-percent:0;mso-height-percent:0" o:hralign="center" o:hrstd="t" o:hr="t" fillcolor="#a0a0a0" stroked="f"/>
        </w:pict>
      </w:r>
    </w:p>
    <w:p w14:paraId="52117F50"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2.1 Early Case Law: Tentative Hints at Horizontal Direct Effect</w:t>
      </w:r>
    </w:p>
    <w:p w14:paraId="044E07D8"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 xml:space="preserve">Deutsche </w:t>
      </w:r>
      <w:proofErr w:type="spellStart"/>
      <w:r w:rsidRPr="00BF485B">
        <w:rPr>
          <w:rFonts w:ascii="Times New Roman" w:hAnsi="Times New Roman"/>
          <w:b/>
          <w:bCs/>
          <w:lang w:val="en-HK"/>
        </w:rPr>
        <w:t>Grammophon</w:t>
      </w:r>
      <w:proofErr w:type="spellEnd"/>
      <w:r w:rsidRPr="00BF485B">
        <w:rPr>
          <w:rFonts w:ascii="Times New Roman" w:hAnsi="Times New Roman"/>
          <w:b/>
          <w:bCs/>
          <w:lang w:val="en-HK"/>
        </w:rPr>
        <w:t xml:space="preserve"> (Case 78/70)</w:t>
      </w:r>
    </w:p>
    <w:p w14:paraId="408F8C89" w14:textId="77777777" w:rsidR="00D27597" w:rsidRPr="00BF485B" w:rsidRDefault="00D27597" w:rsidP="00BF485B">
      <w:pPr>
        <w:numPr>
          <w:ilvl w:val="0"/>
          <w:numId w:val="10"/>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w:t>
      </w:r>
    </w:p>
    <w:p w14:paraId="5E0F3DE8" w14:textId="77777777" w:rsidR="00D27597" w:rsidRPr="00BF485B" w:rsidRDefault="00D27597" w:rsidP="00BF485B">
      <w:pPr>
        <w:numPr>
          <w:ilvl w:val="1"/>
          <w:numId w:val="1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 German record company sought to prevent the re-importation of records sold in France, relying on its intellectual property rights.</w:t>
      </w:r>
    </w:p>
    <w:p w14:paraId="09C6DAD4" w14:textId="77777777" w:rsidR="00D27597" w:rsidRPr="00BF485B" w:rsidRDefault="00D27597" w:rsidP="00BF485B">
      <w:pPr>
        <w:numPr>
          <w:ilvl w:val="0"/>
          <w:numId w:val="10"/>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w:t>
      </w:r>
    </w:p>
    <w:p w14:paraId="2CC5BFEC" w14:textId="77777777" w:rsidR="00D27597" w:rsidRPr="00BF485B" w:rsidRDefault="00D27597" w:rsidP="00BF485B">
      <w:pPr>
        <w:numPr>
          <w:ilvl w:val="1"/>
          <w:numId w:val="1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CJEU held that national measures allowing private entities to exercise intellectual property rights in a way that hinders free movement could fall under Article 34.</w:t>
      </w:r>
    </w:p>
    <w:p w14:paraId="39609075" w14:textId="77777777" w:rsidR="00D27597" w:rsidRPr="00BF485B" w:rsidRDefault="00D27597" w:rsidP="00BF485B">
      <w:pPr>
        <w:numPr>
          <w:ilvl w:val="0"/>
          <w:numId w:val="10"/>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4892BC88" w14:textId="77777777" w:rsidR="00D27597" w:rsidRPr="00BF485B" w:rsidRDefault="00D27597" w:rsidP="00BF485B">
      <w:pPr>
        <w:numPr>
          <w:ilvl w:val="1"/>
          <w:numId w:val="1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This case suggested that Article 34 could indirectly affect private actors when their actions were supported by national measures.</w:t>
      </w:r>
    </w:p>
    <w:p w14:paraId="40579A0D" w14:textId="77777777" w:rsidR="00D27597" w:rsidRPr="00BF485B" w:rsidRDefault="00D27597" w:rsidP="00BF485B">
      <w:pPr>
        <w:numPr>
          <w:ilvl w:val="0"/>
          <w:numId w:val="10"/>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Critique</w:t>
      </w:r>
      <w:r w:rsidRPr="00BF485B">
        <w:rPr>
          <w:rFonts w:ascii="Times New Roman" w:hAnsi="Times New Roman"/>
          <w:lang w:val="en-HK"/>
        </w:rPr>
        <w:t>:</w:t>
      </w:r>
    </w:p>
    <w:p w14:paraId="7BBDCD18" w14:textId="77777777" w:rsidR="00D27597" w:rsidRPr="00BF485B" w:rsidRDefault="00D27597" w:rsidP="00BF485B">
      <w:pPr>
        <w:numPr>
          <w:ilvl w:val="1"/>
          <w:numId w:val="10"/>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lastRenderedPageBreak/>
        <w:t>Krenn</w:t>
      </w:r>
      <w:proofErr w:type="spellEnd"/>
      <w:r w:rsidRPr="00BF485B">
        <w:rPr>
          <w:rFonts w:ascii="Times New Roman" w:hAnsi="Times New Roman"/>
          <w:lang w:val="en-HK"/>
        </w:rPr>
        <w:t xml:space="preserve"> notes that the CJEU blurred the line between state measures and private actions, creating ambiguity about the extent of Article 34’s horizontal application.</w:t>
      </w:r>
    </w:p>
    <w:p w14:paraId="3B7212E5"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 xml:space="preserve">Dansk </w:t>
      </w:r>
      <w:proofErr w:type="spellStart"/>
      <w:r w:rsidRPr="00BF485B">
        <w:rPr>
          <w:rFonts w:ascii="Times New Roman" w:hAnsi="Times New Roman"/>
          <w:b/>
          <w:bCs/>
          <w:lang w:val="en-HK"/>
        </w:rPr>
        <w:t>Supermarked</w:t>
      </w:r>
      <w:proofErr w:type="spellEnd"/>
      <w:r w:rsidRPr="00BF485B">
        <w:rPr>
          <w:rFonts w:ascii="Times New Roman" w:hAnsi="Times New Roman"/>
          <w:b/>
          <w:bCs/>
          <w:lang w:val="en-HK"/>
        </w:rPr>
        <w:t xml:space="preserve"> (Case 58/80)</w:t>
      </w:r>
    </w:p>
    <w:p w14:paraId="224BBABA" w14:textId="77777777" w:rsidR="00D27597" w:rsidRPr="00BF485B" w:rsidRDefault="00D27597" w:rsidP="00BF485B">
      <w:pPr>
        <w:numPr>
          <w:ilvl w:val="0"/>
          <w:numId w:val="11"/>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w:t>
      </w:r>
    </w:p>
    <w:p w14:paraId="4E473BC0" w14:textId="77777777" w:rsidR="00D27597" w:rsidRPr="00BF485B" w:rsidRDefault="00D27597" w:rsidP="00BF485B">
      <w:pPr>
        <w:numPr>
          <w:ilvl w:val="1"/>
          <w:numId w:val="1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Dansk </w:t>
      </w:r>
      <w:proofErr w:type="spellStart"/>
      <w:r w:rsidRPr="00BF485B">
        <w:rPr>
          <w:rFonts w:ascii="Times New Roman" w:hAnsi="Times New Roman"/>
          <w:lang w:val="en-HK"/>
        </w:rPr>
        <w:t>Supermarked</w:t>
      </w:r>
      <w:proofErr w:type="spellEnd"/>
      <w:r w:rsidRPr="00BF485B">
        <w:rPr>
          <w:rFonts w:ascii="Times New Roman" w:hAnsi="Times New Roman"/>
          <w:lang w:val="en-HK"/>
        </w:rPr>
        <w:t xml:space="preserve"> challenged a private agreement between manufacturers and retailers that prevented discounted sales of branded goods.</w:t>
      </w:r>
    </w:p>
    <w:p w14:paraId="1DCC07D9" w14:textId="77777777" w:rsidR="00D27597" w:rsidRPr="00BF485B" w:rsidRDefault="00D27597" w:rsidP="00BF485B">
      <w:pPr>
        <w:numPr>
          <w:ilvl w:val="0"/>
          <w:numId w:val="11"/>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w:t>
      </w:r>
    </w:p>
    <w:p w14:paraId="3755D42B" w14:textId="77777777" w:rsidR="00D27597" w:rsidRPr="00BF485B" w:rsidRDefault="00D27597" w:rsidP="00BF485B">
      <w:pPr>
        <w:numPr>
          <w:ilvl w:val="1"/>
          <w:numId w:val="1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CJEU rejected the claim, stating that Article 34 does not apply to agreements between private parties.</w:t>
      </w:r>
    </w:p>
    <w:p w14:paraId="72B94245" w14:textId="77777777" w:rsidR="00D27597" w:rsidRPr="00BF485B" w:rsidRDefault="00D27597" w:rsidP="00BF485B">
      <w:pPr>
        <w:numPr>
          <w:ilvl w:val="0"/>
          <w:numId w:val="11"/>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48304A4D" w14:textId="77777777" w:rsidR="00D27597" w:rsidRPr="00BF485B" w:rsidRDefault="00D27597" w:rsidP="00BF485B">
      <w:pPr>
        <w:numPr>
          <w:ilvl w:val="1"/>
          <w:numId w:val="1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While the Court acknowledged the potential for private actions to affect trade, it reaffirmed that Article 34 applies only to state measures.</w:t>
      </w:r>
    </w:p>
    <w:p w14:paraId="7F9F41C3"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 xml:space="preserve">Van de </w:t>
      </w:r>
      <w:proofErr w:type="spellStart"/>
      <w:r w:rsidRPr="00BF485B">
        <w:rPr>
          <w:rFonts w:ascii="Times New Roman" w:hAnsi="Times New Roman"/>
          <w:b/>
          <w:bCs/>
          <w:lang w:val="en-HK"/>
        </w:rPr>
        <w:t>Haar</w:t>
      </w:r>
      <w:proofErr w:type="spellEnd"/>
      <w:r w:rsidRPr="00BF485B">
        <w:rPr>
          <w:rFonts w:ascii="Times New Roman" w:hAnsi="Times New Roman"/>
          <w:b/>
          <w:bCs/>
          <w:lang w:val="en-HK"/>
        </w:rPr>
        <w:t xml:space="preserve"> and </w:t>
      </w:r>
      <w:proofErr w:type="spellStart"/>
      <w:r w:rsidRPr="00BF485B">
        <w:rPr>
          <w:rFonts w:ascii="Times New Roman" w:hAnsi="Times New Roman"/>
          <w:b/>
          <w:bCs/>
          <w:lang w:val="en-HK"/>
        </w:rPr>
        <w:t>Kaveka</w:t>
      </w:r>
      <w:proofErr w:type="spellEnd"/>
      <w:r w:rsidRPr="00BF485B">
        <w:rPr>
          <w:rFonts w:ascii="Times New Roman" w:hAnsi="Times New Roman"/>
          <w:b/>
          <w:bCs/>
          <w:lang w:val="en-HK"/>
        </w:rPr>
        <w:t xml:space="preserve"> (Cases 177/82 and 178/82)</w:t>
      </w:r>
    </w:p>
    <w:p w14:paraId="1BAAD538" w14:textId="77777777" w:rsidR="00D27597" w:rsidRPr="00BF485B" w:rsidRDefault="00D27597" w:rsidP="00BF485B">
      <w:pPr>
        <w:numPr>
          <w:ilvl w:val="0"/>
          <w:numId w:val="12"/>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w:t>
      </w:r>
    </w:p>
    <w:p w14:paraId="03C29718" w14:textId="77777777" w:rsidR="00D27597" w:rsidRPr="00BF485B" w:rsidRDefault="00D27597" w:rsidP="00BF485B">
      <w:pPr>
        <w:numPr>
          <w:ilvl w:val="1"/>
          <w:numId w:val="1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Private agreements between agricultural producers restricted trade by limiting access to specific products.</w:t>
      </w:r>
    </w:p>
    <w:p w14:paraId="5B2B2DB6" w14:textId="77777777" w:rsidR="00D27597" w:rsidRPr="00BF485B" w:rsidRDefault="00D27597" w:rsidP="00BF485B">
      <w:pPr>
        <w:numPr>
          <w:ilvl w:val="0"/>
          <w:numId w:val="12"/>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w:t>
      </w:r>
    </w:p>
    <w:p w14:paraId="22858F96" w14:textId="77777777" w:rsidR="00D27597" w:rsidRPr="00BF485B" w:rsidRDefault="00D27597" w:rsidP="00BF485B">
      <w:pPr>
        <w:numPr>
          <w:ilvl w:val="1"/>
          <w:numId w:val="1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CJEU held that Article 34 does not apply to purely private actions but emphasised that national authorities must not facilitate such agreements.</w:t>
      </w:r>
    </w:p>
    <w:p w14:paraId="78E2399E" w14:textId="77777777" w:rsidR="00D27597" w:rsidRPr="00BF485B" w:rsidRDefault="00D27597" w:rsidP="00BF485B">
      <w:pPr>
        <w:numPr>
          <w:ilvl w:val="0"/>
          <w:numId w:val="12"/>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5B3D9DB2" w14:textId="5763303E" w:rsidR="00D27597" w:rsidRPr="00BF485B" w:rsidRDefault="00D27597" w:rsidP="00BF485B">
      <w:pPr>
        <w:numPr>
          <w:ilvl w:val="1"/>
          <w:numId w:val="1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These cases further limited Article 34 to state measures but hinted that private restrictions might indirectly fall within its scope when supported by public authorities.</w:t>
      </w:r>
    </w:p>
    <w:p w14:paraId="65D79306" w14:textId="77777777" w:rsidR="00D27597" w:rsidRPr="00BF485B" w:rsidRDefault="00D27597" w:rsidP="00BF485B">
      <w:pPr>
        <w:spacing w:before="100" w:beforeAutospacing="1" w:after="100" w:afterAutospacing="1" w:line="276" w:lineRule="auto"/>
        <w:outlineLvl w:val="2"/>
        <w:rPr>
          <w:rFonts w:ascii="Times New Roman" w:hAnsi="Times New Roman"/>
          <w:b/>
          <w:bCs/>
          <w:color w:val="FF0000"/>
          <w:lang w:val="en-HK"/>
        </w:rPr>
      </w:pPr>
      <w:r w:rsidRPr="00BF485B">
        <w:rPr>
          <w:rFonts w:ascii="Times New Roman" w:hAnsi="Times New Roman"/>
          <w:b/>
          <w:bCs/>
          <w:lang w:val="en-HK"/>
        </w:rPr>
        <w:t xml:space="preserve">2.2 </w:t>
      </w:r>
      <w:r w:rsidRPr="00BF485B">
        <w:rPr>
          <w:rFonts w:ascii="Times New Roman" w:hAnsi="Times New Roman"/>
          <w:b/>
          <w:bCs/>
          <w:color w:val="FF0000"/>
          <w:lang w:val="en-HK"/>
        </w:rPr>
        <w:t>Explicit Rejection of Horizontal Direct Effect</w:t>
      </w:r>
    </w:p>
    <w:p w14:paraId="1A303376"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proofErr w:type="spellStart"/>
      <w:r w:rsidRPr="00BF485B">
        <w:rPr>
          <w:rFonts w:ascii="Times New Roman" w:hAnsi="Times New Roman"/>
          <w:b/>
          <w:bCs/>
          <w:lang w:val="en-HK"/>
        </w:rPr>
        <w:t>Sapod</w:t>
      </w:r>
      <w:proofErr w:type="spellEnd"/>
      <w:r w:rsidRPr="00BF485B">
        <w:rPr>
          <w:rFonts w:ascii="Times New Roman" w:hAnsi="Times New Roman"/>
          <w:b/>
          <w:bCs/>
          <w:lang w:val="en-HK"/>
        </w:rPr>
        <w:t xml:space="preserve"> </w:t>
      </w:r>
      <w:proofErr w:type="spellStart"/>
      <w:r w:rsidRPr="00BF485B">
        <w:rPr>
          <w:rFonts w:ascii="Times New Roman" w:hAnsi="Times New Roman"/>
          <w:b/>
          <w:bCs/>
          <w:lang w:val="en-HK"/>
        </w:rPr>
        <w:t>Audic</w:t>
      </w:r>
      <w:proofErr w:type="spellEnd"/>
      <w:r w:rsidRPr="00BF485B">
        <w:rPr>
          <w:rFonts w:ascii="Times New Roman" w:hAnsi="Times New Roman"/>
          <w:b/>
          <w:bCs/>
          <w:lang w:val="en-HK"/>
        </w:rPr>
        <w:t xml:space="preserve"> (Case C-159/00)</w:t>
      </w:r>
    </w:p>
    <w:p w14:paraId="4632E705" w14:textId="77777777" w:rsidR="00D27597" w:rsidRPr="00BF485B" w:rsidRDefault="00D27597" w:rsidP="00BF485B">
      <w:pPr>
        <w:numPr>
          <w:ilvl w:val="0"/>
          <w:numId w:val="13"/>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w:t>
      </w:r>
    </w:p>
    <w:p w14:paraId="29D58AA7" w14:textId="77777777" w:rsidR="00D27597" w:rsidRPr="00BF485B" w:rsidRDefault="00D27597" w:rsidP="00BF485B">
      <w:pPr>
        <w:numPr>
          <w:ilvl w:val="1"/>
          <w:numId w:val="1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 private party sought to invoke Article 34 to challenge a contractual clause imposed by another private entity.</w:t>
      </w:r>
    </w:p>
    <w:p w14:paraId="0034E85C" w14:textId="77777777" w:rsidR="00D27597" w:rsidRPr="00BF485B" w:rsidRDefault="00D27597" w:rsidP="00BF485B">
      <w:pPr>
        <w:numPr>
          <w:ilvl w:val="0"/>
          <w:numId w:val="13"/>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w:t>
      </w:r>
    </w:p>
    <w:p w14:paraId="08C2D409" w14:textId="77777777" w:rsidR="00D27597" w:rsidRPr="00BF485B" w:rsidRDefault="00D27597" w:rsidP="00BF485B">
      <w:pPr>
        <w:numPr>
          <w:ilvl w:val="1"/>
          <w:numId w:val="1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Court explicitly ruled that Article 34 imposes obligations only on Member States and does not have horizontal direct effect.</w:t>
      </w:r>
    </w:p>
    <w:p w14:paraId="354D231B" w14:textId="77777777" w:rsidR="00D27597" w:rsidRPr="00BF485B" w:rsidRDefault="00D27597" w:rsidP="00BF485B">
      <w:pPr>
        <w:numPr>
          <w:ilvl w:val="1"/>
          <w:numId w:val="1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Quote: “The provisions of Article 34 TFEU are not addressed to private individuals and cannot impose obligations on them.”</w:t>
      </w:r>
    </w:p>
    <w:p w14:paraId="6B488FC0" w14:textId="77777777" w:rsidR="00D27597" w:rsidRPr="00BF485B" w:rsidRDefault="00D27597" w:rsidP="00BF485B">
      <w:pPr>
        <w:numPr>
          <w:ilvl w:val="0"/>
          <w:numId w:val="13"/>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59BF983F" w14:textId="77777777" w:rsidR="00D27597" w:rsidRPr="00BF485B" w:rsidRDefault="00D27597" w:rsidP="00BF485B">
      <w:pPr>
        <w:numPr>
          <w:ilvl w:val="1"/>
          <w:numId w:val="1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This case marked a clear rejection of horizontal direct effect for Article 34, contrasting with the broader application of other fundamental freedoms like Articles 45 and 56 TFEU.</w:t>
      </w:r>
    </w:p>
    <w:p w14:paraId="264082BA"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4DE236C">
          <v:rect id="_x0000_i1056" alt="" style="width:451.3pt;height:.05pt;mso-width-percent:0;mso-height-percent:0;mso-width-percent:0;mso-height-percent:0" o:hralign="center" o:hrstd="t" o:hr="t" fillcolor="#a0a0a0" stroked="f"/>
        </w:pict>
      </w:r>
    </w:p>
    <w:p w14:paraId="13E3EB3F"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2.3 Divergence Between Competition Law and Free Movement of Goods</w:t>
      </w:r>
    </w:p>
    <w:p w14:paraId="29C482EA"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Competition Law’s Horizontal Application</w:t>
      </w:r>
    </w:p>
    <w:p w14:paraId="72DF193B" w14:textId="77777777" w:rsidR="00D27597" w:rsidRPr="00BF485B" w:rsidRDefault="00D27597" w:rsidP="00BF485B">
      <w:pPr>
        <w:numPr>
          <w:ilvl w:val="0"/>
          <w:numId w:val="1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Articles 101 and 102 TFEU explicitly regulate private actions that restrict competition, such as cartels and abuse of dominant positions.</w:t>
      </w:r>
    </w:p>
    <w:p w14:paraId="73D7DE8C" w14:textId="77777777" w:rsidR="00D27597" w:rsidRPr="00BF485B" w:rsidRDefault="00D27597" w:rsidP="00BF485B">
      <w:pPr>
        <w:numPr>
          <w:ilvl w:val="0"/>
          <w:numId w:val="1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cases like </w:t>
      </w:r>
      <w:r w:rsidRPr="00BF485B">
        <w:rPr>
          <w:rFonts w:ascii="Times New Roman" w:hAnsi="Times New Roman"/>
          <w:i/>
          <w:iCs/>
          <w:lang w:val="en-HK"/>
        </w:rPr>
        <w:t>GlaxoSmithKline (Case C-501/06)</w:t>
      </w:r>
      <w:r w:rsidRPr="00BF485B">
        <w:rPr>
          <w:rFonts w:ascii="Times New Roman" w:hAnsi="Times New Roman"/>
          <w:lang w:val="en-HK"/>
        </w:rPr>
        <w:t>, private agreements that limit trade between Member States were scrutinised under competition law.</w:t>
      </w:r>
    </w:p>
    <w:p w14:paraId="3B819347"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Comparison with Free Movement Law</w:t>
      </w:r>
    </w:p>
    <w:p w14:paraId="74FBCC5A" w14:textId="77777777" w:rsidR="00D27597" w:rsidRPr="00BF485B" w:rsidRDefault="00D27597" w:rsidP="00BF485B">
      <w:pPr>
        <w:numPr>
          <w:ilvl w:val="0"/>
          <w:numId w:val="1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CJEU has maintained a clear distinction:</w:t>
      </w:r>
    </w:p>
    <w:p w14:paraId="7ADB966C" w14:textId="77777777" w:rsidR="00D27597" w:rsidRPr="00BF485B" w:rsidRDefault="00D27597" w:rsidP="00BF485B">
      <w:pPr>
        <w:numPr>
          <w:ilvl w:val="1"/>
          <w:numId w:val="1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Competition law addresses private barriers to trade.</w:t>
      </w:r>
    </w:p>
    <w:p w14:paraId="5526A57E" w14:textId="77777777" w:rsidR="00D27597" w:rsidRPr="00BF485B" w:rsidRDefault="00D27597" w:rsidP="00BF485B">
      <w:pPr>
        <w:numPr>
          <w:ilvl w:val="1"/>
          <w:numId w:val="1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Free movement law focuses on state measures restricting cross-border trade.</w:t>
      </w:r>
    </w:p>
    <w:p w14:paraId="46A7C125" w14:textId="77777777" w:rsidR="00D27597" w:rsidRPr="00BF485B" w:rsidRDefault="00D27597" w:rsidP="00BF485B">
      <w:pPr>
        <w:numPr>
          <w:ilvl w:val="0"/>
          <w:numId w:val="1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Critique</w:t>
      </w:r>
      <w:r w:rsidRPr="00BF485B">
        <w:rPr>
          <w:rFonts w:ascii="Times New Roman" w:hAnsi="Times New Roman"/>
          <w:lang w:val="en-HK"/>
        </w:rPr>
        <w:t>:</w:t>
      </w:r>
    </w:p>
    <w:p w14:paraId="2CA97146" w14:textId="77777777" w:rsidR="00D27597" w:rsidRPr="00BF485B" w:rsidRDefault="00D27597" w:rsidP="00BF485B">
      <w:pPr>
        <w:numPr>
          <w:ilvl w:val="1"/>
          <w:numId w:val="15"/>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this division creates a gap in the internal market, as private actions that do not fall under competition law escape scrutiny under Article 34.</w:t>
      </w:r>
    </w:p>
    <w:p w14:paraId="7B6B532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2901A686">
          <v:rect id="_x0000_i1055" alt="" style="width:451.3pt;height:.05pt;mso-width-percent:0;mso-height-percent:0;mso-width-percent:0;mso-height-percent:0" o:hralign="center" o:hrstd="t" o:hr="t" fillcolor="#a0a0a0" stroked="f"/>
        </w:pict>
      </w:r>
    </w:p>
    <w:p w14:paraId="5F631A39"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2.4 Rationale for Excluding Horizontal Direct Effect</w:t>
      </w:r>
    </w:p>
    <w:p w14:paraId="77F1E8FA"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Public-Private Distinction</w:t>
      </w:r>
    </w:p>
    <w:p w14:paraId="1683AAB8" w14:textId="77777777" w:rsidR="00D27597" w:rsidRPr="00BF485B" w:rsidRDefault="00D27597" w:rsidP="00BF485B">
      <w:pPr>
        <w:numPr>
          <w:ilvl w:val="0"/>
          <w:numId w:val="16"/>
        </w:numPr>
        <w:spacing w:before="100" w:beforeAutospacing="1" w:after="100" w:afterAutospacing="1" w:line="276" w:lineRule="auto"/>
        <w:rPr>
          <w:rFonts w:ascii="Times New Roman" w:hAnsi="Times New Roman"/>
          <w:b/>
          <w:bCs/>
          <w:lang w:val="en-HK"/>
        </w:rPr>
      </w:pPr>
      <w:r w:rsidRPr="00BF485B">
        <w:rPr>
          <w:rFonts w:ascii="Times New Roman" w:hAnsi="Times New Roman"/>
          <w:lang w:val="en-HK"/>
        </w:rPr>
        <w:t xml:space="preserve">The CJEU </w:t>
      </w:r>
      <w:r w:rsidRPr="00BF485B">
        <w:rPr>
          <w:rFonts w:ascii="Times New Roman" w:hAnsi="Times New Roman"/>
          <w:b/>
          <w:bCs/>
          <w:lang w:val="en-HK"/>
        </w:rPr>
        <w:t>has justified the exclusion of horizontal direct effect for Article 34 by emphasising the distinction between public measures (regulated by free movement law) and private actions (regulated by competition law).</w:t>
      </w:r>
    </w:p>
    <w:p w14:paraId="54391DE6" w14:textId="77777777" w:rsidR="00D27597" w:rsidRPr="00BF485B" w:rsidRDefault="00D27597" w:rsidP="00BF485B">
      <w:pPr>
        <w:numPr>
          <w:ilvl w:val="0"/>
          <w:numId w:val="16"/>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Case Example</w:t>
      </w:r>
      <w:r w:rsidRPr="00BF485B">
        <w:rPr>
          <w:rFonts w:ascii="Times New Roman" w:hAnsi="Times New Roman"/>
          <w:lang w:val="en-HK"/>
        </w:rPr>
        <w:t>:</w:t>
      </w:r>
    </w:p>
    <w:p w14:paraId="2E3CDE37" w14:textId="77777777" w:rsidR="00D27597" w:rsidRPr="00BF485B" w:rsidRDefault="00D27597" w:rsidP="00BF485B">
      <w:pPr>
        <w:numPr>
          <w:ilvl w:val="1"/>
          <w:numId w:val="1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w:t>
      </w:r>
      <w:r w:rsidRPr="00BF485B">
        <w:rPr>
          <w:rFonts w:ascii="Times New Roman" w:hAnsi="Times New Roman"/>
          <w:i/>
          <w:iCs/>
          <w:lang w:val="en-HK"/>
        </w:rPr>
        <w:t>Bayer (Case C-2/01)</w:t>
      </w:r>
      <w:r w:rsidRPr="00BF485B">
        <w:rPr>
          <w:rFonts w:ascii="Times New Roman" w:hAnsi="Times New Roman"/>
          <w:lang w:val="en-HK"/>
        </w:rPr>
        <w:t>, the Court held that Article 34 does not apply to private agreements restricting parallel imports, reiterating that it targets Member States.</w:t>
      </w:r>
    </w:p>
    <w:p w14:paraId="7025BFC4"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The Functional Approach</w:t>
      </w:r>
    </w:p>
    <w:p w14:paraId="733AAF98" w14:textId="77777777" w:rsidR="00D27597" w:rsidRPr="00BF485B" w:rsidRDefault="00D27597" w:rsidP="00BF485B">
      <w:pPr>
        <w:numPr>
          <w:ilvl w:val="0"/>
          <w:numId w:val="1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Unlike fundamental freedoms like Article 45 (workers), which have a rights-based dimension linked to EU citizenship, Article 34 is primarily transactional and market-focused.</w:t>
      </w:r>
    </w:p>
    <w:p w14:paraId="2D6F61EA" w14:textId="77777777" w:rsidR="00D27597" w:rsidRPr="00BF485B" w:rsidRDefault="00D27597" w:rsidP="00BF485B">
      <w:pPr>
        <w:numPr>
          <w:ilvl w:val="0"/>
          <w:numId w:val="1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lastRenderedPageBreak/>
        <w:t>Krenn</w:t>
      </w:r>
      <w:proofErr w:type="spellEnd"/>
      <w:r w:rsidRPr="00BF485B">
        <w:rPr>
          <w:rFonts w:ascii="Times New Roman" w:hAnsi="Times New Roman"/>
          <w:lang w:val="en-HK"/>
        </w:rPr>
        <w:t xml:space="preserve"> critiques this reasoning, arguing that all fundamental freedoms serve the same overarching goal of market integration.</w:t>
      </w:r>
    </w:p>
    <w:p w14:paraId="250C260D"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3F5E36AD">
          <v:rect id="_x0000_i1054" alt="" style="width:451.3pt;height:.05pt;mso-width-percent:0;mso-height-percent:0;mso-width-percent:0;mso-height-percent:0" o:hralign="center" o:hrstd="t" o:hr="t" fillcolor="#a0a0a0" stroked="f"/>
        </w:pict>
      </w:r>
    </w:p>
    <w:p w14:paraId="5E1C849B"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Critique of the Court’s Approach</w:t>
      </w:r>
    </w:p>
    <w:p w14:paraId="07181DE1" w14:textId="77777777" w:rsidR="00D27597" w:rsidRPr="00BF485B" w:rsidRDefault="00D27597" w:rsidP="00BF485B">
      <w:pPr>
        <w:numPr>
          <w:ilvl w:val="0"/>
          <w:numId w:val="1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Inconsistency Across Fundamental Freedoms</w:t>
      </w:r>
    </w:p>
    <w:p w14:paraId="433F05F9" w14:textId="77777777" w:rsidR="00D27597" w:rsidRPr="00BF485B" w:rsidRDefault="00D27597" w:rsidP="00BF485B">
      <w:pPr>
        <w:numPr>
          <w:ilvl w:val="1"/>
          <w:numId w:val="18"/>
        </w:numPr>
        <w:spacing w:before="100" w:beforeAutospacing="1" w:after="100" w:afterAutospacing="1" w:line="276" w:lineRule="auto"/>
        <w:rPr>
          <w:rFonts w:ascii="Times New Roman" w:hAnsi="Times New Roman"/>
          <w:b/>
          <w:bCs/>
          <w:color w:val="FF0000"/>
          <w:lang w:val="en-HK"/>
        </w:rPr>
      </w:pPr>
      <w:r w:rsidRPr="00BF485B">
        <w:rPr>
          <w:rFonts w:ascii="Times New Roman" w:hAnsi="Times New Roman"/>
          <w:lang w:val="en-HK"/>
        </w:rPr>
        <w:t xml:space="preserve">The exclusion of horizontal direct effect for </w:t>
      </w:r>
      <w:r w:rsidRPr="00BF485B">
        <w:rPr>
          <w:rFonts w:ascii="Times New Roman" w:hAnsi="Times New Roman"/>
          <w:b/>
          <w:bCs/>
          <w:color w:val="FF0000"/>
          <w:lang w:val="en-HK"/>
        </w:rPr>
        <w:t>Article 34 contrasts with the Court’s approach to Articles 45, 49, and 56 TFEU.</w:t>
      </w:r>
    </w:p>
    <w:p w14:paraId="63D4F500" w14:textId="77777777" w:rsidR="00D27597" w:rsidRPr="00BF485B" w:rsidRDefault="00D27597" w:rsidP="00BF485B">
      <w:pPr>
        <w:numPr>
          <w:ilvl w:val="1"/>
          <w:numId w:val="1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w:t>
      </w:r>
      <w:proofErr w:type="spellStart"/>
      <w:r w:rsidRPr="00BF485B">
        <w:rPr>
          <w:rFonts w:ascii="Times New Roman" w:hAnsi="Times New Roman"/>
          <w:i/>
          <w:iCs/>
          <w:lang w:val="en-HK"/>
        </w:rPr>
        <w:t>Angonese</w:t>
      </w:r>
      <w:proofErr w:type="spellEnd"/>
      <w:r w:rsidRPr="00BF485B">
        <w:rPr>
          <w:rFonts w:ascii="Times New Roman" w:hAnsi="Times New Roman"/>
          <w:i/>
          <w:iCs/>
          <w:lang w:val="en-HK"/>
        </w:rPr>
        <w:t xml:space="preserve"> (Case C-281/98)</w:t>
      </w:r>
      <w:r w:rsidRPr="00BF485B">
        <w:rPr>
          <w:rFonts w:ascii="Times New Roman" w:hAnsi="Times New Roman"/>
          <w:lang w:val="en-HK"/>
        </w:rPr>
        <w:t>, the Court granted horizontal direct effect to Article 45, citing the need to ensure the practical effectiveness of free movement rights.</w:t>
      </w:r>
    </w:p>
    <w:p w14:paraId="7BC7EF24" w14:textId="77777777" w:rsidR="00D27597" w:rsidRPr="00BF485B" w:rsidRDefault="00D27597" w:rsidP="00BF485B">
      <w:pPr>
        <w:numPr>
          <w:ilvl w:val="0"/>
          <w:numId w:val="1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Fragmentation of the Internal Market</w:t>
      </w:r>
    </w:p>
    <w:p w14:paraId="402E38BB" w14:textId="77777777" w:rsidR="00D27597" w:rsidRPr="00BF485B" w:rsidRDefault="00D27597" w:rsidP="00BF485B">
      <w:pPr>
        <w:numPr>
          <w:ilvl w:val="1"/>
          <w:numId w:val="1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By excluding horizontal direct effect for Article 34, the Court leaves gaps in the internal market, particularly where private barriers to trade exist.</w:t>
      </w:r>
    </w:p>
    <w:p w14:paraId="48433320" w14:textId="77777777" w:rsidR="00D27597" w:rsidRPr="00BF485B" w:rsidRDefault="00D27597" w:rsidP="00BF485B">
      <w:pPr>
        <w:numPr>
          <w:ilvl w:val="1"/>
          <w:numId w:val="1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 Private certification bodies or trade associations imposing restrictions on goods escape scrutiny under Article 34.</w:t>
      </w:r>
    </w:p>
    <w:p w14:paraId="550D409E" w14:textId="77777777" w:rsidR="00D27597" w:rsidRPr="00BF485B" w:rsidRDefault="00D27597" w:rsidP="00BF485B">
      <w:pPr>
        <w:numPr>
          <w:ilvl w:val="0"/>
          <w:numId w:val="1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Lack of Coherent Justification</w:t>
      </w:r>
    </w:p>
    <w:p w14:paraId="7874E01C" w14:textId="77777777" w:rsidR="00D27597" w:rsidRPr="00BF485B" w:rsidRDefault="00D27597" w:rsidP="00BF485B">
      <w:pPr>
        <w:numPr>
          <w:ilvl w:val="1"/>
          <w:numId w:val="1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the CJEU has not provided a principled justification for treating Article 34 differently from other fundamental freedoms.</w:t>
      </w:r>
    </w:p>
    <w:p w14:paraId="36C695E6" w14:textId="77777777" w:rsidR="00D27597" w:rsidRPr="00BF485B" w:rsidRDefault="00D27597" w:rsidP="00BF485B">
      <w:pPr>
        <w:numPr>
          <w:ilvl w:val="1"/>
          <w:numId w:val="1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reliance on the public-private distinction is formalistic and undermines the internal market’s objectives.</w:t>
      </w:r>
    </w:p>
    <w:p w14:paraId="7B715877"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C645614">
          <v:rect id="_x0000_i1053" alt="" style="width:451.3pt;height:.05pt;mso-width-percent:0;mso-height-percent:0;mso-width-percent:0;mso-height-percent:0" o:hralign="center" o:hrstd="t" o:hr="t" fillcolor="#a0a0a0" stroked="f"/>
        </w:pict>
      </w:r>
    </w:p>
    <w:p w14:paraId="465BCB1C"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Conclusion of Section 2</w:t>
      </w:r>
    </w:p>
    <w:p w14:paraId="4A8BD101" w14:textId="77777777" w:rsidR="00D27597" w:rsidRPr="00BF485B" w:rsidRDefault="00D27597" w:rsidP="00BF485B">
      <w:pPr>
        <w:numPr>
          <w:ilvl w:val="0"/>
          <w:numId w:val="1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Early case law hinted at the potential for horizontal direct effect under Article 34 but stopped short of recognising it explicitly.</w:t>
      </w:r>
    </w:p>
    <w:p w14:paraId="70DDF96A" w14:textId="77777777" w:rsidR="00D27597" w:rsidRPr="00BF485B" w:rsidRDefault="00D27597" w:rsidP="00BF485B">
      <w:pPr>
        <w:numPr>
          <w:ilvl w:val="0"/>
          <w:numId w:val="1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Recent judgments, particularly </w:t>
      </w:r>
      <w:proofErr w:type="spellStart"/>
      <w:r w:rsidRPr="00BF485B">
        <w:rPr>
          <w:rFonts w:ascii="Times New Roman" w:hAnsi="Times New Roman"/>
          <w:i/>
          <w:iCs/>
          <w:lang w:val="en-HK"/>
        </w:rPr>
        <w:t>Sapod</w:t>
      </w:r>
      <w:proofErr w:type="spellEnd"/>
      <w:r w:rsidRPr="00BF485B">
        <w:rPr>
          <w:rFonts w:ascii="Times New Roman" w:hAnsi="Times New Roman"/>
          <w:i/>
          <w:iCs/>
          <w:lang w:val="en-HK"/>
        </w:rPr>
        <w:t xml:space="preserve"> </w:t>
      </w:r>
      <w:proofErr w:type="spellStart"/>
      <w:r w:rsidRPr="00BF485B">
        <w:rPr>
          <w:rFonts w:ascii="Times New Roman" w:hAnsi="Times New Roman"/>
          <w:i/>
          <w:iCs/>
          <w:lang w:val="en-HK"/>
        </w:rPr>
        <w:t>Audic</w:t>
      </w:r>
      <w:proofErr w:type="spellEnd"/>
      <w:r w:rsidRPr="00BF485B">
        <w:rPr>
          <w:rFonts w:ascii="Times New Roman" w:hAnsi="Times New Roman"/>
          <w:lang w:val="en-HK"/>
        </w:rPr>
        <w:t>, have clarified that Article 34 does not impose obligations on private parties, reinforcing the distinction between free movement law and competition law.</w:t>
      </w:r>
    </w:p>
    <w:p w14:paraId="0EB6407C" w14:textId="77777777" w:rsidR="00D27597" w:rsidRPr="00BF485B" w:rsidRDefault="00D27597" w:rsidP="00BF485B">
      <w:pPr>
        <w:numPr>
          <w:ilvl w:val="0"/>
          <w:numId w:val="1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critiques this approach, arguing that it creates gaps in the internal market and fails to align with the broader objectives of EU law. She calls for a reconsideration of the CJEU’s reasoning to ensure consistency across fundamental freedoms.</w:t>
      </w:r>
    </w:p>
    <w:p w14:paraId="1FF2483E" w14:textId="453423A9" w:rsidR="00CD39F1" w:rsidRPr="00BF485B" w:rsidRDefault="00762A83" w:rsidP="00BF485B">
      <w:pPr>
        <w:spacing w:line="276" w:lineRule="auto"/>
      </w:pPr>
      <w:r w:rsidRPr="00762A83">
        <w:rPr>
          <w:rFonts w:ascii="Times New Roman" w:hAnsi="Times New Roman"/>
          <w:noProof/>
          <w:lang w:val="en-HK"/>
          <w14:ligatures w14:val="standardContextual"/>
        </w:rPr>
        <w:pict w14:anchorId="7C48E0A2">
          <v:rect id="_x0000_i1052" alt="" style="width:451.3pt;height:.05pt;mso-width-percent:0;mso-height-percent:0;mso-width-percent:0;mso-height-percent:0" o:hralign="center" o:hrstd="t" o:hr="t" fillcolor="#a0a0a0" stroked="f"/>
        </w:pict>
      </w:r>
    </w:p>
    <w:p w14:paraId="0B84C4CE"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3. The Coherence of the Court’s Jurisprudence</w:t>
      </w:r>
    </w:p>
    <w:p w14:paraId="7F7EBAB2"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Introduction</w:t>
      </w:r>
    </w:p>
    <w:p w14:paraId="3BCD30C8" w14:textId="77777777" w:rsidR="00D27597" w:rsidRPr="00BF485B" w:rsidRDefault="00D27597" w:rsidP="00BF485B">
      <w:pPr>
        <w:numPr>
          <w:ilvl w:val="0"/>
          <w:numId w:val="20"/>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examines the CJEU’s inconsistent application of horizontal direct effect across the fundamental freedoms (Articles 34, 45, 49, 56 TFEU).</w:t>
      </w:r>
    </w:p>
    <w:p w14:paraId="49D534B5" w14:textId="77777777" w:rsidR="00D27597" w:rsidRPr="00BF485B" w:rsidRDefault="00D27597" w:rsidP="00BF485B">
      <w:pPr>
        <w:numPr>
          <w:ilvl w:val="0"/>
          <w:numId w:val="2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This section questions whether the Court’s divergent treatment is justified and assesses the broader coherence of the CJEU’s reasoning.</w:t>
      </w:r>
    </w:p>
    <w:p w14:paraId="1353EB9C" w14:textId="77777777" w:rsidR="00D27597" w:rsidRPr="00BF485B" w:rsidRDefault="00D27597" w:rsidP="00BF485B">
      <w:pPr>
        <w:numPr>
          <w:ilvl w:val="0"/>
          <w:numId w:val="2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Central argument: The exclusion of horizontal direct effect for Article 34 TFEU is problematic and inconsistent with the overarching goals of the internal market.</w:t>
      </w:r>
    </w:p>
    <w:p w14:paraId="158269B6"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4A65DBA">
          <v:rect id="_x0000_i1051" alt="" style="width:451.3pt;height:.05pt;mso-width-percent:0;mso-height-percent:0;mso-width-percent:0;mso-height-percent:0" o:hralign="center" o:hrstd="t" o:hr="t" fillcolor="#a0a0a0" stroked="f"/>
        </w:pict>
      </w:r>
    </w:p>
    <w:p w14:paraId="471E1AC5"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3.1 Uniform vs. Differentiated Approach</w:t>
      </w:r>
    </w:p>
    <w:p w14:paraId="68F5E57C"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Uniform Application Across Fundamental Freedoms</w:t>
      </w:r>
    </w:p>
    <w:p w14:paraId="3C71B1CB" w14:textId="77777777" w:rsidR="00D27597" w:rsidRPr="00BF485B" w:rsidRDefault="00D27597" w:rsidP="00BF485B">
      <w:pPr>
        <w:numPr>
          <w:ilvl w:val="0"/>
          <w:numId w:val="2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Fundamental freedoms aim to eliminate barriers within the internal market and ensure effective rights for individuals and businesses.</w:t>
      </w:r>
    </w:p>
    <w:p w14:paraId="70BE9A3A" w14:textId="77777777" w:rsidR="00D27597" w:rsidRPr="00BF485B" w:rsidRDefault="00D27597" w:rsidP="00BF485B">
      <w:pPr>
        <w:numPr>
          <w:ilvl w:val="0"/>
          <w:numId w:val="21"/>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all fundamental freedoms should be treated equally in principle, as they share the same legal foundation in the Treaty.</w:t>
      </w:r>
    </w:p>
    <w:p w14:paraId="5B2F88F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Divergent Treatment of Article 34</w:t>
      </w:r>
    </w:p>
    <w:p w14:paraId="49A6937F" w14:textId="77777777" w:rsidR="00D27597" w:rsidRPr="00BF485B" w:rsidRDefault="00D27597" w:rsidP="00BF485B">
      <w:pPr>
        <w:numPr>
          <w:ilvl w:val="0"/>
          <w:numId w:val="2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While Articles 45, 49, and 56 TFEU enjoy horizontal direct effect, Article 34 remains restricted to vertical application (i.e., against Member States and state-like bodies).</w:t>
      </w:r>
    </w:p>
    <w:p w14:paraId="16753D37" w14:textId="77777777" w:rsidR="00D27597" w:rsidRPr="00BF485B" w:rsidRDefault="00D27597" w:rsidP="00BF485B">
      <w:pPr>
        <w:numPr>
          <w:ilvl w:val="0"/>
          <w:numId w:val="22"/>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Case Examples</w:t>
      </w:r>
      <w:r w:rsidRPr="00BF485B">
        <w:rPr>
          <w:rFonts w:ascii="Times New Roman" w:hAnsi="Times New Roman"/>
          <w:lang w:val="en-HK"/>
        </w:rPr>
        <w:t>:</w:t>
      </w:r>
    </w:p>
    <w:p w14:paraId="2ABA24CC" w14:textId="77777777" w:rsidR="00D27597" w:rsidRPr="00BF485B" w:rsidRDefault="00D27597" w:rsidP="00BF485B">
      <w:pPr>
        <w:numPr>
          <w:ilvl w:val="1"/>
          <w:numId w:val="22"/>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i/>
          <w:iCs/>
          <w:lang w:val="en-HK"/>
        </w:rPr>
        <w:t>Angonese</w:t>
      </w:r>
      <w:proofErr w:type="spellEnd"/>
      <w:r w:rsidRPr="00BF485B">
        <w:rPr>
          <w:rFonts w:ascii="Times New Roman" w:hAnsi="Times New Roman"/>
          <w:i/>
          <w:iCs/>
          <w:lang w:val="en-HK"/>
        </w:rPr>
        <w:t xml:space="preserve"> (Case C-281/98)</w:t>
      </w:r>
      <w:r w:rsidRPr="00BF485B">
        <w:rPr>
          <w:rFonts w:ascii="Times New Roman" w:hAnsi="Times New Roman"/>
          <w:lang w:val="en-HK"/>
        </w:rPr>
        <w:t>: Article 45 TFEU (free movement of workers) was applied horizontally to prevent private sector discrimination.</w:t>
      </w:r>
    </w:p>
    <w:p w14:paraId="42227A54" w14:textId="77777777" w:rsidR="00D27597" w:rsidRPr="00BF485B" w:rsidRDefault="00D27597" w:rsidP="00BF485B">
      <w:pPr>
        <w:numPr>
          <w:ilvl w:val="1"/>
          <w:numId w:val="22"/>
        </w:numPr>
        <w:spacing w:before="100" w:beforeAutospacing="1" w:after="100" w:afterAutospacing="1" w:line="276" w:lineRule="auto"/>
        <w:rPr>
          <w:rFonts w:ascii="Times New Roman" w:hAnsi="Times New Roman"/>
          <w:lang w:val="en-HK"/>
        </w:rPr>
      </w:pPr>
      <w:r w:rsidRPr="00BF485B">
        <w:rPr>
          <w:rFonts w:ascii="Times New Roman" w:hAnsi="Times New Roman"/>
          <w:i/>
          <w:iCs/>
          <w:lang w:val="en-HK"/>
        </w:rPr>
        <w:t>Viking Line (Case C-438/05)</w:t>
      </w:r>
      <w:r w:rsidRPr="00BF485B">
        <w:rPr>
          <w:rFonts w:ascii="Times New Roman" w:hAnsi="Times New Roman"/>
          <w:lang w:val="en-HK"/>
        </w:rPr>
        <w:t>: Article 49 TFEU (freedom of establishment) was applied to trade unions engaged in collective action.</w:t>
      </w:r>
    </w:p>
    <w:p w14:paraId="3FBBC8A6" w14:textId="77777777" w:rsidR="00D27597" w:rsidRPr="00BF485B" w:rsidRDefault="00D27597" w:rsidP="00BF485B">
      <w:pPr>
        <w:numPr>
          <w:ilvl w:val="1"/>
          <w:numId w:val="2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Contrast: </w:t>
      </w:r>
      <w:proofErr w:type="spellStart"/>
      <w:r w:rsidRPr="00BF485B">
        <w:rPr>
          <w:rFonts w:ascii="Times New Roman" w:hAnsi="Times New Roman"/>
          <w:i/>
          <w:iCs/>
          <w:lang w:val="en-HK"/>
        </w:rPr>
        <w:t>Sapod</w:t>
      </w:r>
      <w:proofErr w:type="spellEnd"/>
      <w:r w:rsidRPr="00BF485B">
        <w:rPr>
          <w:rFonts w:ascii="Times New Roman" w:hAnsi="Times New Roman"/>
          <w:i/>
          <w:iCs/>
          <w:lang w:val="en-HK"/>
        </w:rPr>
        <w:t xml:space="preserve"> </w:t>
      </w:r>
      <w:proofErr w:type="spellStart"/>
      <w:r w:rsidRPr="00BF485B">
        <w:rPr>
          <w:rFonts w:ascii="Times New Roman" w:hAnsi="Times New Roman"/>
          <w:i/>
          <w:iCs/>
          <w:lang w:val="en-HK"/>
        </w:rPr>
        <w:t>Audic</w:t>
      </w:r>
      <w:proofErr w:type="spellEnd"/>
      <w:r w:rsidRPr="00BF485B">
        <w:rPr>
          <w:rFonts w:ascii="Times New Roman" w:hAnsi="Times New Roman"/>
          <w:i/>
          <w:iCs/>
          <w:lang w:val="en-HK"/>
        </w:rPr>
        <w:t xml:space="preserve"> (Case C-159/00)</w:t>
      </w:r>
      <w:r w:rsidRPr="00BF485B">
        <w:rPr>
          <w:rFonts w:ascii="Times New Roman" w:hAnsi="Times New Roman"/>
          <w:lang w:val="en-HK"/>
        </w:rPr>
        <w:t xml:space="preserve"> confirmed that Article 34 imposes obligations only on Member States.</w:t>
      </w:r>
    </w:p>
    <w:p w14:paraId="220D63D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7D665BBE">
          <v:rect id="_x0000_i1050" alt="" style="width:451.3pt;height:.05pt;mso-width-percent:0;mso-height-percent:0;mso-width-percent:0;mso-height-percent:0" o:hralign="center" o:hrstd="t" o:hr="t" fillcolor="#a0a0a0" stroked="f"/>
        </w:pict>
      </w:r>
    </w:p>
    <w:p w14:paraId="76BD1423"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3.2 Citizenship and Fundamental Rights</w:t>
      </w:r>
    </w:p>
    <w:p w14:paraId="4EBA706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Rights-Based Dimension of Fundamental Freedoms</w:t>
      </w:r>
    </w:p>
    <w:p w14:paraId="617742FC" w14:textId="77777777" w:rsidR="00D27597" w:rsidRPr="00BF485B" w:rsidRDefault="00D27597" w:rsidP="00BF485B">
      <w:pPr>
        <w:numPr>
          <w:ilvl w:val="0"/>
          <w:numId w:val="2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 has expanded horizontal direct effect in areas linked to </w:t>
      </w:r>
      <w:r w:rsidRPr="00BF485B">
        <w:rPr>
          <w:rFonts w:ascii="Times New Roman" w:hAnsi="Times New Roman"/>
          <w:b/>
          <w:bCs/>
          <w:lang w:val="en-HK"/>
        </w:rPr>
        <w:t>EU citizenship</w:t>
      </w:r>
      <w:r w:rsidRPr="00BF485B">
        <w:rPr>
          <w:rFonts w:ascii="Times New Roman" w:hAnsi="Times New Roman"/>
          <w:lang w:val="en-HK"/>
        </w:rPr>
        <w:t xml:space="preserve"> and </w:t>
      </w:r>
      <w:r w:rsidRPr="00BF485B">
        <w:rPr>
          <w:rFonts w:ascii="Times New Roman" w:hAnsi="Times New Roman"/>
          <w:b/>
          <w:bCs/>
          <w:lang w:val="en-HK"/>
        </w:rPr>
        <w:t>individual rights</w:t>
      </w:r>
      <w:r w:rsidRPr="00BF485B">
        <w:rPr>
          <w:rFonts w:ascii="Times New Roman" w:hAnsi="Times New Roman"/>
          <w:lang w:val="en-HK"/>
        </w:rPr>
        <w:t>.</w:t>
      </w:r>
    </w:p>
    <w:p w14:paraId="3751AB65" w14:textId="77777777" w:rsidR="00D27597" w:rsidRPr="00BF485B" w:rsidRDefault="00D27597" w:rsidP="00BF485B">
      <w:pPr>
        <w:numPr>
          <w:ilvl w:val="0"/>
          <w:numId w:val="2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Articles 45, 49, and 56 TFEU are closely connected to individual rights, such as non-discrimination and equal treatment. These rights have been deemed essential for achieving EU citizenship’s objectives.</w:t>
      </w:r>
    </w:p>
    <w:p w14:paraId="5329001B" w14:textId="77777777" w:rsidR="00D27597" w:rsidRPr="00BF485B" w:rsidRDefault="00D27597" w:rsidP="00BF485B">
      <w:pPr>
        <w:numPr>
          <w:ilvl w:val="0"/>
          <w:numId w:val="23"/>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Angonese</w:t>
      </w:r>
      <w:proofErr w:type="spellEnd"/>
      <w:r w:rsidRPr="00BF485B">
        <w:rPr>
          <w:rFonts w:ascii="Times New Roman" w:hAnsi="Times New Roman"/>
          <w:b/>
          <w:bCs/>
          <w:lang w:val="en-HK"/>
        </w:rPr>
        <w:t xml:space="preserve"> (Case C-281/98)</w:t>
      </w:r>
      <w:r w:rsidRPr="00BF485B">
        <w:rPr>
          <w:rFonts w:ascii="Times New Roman" w:hAnsi="Times New Roman"/>
          <w:lang w:val="en-HK"/>
        </w:rPr>
        <w:t>:</w:t>
      </w:r>
    </w:p>
    <w:p w14:paraId="66F5F169" w14:textId="77777777" w:rsidR="00D27597" w:rsidRPr="00BF485B" w:rsidRDefault="00D27597" w:rsidP="00BF485B">
      <w:pPr>
        <w:numPr>
          <w:ilvl w:val="1"/>
          <w:numId w:val="23"/>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A private employer required a specific language certificate for a job, which was unavailable outside a certain region.</w:t>
      </w:r>
    </w:p>
    <w:p w14:paraId="043B2EAD" w14:textId="77777777" w:rsidR="00D27597" w:rsidRPr="00BF485B" w:rsidRDefault="00D27597" w:rsidP="00BF485B">
      <w:pPr>
        <w:numPr>
          <w:ilvl w:val="1"/>
          <w:numId w:val="23"/>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held that Article 45 TFEU applied horizontally, as the employer’s practice created an obstacle to free movement.</w:t>
      </w:r>
    </w:p>
    <w:p w14:paraId="6D7A5B0B" w14:textId="77777777" w:rsidR="00D27597" w:rsidRPr="00BF485B" w:rsidRDefault="00D27597" w:rsidP="00BF485B">
      <w:pPr>
        <w:numPr>
          <w:ilvl w:val="1"/>
          <w:numId w:val="23"/>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0A0397AE" w14:textId="77777777" w:rsidR="00D27597" w:rsidRPr="00BF485B" w:rsidRDefault="00D27597" w:rsidP="00BF485B">
      <w:pPr>
        <w:numPr>
          <w:ilvl w:val="2"/>
          <w:numId w:val="2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Horizontal direct effect was justified to ensure the full effectiveness (</w:t>
      </w:r>
      <w:proofErr w:type="spellStart"/>
      <w:r w:rsidRPr="00BF485B">
        <w:rPr>
          <w:rFonts w:ascii="Times New Roman" w:hAnsi="Times New Roman"/>
          <w:i/>
          <w:iCs/>
          <w:lang w:val="en-HK"/>
        </w:rPr>
        <w:t>effet</w:t>
      </w:r>
      <w:proofErr w:type="spellEnd"/>
      <w:r w:rsidRPr="00BF485B">
        <w:rPr>
          <w:rFonts w:ascii="Times New Roman" w:hAnsi="Times New Roman"/>
          <w:i/>
          <w:iCs/>
          <w:lang w:val="en-HK"/>
        </w:rPr>
        <w:t xml:space="preserve"> utile</w:t>
      </w:r>
      <w:r w:rsidRPr="00BF485B">
        <w:rPr>
          <w:rFonts w:ascii="Times New Roman" w:hAnsi="Times New Roman"/>
          <w:lang w:val="en-HK"/>
        </w:rPr>
        <w:t>) of Article 45 and to protect the right to non-discrimination.</w:t>
      </w:r>
    </w:p>
    <w:p w14:paraId="46DEAA3A"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The Market-Focused Nature of Article 34</w:t>
      </w:r>
    </w:p>
    <w:p w14:paraId="67355FDD" w14:textId="77777777" w:rsidR="00D27597" w:rsidRPr="00BF485B" w:rsidRDefault="00D27597" w:rsidP="00BF485B">
      <w:pPr>
        <w:numPr>
          <w:ilvl w:val="0"/>
          <w:numId w:val="2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34 TFEU is viewed as transactional and market-focused, primarily targeting restrictions imposed by Member States on goods.</w:t>
      </w:r>
    </w:p>
    <w:p w14:paraId="05AB979A" w14:textId="77777777" w:rsidR="00D27597" w:rsidRPr="00BF485B" w:rsidRDefault="00D27597" w:rsidP="00BF485B">
      <w:pPr>
        <w:numPr>
          <w:ilvl w:val="0"/>
          <w:numId w:val="24"/>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critiques this distinction, arguing that it unnecessarily limits Article 34’s potential to address private barriers to trade.</w:t>
      </w:r>
    </w:p>
    <w:p w14:paraId="22E39B28"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5ADA8A8C">
          <v:rect id="_x0000_i1049" alt="" style="width:451.3pt;height:.05pt;mso-width-percent:0;mso-height-percent:0;mso-width-percent:0;mso-height-percent:0" o:hralign="center" o:hrstd="t" o:hr="t" fillcolor="#a0a0a0" stroked="f"/>
        </w:pict>
      </w:r>
    </w:p>
    <w:p w14:paraId="10C40774"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 xml:space="preserve">3.3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and Horizontal Direct Effect</w:t>
      </w:r>
    </w:p>
    <w:p w14:paraId="4B5EB047"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as a Justification</w:t>
      </w:r>
    </w:p>
    <w:p w14:paraId="0A9D640B" w14:textId="77777777" w:rsidR="00D27597" w:rsidRPr="00BF485B" w:rsidRDefault="00D27597" w:rsidP="00BF485B">
      <w:pPr>
        <w:numPr>
          <w:ilvl w:val="0"/>
          <w:numId w:val="2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doctrine of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(practical effectiveness) underpins the Court’s rationale for applying horizontal direct effect in other fundamental freedoms.</w:t>
      </w:r>
    </w:p>
    <w:p w14:paraId="5313C214" w14:textId="77777777" w:rsidR="00D27597" w:rsidRPr="00BF485B" w:rsidRDefault="00D27597" w:rsidP="00BF485B">
      <w:pPr>
        <w:numPr>
          <w:ilvl w:val="0"/>
          <w:numId w:val="2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Example</w:t>
      </w:r>
      <w:r w:rsidRPr="00BF485B">
        <w:rPr>
          <w:rFonts w:ascii="Times New Roman" w:hAnsi="Times New Roman"/>
          <w:lang w:val="en-HK"/>
        </w:rPr>
        <w:t>:</w:t>
      </w:r>
    </w:p>
    <w:p w14:paraId="38094911" w14:textId="77777777" w:rsidR="00D27597" w:rsidRPr="00BF485B" w:rsidRDefault="00D27597" w:rsidP="00BF485B">
      <w:pPr>
        <w:numPr>
          <w:ilvl w:val="1"/>
          <w:numId w:val="2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w:t>
      </w:r>
      <w:r w:rsidRPr="00BF485B">
        <w:rPr>
          <w:rFonts w:ascii="Times New Roman" w:hAnsi="Times New Roman"/>
          <w:i/>
          <w:iCs/>
          <w:lang w:val="en-HK"/>
        </w:rPr>
        <w:t>Viking Line (Case C-438/05)</w:t>
      </w:r>
      <w:r w:rsidRPr="00BF485B">
        <w:rPr>
          <w:rFonts w:ascii="Times New Roman" w:hAnsi="Times New Roman"/>
          <w:lang w:val="en-HK"/>
        </w:rPr>
        <w:t>, the Court held that Article 49 TFEU applied horizontally to collective action by trade unions, as private actions could undermine the freedom of establishment.</w:t>
      </w:r>
    </w:p>
    <w:p w14:paraId="5744D5CF" w14:textId="77777777" w:rsidR="00D27597" w:rsidRPr="00BF485B" w:rsidRDefault="00D27597" w:rsidP="00BF485B">
      <w:pPr>
        <w:numPr>
          <w:ilvl w:val="1"/>
          <w:numId w:val="2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Court reasoned that restricting horizontal direct effect would allow private actors to create barriers to free movement, undermining the Treaties’ objectives.</w:t>
      </w:r>
    </w:p>
    <w:p w14:paraId="06CB4EBA"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Application to Article 34</w:t>
      </w:r>
    </w:p>
    <w:p w14:paraId="4097F7F5" w14:textId="77777777" w:rsidR="00D27597" w:rsidRPr="00BF485B" w:rsidRDefault="00D27597" w:rsidP="00BF485B">
      <w:pPr>
        <w:numPr>
          <w:ilvl w:val="0"/>
          <w:numId w:val="2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the same logic should apply to Article 34, as private barriers to goods can equally undermine the internal market.</w:t>
      </w:r>
    </w:p>
    <w:p w14:paraId="2110494C" w14:textId="77777777" w:rsidR="00D27597" w:rsidRPr="00BF485B" w:rsidRDefault="00D27597" w:rsidP="00BF485B">
      <w:pPr>
        <w:numPr>
          <w:ilvl w:val="0"/>
          <w:numId w:val="2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w:t>
      </w:r>
    </w:p>
    <w:p w14:paraId="08D8B38B" w14:textId="77777777" w:rsidR="00D27597" w:rsidRPr="00BF485B" w:rsidRDefault="00D27597" w:rsidP="00BF485B">
      <w:pPr>
        <w:numPr>
          <w:ilvl w:val="1"/>
          <w:numId w:val="2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Private certification bodies or trade associations imposing standards or restrictions on goods can create significant obstacles to trade, similar to those addressed under Articles 45, 49, and 56 TFEU.</w:t>
      </w:r>
    </w:p>
    <w:p w14:paraId="7C6C812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D0206BD">
          <v:rect id="_x0000_i1048" alt="" style="width:451.3pt;height:.05pt;mso-width-percent:0;mso-height-percent:0;mso-width-percent:0;mso-height-percent:0" o:hralign="center" o:hrstd="t" o:hr="t" fillcolor="#a0a0a0" stroked="f"/>
        </w:pict>
      </w:r>
    </w:p>
    <w:p w14:paraId="69A4CFEC"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3.4 The Role of Articles 18 and 157 TFEU</w:t>
      </w:r>
    </w:p>
    <w:p w14:paraId="72C9877E"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Article 18 TFEU (Non-Discrimination)</w:t>
      </w:r>
    </w:p>
    <w:p w14:paraId="385FE928" w14:textId="77777777" w:rsidR="00D27597" w:rsidRPr="00BF485B" w:rsidRDefault="00D27597" w:rsidP="00BF485B">
      <w:pPr>
        <w:numPr>
          <w:ilvl w:val="0"/>
          <w:numId w:val="2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18 prohibits discrimination based on nationality and has been a key foundation for extending horizontal direct effect.</w:t>
      </w:r>
    </w:p>
    <w:p w14:paraId="52806B16" w14:textId="77777777" w:rsidR="00D27597" w:rsidRPr="00BF485B" w:rsidRDefault="00D27597" w:rsidP="00BF485B">
      <w:pPr>
        <w:numPr>
          <w:ilvl w:val="0"/>
          <w:numId w:val="2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Angonese</w:t>
      </w:r>
      <w:proofErr w:type="spellEnd"/>
      <w:r w:rsidRPr="00BF485B">
        <w:rPr>
          <w:rFonts w:ascii="Times New Roman" w:hAnsi="Times New Roman"/>
          <w:lang w:val="en-HK"/>
        </w:rPr>
        <w:t>: The Court linked Article 18’s non-discrimination principle to the horizontal application of Article 45.</w:t>
      </w:r>
    </w:p>
    <w:p w14:paraId="239916BE" w14:textId="77777777" w:rsidR="00D27597" w:rsidRPr="00BF485B" w:rsidRDefault="00D27597" w:rsidP="00BF485B">
      <w:pPr>
        <w:numPr>
          <w:ilvl w:val="0"/>
          <w:numId w:val="2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lastRenderedPageBreak/>
        <w:t>Krenn</w:t>
      </w:r>
      <w:proofErr w:type="spellEnd"/>
      <w:r w:rsidRPr="00BF485B">
        <w:rPr>
          <w:rFonts w:ascii="Times New Roman" w:hAnsi="Times New Roman"/>
          <w:lang w:val="en-HK"/>
        </w:rPr>
        <w:t xml:space="preserve"> argues that Article 34 could similarly incorporate non-discrimination principles to address private barriers to goods.</w:t>
      </w:r>
    </w:p>
    <w:p w14:paraId="430A3224"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Article 157 TFEU (Equal Pay)</w:t>
      </w:r>
    </w:p>
    <w:p w14:paraId="793274FA" w14:textId="77777777" w:rsidR="00D27597" w:rsidRPr="00BF485B" w:rsidRDefault="00D27597" w:rsidP="00BF485B">
      <w:pPr>
        <w:numPr>
          <w:ilvl w:val="0"/>
          <w:numId w:val="2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CJEU has applied horizontal direct effect to Article 157, which prohibits pay discrimination.</w:t>
      </w:r>
    </w:p>
    <w:p w14:paraId="1FBE9C39" w14:textId="77777777" w:rsidR="00D27597" w:rsidRPr="00BF485B" w:rsidRDefault="00D27597" w:rsidP="00BF485B">
      <w:pPr>
        <w:numPr>
          <w:ilvl w:val="0"/>
          <w:numId w:val="2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Defrenne</w:t>
      </w:r>
      <w:proofErr w:type="spellEnd"/>
      <w:r w:rsidRPr="00BF485B">
        <w:rPr>
          <w:rFonts w:ascii="Times New Roman" w:hAnsi="Times New Roman"/>
          <w:b/>
          <w:bCs/>
          <w:lang w:val="en-HK"/>
        </w:rPr>
        <w:t xml:space="preserve"> II (Case 43/75)</w:t>
      </w:r>
      <w:r w:rsidRPr="00BF485B">
        <w:rPr>
          <w:rFonts w:ascii="Times New Roman" w:hAnsi="Times New Roman"/>
          <w:lang w:val="en-HK"/>
        </w:rPr>
        <w:t>:</w:t>
      </w:r>
    </w:p>
    <w:p w14:paraId="6E7C04DB" w14:textId="77777777" w:rsidR="00D27597" w:rsidRPr="00BF485B" w:rsidRDefault="00D27597" w:rsidP="00BF485B">
      <w:pPr>
        <w:numPr>
          <w:ilvl w:val="1"/>
          <w:numId w:val="2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recognised horizontal direct effect for Article 157 to ensure gender equality in the workplace.</w:t>
      </w:r>
    </w:p>
    <w:p w14:paraId="26D330B5" w14:textId="77777777" w:rsidR="00D27597" w:rsidRPr="00BF485B" w:rsidRDefault="00D27597" w:rsidP="00BF485B">
      <w:pPr>
        <w:numPr>
          <w:ilvl w:val="1"/>
          <w:numId w:val="2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0F005FDB" w14:textId="77777777" w:rsidR="00D27597" w:rsidRPr="00BF485B" w:rsidRDefault="00D27597" w:rsidP="00BF485B">
      <w:pPr>
        <w:numPr>
          <w:ilvl w:val="2"/>
          <w:numId w:val="2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Court prioritised the Treaty’s overarching objectives over formalistic distinctions between private and public actors.</w:t>
      </w:r>
    </w:p>
    <w:p w14:paraId="1C6A0EB5" w14:textId="77777777" w:rsidR="00D27597" w:rsidRPr="00BF485B" w:rsidRDefault="00D27597" w:rsidP="00BF485B">
      <w:pPr>
        <w:numPr>
          <w:ilvl w:val="0"/>
          <w:numId w:val="2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suggests that a similar approach could enhance the effectiveness of Article 34 in achieving market integration.</w:t>
      </w:r>
    </w:p>
    <w:p w14:paraId="2BC2E76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21C92707">
          <v:rect id="_x0000_i1047" alt="" style="width:451.3pt;height:.05pt;mso-width-percent:0;mso-height-percent:0;mso-width-percent:0;mso-height-percent:0" o:hralign="center" o:hrstd="t" o:hr="t" fillcolor="#a0a0a0" stroked="f"/>
        </w:pict>
      </w:r>
    </w:p>
    <w:p w14:paraId="6F355135"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Critique of the CJEU’s Approach</w:t>
      </w:r>
    </w:p>
    <w:p w14:paraId="6B794DD2"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Inconsistencies Across Freedoms</w:t>
      </w:r>
    </w:p>
    <w:p w14:paraId="27AB5CF6" w14:textId="77777777" w:rsidR="00D27597" w:rsidRPr="00BF485B" w:rsidRDefault="00D27597" w:rsidP="00BF485B">
      <w:pPr>
        <w:numPr>
          <w:ilvl w:val="0"/>
          <w:numId w:val="2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criticises the Court for treating Article 34 differently without providing a coherent justification.</w:t>
      </w:r>
    </w:p>
    <w:p w14:paraId="741A23F4" w14:textId="77777777" w:rsidR="00D27597" w:rsidRPr="00BF485B" w:rsidRDefault="00D27597" w:rsidP="00BF485B">
      <w:pPr>
        <w:numPr>
          <w:ilvl w:val="0"/>
          <w:numId w:val="2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emphasis on citizenship and rights-based dimensions in other freedoms is not incompatible with the transactional nature of Article 34.</w:t>
      </w:r>
    </w:p>
    <w:p w14:paraId="29E238A2"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Fragmentation of the Internal Market</w:t>
      </w:r>
    </w:p>
    <w:p w14:paraId="66A37564" w14:textId="77777777" w:rsidR="00D27597" w:rsidRPr="00BF485B" w:rsidRDefault="00D27597" w:rsidP="00BF485B">
      <w:pPr>
        <w:numPr>
          <w:ilvl w:val="0"/>
          <w:numId w:val="3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By excluding horizontal direct effect for Article 34, the CJEU creates a gap in the internal market, as private barriers to goods escape scrutiny.</w:t>
      </w:r>
    </w:p>
    <w:p w14:paraId="27DB75AA" w14:textId="77777777" w:rsidR="00D27597" w:rsidRPr="00BF485B" w:rsidRDefault="00D27597" w:rsidP="00BF485B">
      <w:pPr>
        <w:numPr>
          <w:ilvl w:val="0"/>
          <w:numId w:val="3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 A trade association imposing discriminatory product standards can restrict market access without falling under Article 34 or competition law.</w:t>
      </w:r>
    </w:p>
    <w:p w14:paraId="293DC9A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Formalistic Reasoning</w:t>
      </w:r>
    </w:p>
    <w:p w14:paraId="426E1623" w14:textId="77777777" w:rsidR="00D27597" w:rsidRPr="00BF485B" w:rsidRDefault="00D27597" w:rsidP="00BF485B">
      <w:pPr>
        <w:numPr>
          <w:ilvl w:val="0"/>
          <w:numId w:val="3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Court’s reliance on the public-private distinction is seen as overly formalistic and inconsistent with the Treaty’s objectives.</w:t>
      </w:r>
    </w:p>
    <w:p w14:paraId="145409F8" w14:textId="77777777" w:rsidR="00D27597" w:rsidRPr="00BF485B" w:rsidRDefault="00D27597" w:rsidP="00BF485B">
      <w:pPr>
        <w:numPr>
          <w:ilvl w:val="0"/>
          <w:numId w:val="31"/>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all fundamental freedoms serve the same goal of removing barriers to the internal market and should be treated equally.</w:t>
      </w:r>
    </w:p>
    <w:p w14:paraId="770F2CFB"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3CEAEB05">
          <v:rect id="_x0000_i1046" alt="" style="width:451.3pt;height:.05pt;mso-width-percent:0;mso-height-percent:0;mso-width-percent:0;mso-height-percent:0" o:hralign="center" o:hrstd="t" o:hr="t" fillcolor="#a0a0a0" stroked="f"/>
        </w:pict>
      </w:r>
    </w:p>
    <w:p w14:paraId="1C3D9ABD"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Conclusion of Section 3</w:t>
      </w:r>
    </w:p>
    <w:p w14:paraId="0265FA63" w14:textId="77777777" w:rsidR="00D27597" w:rsidRPr="00BF485B" w:rsidRDefault="00D27597" w:rsidP="00BF485B">
      <w:pPr>
        <w:numPr>
          <w:ilvl w:val="0"/>
          <w:numId w:val="3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The CJEU’s differential treatment of fundamental freedoms undermines the coherence of its jurisprudence.</w:t>
      </w:r>
    </w:p>
    <w:p w14:paraId="1D436482" w14:textId="77777777" w:rsidR="00D27597" w:rsidRPr="00BF485B" w:rsidRDefault="00D27597" w:rsidP="00BF485B">
      <w:pPr>
        <w:numPr>
          <w:ilvl w:val="0"/>
          <w:numId w:val="32"/>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calls for a unified approach that extends horizontal direct effect to Article 34 TFEU, aligning it with other fundamental freedoms and ensuring the internal market’s full realisation.</w:t>
      </w:r>
    </w:p>
    <w:p w14:paraId="3D73A014" w14:textId="77777777" w:rsidR="00D27597" w:rsidRPr="00BF485B" w:rsidRDefault="00D27597" w:rsidP="00BF485B">
      <w:pPr>
        <w:numPr>
          <w:ilvl w:val="0"/>
          <w:numId w:val="3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She critiques the Court’s formalistic reasoning and argues that horizontal direct effect under Article 34 is necessary to address private barriers to trade and achieve the Treaties’ objectives.</w:t>
      </w:r>
    </w:p>
    <w:p w14:paraId="17D0E95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B46F07E">
          <v:rect id="_x0000_i1045" alt="" style="width:451.3pt;height:.05pt;mso-width-percent:0;mso-height-percent:0;mso-width-percent:0;mso-height-percent:0" o:hralign="center" o:hrstd="t" o:hr="t" fillcolor="#a0a0a0" stroked="f"/>
        </w:pict>
      </w:r>
    </w:p>
    <w:p w14:paraId="4DBCF752"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4. Searching for 'Upgrades' in the Court’s Case Law</w:t>
      </w:r>
    </w:p>
    <w:p w14:paraId="6568F08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Introduction</w:t>
      </w:r>
    </w:p>
    <w:p w14:paraId="05E09941" w14:textId="77777777" w:rsidR="00D27597" w:rsidRPr="00BF485B" w:rsidRDefault="00D27597" w:rsidP="00BF485B">
      <w:pPr>
        <w:numPr>
          <w:ilvl w:val="0"/>
          <w:numId w:val="33"/>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discusses whether there are indications or "upgrades" in the CJEU’s case law that could support the extension of horizontal direct effect to Article 34 TFEU.</w:t>
      </w:r>
    </w:p>
    <w:p w14:paraId="14641228" w14:textId="77777777" w:rsidR="00D27597" w:rsidRPr="00BF485B" w:rsidRDefault="00D27597" w:rsidP="00BF485B">
      <w:pPr>
        <w:numPr>
          <w:ilvl w:val="0"/>
          <w:numId w:val="3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She examines specific legal principles—such as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and the interplay with Articles 18 and 157 TFEU—that have justified horizontal direct effect in other areas.</w:t>
      </w:r>
    </w:p>
    <w:p w14:paraId="5E193D34" w14:textId="77777777" w:rsidR="00D27597" w:rsidRPr="00BF485B" w:rsidRDefault="00D27597" w:rsidP="00BF485B">
      <w:pPr>
        <w:numPr>
          <w:ilvl w:val="0"/>
          <w:numId w:val="3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argument builds on these principles to propose how Article 34 could similarly benefit from a broader interpretation.</w:t>
      </w:r>
    </w:p>
    <w:p w14:paraId="094DE855"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5E38EE9">
          <v:rect id="_x0000_i1044" alt="" style="width:451.3pt;height:.05pt;mso-width-percent:0;mso-height-percent:0;mso-width-percent:0;mso-height-percent:0" o:hralign="center" o:hrstd="t" o:hr="t" fillcolor="#a0a0a0" stroked="f"/>
        </w:pict>
      </w:r>
    </w:p>
    <w:p w14:paraId="0CD6C2B3"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 xml:space="preserve">4.1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Ensuring Practical Effectiveness</w:t>
      </w:r>
    </w:p>
    <w:p w14:paraId="25F7FAE3"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in EU Law</w:t>
      </w:r>
    </w:p>
    <w:p w14:paraId="3560903C" w14:textId="77777777" w:rsidR="00D27597" w:rsidRPr="00BF485B" w:rsidRDefault="00D27597" w:rsidP="00BF485B">
      <w:pPr>
        <w:numPr>
          <w:ilvl w:val="0"/>
          <w:numId w:val="3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doctrine of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emphasizes that EU law must be interpreted in a way that ensures its practical effectiveness.</w:t>
      </w:r>
    </w:p>
    <w:p w14:paraId="548A295C" w14:textId="77777777" w:rsidR="00D27597" w:rsidRPr="00BF485B" w:rsidRDefault="00D27597" w:rsidP="00BF485B">
      <w:pPr>
        <w:numPr>
          <w:ilvl w:val="0"/>
          <w:numId w:val="3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For fundamental freedoms, this often means preventing private actors from undermining EU rights where public measures alone are insufficient.</w:t>
      </w:r>
    </w:p>
    <w:p w14:paraId="536186E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 xml:space="preserve">Case Examples Demonstrating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p>
    <w:p w14:paraId="5F818657" w14:textId="77777777" w:rsidR="00D27597" w:rsidRPr="00BF485B" w:rsidRDefault="00D27597" w:rsidP="00BF485B">
      <w:pPr>
        <w:numPr>
          <w:ilvl w:val="0"/>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Viking Line (Case C-438/05)</w:t>
      </w:r>
      <w:r w:rsidRPr="00BF485B">
        <w:rPr>
          <w:rFonts w:ascii="Times New Roman" w:hAnsi="Times New Roman"/>
          <w:lang w:val="en-HK"/>
        </w:rPr>
        <w:t>:</w:t>
      </w:r>
    </w:p>
    <w:p w14:paraId="070B8E73"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Trade unions engaged in collective action to block a company’s ability to move its operations to another Member State.</w:t>
      </w:r>
    </w:p>
    <w:p w14:paraId="61649942"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held that Article 49 TFEU (freedom of establishment) applies horizontally to trade unions, as their actions directly impeded market access.</w:t>
      </w:r>
    </w:p>
    <w:p w14:paraId="6B585DC1"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 Horizontal direct effect was justified to ensure the practical effectiveness of Article 49.</w:t>
      </w:r>
    </w:p>
    <w:p w14:paraId="38119AB8"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Argument: The same logic should apply to Article 34, as private barriers to goods can equally undermine market access.</w:t>
      </w:r>
    </w:p>
    <w:p w14:paraId="16694403" w14:textId="77777777" w:rsidR="00D27597" w:rsidRPr="00BF485B" w:rsidRDefault="00D27597" w:rsidP="00BF485B">
      <w:pPr>
        <w:numPr>
          <w:ilvl w:val="0"/>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lastRenderedPageBreak/>
        <w:t>Laval (Case C-341/05)</w:t>
      </w:r>
      <w:r w:rsidRPr="00BF485B">
        <w:rPr>
          <w:rFonts w:ascii="Times New Roman" w:hAnsi="Times New Roman"/>
          <w:lang w:val="en-HK"/>
        </w:rPr>
        <w:t>:</w:t>
      </w:r>
    </w:p>
    <w:p w14:paraId="5F62DF49"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A Latvian company faced collective action from Swedish trade unions, which prevented it from providing services in Sweden.</w:t>
      </w:r>
    </w:p>
    <w:p w14:paraId="6F1CD633"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applied Article 56 TFEU (free movement of services) horizontally to protect market access.</w:t>
      </w:r>
    </w:p>
    <w:p w14:paraId="405244D5" w14:textId="77777777" w:rsidR="00D27597" w:rsidRPr="00BF485B" w:rsidRDefault="00D27597" w:rsidP="00BF485B">
      <w:pPr>
        <w:numPr>
          <w:ilvl w:val="1"/>
          <w:numId w:val="35"/>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Relevance to Article 34</w:t>
      </w:r>
      <w:r w:rsidRPr="00BF485B">
        <w:rPr>
          <w:rFonts w:ascii="Times New Roman" w:hAnsi="Times New Roman"/>
          <w:lang w:val="en-HK"/>
        </w:rPr>
        <w:t xml:space="preserve">: </w:t>
      </w: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private restrictions on goods, such as collective agreements or certification requirements, similarly deserve horizontal scrutiny.</w:t>
      </w:r>
    </w:p>
    <w:p w14:paraId="2F278535"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and Article 34</w:t>
      </w:r>
    </w:p>
    <w:p w14:paraId="1A2E1653" w14:textId="77777777" w:rsidR="00D27597" w:rsidRPr="00BF485B" w:rsidRDefault="00D27597" w:rsidP="00BF485B">
      <w:pPr>
        <w:numPr>
          <w:ilvl w:val="0"/>
          <w:numId w:val="3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contends that private actions restricting the free movement of goods—such as trade associations imposing discriminatory standards—can render Article 34 ineffective if horizontal direct effect is excluded.</w:t>
      </w:r>
    </w:p>
    <w:p w14:paraId="751B4059" w14:textId="77777777" w:rsidR="00D27597" w:rsidRPr="00BF485B" w:rsidRDefault="00D27597" w:rsidP="00BF485B">
      <w:pPr>
        <w:numPr>
          <w:ilvl w:val="0"/>
          <w:numId w:val="3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Without horizontal application, private barriers to goods escape scrutiny, creating a gap in the internal market.</w:t>
      </w:r>
    </w:p>
    <w:p w14:paraId="31807A23"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5EE2537">
          <v:rect id="_x0000_i1043" alt="" style="width:451.3pt;height:.05pt;mso-width-percent:0;mso-height-percent:0;mso-width-percent:0;mso-height-percent:0" o:hralign="center" o:hrstd="t" o:hr="t" fillcolor="#a0a0a0" stroked="f"/>
        </w:pict>
      </w:r>
    </w:p>
    <w:p w14:paraId="28DA6875"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4.2 Interplay with Articles 18 and 157 TFEU</w:t>
      </w:r>
    </w:p>
    <w:p w14:paraId="5DE61EE1"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Article 18 TFEU (Non-Discrimination)</w:t>
      </w:r>
    </w:p>
    <w:p w14:paraId="603B776D" w14:textId="77777777" w:rsidR="00D27597" w:rsidRPr="00BF485B" w:rsidRDefault="00D27597" w:rsidP="00BF485B">
      <w:pPr>
        <w:numPr>
          <w:ilvl w:val="0"/>
          <w:numId w:val="3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Article 18 prohibits discrimination based on nationality and has been a key foundation for extending horizontal direct effect in cases like </w:t>
      </w:r>
      <w:proofErr w:type="spellStart"/>
      <w:r w:rsidRPr="00BF485B">
        <w:rPr>
          <w:rFonts w:ascii="Times New Roman" w:hAnsi="Times New Roman"/>
          <w:i/>
          <w:iCs/>
          <w:lang w:val="en-HK"/>
        </w:rPr>
        <w:t>Angonese</w:t>
      </w:r>
      <w:proofErr w:type="spellEnd"/>
      <w:r w:rsidRPr="00BF485B">
        <w:rPr>
          <w:rFonts w:ascii="Times New Roman" w:hAnsi="Times New Roman"/>
          <w:i/>
          <w:iCs/>
          <w:lang w:val="en-HK"/>
        </w:rPr>
        <w:t xml:space="preserve"> (Case C-281/98)</w:t>
      </w:r>
      <w:r w:rsidRPr="00BF485B">
        <w:rPr>
          <w:rFonts w:ascii="Times New Roman" w:hAnsi="Times New Roman"/>
          <w:lang w:val="en-HK"/>
        </w:rPr>
        <w:t>.</w:t>
      </w:r>
    </w:p>
    <w:p w14:paraId="64617AB2" w14:textId="77777777" w:rsidR="00D27597" w:rsidRPr="00BF485B" w:rsidRDefault="00D27597" w:rsidP="00BF485B">
      <w:pPr>
        <w:numPr>
          <w:ilvl w:val="0"/>
          <w:numId w:val="3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Angonese</w:t>
      </w:r>
      <w:proofErr w:type="spellEnd"/>
      <w:r w:rsidRPr="00BF485B">
        <w:rPr>
          <w:rFonts w:ascii="Times New Roman" w:hAnsi="Times New Roman"/>
          <w:lang w:val="en-HK"/>
        </w:rPr>
        <w:t>:</w:t>
      </w:r>
    </w:p>
    <w:p w14:paraId="0AACE04D" w14:textId="77777777" w:rsidR="00D27597" w:rsidRPr="00BF485B" w:rsidRDefault="00D27597" w:rsidP="00BF485B">
      <w:pPr>
        <w:numPr>
          <w:ilvl w:val="1"/>
          <w:numId w:val="3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A private employer required a regional language certificate, effectively discriminating against non-local workers.</w:t>
      </w:r>
    </w:p>
    <w:p w14:paraId="25259116" w14:textId="77777777" w:rsidR="00D27597" w:rsidRPr="00BF485B" w:rsidRDefault="00D27597" w:rsidP="00BF485B">
      <w:pPr>
        <w:numPr>
          <w:ilvl w:val="1"/>
          <w:numId w:val="3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applied Article 18 horizontally to address nationality-based discrimination.</w:t>
      </w:r>
    </w:p>
    <w:p w14:paraId="2D3BCBCA" w14:textId="77777777" w:rsidR="00D27597" w:rsidRPr="00BF485B" w:rsidRDefault="00D27597" w:rsidP="00BF485B">
      <w:pPr>
        <w:numPr>
          <w:ilvl w:val="1"/>
          <w:numId w:val="3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 Horizontal direct effect was deemed necessary to protect the principle of non-discrimination and ensure the Treaty’s objectives.</w:t>
      </w:r>
    </w:p>
    <w:p w14:paraId="6A05D335" w14:textId="77777777" w:rsidR="00D27597" w:rsidRPr="00BF485B" w:rsidRDefault="00D27597" w:rsidP="00BF485B">
      <w:pPr>
        <w:numPr>
          <w:ilvl w:val="1"/>
          <w:numId w:val="3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Argument: Similar logic could apply to Article 34, as private actions that discriminate against imported goods undermine the non-discrimination principle.</w:t>
      </w:r>
    </w:p>
    <w:p w14:paraId="7C847563"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Article 157 TFEU (Equal Pay)</w:t>
      </w:r>
    </w:p>
    <w:p w14:paraId="00984EB4" w14:textId="77777777" w:rsidR="00D27597" w:rsidRPr="00BF485B" w:rsidRDefault="00D27597" w:rsidP="00BF485B">
      <w:pPr>
        <w:numPr>
          <w:ilvl w:val="0"/>
          <w:numId w:val="3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157, which prohibits gender-based pay discrimination, has also been extended horizontally.</w:t>
      </w:r>
    </w:p>
    <w:p w14:paraId="6E100CE7" w14:textId="77777777" w:rsidR="00D27597" w:rsidRPr="00BF485B" w:rsidRDefault="00D27597" w:rsidP="00BF485B">
      <w:pPr>
        <w:numPr>
          <w:ilvl w:val="0"/>
          <w:numId w:val="3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Defrenne</w:t>
      </w:r>
      <w:proofErr w:type="spellEnd"/>
      <w:r w:rsidRPr="00BF485B">
        <w:rPr>
          <w:rFonts w:ascii="Times New Roman" w:hAnsi="Times New Roman"/>
          <w:b/>
          <w:bCs/>
          <w:lang w:val="en-HK"/>
        </w:rPr>
        <w:t xml:space="preserve"> II (Case 43/75)</w:t>
      </w:r>
      <w:r w:rsidRPr="00BF485B">
        <w:rPr>
          <w:rFonts w:ascii="Times New Roman" w:hAnsi="Times New Roman"/>
          <w:lang w:val="en-HK"/>
        </w:rPr>
        <w:t>:</w:t>
      </w:r>
    </w:p>
    <w:p w14:paraId="78CBFEFD" w14:textId="77777777" w:rsidR="00D27597" w:rsidRPr="00BF485B" w:rsidRDefault="00D27597" w:rsidP="00BF485B">
      <w:pPr>
        <w:numPr>
          <w:ilvl w:val="1"/>
          <w:numId w:val="3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A female employee challenged her employer for unequal pay.</w:t>
      </w:r>
    </w:p>
    <w:p w14:paraId="45022C11" w14:textId="77777777" w:rsidR="00D27597" w:rsidRPr="00BF485B" w:rsidRDefault="00D27597" w:rsidP="00BF485B">
      <w:pPr>
        <w:numPr>
          <w:ilvl w:val="1"/>
          <w:numId w:val="3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recognized horizontal direct effect for Article 157, ensuring the Treaty’s objectives of gender equality were upheld.</w:t>
      </w:r>
    </w:p>
    <w:p w14:paraId="7F616143" w14:textId="77777777" w:rsidR="00D27597" w:rsidRPr="00BF485B" w:rsidRDefault="00D27597" w:rsidP="00BF485B">
      <w:pPr>
        <w:numPr>
          <w:ilvl w:val="1"/>
          <w:numId w:val="38"/>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Significance</w:t>
      </w:r>
      <w:r w:rsidRPr="00BF485B">
        <w:rPr>
          <w:rFonts w:ascii="Times New Roman" w:hAnsi="Times New Roman"/>
          <w:lang w:val="en-HK"/>
        </w:rPr>
        <w:t>:</w:t>
      </w:r>
    </w:p>
    <w:p w14:paraId="55DD466B" w14:textId="77777777" w:rsidR="00D27597" w:rsidRPr="00BF485B" w:rsidRDefault="00D27597" w:rsidP="00BF485B">
      <w:pPr>
        <w:numPr>
          <w:ilvl w:val="2"/>
          <w:numId w:val="3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The mandatory nature of fundamental rights justified horizontal direct effect.</w:t>
      </w:r>
    </w:p>
    <w:p w14:paraId="24E3531C" w14:textId="77777777" w:rsidR="00D27597" w:rsidRPr="00BF485B" w:rsidRDefault="00D27597" w:rsidP="00BF485B">
      <w:pPr>
        <w:numPr>
          <w:ilvl w:val="1"/>
          <w:numId w:val="3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Argument: The same principle applies to Article 34, as ensuring market access and removing barriers to goods is equally fundamental to the Treaties’ objectives.</w:t>
      </w:r>
    </w:p>
    <w:p w14:paraId="3FF823A7"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Application to Article 34</w:t>
      </w:r>
    </w:p>
    <w:p w14:paraId="2D7C8646" w14:textId="77777777" w:rsidR="00D27597" w:rsidRPr="00BF485B" w:rsidRDefault="00D27597" w:rsidP="00BF485B">
      <w:pPr>
        <w:numPr>
          <w:ilvl w:val="0"/>
          <w:numId w:val="3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Articles 18 and 157 demonstrate how horizontal direct effect can enhance the practical effectiveness of EU law by addressing private barriers.</w:t>
      </w:r>
    </w:p>
    <w:p w14:paraId="1D3805A5" w14:textId="77777777" w:rsidR="00D27597" w:rsidRPr="00BF485B" w:rsidRDefault="00D27597" w:rsidP="00BF485B">
      <w:pPr>
        <w:numPr>
          <w:ilvl w:val="0"/>
          <w:numId w:val="3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34’s exclusion from this framework undermines the internal market’s coherence and fails to protect imported goods from private discrimination.</w:t>
      </w:r>
    </w:p>
    <w:p w14:paraId="093D5918"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C1654AC">
          <v:rect id="_x0000_i1042" alt="" style="width:451.3pt;height:.05pt;mso-width-percent:0;mso-height-percent:0;mso-width-percent:0;mso-height-percent:0" o:hralign="center" o:hrstd="t" o:hr="t" fillcolor="#a0a0a0" stroked="f"/>
        </w:pict>
      </w:r>
    </w:p>
    <w:p w14:paraId="118FB282"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4.3 Challenges to Extending Horizontal Direct Effect</w:t>
      </w:r>
    </w:p>
    <w:p w14:paraId="50BFCEF6"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Public-Private Distinction</w:t>
      </w:r>
    </w:p>
    <w:p w14:paraId="697393DF" w14:textId="77777777" w:rsidR="00D27597" w:rsidRPr="00BF485B" w:rsidRDefault="00D27597" w:rsidP="00BF485B">
      <w:pPr>
        <w:numPr>
          <w:ilvl w:val="0"/>
          <w:numId w:val="4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 has consistently emphasized the </w:t>
      </w:r>
      <w:r w:rsidRPr="00BF485B">
        <w:rPr>
          <w:rFonts w:ascii="Times New Roman" w:hAnsi="Times New Roman"/>
          <w:b/>
          <w:bCs/>
          <w:lang w:val="en-HK"/>
        </w:rPr>
        <w:t>public-private distinction</w:t>
      </w:r>
      <w:r w:rsidRPr="00BF485B">
        <w:rPr>
          <w:rFonts w:ascii="Times New Roman" w:hAnsi="Times New Roman"/>
          <w:lang w:val="en-HK"/>
        </w:rPr>
        <w:t xml:space="preserve"> for Article 34, limiting its scope to state measures.</w:t>
      </w:r>
    </w:p>
    <w:p w14:paraId="11FCD06B" w14:textId="77777777" w:rsidR="00D27597" w:rsidRPr="00BF485B" w:rsidRDefault="00D27597" w:rsidP="00BF485B">
      <w:pPr>
        <w:numPr>
          <w:ilvl w:val="0"/>
          <w:numId w:val="40"/>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Sapod</w:t>
      </w:r>
      <w:proofErr w:type="spellEnd"/>
      <w:r w:rsidRPr="00BF485B">
        <w:rPr>
          <w:rFonts w:ascii="Times New Roman" w:hAnsi="Times New Roman"/>
          <w:b/>
          <w:bCs/>
          <w:lang w:val="en-HK"/>
        </w:rPr>
        <w:t xml:space="preserve"> </w:t>
      </w:r>
      <w:proofErr w:type="spellStart"/>
      <w:r w:rsidRPr="00BF485B">
        <w:rPr>
          <w:rFonts w:ascii="Times New Roman" w:hAnsi="Times New Roman"/>
          <w:b/>
          <w:bCs/>
          <w:lang w:val="en-HK"/>
        </w:rPr>
        <w:t>Audic</w:t>
      </w:r>
      <w:proofErr w:type="spellEnd"/>
      <w:r w:rsidRPr="00BF485B">
        <w:rPr>
          <w:rFonts w:ascii="Times New Roman" w:hAnsi="Times New Roman"/>
          <w:b/>
          <w:bCs/>
          <w:lang w:val="en-HK"/>
        </w:rPr>
        <w:t xml:space="preserve"> (Case C-159/00)</w:t>
      </w:r>
      <w:r w:rsidRPr="00BF485B">
        <w:rPr>
          <w:rFonts w:ascii="Times New Roman" w:hAnsi="Times New Roman"/>
          <w:lang w:val="en-HK"/>
        </w:rPr>
        <w:t>:</w:t>
      </w:r>
    </w:p>
    <w:p w14:paraId="2AD45CC2" w14:textId="77777777" w:rsidR="00D27597" w:rsidRPr="00BF485B" w:rsidRDefault="00D27597" w:rsidP="00BF485B">
      <w:pPr>
        <w:numPr>
          <w:ilvl w:val="1"/>
          <w:numId w:val="4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Court explicitly rejected horizontal direct effect for Article 34, stating that it imposes obligations only on Member States.</w:t>
      </w:r>
    </w:p>
    <w:p w14:paraId="2FF747AF" w14:textId="77777777" w:rsidR="00D27597" w:rsidRPr="00BF485B" w:rsidRDefault="00D27597" w:rsidP="00BF485B">
      <w:pPr>
        <w:numPr>
          <w:ilvl w:val="0"/>
          <w:numId w:val="40"/>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Critique:</w:t>
      </w:r>
    </w:p>
    <w:p w14:paraId="3C85C9CF" w14:textId="77777777" w:rsidR="00D27597" w:rsidRPr="00BF485B" w:rsidRDefault="00D27597" w:rsidP="00BF485B">
      <w:pPr>
        <w:numPr>
          <w:ilvl w:val="1"/>
          <w:numId w:val="4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reliance on the public-private distinction is formalistic and does not account for the practical reality of private barriers to trade.</w:t>
      </w:r>
    </w:p>
    <w:p w14:paraId="739BDDBE"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Overlap with Competition Law</w:t>
      </w:r>
    </w:p>
    <w:p w14:paraId="3D96B02B" w14:textId="77777777" w:rsidR="00D27597" w:rsidRPr="00BF485B" w:rsidRDefault="00D27597" w:rsidP="00BF485B">
      <w:pPr>
        <w:numPr>
          <w:ilvl w:val="0"/>
          <w:numId w:val="4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Private restrictions on goods are often addressed under competition law (Articles 101 and 102 TFEU), which regulates anti-competitive agreements and abuse of dominant positions.</w:t>
      </w:r>
    </w:p>
    <w:p w14:paraId="58F13BE9" w14:textId="77777777" w:rsidR="00D27597" w:rsidRPr="00BF485B" w:rsidRDefault="00D27597" w:rsidP="00BF485B">
      <w:pPr>
        <w:numPr>
          <w:ilvl w:val="0"/>
          <w:numId w:val="41"/>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acknowledges this overlap but argues that not all private barriers fall within competition law’s scope.</w:t>
      </w:r>
    </w:p>
    <w:p w14:paraId="39942EC4" w14:textId="77777777" w:rsidR="00D27597" w:rsidRPr="00BF485B" w:rsidRDefault="00D27597" w:rsidP="00BF485B">
      <w:pPr>
        <w:numPr>
          <w:ilvl w:val="1"/>
          <w:numId w:val="4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 Trade associations or certification bodies imposing non-competitive but discriminatory standards could restrict market access without violating competition law.</w:t>
      </w:r>
    </w:p>
    <w:p w14:paraId="04D2D5DF" w14:textId="77777777" w:rsidR="00D27597" w:rsidRPr="00BF485B" w:rsidRDefault="00D27597" w:rsidP="00BF485B">
      <w:pPr>
        <w:numPr>
          <w:ilvl w:val="1"/>
          <w:numId w:val="41"/>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Relevance to Article 34</w:t>
      </w:r>
      <w:r w:rsidRPr="00BF485B">
        <w:rPr>
          <w:rFonts w:ascii="Times New Roman" w:hAnsi="Times New Roman"/>
          <w:lang w:val="en-HK"/>
        </w:rPr>
        <w:t>: Horizontal direct effect would fill this regulatory gap, ensuring comprehensive protection for free movement of goods.</w:t>
      </w:r>
    </w:p>
    <w:p w14:paraId="27637620"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FBB0BF9">
          <v:rect id="_x0000_i1041" alt="" style="width:451.3pt;height:.05pt;mso-width-percent:0;mso-height-percent:0;mso-width-percent:0;mso-height-percent:0" o:hralign="center" o:hrstd="t" o:hr="t" fillcolor="#a0a0a0" stroked="f"/>
        </w:pict>
      </w:r>
    </w:p>
    <w:p w14:paraId="2DB76040" w14:textId="77777777" w:rsidR="00D27597" w:rsidRPr="00BF485B" w:rsidRDefault="00D27597" w:rsidP="00BF485B">
      <w:pPr>
        <w:spacing w:before="100" w:beforeAutospacing="1" w:after="100" w:afterAutospacing="1" w:line="276" w:lineRule="auto"/>
        <w:outlineLvl w:val="2"/>
        <w:rPr>
          <w:rFonts w:ascii="Times New Roman" w:hAnsi="Times New Roman"/>
          <w:b/>
          <w:bCs/>
          <w:u w:val="single"/>
          <w:lang w:val="en-HK"/>
        </w:rPr>
      </w:pPr>
      <w:r w:rsidRPr="00BF485B">
        <w:rPr>
          <w:rFonts w:ascii="Times New Roman" w:hAnsi="Times New Roman"/>
          <w:b/>
          <w:bCs/>
          <w:u w:val="single"/>
          <w:lang w:val="en-HK"/>
        </w:rPr>
        <w:t>4.4 Proposal for Reform</w:t>
      </w:r>
    </w:p>
    <w:p w14:paraId="6EF43AAF"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lastRenderedPageBreak/>
        <w:t>Expanding Horizontal Direct Effect</w:t>
      </w:r>
    </w:p>
    <w:p w14:paraId="2A7C37B3" w14:textId="77777777" w:rsidR="00D27597" w:rsidRPr="00BF485B" w:rsidRDefault="00D27597" w:rsidP="00BF485B">
      <w:pPr>
        <w:numPr>
          <w:ilvl w:val="0"/>
          <w:numId w:val="42"/>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highlight w:val="yellow"/>
          <w:lang w:val="en-HK"/>
        </w:rPr>
        <w:t>Krenn</w:t>
      </w:r>
      <w:proofErr w:type="spellEnd"/>
      <w:r w:rsidRPr="00BF485B">
        <w:rPr>
          <w:rFonts w:ascii="Times New Roman" w:hAnsi="Times New Roman"/>
          <w:b/>
          <w:bCs/>
          <w:highlight w:val="yellow"/>
          <w:lang w:val="en-HK"/>
        </w:rPr>
        <w:t xml:space="preserve"> proposes extending horizontal direct effect to Article 34 TFEU</w:t>
      </w:r>
      <w:r w:rsidRPr="00BF485B">
        <w:rPr>
          <w:rFonts w:ascii="Times New Roman" w:hAnsi="Times New Roman"/>
          <w:lang w:val="en-HK"/>
        </w:rPr>
        <w:t>, aligning it with other fundamental freedoms.</w:t>
      </w:r>
    </w:p>
    <w:p w14:paraId="7A7185B2" w14:textId="77777777" w:rsidR="00D27597" w:rsidRPr="00BF485B" w:rsidRDefault="00D27597" w:rsidP="00BF485B">
      <w:pPr>
        <w:numPr>
          <w:ilvl w:val="0"/>
          <w:numId w:val="4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This would:</w:t>
      </w:r>
    </w:p>
    <w:p w14:paraId="7022FC4A" w14:textId="77777777" w:rsidR="00D27597" w:rsidRPr="007B3981" w:rsidRDefault="00D27597" w:rsidP="00BF485B">
      <w:pPr>
        <w:numPr>
          <w:ilvl w:val="1"/>
          <w:numId w:val="42"/>
        </w:numPr>
        <w:spacing w:before="100" w:beforeAutospacing="1" w:after="100" w:afterAutospacing="1" w:line="276" w:lineRule="auto"/>
        <w:rPr>
          <w:rFonts w:ascii="Times New Roman" w:hAnsi="Times New Roman"/>
          <w:b/>
          <w:bCs/>
          <w:u w:val="single"/>
          <w:lang w:val="en-HK"/>
        </w:rPr>
      </w:pPr>
      <w:r w:rsidRPr="00BF485B">
        <w:rPr>
          <w:rFonts w:ascii="Times New Roman" w:hAnsi="Times New Roman"/>
          <w:b/>
          <w:bCs/>
          <w:lang w:val="en-HK"/>
        </w:rPr>
        <w:t xml:space="preserve">Address </w:t>
      </w:r>
      <w:r w:rsidRPr="007B3981">
        <w:rPr>
          <w:rFonts w:ascii="Times New Roman" w:hAnsi="Times New Roman"/>
          <w:b/>
          <w:bCs/>
          <w:u w:val="single"/>
          <w:lang w:val="en-HK"/>
        </w:rPr>
        <w:t>private barriers to goods that fall outside competition law.</w:t>
      </w:r>
    </w:p>
    <w:p w14:paraId="0935A20A" w14:textId="77777777" w:rsidR="00D27597" w:rsidRPr="00BF485B" w:rsidRDefault="00D27597" w:rsidP="00BF485B">
      <w:pPr>
        <w:numPr>
          <w:ilvl w:val="1"/>
          <w:numId w:val="42"/>
        </w:numPr>
        <w:spacing w:before="100" w:beforeAutospacing="1" w:after="100" w:afterAutospacing="1" w:line="276" w:lineRule="auto"/>
        <w:rPr>
          <w:rFonts w:ascii="Times New Roman" w:hAnsi="Times New Roman"/>
          <w:b/>
          <w:bCs/>
          <w:lang w:val="en-HK"/>
        </w:rPr>
      </w:pPr>
      <w:r w:rsidRPr="00BF485B">
        <w:rPr>
          <w:rFonts w:ascii="Times New Roman" w:hAnsi="Times New Roman"/>
          <w:b/>
          <w:bCs/>
          <w:lang w:val="en-HK"/>
        </w:rPr>
        <w:t>Enhance the coherence and effectiveness of the internal market.</w:t>
      </w:r>
    </w:p>
    <w:p w14:paraId="6996168C" w14:textId="77777777" w:rsidR="00D27597" w:rsidRPr="00BF485B" w:rsidRDefault="00D27597" w:rsidP="00BF485B">
      <w:pPr>
        <w:numPr>
          <w:ilvl w:val="1"/>
          <w:numId w:val="42"/>
        </w:numPr>
        <w:spacing w:before="100" w:beforeAutospacing="1" w:after="100" w:afterAutospacing="1" w:line="276" w:lineRule="auto"/>
        <w:rPr>
          <w:rFonts w:ascii="Times New Roman" w:hAnsi="Times New Roman"/>
          <w:b/>
          <w:bCs/>
          <w:lang w:val="en-HK"/>
        </w:rPr>
      </w:pPr>
      <w:r w:rsidRPr="00BF485B">
        <w:rPr>
          <w:rFonts w:ascii="Times New Roman" w:hAnsi="Times New Roman"/>
          <w:b/>
          <w:bCs/>
          <w:lang w:val="en-HK"/>
        </w:rPr>
        <w:t>Ensure equal treatment for all fundamental freedoms, consistent with the Treaties’ objectives.</w:t>
      </w:r>
    </w:p>
    <w:p w14:paraId="3DEBEC8D"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as the Basis</w:t>
      </w:r>
    </w:p>
    <w:p w14:paraId="1EDEA216" w14:textId="77777777" w:rsidR="00D27597" w:rsidRPr="00BF485B" w:rsidRDefault="00D27597" w:rsidP="00BF485B">
      <w:pPr>
        <w:numPr>
          <w:ilvl w:val="0"/>
          <w:numId w:val="4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doctrine of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provides a strong foundation for reform, ensuring that Article 34’s objectives are not undermined by private actions.</w:t>
      </w:r>
    </w:p>
    <w:p w14:paraId="5DFCD6B2" w14:textId="77777777" w:rsidR="00D27597" w:rsidRPr="00BF485B" w:rsidRDefault="00D27597" w:rsidP="00BF485B">
      <w:pPr>
        <w:numPr>
          <w:ilvl w:val="0"/>
          <w:numId w:val="43"/>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emphasizes that the CJEU’s own logic in cases like </w:t>
      </w:r>
      <w:proofErr w:type="spellStart"/>
      <w:r w:rsidRPr="00BF485B">
        <w:rPr>
          <w:rFonts w:ascii="Times New Roman" w:hAnsi="Times New Roman"/>
          <w:i/>
          <w:iCs/>
          <w:lang w:val="en-HK"/>
        </w:rPr>
        <w:t>Angonese</w:t>
      </w:r>
      <w:proofErr w:type="spellEnd"/>
      <w:r w:rsidRPr="00BF485B">
        <w:rPr>
          <w:rFonts w:ascii="Times New Roman" w:hAnsi="Times New Roman"/>
          <w:lang w:val="en-HK"/>
        </w:rPr>
        <w:t xml:space="preserve"> and </w:t>
      </w:r>
      <w:r w:rsidRPr="00BF485B">
        <w:rPr>
          <w:rFonts w:ascii="Times New Roman" w:hAnsi="Times New Roman"/>
          <w:i/>
          <w:iCs/>
          <w:lang w:val="en-HK"/>
        </w:rPr>
        <w:t>Viking</w:t>
      </w:r>
      <w:r w:rsidRPr="00BF485B">
        <w:rPr>
          <w:rFonts w:ascii="Times New Roman" w:hAnsi="Times New Roman"/>
          <w:lang w:val="en-HK"/>
        </w:rPr>
        <w:t xml:space="preserve"> supports this extension.</w:t>
      </w:r>
    </w:p>
    <w:p w14:paraId="47C5470D"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65C71FDA">
          <v:rect id="_x0000_i1040" alt="" style="width:451.3pt;height:.05pt;mso-width-percent:0;mso-height-percent:0;mso-width-percent:0;mso-height-percent:0" o:hralign="center" o:hrstd="t" o:hr="t" fillcolor="#a0a0a0" stroked="f"/>
        </w:pict>
      </w:r>
    </w:p>
    <w:p w14:paraId="76439623"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Conclusion of Section 4</w:t>
      </w:r>
    </w:p>
    <w:p w14:paraId="19E3A372" w14:textId="77777777" w:rsidR="00D27597" w:rsidRPr="00BF485B" w:rsidRDefault="00D27597" w:rsidP="00BF485B">
      <w:pPr>
        <w:numPr>
          <w:ilvl w:val="0"/>
          <w:numId w:val="44"/>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identifies several legal principles—particularly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Article 18 (non-discrimination), and Article 157 (equal pay)—that justify horizontal direct effect in other areas of EU law.</w:t>
      </w:r>
    </w:p>
    <w:p w14:paraId="4D020117" w14:textId="77777777" w:rsidR="00D27597" w:rsidRPr="00BF485B" w:rsidRDefault="00D27597" w:rsidP="00BF485B">
      <w:pPr>
        <w:numPr>
          <w:ilvl w:val="0"/>
          <w:numId w:val="4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She argues that these principles are equally relevant to Article 34, as private barriers to goods can undermine the internal market just as much as public restrictions.</w:t>
      </w:r>
    </w:p>
    <w:p w14:paraId="60F09D6E" w14:textId="77777777" w:rsidR="00D27597" w:rsidRPr="00BF485B" w:rsidRDefault="00D27597" w:rsidP="00BF485B">
      <w:pPr>
        <w:numPr>
          <w:ilvl w:val="0"/>
          <w:numId w:val="4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CJEU’s reliance on the public-private distinction is overly formalistic and fails to address the practical realities of trade. </w:t>
      </w: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calls for a reform that extends horizontal direct effect to Article 34, ensuring the Treaties’ objectives are fully realized.</w:t>
      </w:r>
    </w:p>
    <w:p w14:paraId="09D46925"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231DEA94">
          <v:rect id="_x0000_i1039" alt="" style="width:451.3pt;height:.05pt;mso-width-percent:0;mso-height-percent:0;mso-width-percent:0;mso-height-percent:0" o:hralign="center" o:hrstd="t" o:hr="t" fillcolor="#a0a0a0" stroked="f"/>
        </w:pict>
      </w:r>
    </w:p>
    <w:p w14:paraId="6FDAF058"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5. Proposing a Solution</w:t>
      </w:r>
    </w:p>
    <w:p w14:paraId="3D43487F"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Introduction</w:t>
      </w:r>
    </w:p>
    <w:p w14:paraId="5940F299" w14:textId="77777777" w:rsidR="00D27597" w:rsidRPr="00BF485B" w:rsidRDefault="00D27597" w:rsidP="00BF485B">
      <w:pPr>
        <w:numPr>
          <w:ilvl w:val="0"/>
          <w:numId w:val="4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In this section, </w:t>
      </w:r>
      <w:proofErr w:type="spellStart"/>
      <w:r w:rsidRPr="00BF485B">
        <w:rPr>
          <w:rFonts w:ascii="Times New Roman" w:hAnsi="Times New Roman"/>
          <w:lang w:val="en-HK"/>
        </w:rPr>
        <w:t>Krenn</w:t>
      </w:r>
      <w:proofErr w:type="spellEnd"/>
      <w:r w:rsidRPr="00BF485B">
        <w:rPr>
          <w:rFonts w:ascii="Times New Roman" w:hAnsi="Times New Roman"/>
          <w:lang w:val="en-HK"/>
        </w:rPr>
        <w:t xml:space="preserve"> provides a framework for extending horizontal direct effect to Article 34 TFEU, addressing the legal and practical gaps created by its exclusion.</w:t>
      </w:r>
    </w:p>
    <w:p w14:paraId="2BA7B5D8" w14:textId="77777777" w:rsidR="00D27597" w:rsidRPr="00BF485B" w:rsidRDefault="00D27597" w:rsidP="00BF485B">
      <w:pPr>
        <w:numPr>
          <w:ilvl w:val="0"/>
          <w:numId w:val="4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proposal is rooted in 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principle, which emphasizes the practical effectiveness of EU law, and builds on existing jurisprudence that supports horizontal application for other fundamental freedoms.</w:t>
      </w:r>
    </w:p>
    <w:p w14:paraId="5BF7E646"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23EC915C">
          <v:rect id="_x0000_i1038" alt="" style="width:451.3pt;height:.05pt;mso-width-percent:0;mso-height-percent:0;mso-width-percent:0;mso-height-percent:0" o:hralign="center" o:hrstd="t" o:hr="t" fillcolor="#a0a0a0" stroked="f"/>
        </w:pict>
      </w:r>
    </w:p>
    <w:p w14:paraId="5049FE38"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5.1 The Need for Reform</w:t>
      </w:r>
    </w:p>
    <w:p w14:paraId="41AA8EAC"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lastRenderedPageBreak/>
        <w:t>Current Limitations of Article 34</w:t>
      </w:r>
    </w:p>
    <w:p w14:paraId="47303EA4" w14:textId="77777777" w:rsidR="00D27597" w:rsidRPr="00BF485B" w:rsidRDefault="00D27597" w:rsidP="00BF485B">
      <w:pPr>
        <w:numPr>
          <w:ilvl w:val="0"/>
          <w:numId w:val="46"/>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Vertical Application Only</w:t>
      </w:r>
      <w:r w:rsidRPr="00BF485B">
        <w:rPr>
          <w:rFonts w:ascii="Times New Roman" w:hAnsi="Times New Roman"/>
          <w:lang w:val="en-HK"/>
        </w:rPr>
        <w:t>:</w:t>
      </w:r>
    </w:p>
    <w:p w14:paraId="20DFF179" w14:textId="77777777" w:rsidR="00D27597" w:rsidRPr="00BF485B" w:rsidRDefault="00D27597" w:rsidP="00BF485B">
      <w:pPr>
        <w:numPr>
          <w:ilvl w:val="1"/>
          <w:numId w:val="4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Article 34 imposes obligations on Member States and state-like bodies, excluding private actors. This limitation was explicitly confirmed in </w:t>
      </w:r>
      <w:proofErr w:type="spellStart"/>
      <w:r w:rsidRPr="00BF485B">
        <w:rPr>
          <w:rFonts w:ascii="Times New Roman" w:hAnsi="Times New Roman"/>
          <w:i/>
          <w:iCs/>
          <w:lang w:val="en-HK"/>
        </w:rPr>
        <w:t>Sapod</w:t>
      </w:r>
      <w:proofErr w:type="spellEnd"/>
      <w:r w:rsidRPr="00BF485B">
        <w:rPr>
          <w:rFonts w:ascii="Times New Roman" w:hAnsi="Times New Roman"/>
          <w:i/>
          <w:iCs/>
          <w:lang w:val="en-HK"/>
        </w:rPr>
        <w:t xml:space="preserve"> </w:t>
      </w:r>
      <w:proofErr w:type="spellStart"/>
      <w:r w:rsidRPr="00BF485B">
        <w:rPr>
          <w:rFonts w:ascii="Times New Roman" w:hAnsi="Times New Roman"/>
          <w:i/>
          <w:iCs/>
          <w:lang w:val="en-HK"/>
        </w:rPr>
        <w:t>Audic</w:t>
      </w:r>
      <w:proofErr w:type="spellEnd"/>
      <w:r w:rsidRPr="00BF485B">
        <w:rPr>
          <w:rFonts w:ascii="Times New Roman" w:hAnsi="Times New Roman"/>
          <w:i/>
          <w:iCs/>
          <w:lang w:val="en-HK"/>
        </w:rPr>
        <w:t xml:space="preserve"> (Case C-159/00)</w:t>
      </w:r>
      <w:r w:rsidRPr="00BF485B">
        <w:rPr>
          <w:rFonts w:ascii="Times New Roman" w:hAnsi="Times New Roman"/>
          <w:lang w:val="en-HK"/>
        </w:rPr>
        <w:t>.</w:t>
      </w:r>
    </w:p>
    <w:p w14:paraId="4A3F64E8" w14:textId="77777777" w:rsidR="00D27597" w:rsidRPr="00BF485B" w:rsidRDefault="00D27597" w:rsidP="00BF485B">
      <w:pPr>
        <w:numPr>
          <w:ilvl w:val="1"/>
          <w:numId w:val="4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While this approach respects the </w:t>
      </w:r>
      <w:r w:rsidRPr="00BF485B">
        <w:rPr>
          <w:rFonts w:ascii="Times New Roman" w:hAnsi="Times New Roman"/>
          <w:b/>
          <w:bCs/>
          <w:lang w:val="en-HK"/>
        </w:rPr>
        <w:t>public-private distinction</w:t>
      </w:r>
      <w:r w:rsidRPr="00BF485B">
        <w:rPr>
          <w:rFonts w:ascii="Times New Roman" w:hAnsi="Times New Roman"/>
          <w:lang w:val="en-HK"/>
        </w:rPr>
        <w:t>, it creates gaps where private barriers to goods restrict market access without state involvement.</w:t>
      </w:r>
    </w:p>
    <w:p w14:paraId="7D0EE9BA" w14:textId="77777777" w:rsidR="00D27597" w:rsidRPr="00BF485B" w:rsidRDefault="00D27597" w:rsidP="00BF485B">
      <w:pPr>
        <w:numPr>
          <w:ilvl w:val="0"/>
          <w:numId w:val="46"/>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Overlap with Competition Law</w:t>
      </w:r>
      <w:r w:rsidRPr="00BF485B">
        <w:rPr>
          <w:rFonts w:ascii="Times New Roman" w:hAnsi="Times New Roman"/>
          <w:lang w:val="en-HK"/>
        </w:rPr>
        <w:t>:</w:t>
      </w:r>
    </w:p>
    <w:p w14:paraId="40296F6B" w14:textId="77777777" w:rsidR="00D27597" w:rsidRPr="00BF485B" w:rsidRDefault="00D27597" w:rsidP="00BF485B">
      <w:pPr>
        <w:numPr>
          <w:ilvl w:val="1"/>
          <w:numId w:val="4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Articles 101 and 102 TFEU address anti-competitive practices by private entities. However, not all private barriers to goods fall under competition law.</w:t>
      </w:r>
    </w:p>
    <w:p w14:paraId="10A43676" w14:textId="77777777" w:rsidR="00D27597" w:rsidRPr="00BF485B" w:rsidRDefault="00D27597" w:rsidP="00BF485B">
      <w:pPr>
        <w:numPr>
          <w:ilvl w:val="1"/>
          <w:numId w:val="4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 Private certification bodies or trade associations that impose discriminatory product standards could restrict market access without violating competition law.</w:t>
      </w:r>
    </w:p>
    <w:p w14:paraId="06CA1780"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Fragmentation of the Internal Market</w:t>
      </w:r>
    </w:p>
    <w:p w14:paraId="11F439AF" w14:textId="77777777" w:rsidR="00D27597" w:rsidRPr="00BF485B" w:rsidRDefault="00D27597" w:rsidP="00BF485B">
      <w:pPr>
        <w:numPr>
          <w:ilvl w:val="0"/>
          <w:numId w:val="4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the lack of horizontal direct effect for Article 34 undermines the coherence of the internal market, leaving private barriers unaddressed.</w:t>
      </w:r>
    </w:p>
    <w:p w14:paraId="61559A2E" w14:textId="77777777" w:rsidR="00D27597" w:rsidRPr="00BF485B" w:rsidRDefault="00D27597" w:rsidP="00BF485B">
      <w:pPr>
        <w:numPr>
          <w:ilvl w:val="0"/>
          <w:numId w:val="47"/>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Comparative Freedoms</w:t>
      </w:r>
      <w:r w:rsidRPr="00BF485B">
        <w:rPr>
          <w:rFonts w:ascii="Times New Roman" w:hAnsi="Times New Roman"/>
          <w:lang w:val="en-HK"/>
        </w:rPr>
        <w:t>:</w:t>
      </w:r>
    </w:p>
    <w:p w14:paraId="2C08CBFA" w14:textId="77777777" w:rsidR="00D27597" w:rsidRPr="00BF485B" w:rsidRDefault="00D27597" w:rsidP="00BF485B">
      <w:pPr>
        <w:numPr>
          <w:ilvl w:val="1"/>
          <w:numId w:val="4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Articles 45, 49, and 56 TFEU already have horizontal direct effect, ensuring that private barriers to workers, services, and establishment are addressed.</w:t>
      </w:r>
    </w:p>
    <w:p w14:paraId="6885F38F" w14:textId="77777777" w:rsidR="00D27597" w:rsidRPr="00BF485B" w:rsidRDefault="00D27597" w:rsidP="00BF485B">
      <w:pPr>
        <w:numPr>
          <w:ilvl w:val="1"/>
          <w:numId w:val="4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exclusion of Article 34 creates a disparity among fundamental freedoms, weakening the Treaties’ objectives.</w:t>
      </w:r>
    </w:p>
    <w:p w14:paraId="75DDA890"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459139A2">
          <v:rect id="_x0000_i1037" alt="" style="width:451.3pt;height:.05pt;mso-width-percent:0;mso-height-percent:0;mso-width-percent:0;mso-height-percent:0" o:hralign="center" o:hrstd="t" o:hr="t" fillcolor="#a0a0a0" stroked="f"/>
        </w:pict>
      </w:r>
    </w:p>
    <w:p w14:paraId="53988091"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 xml:space="preserve">5.2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as the Foundation</w:t>
      </w:r>
    </w:p>
    <w:p w14:paraId="1C8915DE"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Ensuring Practical Effectiveness</w:t>
      </w:r>
    </w:p>
    <w:p w14:paraId="52189B4C" w14:textId="77777777" w:rsidR="00D27597" w:rsidRPr="00BF485B" w:rsidRDefault="00D27597" w:rsidP="00BF485B">
      <w:pPr>
        <w:numPr>
          <w:ilvl w:val="0"/>
          <w:numId w:val="4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principle is central to EU law, requiring that Treaty provisions be interpreted in a way that ensures their practical effectiveness.</w:t>
      </w:r>
    </w:p>
    <w:p w14:paraId="150A8E8D" w14:textId="77777777" w:rsidR="00D27597" w:rsidRPr="00BF485B" w:rsidRDefault="00D27597" w:rsidP="00BF485B">
      <w:pPr>
        <w:numPr>
          <w:ilvl w:val="0"/>
          <w:numId w:val="4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without horizontal direct effect, Article 34 fails to achieve its full potential in eliminating barriers to free movement of goods.</w:t>
      </w:r>
    </w:p>
    <w:p w14:paraId="510B65D4"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 xml:space="preserve">Case Law Supporting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p>
    <w:p w14:paraId="3D4E4F1B" w14:textId="77777777" w:rsidR="00D27597" w:rsidRPr="00BF485B" w:rsidRDefault="00D27597" w:rsidP="00BF485B">
      <w:pPr>
        <w:numPr>
          <w:ilvl w:val="0"/>
          <w:numId w:val="4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b/>
          <w:bCs/>
          <w:lang w:val="en-HK"/>
        </w:rPr>
        <w:t>Angonese</w:t>
      </w:r>
      <w:proofErr w:type="spellEnd"/>
      <w:r w:rsidRPr="00BF485B">
        <w:rPr>
          <w:rFonts w:ascii="Times New Roman" w:hAnsi="Times New Roman"/>
          <w:b/>
          <w:bCs/>
          <w:lang w:val="en-HK"/>
        </w:rPr>
        <w:t xml:space="preserve"> (Case C-281/98)</w:t>
      </w:r>
      <w:r w:rsidRPr="00BF485B">
        <w:rPr>
          <w:rFonts w:ascii="Times New Roman" w:hAnsi="Times New Roman"/>
          <w:lang w:val="en-HK"/>
        </w:rPr>
        <w:t>:</w:t>
      </w:r>
    </w:p>
    <w:p w14:paraId="003D9787" w14:textId="77777777" w:rsidR="00D27597" w:rsidRPr="00BF485B" w:rsidRDefault="00D27597" w:rsidP="00BF485B">
      <w:pPr>
        <w:numPr>
          <w:ilvl w:val="1"/>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A private employer required a regional language certificate, effectively discriminating against non-local workers.</w:t>
      </w:r>
    </w:p>
    <w:p w14:paraId="55EACBEA" w14:textId="77777777" w:rsidR="00D27597" w:rsidRPr="00BF485B" w:rsidRDefault="00D27597" w:rsidP="00BF485B">
      <w:pPr>
        <w:numPr>
          <w:ilvl w:val="1"/>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CJEU extended horizontal direct effect to Article 45 TFEU, emphasizing the need to protect individuals from private barriers.</w:t>
      </w:r>
    </w:p>
    <w:p w14:paraId="2B9DC0DA" w14:textId="77777777" w:rsidR="00D27597" w:rsidRPr="00BF485B" w:rsidRDefault="00D27597" w:rsidP="00BF485B">
      <w:pPr>
        <w:numPr>
          <w:ilvl w:val="1"/>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Relevance to Article 34</w:t>
      </w:r>
      <w:r w:rsidRPr="00BF485B">
        <w:rPr>
          <w:rFonts w:ascii="Times New Roman" w:hAnsi="Times New Roman"/>
          <w:lang w:val="en-HK"/>
        </w:rPr>
        <w:t>:</w:t>
      </w:r>
    </w:p>
    <w:p w14:paraId="5DFC4230" w14:textId="77777777" w:rsidR="00D27597" w:rsidRPr="00BF485B" w:rsidRDefault="00D27597" w:rsidP="00BF485B">
      <w:pPr>
        <w:numPr>
          <w:ilvl w:val="2"/>
          <w:numId w:val="4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lastRenderedPageBreak/>
        <w:t>Krenn</w:t>
      </w:r>
      <w:proofErr w:type="spellEnd"/>
      <w:r w:rsidRPr="00BF485B">
        <w:rPr>
          <w:rFonts w:ascii="Times New Roman" w:hAnsi="Times New Roman"/>
          <w:lang w:val="en-HK"/>
        </w:rPr>
        <w:t xml:space="preserve"> argues that private barriers to goods, such as discriminatory trade practices or product standards, similarly undermine market access and should fall within Article 34.</w:t>
      </w:r>
    </w:p>
    <w:p w14:paraId="318400DB" w14:textId="77777777" w:rsidR="00D27597" w:rsidRPr="00BF485B" w:rsidRDefault="00D27597" w:rsidP="00BF485B">
      <w:pPr>
        <w:numPr>
          <w:ilvl w:val="0"/>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Viking Line (Case C-438/05)</w:t>
      </w:r>
      <w:r w:rsidRPr="00BF485B">
        <w:rPr>
          <w:rFonts w:ascii="Times New Roman" w:hAnsi="Times New Roman"/>
          <w:lang w:val="en-HK"/>
        </w:rPr>
        <w:t>:</w:t>
      </w:r>
    </w:p>
    <w:p w14:paraId="3021AE19" w14:textId="77777777" w:rsidR="00D27597" w:rsidRPr="00BF485B" w:rsidRDefault="00D27597" w:rsidP="00BF485B">
      <w:pPr>
        <w:numPr>
          <w:ilvl w:val="1"/>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Facts</w:t>
      </w:r>
      <w:r w:rsidRPr="00BF485B">
        <w:rPr>
          <w:rFonts w:ascii="Times New Roman" w:hAnsi="Times New Roman"/>
          <w:lang w:val="en-HK"/>
        </w:rPr>
        <w:t>: A trade union’s collective action restricted a company’s ability to relocate to another Member State.</w:t>
      </w:r>
    </w:p>
    <w:p w14:paraId="1720B513" w14:textId="77777777" w:rsidR="00D27597" w:rsidRPr="00BF485B" w:rsidRDefault="00D27597" w:rsidP="00BF485B">
      <w:pPr>
        <w:numPr>
          <w:ilvl w:val="1"/>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Judgment</w:t>
      </w:r>
      <w:r w:rsidRPr="00BF485B">
        <w:rPr>
          <w:rFonts w:ascii="Times New Roman" w:hAnsi="Times New Roman"/>
          <w:lang w:val="en-HK"/>
        </w:rPr>
        <w:t>: The Court applied horizontal direct effect to Article 49 TFEU, ensuring that private actions did not obstruct the freedom of establishment.</w:t>
      </w:r>
    </w:p>
    <w:p w14:paraId="5CCF5206" w14:textId="77777777" w:rsidR="00D27597" w:rsidRPr="00BF485B" w:rsidRDefault="00D27597" w:rsidP="00BF485B">
      <w:pPr>
        <w:numPr>
          <w:ilvl w:val="1"/>
          <w:numId w:val="4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Relevance to Article 34</w:t>
      </w:r>
      <w:r w:rsidRPr="00BF485B">
        <w:rPr>
          <w:rFonts w:ascii="Times New Roman" w:hAnsi="Times New Roman"/>
          <w:lang w:val="en-HK"/>
        </w:rPr>
        <w:t>:</w:t>
      </w:r>
    </w:p>
    <w:p w14:paraId="188A8BE5" w14:textId="77777777" w:rsidR="00D27597" w:rsidRPr="00BF485B" w:rsidRDefault="00D27597" w:rsidP="00BF485B">
      <w:pPr>
        <w:numPr>
          <w:ilvl w:val="2"/>
          <w:numId w:val="4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suggests that similar logic applies to private actions restricting the free movement of goods.</w:t>
      </w:r>
    </w:p>
    <w:p w14:paraId="16259042"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6F5CD311">
          <v:rect id="_x0000_i1036" alt="" style="width:451.3pt;height:.05pt;mso-width-percent:0;mso-height-percent:0;mso-width-percent:0;mso-height-percent:0" o:hralign="center" o:hrstd="t" o:hr="t" fillcolor="#a0a0a0" stroked="f"/>
        </w:pict>
      </w:r>
    </w:p>
    <w:p w14:paraId="3A1BF311"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5.3 A Unified Approach to Fundamental Freedoms</w:t>
      </w:r>
    </w:p>
    <w:p w14:paraId="5D48AAC4"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Equal Treatment of Fundamental Freedoms</w:t>
      </w:r>
    </w:p>
    <w:p w14:paraId="47CC0801" w14:textId="77777777" w:rsidR="00D27597" w:rsidRPr="00BF485B" w:rsidRDefault="00D27597" w:rsidP="00BF485B">
      <w:pPr>
        <w:numPr>
          <w:ilvl w:val="0"/>
          <w:numId w:val="5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Fundamental freedoms share the common objective of removing barriers within the internal market. </w:t>
      </w: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they should be treated equally in terms of horizontal direct effect.</w:t>
      </w:r>
    </w:p>
    <w:p w14:paraId="795BF04B" w14:textId="77777777" w:rsidR="00D27597" w:rsidRPr="00BF485B" w:rsidRDefault="00D27597" w:rsidP="00BF485B">
      <w:pPr>
        <w:numPr>
          <w:ilvl w:val="0"/>
          <w:numId w:val="50"/>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Horizontal Direct Effect for Articles 45, 49, and 56</w:t>
      </w:r>
      <w:r w:rsidRPr="00BF485B">
        <w:rPr>
          <w:rFonts w:ascii="Times New Roman" w:hAnsi="Times New Roman"/>
          <w:lang w:val="en-HK"/>
        </w:rPr>
        <w:t>:</w:t>
      </w:r>
    </w:p>
    <w:p w14:paraId="571E5698" w14:textId="77777777" w:rsidR="00D27597" w:rsidRPr="00BF485B" w:rsidRDefault="00D27597" w:rsidP="00BF485B">
      <w:pPr>
        <w:numPr>
          <w:ilvl w:val="1"/>
          <w:numId w:val="5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CJEU has justified horizontal application for these freedoms based on their link to EU citizenship and fundamental rights.</w:t>
      </w:r>
    </w:p>
    <w:p w14:paraId="41ECEDE5" w14:textId="77777777" w:rsidR="00D27597" w:rsidRPr="00BF485B" w:rsidRDefault="00D27597" w:rsidP="00BF485B">
      <w:pPr>
        <w:numPr>
          <w:ilvl w:val="1"/>
          <w:numId w:val="50"/>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contends that Article 34, while market-focused, is equally important for achieving the internal market and should not be excluded from horizontal direct effect.</w:t>
      </w:r>
    </w:p>
    <w:p w14:paraId="396F3A84"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Article 18 TFEU as a Guiding Principle</w:t>
      </w:r>
    </w:p>
    <w:p w14:paraId="7B24A900" w14:textId="77777777" w:rsidR="00D27597" w:rsidRPr="00BF485B" w:rsidRDefault="00D27597" w:rsidP="00BF485B">
      <w:pPr>
        <w:numPr>
          <w:ilvl w:val="0"/>
          <w:numId w:val="5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Article 18 prohibits discrimination based on nationality and has been instrumental in extending horizontal direct effect in cases like </w:t>
      </w:r>
      <w:proofErr w:type="spellStart"/>
      <w:r w:rsidRPr="00BF485B">
        <w:rPr>
          <w:rFonts w:ascii="Times New Roman" w:hAnsi="Times New Roman"/>
          <w:i/>
          <w:iCs/>
          <w:lang w:val="en-HK"/>
        </w:rPr>
        <w:t>Angonese</w:t>
      </w:r>
      <w:proofErr w:type="spellEnd"/>
      <w:r w:rsidRPr="00BF485B">
        <w:rPr>
          <w:rFonts w:ascii="Times New Roman" w:hAnsi="Times New Roman"/>
          <w:lang w:val="en-HK"/>
        </w:rPr>
        <w:t>.</w:t>
      </w:r>
    </w:p>
    <w:p w14:paraId="4874570A" w14:textId="77777777" w:rsidR="00D27597" w:rsidRPr="00BF485B" w:rsidRDefault="00D27597" w:rsidP="00BF485B">
      <w:pPr>
        <w:numPr>
          <w:ilvl w:val="0"/>
          <w:numId w:val="51"/>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the same principle should apply to Article 34, as private barriers often involve indirect discrimination against imported goods.</w:t>
      </w:r>
    </w:p>
    <w:p w14:paraId="323C0602"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571A1D7F">
          <v:rect id="_x0000_i1035" alt="" style="width:451.3pt;height:.05pt;mso-width-percent:0;mso-height-percent:0;mso-width-percent:0;mso-height-percent:0" o:hralign="center" o:hrstd="t" o:hr="t" fillcolor="#a0a0a0" stroked="f"/>
        </w:pict>
      </w:r>
    </w:p>
    <w:p w14:paraId="43BF395E"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5.4 Addressing Criticisms</w:t>
      </w:r>
    </w:p>
    <w:p w14:paraId="1A089F4C"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Public-Private Distinction</w:t>
      </w:r>
    </w:p>
    <w:p w14:paraId="57D3D969" w14:textId="77777777" w:rsidR="00D27597" w:rsidRPr="00BF485B" w:rsidRDefault="00D27597" w:rsidP="00BF485B">
      <w:pPr>
        <w:numPr>
          <w:ilvl w:val="0"/>
          <w:numId w:val="5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Critics argue that horizontal direct effect for Article 34 undermines the distinction between public measures (regulated by free movement law) and private actions (regulated by competition law).</w:t>
      </w:r>
    </w:p>
    <w:p w14:paraId="754870D3" w14:textId="77777777" w:rsidR="00D27597" w:rsidRPr="00BF485B" w:rsidRDefault="00D27597" w:rsidP="00BF485B">
      <w:pPr>
        <w:numPr>
          <w:ilvl w:val="0"/>
          <w:numId w:val="52"/>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Response:</w:t>
      </w:r>
    </w:p>
    <w:p w14:paraId="771D4D21" w14:textId="77777777" w:rsidR="00D27597" w:rsidRPr="00BF485B" w:rsidRDefault="00D27597" w:rsidP="00BF485B">
      <w:pPr>
        <w:numPr>
          <w:ilvl w:val="1"/>
          <w:numId w:val="5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lastRenderedPageBreak/>
        <w:t>The distinction is overly formalistic and fails to account for the practical reality of private barriers in modern markets.</w:t>
      </w:r>
    </w:p>
    <w:p w14:paraId="3A24DC35" w14:textId="77777777" w:rsidR="00D27597" w:rsidRPr="00BF485B" w:rsidRDefault="00D27597" w:rsidP="00BF485B">
      <w:pPr>
        <w:numPr>
          <w:ilvl w:val="1"/>
          <w:numId w:val="5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Horizontal direct effect would complement, not replace, competition law, filling gaps where private actions restrict market access without violating competition rules.</w:t>
      </w:r>
    </w:p>
    <w:p w14:paraId="3320A26A"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Legal Certainty</w:t>
      </w:r>
    </w:p>
    <w:p w14:paraId="06038917" w14:textId="77777777" w:rsidR="00D27597" w:rsidRPr="00BF485B" w:rsidRDefault="00D27597" w:rsidP="00BF485B">
      <w:pPr>
        <w:numPr>
          <w:ilvl w:val="0"/>
          <w:numId w:val="5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Opponents of horizontal direct effect argue that it creates uncertainty for private actors, as they could face obligations under Article 34 without clear guidance.</w:t>
      </w:r>
    </w:p>
    <w:p w14:paraId="50AEDCE5" w14:textId="77777777" w:rsidR="00D27597" w:rsidRPr="00BF485B" w:rsidRDefault="00D27597" w:rsidP="00BF485B">
      <w:pPr>
        <w:numPr>
          <w:ilvl w:val="0"/>
          <w:numId w:val="53"/>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Response:</w:t>
      </w:r>
    </w:p>
    <w:p w14:paraId="5F5D171B" w14:textId="77777777" w:rsidR="00D27597" w:rsidRPr="00BF485B" w:rsidRDefault="00D27597" w:rsidP="00BF485B">
      <w:pPr>
        <w:numPr>
          <w:ilvl w:val="1"/>
          <w:numId w:val="5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CJEU’s case law already provides criteria for assessing restrictions on free movement, such as the </w:t>
      </w:r>
      <w:r w:rsidRPr="00BF485B">
        <w:rPr>
          <w:rFonts w:ascii="Times New Roman" w:hAnsi="Times New Roman"/>
          <w:b/>
          <w:bCs/>
          <w:lang w:val="en-HK"/>
        </w:rPr>
        <w:t>market access test</w:t>
      </w:r>
      <w:r w:rsidRPr="00BF485B">
        <w:rPr>
          <w:rFonts w:ascii="Times New Roman" w:hAnsi="Times New Roman"/>
          <w:lang w:val="en-HK"/>
        </w:rPr>
        <w:t xml:space="preserve"> (</w:t>
      </w:r>
      <w:r w:rsidRPr="00BF485B">
        <w:rPr>
          <w:rFonts w:ascii="Times New Roman" w:hAnsi="Times New Roman"/>
          <w:i/>
          <w:iCs/>
          <w:lang w:val="en-HK"/>
        </w:rPr>
        <w:t>Italian Trailers, Case C-110/05</w:t>
      </w:r>
      <w:r w:rsidRPr="00BF485B">
        <w:rPr>
          <w:rFonts w:ascii="Times New Roman" w:hAnsi="Times New Roman"/>
          <w:lang w:val="en-HK"/>
        </w:rPr>
        <w:t>).</w:t>
      </w:r>
    </w:p>
    <w:p w14:paraId="114C3F74" w14:textId="77777777" w:rsidR="00D27597" w:rsidRPr="00BF485B" w:rsidRDefault="00D27597" w:rsidP="00BF485B">
      <w:pPr>
        <w:numPr>
          <w:ilvl w:val="1"/>
          <w:numId w:val="5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These principles could be extended to private actions, ensuring consistency and predictability.</w:t>
      </w:r>
    </w:p>
    <w:p w14:paraId="352AF40C"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FEA87C0">
          <v:rect id="_x0000_i1034" alt="" style="width:451.3pt;height:.05pt;mso-width-percent:0;mso-height-percent:0;mso-width-percent:0;mso-height-percent:0" o:hralign="center" o:hrstd="t" o:hr="t" fillcolor="#a0a0a0" stroked="f"/>
        </w:pict>
      </w:r>
    </w:p>
    <w:p w14:paraId="4BE13EF5"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5.5 Practical Implications of the Proposal</w:t>
      </w:r>
    </w:p>
    <w:p w14:paraId="1B392B9A"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Addressing Private Barriers</w:t>
      </w:r>
    </w:p>
    <w:p w14:paraId="7B4A6A50" w14:textId="77777777" w:rsidR="00D27597" w:rsidRPr="00BF485B" w:rsidRDefault="00D27597" w:rsidP="00BF485B">
      <w:pPr>
        <w:numPr>
          <w:ilvl w:val="0"/>
          <w:numId w:val="5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Horizontal direct effect for Article 34 would enable individuals and businesses to challenge private actions that restrict market access.</w:t>
      </w:r>
    </w:p>
    <w:p w14:paraId="70DD882E" w14:textId="77777777" w:rsidR="00D27597" w:rsidRPr="00BF485B" w:rsidRDefault="00D27597" w:rsidP="00BF485B">
      <w:pPr>
        <w:numPr>
          <w:ilvl w:val="0"/>
          <w:numId w:val="5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Examples:</w:t>
      </w:r>
    </w:p>
    <w:p w14:paraId="7DBE35FB" w14:textId="77777777" w:rsidR="00D27597" w:rsidRPr="00BF485B" w:rsidRDefault="00D27597" w:rsidP="00BF485B">
      <w:pPr>
        <w:numPr>
          <w:ilvl w:val="1"/>
          <w:numId w:val="5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Private certification bodies imposing discriminatory standards on imported goods.</w:t>
      </w:r>
    </w:p>
    <w:p w14:paraId="0529E655" w14:textId="77777777" w:rsidR="00D27597" w:rsidRPr="00BF485B" w:rsidRDefault="00D27597" w:rsidP="00BF485B">
      <w:pPr>
        <w:numPr>
          <w:ilvl w:val="1"/>
          <w:numId w:val="5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Trade associations adopting rules that disproportionately affect foreign products.</w:t>
      </w:r>
    </w:p>
    <w:p w14:paraId="33760001"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Enhancing the Internal Market</w:t>
      </w:r>
    </w:p>
    <w:p w14:paraId="50EAF7E2" w14:textId="77777777" w:rsidR="00D27597" w:rsidRPr="00BF485B" w:rsidRDefault="00D27597" w:rsidP="00BF485B">
      <w:pPr>
        <w:numPr>
          <w:ilvl w:val="0"/>
          <w:numId w:val="5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Extending horizontal direct effect to Article 34 would:</w:t>
      </w:r>
    </w:p>
    <w:p w14:paraId="61348AEA" w14:textId="77777777" w:rsidR="00D27597" w:rsidRPr="00BF485B" w:rsidRDefault="00D27597" w:rsidP="00BF485B">
      <w:pPr>
        <w:numPr>
          <w:ilvl w:val="1"/>
          <w:numId w:val="5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Align it with other fundamental freedoms, ensuring equal treatment across the internal market.</w:t>
      </w:r>
    </w:p>
    <w:p w14:paraId="37C22FD7" w14:textId="77777777" w:rsidR="00D27597" w:rsidRPr="00BF485B" w:rsidRDefault="00D27597" w:rsidP="00BF485B">
      <w:pPr>
        <w:numPr>
          <w:ilvl w:val="1"/>
          <w:numId w:val="5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Strengthen 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of Article 34 by addressing all barriers to goods, whether public or private.</w:t>
      </w:r>
    </w:p>
    <w:p w14:paraId="2FB2161C" w14:textId="77777777" w:rsidR="00D27597" w:rsidRPr="00BF485B" w:rsidRDefault="00D27597" w:rsidP="00BF485B">
      <w:pPr>
        <w:numPr>
          <w:ilvl w:val="1"/>
          <w:numId w:val="5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Close gaps in the regulatory framework, ensuring comprehensive protection for free movement.</w:t>
      </w:r>
    </w:p>
    <w:p w14:paraId="5E070331"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036698D6">
          <v:rect id="_x0000_i1033" alt="" style="width:451.3pt;height:.05pt;mso-width-percent:0;mso-height-percent:0;mso-width-percent:0;mso-height-percent:0" o:hralign="center" o:hrstd="t" o:hr="t" fillcolor="#a0a0a0" stroked="f"/>
        </w:pict>
      </w:r>
    </w:p>
    <w:p w14:paraId="4E125288"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Conclusion of Section 5</w:t>
      </w:r>
    </w:p>
    <w:p w14:paraId="2FF4FC2E" w14:textId="77777777" w:rsidR="00D27597" w:rsidRPr="00BF485B" w:rsidRDefault="00D27597" w:rsidP="00BF485B">
      <w:pPr>
        <w:numPr>
          <w:ilvl w:val="0"/>
          <w:numId w:val="5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lastRenderedPageBreak/>
        <w:t>Krenn</w:t>
      </w:r>
      <w:proofErr w:type="spellEnd"/>
      <w:r w:rsidRPr="00BF485B">
        <w:rPr>
          <w:rFonts w:ascii="Times New Roman" w:hAnsi="Times New Roman"/>
          <w:lang w:val="en-HK"/>
        </w:rPr>
        <w:t xml:space="preserve"> proposes extending horizontal direct effect to Article 34 TFEU to address private barriers to goods and enhance the coherence of the internal market.</w:t>
      </w:r>
    </w:p>
    <w:p w14:paraId="647B4335" w14:textId="77777777" w:rsidR="00D27597" w:rsidRPr="00BF485B" w:rsidRDefault="00D27597" w:rsidP="00BF485B">
      <w:pPr>
        <w:numPr>
          <w:ilvl w:val="0"/>
          <w:numId w:val="5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proposal is grounded in 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principle, which ensures the practical effectiveness of EU law.</w:t>
      </w:r>
    </w:p>
    <w:p w14:paraId="67CE2191" w14:textId="77777777" w:rsidR="00D27597" w:rsidRPr="00BF485B" w:rsidRDefault="00D27597" w:rsidP="00BF485B">
      <w:pPr>
        <w:numPr>
          <w:ilvl w:val="0"/>
          <w:numId w:val="5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By aligning Article 34 with other fundamental freedoms, the CJEU could eliminate inconsistencies in its jurisprudence and strengthen the Treaties’ objectives.</w:t>
      </w:r>
    </w:p>
    <w:p w14:paraId="69EAA54B" w14:textId="77777777" w:rsidR="00D27597" w:rsidRPr="00BF485B" w:rsidRDefault="00D27597" w:rsidP="00BF485B">
      <w:pPr>
        <w:numPr>
          <w:ilvl w:val="0"/>
          <w:numId w:val="5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acknowledges the challenges of this reform but argues that it is necessary to close regulatory gaps and achieve the full potential of the internal market.</w:t>
      </w:r>
    </w:p>
    <w:p w14:paraId="69D4247B"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1201F32E">
          <v:rect id="_x0000_i1032" alt="" style="width:451.3pt;height:.05pt;mso-width-percent:0;mso-height-percent:0;mso-width-percent:0;mso-height-percent:0" o:hralign="center" o:hrstd="t" o:hr="t" fillcolor="#a0a0a0" stroked="f"/>
        </w:pict>
      </w:r>
    </w:p>
    <w:p w14:paraId="120F96B6"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6. Conclusion</w:t>
      </w:r>
    </w:p>
    <w:p w14:paraId="7B156DD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Introduction</w:t>
      </w:r>
    </w:p>
    <w:p w14:paraId="002424B5" w14:textId="77777777" w:rsidR="00D27597" w:rsidRPr="00BF485B" w:rsidRDefault="00D27597" w:rsidP="00BF485B">
      <w:pPr>
        <w:numPr>
          <w:ilvl w:val="0"/>
          <w:numId w:val="57"/>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concludes her article by synthesizing the arguments presented and reiterating the need for extending </w:t>
      </w:r>
      <w:r w:rsidRPr="00BF485B">
        <w:rPr>
          <w:rFonts w:ascii="Times New Roman" w:hAnsi="Times New Roman"/>
          <w:b/>
          <w:bCs/>
          <w:lang w:val="en-HK"/>
        </w:rPr>
        <w:t>horizontal direct effect</w:t>
      </w:r>
      <w:r w:rsidRPr="00BF485B">
        <w:rPr>
          <w:rFonts w:ascii="Times New Roman" w:hAnsi="Times New Roman"/>
          <w:lang w:val="en-HK"/>
        </w:rPr>
        <w:t xml:space="preserve"> to Article 34 TFEU.</w:t>
      </w:r>
    </w:p>
    <w:p w14:paraId="05A0E56F" w14:textId="77777777" w:rsidR="00D27597" w:rsidRPr="00BF485B" w:rsidRDefault="00D27597" w:rsidP="00BF485B">
      <w:pPr>
        <w:numPr>
          <w:ilvl w:val="0"/>
          <w:numId w:val="5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She critiques the Court of Justice of the European Union’s (CJEU) inconsistent treatment of the fundamental freedoms, emphasizing the importance of coherence within EU law and the internal market.</w:t>
      </w:r>
    </w:p>
    <w:p w14:paraId="088E9737" w14:textId="77777777" w:rsidR="00D27597" w:rsidRPr="00BF485B" w:rsidRDefault="00D27597" w:rsidP="00BF485B">
      <w:pPr>
        <w:numPr>
          <w:ilvl w:val="0"/>
          <w:numId w:val="5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central thesis is that Article 34’s exclusion from horizontal direct effect creates a legal and practical gap that undermines the EU’s internal market objectives.</w:t>
      </w:r>
    </w:p>
    <w:p w14:paraId="614BCA31"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3B73B57F">
          <v:rect id="_x0000_i1031" alt="" style="width:451.3pt;height:.05pt;mso-width-percent:0;mso-height-percent:0;mso-width-percent:0;mso-height-percent:0" o:hralign="center" o:hrstd="t" o:hr="t" fillcolor="#a0a0a0" stroked="f"/>
        </w:pict>
      </w:r>
    </w:p>
    <w:p w14:paraId="3398B016"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6.1 Summary of the Problem</w:t>
      </w:r>
    </w:p>
    <w:p w14:paraId="03A80726"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Differential Treatment of Fundamental Freedoms</w:t>
      </w:r>
    </w:p>
    <w:p w14:paraId="6026F766" w14:textId="77777777" w:rsidR="00D27597" w:rsidRPr="00BF485B" w:rsidRDefault="00D27597" w:rsidP="00BF485B">
      <w:pPr>
        <w:numPr>
          <w:ilvl w:val="0"/>
          <w:numId w:val="58"/>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highlights that fundamental freedoms, such as the free movement of workers (Article 45 TFEU), services (Article 56 TFEU), and establishment (Article 49 TFEU), enjoy horizontal direct effect, whereas Article 34 TFEU does not.</w:t>
      </w:r>
    </w:p>
    <w:p w14:paraId="51EDDF8B" w14:textId="77777777" w:rsidR="00D27597" w:rsidRPr="00BF485B" w:rsidRDefault="00D27597" w:rsidP="00BF485B">
      <w:pPr>
        <w:numPr>
          <w:ilvl w:val="0"/>
          <w:numId w:val="5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inconsistency in the Court’s approach:</w:t>
      </w:r>
    </w:p>
    <w:p w14:paraId="2DA5A905" w14:textId="77777777" w:rsidR="00D27597" w:rsidRPr="00BF485B" w:rsidRDefault="00D27597" w:rsidP="00BF485B">
      <w:pPr>
        <w:numPr>
          <w:ilvl w:val="1"/>
          <w:numId w:val="5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Creates fragmentation within the internal market.</w:t>
      </w:r>
    </w:p>
    <w:p w14:paraId="4751F045" w14:textId="77777777" w:rsidR="00D27597" w:rsidRPr="00BF485B" w:rsidRDefault="00D27597" w:rsidP="00BF485B">
      <w:pPr>
        <w:numPr>
          <w:ilvl w:val="1"/>
          <w:numId w:val="5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Treats similar Treaty provisions unequally, undermining the Treaties’ overarching goal of market integration.</w:t>
      </w:r>
    </w:p>
    <w:p w14:paraId="2D7B5D8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The Current Scope of Article 34</w:t>
      </w:r>
    </w:p>
    <w:p w14:paraId="70C01BC5" w14:textId="77777777" w:rsidR="00D27597" w:rsidRPr="00BF485B" w:rsidRDefault="00D27597" w:rsidP="00BF485B">
      <w:pPr>
        <w:numPr>
          <w:ilvl w:val="0"/>
          <w:numId w:val="5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 34 imposes obligations only on Member States and state-like bodies (vertical application). Private actions that restrict the free movement of goods are not covered.</w:t>
      </w:r>
    </w:p>
    <w:p w14:paraId="14F64DF4" w14:textId="77777777" w:rsidR="00D27597" w:rsidRPr="00BF485B" w:rsidRDefault="00D27597" w:rsidP="00BF485B">
      <w:pPr>
        <w:numPr>
          <w:ilvl w:val="0"/>
          <w:numId w:val="59"/>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Case Example</w:t>
      </w:r>
      <w:r w:rsidRPr="00BF485B">
        <w:rPr>
          <w:rFonts w:ascii="Times New Roman" w:hAnsi="Times New Roman"/>
          <w:lang w:val="en-HK"/>
        </w:rPr>
        <w:t>:</w:t>
      </w:r>
    </w:p>
    <w:p w14:paraId="48194702" w14:textId="77777777" w:rsidR="00D27597" w:rsidRPr="00BF485B" w:rsidRDefault="00D27597" w:rsidP="00BF485B">
      <w:pPr>
        <w:numPr>
          <w:ilvl w:val="1"/>
          <w:numId w:val="59"/>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i/>
          <w:iCs/>
          <w:lang w:val="en-HK"/>
        </w:rPr>
        <w:t>Sapod</w:t>
      </w:r>
      <w:proofErr w:type="spellEnd"/>
      <w:r w:rsidRPr="00BF485B">
        <w:rPr>
          <w:rFonts w:ascii="Times New Roman" w:hAnsi="Times New Roman"/>
          <w:i/>
          <w:iCs/>
          <w:lang w:val="en-HK"/>
        </w:rPr>
        <w:t xml:space="preserve"> </w:t>
      </w:r>
      <w:proofErr w:type="spellStart"/>
      <w:r w:rsidRPr="00BF485B">
        <w:rPr>
          <w:rFonts w:ascii="Times New Roman" w:hAnsi="Times New Roman"/>
          <w:i/>
          <w:iCs/>
          <w:lang w:val="en-HK"/>
        </w:rPr>
        <w:t>Audic</w:t>
      </w:r>
      <w:proofErr w:type="spellEnd"/>
      <w:r w:rsidRPr="00BF485B">
        <w:rPr>
          <w:rFonts w:ascii="Times New Roman" w:hAnsi="Times New Roman"/>
          <w:i/>
          <w:iCs/>
          <w:lang w:val="en-HK"/>
        </w:rPr>
        <w:t xml:space="preserve"> (Case C-159/00)</w:t>
      </w:r>
      <w:r w:rsidRPr="00BF485B">
        <w:rPr>
          <w:rFonts w:ascii="Times New Roman" w:hAnsi="Times New Roman"/>
          <w:lang w:val="en-HK"/>
        </w:rPr>
        <w:t>: The Court explicitly rejected horizontal direct effect for Article 34, affirming that it targets only state measures.</w:t>
      </w:r>
    </w:p>
    <w:p w14:paraId="0CC5E881"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lastRenderedPageBreak/>
        <w:t>Gap in the Internal Market</w:t>
      </w:r>
    </w:p>
    <w:p w14:paraId="1F754900" w14:textId="77777777" w:rsidR="00D27597" w:rsidRPr="00BF485B" w:rsidRDefault="00D27597" w:rsidP="00BF485B">
      <w:pPr>
        <w:numPr>
          <w:ilvl w:val="0"/>
          <w:numId w:val="6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exclusion of horizontal direct effect leaves private barriers to goods—such as discriminatory standards imposed by trade associations or certification bodies—outside the scope of Article 34.</w:t>
      </w:r>
    </w:p>
    <w:p w14:paraId="717E37F3" w14:textId="77777777" w:rsidR="00D27597" w:rsidRPr="00BF485B" w:rsidRDefault="00D27597" w:rsidP="00BF485B">
      <w:pPr>
        <w:numPr>
          <w:ilvl w:val="0"/>
          <w:numId w:val="6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While competition law (Articles 101 and 102 TFEU) addresses some private restrictions, it does not cover all cases where private actions hinder market access.</w:t>
      </w:r>
    </w:p>
    <w:p w14:paraId="123552E7"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6106A034">
          <v:rect id="_x0000_i1030" alt="" style="width:451.3pt;height:.05pt;mso-width-percent:0;mso-height-percent:0;mso-width-percent:0;mso-height-percent:0" o:hralign="center" o:hrstd="t" o:hr="t" fillcolor="#a0a0a0" stroked="f"/>
        </w:pict>
      </w:r>
    </w:p>
    <w:p w14:paraId="22BA1181"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6.2 The Case for Horizontal Direct Effect</w:t>
      </w:r>
    </w:p>
    <w:p w14:paraId="573E546F"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 and Practical Effectiveness</w:t>
      </w:r>
    </w:p>
    <w:p w14:paraId="0D3A069C" w14:textId="77777777" w:rsidR="00D27597" w:rsidRPr="00BF485B" w:rsidRDefault="00D27597" w:rsidP="00BF485B">
      <w:pPr>
        <w:numPr>
          <w:ilvl w:val="0"/>
          <w:numId w:val="61"/>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argues that horizontal direct effect is necessary to ensure 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(practical effectiveness) of Article 34 TFEU.</w:t>
      </w:r>
    </w:p>
    <w:p w14:paraId="061C51D0" w14:textId="77777777" w:rsidR="00D27597" w:rsidRPr="00BF485B" w:rsidRDefault="00D27597" w:rsidP="00BF485B">
      <w:pPr>
        <w:numPr>
          <w:ilvl w:val="0"/>
          <w:numId w:val="61"/>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Without horizontal application, private barriers to goods can undermine the internal market, rendering Article 34 ineffective in achieving its objectives.</w:t>
      </w:r>
    </w:p>
    <w:p w14:paraId="077B4274"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Comparative Freedoms</w:t>
      </w:r>
    </w:p>
    <w:p w14:paraId="1EB0FDDC" w14:textId="77777777" w:rsidR="00D27597" w:rsidRPr="00BF485B" w:rsidRDefault="00D27597" w:rsidP="00BF485B">
      <w:pPr>
        <w:numPr>
          <w:ilvl w:val="0"/>
          <w:numId w:val="62"/>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Articles 45, 49, and 56 TFEU have been granted horizontal direct effect to address private barriers in their respective areas.</w:t>
      </w:r>
    </w:p>
    <w:p w14:paraId="0707B0B9" w14:textId="77777777" w:rsidR="00D27597" w:rsidRPr="00BF485B" w:rsidRDefault="00D27597" w:rsidP="00BF485B">
      <w:pPr>
        <w:numPr>
          <w:ilvl w:val="0"/>
          <w:numId w:val="62"/>
        </w:numPr>
        <w:spacing w:before="100" w:beforeAutospacing="1" w:after="100" w:afterAutospacing="1" w:line="276" w:lineRule="auto"/>
        <w:rPr>
          <w:rFonts w:ascii="Times New Roman" w:hAnsi="Times New Roman"/>
          <w:lang w:val="en-HK"/>
        </w:rPr>
      </w:pPr>
      <w:r w:rsidRPr="00BF485B">
        <w:rPr>
          <w:rFonts w:ascii="Times New Roman" w:hAnsi="Times New Roman"/>
          <w:b/>
          <w:bCs/>
          <w:lang w:val="en-HK"/>
        </w:rPr>
        <w:t>Case Examples</w:t>
      </w:r>
      <w:r w:rsidRPr="00BF485B">
        <w:rPr>
          <w:rFonts w:ascii="Times New Roman" w:hAnsi="Times New Roman"/>
          <w:lang w:val="en-HK"/>
        </w:rPr>
        <w:t>:</w:t>
      </w:r>
    </w:p>
    <w:p w14:paraId="4D136DD7" w14:textId="77777777" w:rsidR="00D27597" w:rsidRPr="00BF485B" w:rsidRDefault="00D27597" w:rsidP="00BF485B">
      <w:pPr>
        <w:numPr>
          <w:ilvl w:val="1"/>
          <w:numId w:val="62"/>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i/>
          <w:iCs/>
          <w:lang w:val="en-HK"/>
        </w:rPr>
        <w:t>Angonese</w:t>
      </w:r>
      <w:proofErr w:type="spellEnd"/>
      <w:r w:rsidRPr="00BF485B">
        <w:rPr>
          <w:rFonts w:ascii="Times New Roman" w:hAnsi="Times New Roman"/>
          <w:i/>
          <w:iCs/>
          <w:lang w:val="en-HK"/>
        </w:rPr>
        <w:t xml:space="preserve"> (Case C-281/98)</w:t>
      </w:r>
      <w:r w:rsidRPr="00BF485B">
        <w:rPr>
          <w:rFonts w:ascii="Times New Roman" w:hAnsi="Times New Roman"/>
          <w:lang w:val="en-HK"/>
        </w:rPr>
        <w:t>: Article 45 (free movement of workers) applied horizontally to address private-sector discrimination.</w:t>
      </w:r>
    </w:p>
    <w:p w14:paraId="7D69B9A1" w14:textId="77777777" w:rsidR="00D27597" w:rsidRPr="00BF485B" w:rsidRDefault="00D27597" w:rsidP="00BF485B">
      <w:pPr>
        <w:numPr>
          <w:ilvl w:val="1"/>
          <w:numId w:val="62"/>
        </w:numPr>
        <w:spacing w:before="100" w:beforeAutospacing="1" w:after="100" w:afterAutospacing="1" w:line="276" w:lineRule="auto"/>
        <w:rPr>
          <w:rFonts w:ascii="Times New Roman" w:hAnsi="Times New Roman"/>
          <w:lang w:val="en-HK"/>
        </w:rPr>
      </w:pPr>
      <w:r w:rsidRPr="00BF485B">
        <w:rPr>
          <w:rFonts w:ascii="Times New Roman" w:hAnsi="Times New Roman"/>
          <w:i/>
          <w:iCs/>
          <w:lang w:val="en-HK"/>
        </w:rPr>
        <w:t>Viking Line (Case C-438/05)</w:t>
      </w:r>
      <w:r w:rsidRPr="00BF485B">
        <w:rPr>
          <w:rFonts w:ascii="Times New Roman" w:hAnsi="Times New Roman"/>
          <w:lang w:val="en-HK"/>
        </w:rPr>
        <w:t>: Article 49 (freedom of establishment) applied horizontally to prevent trade unions from obstructing market access.</w:t>
      </w:r>
    </w:p>
    <w:p w14:paraId="5C033E3D" w14:textId="77777777" w:rsidR="00D27597" w:rsidRPr="00BF485B" w:rsidRDefault="00D27597" w:rsidP="00BF485B">
      <w:pPr>
        <w:numPr>
          <w:ilvl w:val="1"/>
          <w:numId w:val="62"/>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Argument: The same logic should apply to Article 34, as private barriers to goods can similarly obstruct the internal market.</w:t>
      </w:r>
    </w:p>
    <w:p w14:paraId="03778175"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Overcoming the Public-Private Distinction</w:t>
      </w:r>
    </w:p>
    <w:p w14:paraId="1AAE0A12" w14:textId="77777777" w:rsidR="00D27597" w:rsidRPr="00BF485B" w:rsidRDefault="00D27597" w:rsidP="00BF485B">
      <w:pPr>
        <w:numPr>
          <w:ilvl w:val="0"/>
          <w:numId w:val="6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 has justified the exclusion of horizontal direct effect for Article 34 based on the </w:t>
      </w:r>
      <w:r w:rsidRPr="00BF485B">
        <w:rPr>
          <w:rFonts w:ascii="Times New Roman" w:hAnsi="Times New Roman"/>
          <w:b/>
          <w:bCs/>
          <w:lang w:val="en-HK"/>
        </w:rPr>
        <w:t>public-private distinction</w:t>
      </w:r>
      <w:r w:rsidRPr="00BF485B">
        <w:rPr>
          <w:rFonts w:ascii="Times New Roman" w:hAnsi="Times New Roman"/>
          <w:lang w:val="en-HK"/>
        </w:rPr>
        <w:t>—arguing that free movement law targets state measures, while private actions fall under competition law.</w:t>
      </w:r>
    </w:p>
    <w:p w14:paraId="21C52098" w14:textId="77777777" w:rsidR="00D27597" w:rsidRPr="00BF485B" w:rsidRDefault="00D27597" w:rsidP="00BF485B">
      <w:pPr>
        <w:numPr>
          <w:ilvl w:val="0"/>
          <w:numId w:val="63"/>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critiques this approach as overly formalistic and inconsistent with the Treaties’ objectives:</w:t>
      </w:r>
    </w:p>
    <w:p w14:paraId="228028B5" w14:textId="77777777" w:rsidR="00D27597" w:rsidRPr="00BF485B" w:rsidRDefault="00D27597" w:rsidP="00BF485B">
      <w:pPr>
        <w:numPr>
          <w:ilvl w:val="1"/>
          <w:numId w:val="6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Many private barriers to goods do not violate competition law but still restrict market access.</w:t>
      </w:r>
    </w:p>
    <w:p w14:paraId="29A67827" w14:textId="77777777" w:rsidR="00D27597" w:rsidRPr="00BF485B" w:rsidRDefault="00D27597" w:rsidP="00BF485B">
      <w:pPr>
        <w:numPr>
          <w:ilvl w:val="1"/>
          <w:numId w:val="63"/>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Horizontal direct effect for Article 34 would complement competition law, addressing regulatory gaps and ensuring comprehensive protection for free movement.</w:t>
      </w:r>
    </w:p>
    <w:p w14:paraId="725C462F"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563CC747">
          <v:rect id="_x0000_i1029" alt="" style="width:451.3pt;height:.05pt;mso-width-percent:0;mso-height-percent:0;mso-width-percent:0;mso-height-percent:0" o:hralign="center" o:hrstd="t" o:hr="t" fillcolor="#a0a0a0" stroked="f"/>
        </w:pict>
      </w:r>
    </w:p>
    <w:p w14:paraId="58FD66FE"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lastRenderedPageBreak/>
        <w:t>6.3 Addressing Criticisms</w:t>
      </w:r>
    </w:p>
    <w:p w14:paraId="0C650A19"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Legal Certainty</w:t>
      </w:r>
    </w:p>
    <w:p w14:paraId="1B41232C" w14:textId="77777777" w:rsidR="00D27597" w:rsidRPr="00BF485B" w:rsidRDefault="00D27597" w:rsidP="00BF485B">
      <w:pPr>
        <w:numPr>
          <w:ilvl w:val="0"/>
          <w:numId w:val="6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Critics argue that horizontal direct effect creates uncertainty for private actors, who may not have clear guidance on their obligations under Article 34.</w:t>
      </w:r>
    </w:p>
    <w:p w14:paraId="2CEF0A67" w14:textId="77777777" w:rsidR="00D27597" w:rsidRPr="00BF485B" w:rsidRDefault="00D27597" w:rsidP="00BF485B">
      <w:pPr>
        <w:numPr>
          <w:ilvl w:val="0"/>
          <w:numId w:val="64"/>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Krenn’s</w:t>
      </w:r>
      <w:proofErr w:type="spellEnd"/>
      <w:r w:rsidRPr="00BF485B">
        <w:rPr>
          <w:rFonts w:ascii="Times New Roman" w:hAnsi="Times New Roman"/>
          <w:lang w:val="en-HK"/>
        </w:rPr>
        <w:t xml:space="preserve"> Response:</w:t>
      </w:r>
    </w:p>
    <w:p w14:paraId="696EECD4" w14:textId="77777777" w:rsidR="00D27597" w:rsidRPr="00BF485B" w:rsidRDefault="00D27597" w:rsidP="00BF485B">
      <w:pPr>
        <w:numPr>
          <w:ilvl w:val="1"/>
          <w:numId w:val="6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CJEU has already developed criteria for assessing restrictions on free movement, such as the </w:t>
      </w:r>
      <w:r w:rsidRPr="00BF485B">
        <w:rPr>
          <w:rFonts w:ascii="Times New Roman" w:hAnsi="Times New Roman"/>
          <w:b/>
          <w:bCs/>
          <w:lang w:val="en-HK"/>
        </w:rPr>
        <w:t>market access test</w:t>
      </w:r>
      <w:r w:rsidRPr="00BF485B">
        <w:rPr>
          <w:rFonts w:ascii="Times New Roman" w:hAnsi="Times New Roman"/>
          <w:lang w:val="en-HK"/>
        </w:rPr>
        <w:t xml:space="preserve"> in </w:t>
      </w:r>
      <w:r w:rsidRPr="00BF485B">
        <w:rPr>
          <w:rFonts w:ascii="Times New Roman" w:hAnsi="Times New Roman"/>
          <w:i/>
          <w:iCs/>
          <w:lang w:val="en-HK"/>
        </w:rPr>
        <w:t>Italian Trailers (Case C-110/05)</w:t>
      </w:r>
      <w:r w:rsidRPr="00BF485B">
        <w:rPr>
          <w:rFonts w:ascii="Times New Roman" w:hAnsi="Times New Roman"/>
          <w:lang w:val="en-HK"/>
        </w:rPr>
        <w:t>.</w:t>
      </w:r>
    </w:p>
    <w:p w14:paraId="5F8071EE" w14:textId="77777777" w:rsidR="00D27597" w:rsidRPr="00BF485B" w:rsidRDefault="00D27597" w:rsidP="00BF485B">
      <w:pPr>
        <w:numPr>
          <w:ilvl w:val="1"/>
          <w:numId w:val="64"/>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These principles could be extended to private actions, ensuring consistency and predictability.</w:t>
      </w:r>
    </w:p>
    <w:p w14:paraId="5D9FAD66"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Scope of Application</w:t>
      </w:r>
    </w:p>
    <w:p w14:paraId="51CBF826" w14:textId="77777777" w:rsidR="00D27597" w:rsidRPr="00BF485B" w:rsidRDefault="00D27597" w:rsidP="00BF485B">
      <w:pPr>
        <w:numPr>
          <w:ilvl w:val="0"/>
          <w:numId w:val="6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Horizontal direct effect would not impose obligations on all private actions but would target those with significant market effects:</w:t>
      </w:r>
    </w:p>
    <w:p w14:paraId="18FB9855" w14:textId="77777777" w:rsidR="00D27597" w:rsidRPr="00BF485B" w:rsidRDefault="00D27597" w:rsidP="00BF485B">
      <w:pPr>
        <w:numPr>
          <w:ilvl w:val="1"/>
          <w:numId w:val="65"/>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Example: Trade associations adopting discriminatory rules or certification bodies imposing unreasonable product standards.</w:t>
      </w:r>
    </w:p>
    <w:p w14:paraId="070FB625"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74B5C735">
          <v:rect id="_x0000_i1028" alt="" style="width:451.3pt;height:.05pt;mso-width-percent:0;mso-height-percent:0;mso-width-percent:0;mso-height-percent:0" o:hralign="center" o:hrstd="t" o:hr="t" fillcolor="#a0a0a0" stroked="f"/>
        </w:pict>
      </w:r>
    </w:p>
    <w:p w14:paraId="00CB64F0"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6.4 Proposal for Reform</w:t>
      </w:r>
    </w:p>
    <w:p w14:paraId="15EC0735"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Aligning Article 34 with Other Freedoms</w:t>
      </w:r>
    </w:p>
    <w:p w14:paraId="1ADD42B1" w14:textId="77777777" w:rsidR="00D27597" w:rsidRPr="00BF485B" w:rsidRDefault="00D27597" w:rsidP="00BF485B">
      <w:pPr>
        <w:numPr>
          <w:ilvl w:val="0"/>
          <w:numId w:val="66"/>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proposes extending horizontal direct effect to Article 34, aligning it with other fundamental freedoms to ensure equal treatment and coherence within the internal market.</w:t>
      </w:r>
    </w:p>
    <w:p w14:paraId="35543563" w14:textId="77777777" w:rsidR="00D27597" w:rsidRPr="00BF485B" w:rsidRDefault="00D27597" w:rsidP="00BF485B">
      <w:pPr>
        <w:numPr>
          <w:ilvl w:val="0"/>
          <w:numId w:val="6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This reform would:</w:t>
      </w:r>
    </w:p>
    <w:p w14:paraId="7A90F82E" w14:textId="77777777" w:rsidR="00D27597" w:rsidRPr="00BF485B" w:rsidRDefault="00D27597" w:rsidP="00BF485B">
      <w:pPr>
        <w:numPr>
          <w:ilvl w:val="1"/>
          <w:numId w:val="6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Close gaps in the regulatory framework by addressing private barriers to goods.</w:t>
      </w:r>
    </w:p>
    <w:p w14:paraId="268E03C5" w14:textId="77777777" w:rsidR="00D27597" w:rsidRPr="00BF485B" w:rsidRDefault="00D27597" w:rsidP="00BF485B">
      <w:pPr>
        <w:numPr>
          <w:ilvl w:val="1"/>
          <w:numId w:val="66"/>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Strengthen the internal market by ensuring all obstacles to free movement—public and private—are addressed.</w:t>
      </w:r>
    </w:p>
    <w:p w14:paraId="313372CF"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Legal Basis for Reform</w:t>
      </w:r>
    </w:p>
    <w:p w14:paraId="1DC84BAA" w14:textId="77777777" w:rsidR="00D27597" w:rsidRPr="00BF485B" w:rsidRDefault="00D27597" w:rsidP="00BF485B">
      <w:pPr>
        <w:numPr>
          <w:ilvl w:val="0"/>
          <w:numId w:val="6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The extension of horizontal direct effect to Article 34 can be justified under:</w:t>
      </w:r>
    </w:p>
    <w:p w14:paraId="280B71C8" w14:textId="77777777" w:rsidR="00D27597" w:rsidRPr="00BF485B" w:rsidRDefault="00D27597" w:rsidP="00BF485B">
      <w:pPr>
        <w:numPr>
          <w:ilvl w:val="1"/>
          <w:numId w:val="6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principle, ensuring the practical effectiveness of EU law.</w:t>
      </w:r>
    </w:p>
    <w:p w14:paraId="5A18C1E6" w14:textId="77777777" w:rsidR="00D27597" w:rsidRPr="00BF485B" w:rsidRDefault="00D27597" w:rsidP="00BF485B">
      <w:pPr>
        <w:numPr>
          <w:ilvl w:val="1"/>
          <w:numId w:val="67"/>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Article 18 TFEU (non-discrimination), which underpins the horizontal application of other freedoms, such as in </w:t>
      </w:r>
      <w:proofErr w:type="spellStart"/>
      <w:r w:rsidRPr="00BF485B">
        <w:rPr>
          <w:rFonts w:ascii="Times New Roman" w:hAnsi="Times New Roman"/>
          <w:i/>
          <w:iCs/>
          <w:lang w:val="en-HK"/>
        </w:rPr>
        <w:t>Angonese</w:t>
      </w:r>
      <w:proofErr w:type="spellEnd"/>
      <w:r w:rsidRPr="00BF485B">
        <w:rPr>
          <w:rFonts w:ascii="Times New Roman" w:hAnsi="Times New Roman"/>
          <w:lang w:val="en-HK"/>
        </w:rPr>
        <w:t>.</w:t>
      </w:r>
    </w:p>
    <w:p w14:paraId="02D36FE5"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7CA822FA">
          <v:rect id="_x0000_i1027" alt="" style="width:451.3pt;height:.05pt;mso-width-percent:0;mso-height-percent:0;mso-width-percent:0;mso-height-percent:0" o:hralign="center" o:hrstd="t" o:hr="t" fillcolor="#a0a0a0" stroked="f"/>
        </w:pict>
      </w:r>
    </w:p>
    <w:p w14:paraId="047867C8"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6.5 Broader Implications</w:t>
      </w:r>
    </w:p>
    <w:p w14:paraId="1A3210FE"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lastRenderedPageBreak/>
        <w:t>Coherence of EU Law</w:t>
      </w:r>
    </w:p>
    <w:p w14:paraId="0DC2A6A1" w14:textId="77777777" w:rsidR="00D27597" w:rsidRPr="00BF485B" w:rsidRDefault="00D27597" w:rsidP="00BF485B">
      <w:pPr>
        <w:numPr>
          <w:ilvl w:val="0"/>
          <w:numId w:val="6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Extending horizontal direct effect to Article 34 would enhance the coherence of EU law by ensuring that all fundamental freedoms are treated equally.</w:t>
      </w:r>
    </w:p>
    <w:p w14:paraId="7F7F2FD7" w14:textId="77777777" w:rsidR="00D27597" w:rsidRPr="00BF485B" w:rsidRDefault="00D27597" w:rsidP="00BF485B">
      <w:pPr>
        <w:numPr>
          <w:ilvl w:val="0"/>
          <w:numId w:val="68"/>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This would prevent fragmentation within the internal market and reinforce the Treaties’ objectives of integration and non-discrimination.</w:t>
      </w:r>
    </w:p>
    <w:p w14:paraId="4D5B5272" w14:textId="77777777" w:rsidR="00D27597" w:rsidRPr="00BF485B" w:rsidRDefault="00D27597" w:rsidP="00BF485B">
      <w:pPr>
        <w:spacing w:before="100" w:beforeAutospacing="1" w:after="100" w:afterAutospacing="1" w:line="276" w:lineRule="auto"/>
        <w:outlineLvl w:val="3"/>
        <w:rPr>
          <w:rFonts w:ascii="Times New Roman" w:hAnsi="Times New Roman"/>
          <w:b/>
          <w:bCs/>
          <w:lang w:val="en-HK"/>
        </w:rPr>
      </w:pPr>
      <w:r w:rsidRPr="00BF485B">
        <w:rPr>
          <w:rFonts w:ascii="Times New Roman" w:hAnsi="Times New Roman"/>
          <w:b/>
          <w:bCs/>
          <w:lang w:val="en-HK"/>
        </w:rPr>
        <w:t>Balance Between Rights and Obligations</w:t>
      </w:r>
    </w:p>
    <w:p w14:paraId="4376B31C" w14:textId="77777777" w:rsidR="00D27597" w:rsidRPr="00BF485B" w:rsidRDefault="00D27597" w:rsidP="00BF485B">
      <w:pPr>
        <w:numPr>
          <w:ilvl w:val="0"/>
          <w:numId w:val="69"/>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Horizontal direct effect ensures that private actors cannot undermine EU rights, balancing the responsibilities of individuals and businesses within the internal market.</w:t>
      </w:r>
    </w:p>
    <w:p w14:paraId="3BC20EE4"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5952D238">
          <v:rect id="_x0000_i1026" alt="" style="width:451.3pt;height:.05pt;mso-width-percent:0;mso-height-percent:0;mso-width-percent:0;mso-height-percent:0" o:hralign="center" o:hrstd="t" o:hr="t" fillcolor="#a0a0a0" stroked="f"/>
        </w:pict>
      </w:r>
    </w:p>
    <w:p w14:paraId="1EC212E1" w14:textId="77777777" w:rsidR="00D27597" w:rsidRPr="00BF485B" w:rsidRDefault="00D27597" w:rsidP="00BF485B">
      <w:pPr>
        <w:spacing w:before="100" w:beforeAutospacing="1" w:after="100" w:afterAutospacing="1" w:line="276" w:lineRule="auto"/>
        <w:outlineLvl w:val="2"/>
        <w:rPr>
          <w:rFonts w:ascii="Times New Roman" w:hAnsi="Times New Roman"/>
          <w:b/>
          <w:bCs/>
          <w:lang w:val="en-HK"/>
        </w:rPr>
      </w:pPr>
      <w:r w:rsidRPr="00BF485B">
        <w:rPr>
          <w:rFonts w:ascii="Times New Roman" w:hAnsi="Times New Roman"/>
          <w:b/>
          <w:bCs/>
          <w:lang w:val="en-HK"/>
        </w:rPr>
        <w:t>Conclusion of Section 6</w:t>
      </w:r>
    </w:p>
    <w:p w14:paraId="165AF13F" w14:textId="77777777" w:rsidR="00D27597" w:rsidRPr="00BF485B" w:rsidRDefault="00D27597" w:rsidP="00BF485B">
      <w:pPr>
        <w:numPr>
          <w:ilvl w:val="0"/>
          <w:numId w:val="70"/>
        </w:numPr>
        <w:spacing w:before="100" w:beforeAutospacing="1" w:after="100" w:afterAutospacing="1" w:line="276" w:lineRule="auto"/>
        <w:rPr>
          <w:rFonts w:ascii="Times New Roman" w:hAnsi="Times New Roman"/>
          <w:lang w:val="en-HK"/>
        </w:rPr>
      </w:pPr>
      <w:proofErr w:type="spellStart"/>
      <w:r w:rsidRPr="00BF485B">
        <w:rPr>
          <w:rFonts w:ascii="Times New Roman" w:hAnsi="Times New Roman"/>
          <w:lang w:val="en-HK"/>
        </w:rPr>
        <w:t>Krenn</w:t>
      </w:r>
      <w:proofErr w:type="spellEnd"/>
      <w:r w:rsidRPr="00BF485B">
        <w:rPr>
          <w:rFonts w:ascii="Times New Roman" w:hAnsi="Times New Roman"/>
          <w:lang w:val="en-HK"/>
        </w:rPr>
        <w:t xml:space="preserve"> concludes that the exclusion of horizontal direct effect for Article 34 TFEU is inconsistent with the CJEU’s broader jurisprudence and the Treaties’ objectives.</w:t>
      </w:r>
    </w:p>
    <w:p w14:paraId="39E5B782" w14:textId="77777777" w:rsidR="00D27597" w:rsidRPr="00BF485B" w:rsidRDefault="00D27597" w:rsidP="00BF485B">
      <w:pPr>
        <w:numPr>
          <w:ilvl w:val="0"/>
          <w:numId w:val="7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She calls for a reform that extends horizontal direct effect to Article 34, ensuring that private barriers to goods are addressed and that the internal market operates effectively.</w:t>
      </w:r>
    </w:p>
    <w:p w14:paraId="3CBDC3DA" w14:textId="77777777" w:rsidR="00D27597" w:rsidRPr="00BF485B" w:rsidRDefault="00D27597" w:rsidP="00BF485B">
      <w:pPr>
        <w:numPr>
          <w:ilvl w:val="0"/>
          <w:numId w:val="7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 xml:space="preserve">The proposal is grounded in the </w:t>
      </w:r>
      <w:proofErr w:type="spellStart"/>
      <w:r w:rsidRPr="00BF485B">
        <w:rPr>
          <w:rFonts w:ascii="Times New Roman" w:hAnsi="Times New Roman"/>
          <w:b/>
          <w:bCs/>
          <w:lang w:val="en-HK"/>
        </w:rPr>
        <w:t>effet</w:t>
      </w:r>
      <w:proofErr w:type="spellEnd"/>
      <w:r w:rsidRPr="00BF485B">
        <w:rPr>
          <w:rFonts w:ascii="Times New Roman" w:hAnsi="Times New Roman"/>
          <w:b/>
          <w:bCs/>
          <w:lang w:val="en-HK"/>
        </w:rPr>
        <w:t xml:space="preserve"> utile</w:t>
      </w:r>
      <w:r w:rsidRPr="00BF485B">
        <w:rPr>
          <w:rFonts w:ascii="Times New Roman" w:hAnsi="Times New Roman"/>
          <w:lang w:val="en-HK"/>
        </w:rPr>
        <w:t xml:space="preserve"> principle and the broader legal framework supporting horizontal application for other fundamental freedoms.</w:t>
      </w:r>
    </w:p>
    <w:p w14:paraId="570F62ED" w14:textId="77777777" w:rsidR="00D27597" w:rsidRPr="00BF485B" w:rsidRDefault="00D27597" w:rsidP="00BF485B">
      <w:pPr>
        <w:numPr>
          <w:ilvl w:val="0"/>
          <w:numId w:val="70"/>
        </w:numPr>
        <w:spacing w:before="100" w:beforeAutospacing="1" w:after="100" w:afterAutospacing="1" w:line="276" w:lineRule="auto"/>
        <w:rPr>
          <w:rFonts w:ascii="Times New Roman" w:hAnsi="Times New Roman"/>
          <w:lang w:val="en-HK"/>
        </w:rPr>
      </w:pPr>
      <w:r w:rsidRPr="00BF485B">
        <w:rPr>
          <w:rFonts w:ascii="Times New Roman" w:hAnsi="Times New Roman"/>
          <w:lang w:val="en-HK"/>
        </w:rPr>
        <w:t>By aligning Article 34 with Articles 45, 49, and 56 TFEU, the CJEU would strengthen the coherence and effectiveness of EU law, closing a critical gap in the internal market.</w:t>
      </w:r>
    </w:p>
    <w:p w14:paraId="04530B0C" w14:textId="77777777" w:rsidR="00D27597" w:rsidRPr="00BF485B" w:rsidRDefault="00762A83" w:rsidP="00BF485B">
      <w:pPr>
        <w:spacing w:line="276" w:lineRule="auto"/>
        <w:rPr>
          <w:rFonts w:ascii="Times New Roman" w:hAnsi="Times New Roman"/>
          <w:lang w:val="en-HK"/>
        </w:rPr>
      </w:pPr>
      <w:r w:rsidRPr="00762A83">
        <w:rPr>
          <w:rFonts w:ascii="Times New Roman" w:hAnsi="Times New Roman"/>
          <w:noProof/>
          <w:lang w:val="en-HK"/>
          <w14:ligatures w14:val="standardContextual"/>
        </w:rPr>
        <w:pict w14:anchorId="5957A2DB">
          <v:rect id="_x0000_i1025" alt="" style="width:451.3pt;height:.05pt;mso-width-percent:0;mso-height-percent:0;mso-width-percent:0;mso-height-percent:0" o:hralign="center" o:hrstd="t" o:hr="t" fillcolor="#a0a0a0" stroked="f"/>
        </w:pict>
      </w:r>
    </w:p>
    <w:p w14:paraId="64067365" w14:textId="77777777" w:rsidR="00D27597" w:rsidRPr="00BF485B" w:rsidRDefault="00D27597" w:rsidP="00BF485B">
      <w:pPr>
        <w:spacing w:line="276" w:lineRule="auto"/>
      </w:pPr>
    </w:p>
    <w:sectPr w:rsidR="00D27597" w:rsidRPr="00BF4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143"/>
    <w:multiLevelType w:val="multilevel"/>
    <w:tmpl w:val="108C4A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3CF"/>
    <w:multiLevelType w:val="multilevel"/>
    <w:tmpl w:val="75E2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63B8"/>
    <w:multiLevelType w:val="multilevel"/>
    <w:tmpl w:val="A1D63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2756A"/>
    <w:multiLevelType w:val="multilevel"/>
    <w:tmpl w:val="819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5583"/>
    <w:multiLevelType w:val="multilevel"/>
    <w:tmpl w:val="ABF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E7734"/>
    <w:multiLevelType w:val="multilevel"/>
    <w:tmpl w:val="A9B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F4F7E"/>
    <w:multiLevelType w:val="multilevel"/>
    <w:tmpl w:val="CBD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30A9C"/>
    <w:multiLevelType w:val="multilevel"/>
    <w:tmpl w:val="6B0E6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C58C9"/>
    <w:multiLevelType w:val="multilevel"/>
    <w:tmpl w:val="B47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74CB7"/>
    <w:multiLevelType w:val="multilevel"/>
    <w:tmpl w:val="984E8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E41EE"/>
    <w:multiLevelType w:val="multilevel"/>
    <w:tmpl w:val="1034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3208A"/>
    <w:multiLevelType w:val="multilevel"/>
    <w:tmpl w:val="1F7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F3E7B"/>
    <w:multiLevelType w:val="multilevel"/>
    <w:tmpl w:val="5E12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900EF"/>
    <w:multiLevelType w:val="multilevel"/>
    <w:tmpl w:val="1BC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B4D28"/>
    <w:multiLevelType w:val="multilevel"/>
    <w:tmpl w:val="8D9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C5701"/>
    <w:multiLevelType w:val="multilevel"/>
    <w:tmpl w:val="1BB4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E1058"/>
    <w:multiLevelType w:val="multilevel"/>
    <w:tmpl w:val="8996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14B24"/>
    <w:multiLevelType w:val="multilevel"/>
    <w:tmpl w:val="CD5C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D6EA3"/>
    <w:multiLevelType w:val="multilevel"/>
    <w:tmpl w:val="4198D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112C8"/>
    <w:multiLevelType w:val="multilevel"/>
    <w:tmpl w:val="612663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6EC18CF"/>
    <w:multiLevelType w:val="multilevel"/>
    <w:tmpl w:val="DE12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E6D7D"/>
    <w:multiLevelType w:val="multilevel"/>
    <w:tmpl w:val="4720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2319B"/>
    <w:multiLevelType w:val="multilevel"/>
    <w:tmpl w:val="AD3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32742"/>
    <w:multiLevelType w:val="multilevel"/>
    <w:tmpl w:val="7094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E09C0"/>
    <w:multiLevelType w:val="multilevel"/>
    <w:tmpl w:val="8A18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126E3"/>
    <w:multiLevelType w:val="multilevel"/>
    <w:tmpl w:val="194E0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6645FC"/>
    <w:multiLevelType w:val="multilevel"/>
    <w:tmpl w:val="194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B57FE"/>
    <w:multiLevelType w:val="multilevel"/>
    <w:tmpl w:val="055E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E4269"/>
    <w:multiLevelType w:val="multilevel"/>
    <w:tmpl w:val="EB2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2023F"/>
    <w:multiLevelType w:val="multilevel"/>
    <w:tmpl w:val="9A265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EC3ED1"/>
    <w:multiLevelType w:val="multilevel"/>
    <w:tmpl w:val="4B80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E2F85"/>
    <w:multiLevelType w:val="multilevel"/>
    <w:tmpl w:val="91A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510D1"/>
    <w:multiLevelType w:val="multilevel"/>
    <w:tmpl w:val="A44A3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E1552"/>
    <w:multiLevelType w:val="multilevel"/>
    <w:tmpl w:val="5CFC8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790EA4"/>
    <w:multiLevelType w:val="multilevel"/>
    <w:tmpl w:val="DB68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816B0"/>
    <w:multiLevelType w:val="multilevel"/>
    <w:tmpl w:val="2096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396B35"/>
    <w:multiLevelType w:val="multilevel"/>
    <w:tmpl w:val="4F640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205B4F"/>
    <w:multiLevelType w:val="multilevel"/>
    <w:tmpl w:val="623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9871D2"/>
    <w:multiLevelType w:val="multilevel"/>
    <w:tmpl w:val="CEA2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852D3"/>
    <w:multiLevelType w:val="multilevel"/>
    <w:tmpl w:val="3D7C3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B16C7"/>
    <w:multiLevelType w:val="multilevel"/>
    <w:tmpl w:val="F9F02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D0B59"/>
    <w:multiLevelType w:val="multilevel"/>
    <w:tmpl w:val="EC8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5D5D3E"/>
    <w:multiLevelType w:val="multilevel"/>
    <w:tmpl w:val="AB4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7B19AA"/>
    <w:multiLevelType w:val="multilevel"/>
    <w:tmpl w:val="7AC4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8D5FFF"/>
    <w:multiLevelType w:val="multilevel"/>
    <w:tmpl w:val="21B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DE0FF2"/>
    <w:multiLevelType w:val="multilevel"/>
    <w:tmpl w:val="D562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F868A4"/>
    <w:multiLevelType w:val="multilevel"/>
    <w:tmpl w:val="4ABEC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E76D0"/>
    <w:multiLevelType w:val="multilevel"/>
    <w:tmpl w:val="A38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80B99"/>
    <w:multiLevelType w:val="multilevel"/>
    <w:tmpl w:val="5636B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36EAB"/>
    <w:multiLevelType w:val="multilevel"/>
    <w:tmpl w:val="DE9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65434"/>
    <w:multiLevelType w:val="multilevel"/>
    <w:tmpl w:val="4BF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A439E7"/>
    <w:multiLevelType w:val="multilevel"/>
    <w:tmpl w:val="111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E55B8"/>
    <w:multiLevelType w:val="multilevel"/>
    <w:tmpl w:val="5D0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065551"/>
    <w:multiLevelType w:val="multilevel"/>
    <w:tmpl w:val="9F7A8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F161B"/>
    <w:multiLevelType w:val="multilevel"/>
    <w:tmpl w:val="8DE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9174F5"/>
    <w:multiLevelType w:val="multilevel"/>
    <w:tmpl w:val="57361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415EB0"/>
    <w:multiLevelType w:val="multilevel"/>
    <w:tmpl w:val="840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C2B3E"/>
    <w:multiLevelType w:val="multilevel"/>
    <w:tmpl w:val="A620C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251D84"/>
    <w:multiLevelType w:val="multilevel"/>
    <w:tmpl w:val="14A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94B43"/>
    <w:multiLevelType w:val="multilevel"/>
    <w:tmpl w:val="320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E1F04"/>
    <w:multiLevelType w:val="multilevel"/>
    <w:tmpl w:val="17DA7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16EB8"/>
    <w:multiLevelType w:val="multilevel"/>
    <w:tmpl w:val="8A32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E05D09"/>
    <w:multiLevelType w:val="multilevel"/>
    <w:tmpl w:val="DCA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A1DC6"/>
    <w:multiLevelType w:val="multilevel"/>
    <w:tmpl w:val="EF90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AE2C5D"/>
    <w:multiLevelType w:val="multilevel"/>
    <w:tmpl w:val="6E6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B12421"/>
    <w:multiLevelType w:val="multilevel"/>
    <w:tmpl w:val="8BA0E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4F42CC"/>
    <w:multiLevelType w:val="multilevel"/>
    <w:tmpl w:val="A0E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7411D1"/>
    <w:multiLevelType w:val="multilevel"/>
    <w:tmpl w:val="57D0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A0270"/>
    <w:multiLevelType w:val="multilevel"/>
    <w:tmpl w:val="60F28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9A7B14"/>
    <w:multiLevelType w:val="multilevel"/>
    <w:tmpl w:val="EC3E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10452">
    <w:abstractNumId w:val="13"/>
  </w:num>
  <w:num w:numId="2" w16cid:durableId="1598101235">
    <w:abstractNumId w:val="43"/>
  </w:num>
  <w:num w:numId="3" w16cid:durableId="1801267935">
    <w:abstractNumId w:val="18"/>
  </w:num>
  <w:num w:numId="4" w16cid:durableId="1364793948">
    <w:abstractNumId w:val="62"/>
  </w:num>
  <w:num w:numId="5" w16cid:durableId="1723871155">
    <w:abstractNumId w:val="60"/>
  </w:num>
  <w:num w:numId="6" w16cid:durableId="1462529807">
    <w:abstractNumId w:val="29"/>
  </w:num>
  <w:num w:numId="7" w16cid:durableId="1829007953">
    <w:abstractNumId w:val="50"/>
  </w:num>
  <w:num w:numId="8" w16cid:durableId="1921285972">
    <w:abstractNumId w:val="58"/>
  </w:num>
  <w:num w:numId="9" w16cid:durableId="701134239">
    <w:abstractNumId w:val="28"/>
  </w:num>
  <w:num w:numId="10" w16cid:durableId="712079738">
    <w:abstractNumId w:val="35"/>
  </w:num>
  <w:num w:numId="11" w16cid:durableId="921908336">
    <w:abstractNumId w:val="20"/>
  </w:num>
  <w:num w:numId="12" w16cid:durableId="819812343">
    <w:abstractNumId w:val="63"/>
  </w:num>
  <w:num w:numId="13" w16cid:durableId="1084256147">
    <w:abstractNumId w:val="65"/>
  </w:num>
  <w:num w:numId="14" w16cid:durableId="1034189960">
    <w:abstractNumId w:val="31"/>
  </w:num>
  <w:num w:numId="15" w16cid:durableId="949508134">
    <w:abstractNumId w:val="38"/>
  </w:num>
  <w:num w:numId="16" w16cid:durableId="814568013">
    <w:abstractNumId w:val="68"/>
  </w:num>
  <w:num w:numId="17" w16cid:durableId="1556745543">
    <w:abstractNumId w:val="24"/>
  </w:num>
  <w:num w:numId="18" w16cid:durableId="54090012">
    <w:abstractNumId w:val="19"/>
  </w:num>
  <w:num w:numId="19" w16cid:durableId="1444961996">
    <w:abstractNumId w:val="54"/>
  </w:num>
  <w:num w:numId="20" w16cid:durableId="1496336367">
    <w:abstractNumId w:val="41"/>
  </w:num>
  <w:num w:numId="21" w16cid:durableId="221064688">
    <w:abstractNumId w:val="49"/>
  </w:num>
  <w:num w:numId="22" w16cid:durableId="1358196467">
    <w:abstractNumId w:val="7"/>
  </w:num>
  <w:num w:numId="23" w16cid:durableId="1457599719">
    <w:abstractNumId w:val="32"/>
  </w:num>
  <w:num w:numId="24" w16cid:durableId="1473055576">
    <w:abstractNumId w:val="34"/>
  </w:num>
  <w:num w:numId="25" w16cid:durableId="1455514116">
    <w:abstractNumId w:val="53"/>
  </w:num>
  <w:num w:numId="26" w16cid:durableId="682825348">
    <w:abstractNumId w:val="2"/>
  </w:num>
  <w:num w:numId="27" w16cid:durableId="559053582">
    <w:abstractNumId w:val="69"/>
  </w:num>
  <w:num w:numId="28" w16cid:durableId="149562325">
    <w:abstractNumId w:val="21"/>
  </w:num>
  <w:num w:numId="29" w16cid:durableId="174341951">
    <w:abstractNumId w:val="56"/>
  </w:num>
  <w:num w:numId="30" w16cid:durableId="825900027">
    <w:abstractNumId w:val="4"/>
  </w:num>
  <w:num w:numId="31" w16cid:durableId="1926113449">
    <w:abstractNumId w:val="44"/>
  </w:num>
  <w:num w:numId="32" w16cid:durableId="1773356545">
    <w:abstractNumId w:val="8"/>
  </w:num>
  <w:num w:numId="33" w16cid:durableId="1535653825">
    <w:abstractNumId w:val="64"/>
  </w:num>
  <w:num w:numId="34" w16cid:durableId="704791737">
    <w:abstractNumId w:val="22"/>
  </w:num>
  <w:num w:numId="35" w16cid:durableId="1634486783">
    <w:abstractNumId w:val="33"/>
  </w:num>
  <w:num w:numId="36" w16cid:durableId="405495792">
    <w:abstractNumId w:val="3"/>
  </w:num>
  <w:num w:numId="37" w16cid:durableId="1447191399">
    <w:abstractNumId w:val="36"/>
  </w:num>
  <w:num w:numId="38" w16cid:durableId="1037268986">
    <w:abstractNumId w:val="30"/>
  </w:num>
  <w:num w:numId="39" w16cid:durableId="2117017231">
    <w:abstractNumId w:val="6"/>
  </w:num>
  <w:num w:numId="40" w16cid:durableId="919290085">
    <w:abstractNumId w:val="67"/>
  </w:num>
  <w:num w:numId="41" w16cid:durableId="1514566589">
    <w:abstractNumId w:val="46"/>
  </w:num>
  <w:num w:numId="42" w16cid:durableId="47342723">
    <w:abstractNumId w:val="57"/>
  </w:num>
  <w:num w:numId="43" w16cid:durableId="1545025345">
    <w:abstractNumId w:val="37"/>
  </w:num>
  <w:num w:numId="44" w16cid:durableId="576860228">
    <w:abstractNumId w:val="5"/>
  </w:num>
  <w:num w:numId="45" w16cid:durableId="1483739703">
    <w:abstractNumId w:val="42"/>
  </w:num>
  <w:num w:numId="46" w16cid:durableId="1053583190">
    <w:abstractNumId w:val="12"/>
  </w:num>
  <w:num w:numId="47" w16cid:durableId="410469752">
    <w:abstractNumId w:val="17"/>
  </w:num>
  <w:num w:numId="48" w16cid:durableId="1629049458">
    <w:abstractNumId w:val="52"/>
  </w:num>
  <w:num w:numId="49" w16cid:durableId="1037193491">
    <w:abstractNumId w:val="25"/>
  </w:num>
  <w:num w:numId="50" w16cid:durableId="215898487">
    <w:abstractNumId w:val="15"/>
  </w:num>
  <w:num w:numId="51" w16cid:durableId="215747706">
    <w:abstractNumId w:val="59"/>
  </w:num>
  <w:num w:numId="52" w16cid:durableId="1131094923">
    <w:abstractNumId w:val="55"/>
  </w:num>
  <w:num w:numId="53" w16cid:durableId="819928672">
    <w:abstractNumId w:val="45"/>
  </w:num>
  <w:num w:numId="54" w16cid:durableId="543951191">
    <w:abstractNumId w:val="1"/>
  </w:num>
  <w:num w:numId="55" w16cid:durableId="840197929">
    <w:abstractNumId w:val="0"/>
  </w:num>
  <w:num w:numId="56" w16cid:durableId="667905343">
    <w:abstractNumId w:val="47"/>
  </w:num>
  <w:num w:numId="57" w16cid:durableId="633103863">
    <w:abstractNumId w:val="66"/>
  </w:num>
  <w:num w:numId="58" w16cid:durableId="897546691">
    <w:abstractNumId w:val="9"/>
  </w:num>
  <w:num w:numId="59" w16cid:durableId="1858929417">
    <w:abstractNumId w:val="10"/>
  </w:num>
  <w:num w:numId="60" w16cid:durableId="1074931484">
    <w:abstractNumId w:val="27"/>
  </w:num>
  <w:num w:numId="61" w16cid:durableId="539365163">
    <w:abstractNumId w:val="26"/>
  </w:num>
  <w:num w:numId="62" w16cid:durableId="490675670">
    <w:abstractNumId w:val="16"/>
  </w:num>
  <w:num w:numId="63" w16cid:durableId="486481973">
    <w:abstractNumId w:val="48"/>
  </w:num>
  <w:num w:numId="64" w16cid:durableId="1944069478">
    <w:abstractNumId w:val="40"/>
  </w:num>
  <w:num w:numId="65" w16cid:durableId="1513834408">
    <w:abstractNumId w:val="61"/>
  </w:num>
  <w:num w:numId="66" w16cid:durableId="580454203">
    <w:abstractNumId w:val="39"/>
  </w:num>
  <w:num w:numId="67" w16cid:durableId="757672455">
    <w:abstractNumId w:val="23"/>
  </w:num>
  <w:num w:numId="68" w16cid:durableId="766581087">
    <w:abstractNumId w:val="14"/>
  </w:num>
  <w:num w:numId="69" w16cid:durableId="541095232">
    <w:abstractNumId w:val="11"/>
  </w:num>
  <w:num w:numId="70" w16cid:durableId="15827966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DC"/>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23F37"/>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5258E"/>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6E7E43"/>
    <w:rsid w:val="00713CA9"/>
    <w:rsid w:val="007455C6"/>
    <w:rsid w:val="007475C7"/>
    <w:rsid w:val="0075265A"/>
    <w:rsid w:val="0075498E"/>
    <w:rsid w:val="00757BE5"/>
    <w:rsid w:val="00760E46"/>
    <w:rsid w:val="00762A83"/>
    <w:rsid w:val="007643D2"/>
    <w:rsid w:val="00766D82"/>
    <w:rsid w:val="007678B2"/>
    <w:rsid w:val="0078776B"/>
    <w:rsid w:val="00796A93"/>
    <w:rsid w:val="007B3981"/>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9F45DC"/>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BF485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27597"/>
    <w:rsid w:val="00D65735"/>
    <w:rsid w:val="00D73E2C"/>
    <w:rsid w:val="00D76D14"/>
    <w:rsid w:val="00DA31CB"/>
    <w:rsid w:val="00DA3D31"/>
    <w:rsid w:val="00DA4488"/>
    <w:rsid w:val="00DB2E35"/>
    <w:rsid w:val="00DC0040"/>
    <w:rsid w:val="00DC0B7B"/>
    <w:rsid w:val="00DC228E"/>
    <w:rsid w:val="00DC495B"/>
    <w:rsid w:val="00DC7181"/>
    <w:rsid w:val="00DD3F4B"/>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7328"/>
  <w15:chartTrackingRefBased/>
  <w15:docId w15:val="{479F057B-ABD9-C846-977F-E3DF5E82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9F4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45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F45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45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F45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45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45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45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D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F45D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F45D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F45D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F45D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F45D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F45D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F45D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F45D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F45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5D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F45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5D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F45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45D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F45DC"/>
    <w:pPr>
      <w:ind w:left="720"/>
      <w:contextualSpacing/>
    </w:pPr>
  </w:style>
  <w:style w:type="character" w:styleId="IntenseEmphasis">
    <w:name w:val="Intense Emphasis"/>
    <w:basedOn w:val="DefaultParagraphFont"/>
    <w:uiPriority w:val="21"/>
    <w:qFormat/>
    <w:rsid w:val="009F45DC"/>
    <w:rPr>
      <w:i/>
      <w:iCs/>
      <w:color w:val="2F5496" w:themeColor="accent1" w:themeShade="BF"/>
    </w:rPr>
  </w:style>
  <w:style w:type="paragraph" w:styleId="IntenseQuote">
    <w:name w:val="Intense Quote"/>
    <w:basedOn w:val="Normal"/>
    <w:next w:val="Normal"/>
    <w:link w:val="IntenseQuoteChar"/>
    <w:uiPriority w:val="30"/>
    <w:qFormat/>
    <w:rsid w:val="009F4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5D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F45DC"/>
    <w:rPr>
      <w:b/>
      <w:bCs/>
      <w:smallCaps/>
      <w:color w:val="2F5496" w:themeColor="accent1" w:themeShade="BF"/>
      <w:spacing w:val="5"/>
    </w:rPr>
  </w:style>
  <w:style w:type="character" w:styleId="Strong">
    <w:name w:val="Strong"/>
    <w:basedOn w:val="DefaultParagraphFont"/>
    <w:uiPriority w:val="22"/>
    <w:qFormat/>
    <w:rsid w:val="00D27597"/>
    <w:rPr>
      <w:b/>
      <w:bCs/>
    </w:rPr>
  </w:style>
  <w:style w:type="character" w:styleId="Emphasis">
    <w:name w:val="Emphasis"/>
    <w:basedOn w:val="DefaultParagraphFont"/>
    <w:uiPriority w:val="20"/>
    <w:qFormat/>
    <w:rsid w:val="00D27597"/>
    <w:rPr>
      <w:i/>
      <w:iCs/>
    </w:rPr>
  </w:style>
  <w:style w:type="paragraph" w:styleId="NormalWeb">
    <w:name w:val="Normal (Web)"/>
    <w:basedOn w:val="Normal"/>
    <w:uiPriority w:val="99"/>
    <w:semiHidden/>
    <w:unhideWhenUsed/>
    <w:rsid w:val="00D27597"/>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106291">
      <w:bodyDiv w:val="1"/>
      <w:marLeft w:val="0"/>
      <w:marRight w:val="0"/>
      <w:marTop w:val="0"/>
      <w:marBottom w:val="0"/>
      <w:divBdr>
        <w:top w:val="none" w:sz="0" w:space="0" w:color="auto"/>
        <w:left w:val="none" w:sz="0" w:space="0" w:color="auto"/>
        <w:bottom w:val="none" w:sz="0" w:space="0" w:color="auto"/>
        <w:right w:val="none" w:sz="0" w:space="0" w:color="auto"/>
      </w:divBdr>
    </w:div>
    <w:div w:id="313729065">
      <w:bodyDiv w:val="1"/>
      <w:marLeft w:val="0"/>
      <w:marRight w:val="0"/>
      <w:marTop w:val="0"/>
      <w:marBottom w:val="0"/>
      <w:divBdr>
        <w:top w:val="none" w:sz="0" w:space="0" w:color="auto"/>
        <w:left w:val="none" w:sz="0" w:space="0" w:color="auto"/>
        <w:bottom w:val="none" w:sz="0" w:space="0" w:color="auto"/>
        <w:right w:val="none" w:sz="0" w:space="0" w:color="auto"/>
      </w:divBdr>
    </w:div>
    <w:div w:id="1457143335">
      <w:bodyDiv w:val="1"/>
      <w:marLeft w:val="0"/>
      <w:marRight w:val="0"/>
      <w:marTop w:val="0"/>
      <w:marBottom w:val="0"/>
      <w:divBdr>
        <w:top w:val="none" w:sz="0" w:space="0" w:color="auto"/>
        <w:left w:val="none" w:sz="0" w:space="0" w:color="auto"/>
        <w:bottom w:val="none" w:sz="0" w:space="0" w:color="auto"/>
        <w:right w:val="none" w:sz="0" w:space="0" w:color="auto"/>
      </w:divBdr>
    </w:div>
    <w:div w:id="1492601169">
      <w:bodyDiv w:val="1"/>
      <w:marLeft w:val="0"/>
      <w:marRight w:val="0"/>
      <w:marTop w:val="0"/>
      <w:marBottom w:val="0"/>
      <w:divBdr>
        <w:top w:val="none" w:sz="0" w:space="0" w:color="auto"/>
        <w:left w:val="none" w:sz="0" w:space="0" w:color="auto"/>
        <w:bottom w:val="none" w:sz="0" w:space="0" w:color="auto"/>
        <w:right w:val="none" w:sz="0" w:space="0" w:color="auto"/>
      </w:divBdr>
    </w:div>
    <w:div w:id="1604875922">
      <w:bodyDiv w:val="1"/>
      <w:marLeft w:val="0"/>
      <w:marRight w:val="0"/>
      <w:marTop w:val="0"/>
      <w:marBottom w:val="0"/>
      <w:divBdr>
        <w:top w:val="none" w:sz="0" w:space="0" w:color="auto"/>
        <w:left w:val="none" w:sz="0" w:space="0" w:color="auto"/>
        <w:bottom w:val="none" w:sz="0" w:space="0" w:color="auto"/>
        <w:right w:val="none" w:sz="0" w:space="0" w:color="auto"/>
      </w:divBdr>
    </w:div>
    <w:div w:id="161502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5240</Words>
  <Characters>29871</Characters>
  <Application>Microsoft Office Word</Application>
  <DocSecurity>0</DocSecurity>
  <Lines>248</Lines>
  <Paragraphs>70</Paragraphs>
  <ScaleCrop>false</ScaleCrop>
  <Company/>
  <LinksUpToDate>false</LinksUpToDate>
  <CharactersWithSpaces>35041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2025-01-24T10:51:00Z</dcterms:created>
  <dcterms:modified xsi:type="dcterms:W3CDTF">2025-01-24T11:20:00Z</dcterms:modified>
</cp:coreProperties>
</file>