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78E14" w14:textId="595037DD"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 xml:space="preserve">I. </w:t>
      </w:r>
      <w:r w:rsidRPr="001056F6">
        <w:rPr>
          <w:rFonts w:ascii="Times New Roman" w:hAnsi="Times New Roman"/>
          <w:b/>
          <w:bCs/>
          <w:lang w:val="en-HK"/>
        </w:rPr>
        <w:t>Introduction</w:t>
      </w:r>
    </w:p>
    <w:p w14:paraId="1202442D" w14:textId="77777777" w:rsidR="001056F6" w:rsidRPr="001056F6" w:rsidRDefault="001056F6" w:rsidP="001056F6">
      <w:pPr>
        <w:numPr>
          <w:ilvl w:val="0"/>
          <w:numId w:val="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Context and Focus of the Article</w:t>
      </w:r>
      <w:r w:rsidRPr="001056F6">
        <w:rPr>
          <w:rFonts w:ascii="Times New Roman" w:hAnsi="Times New Roman"/>
          <w:lang w:val="en-HK"/>
        </w:rPr>
        <w:t xml:space="preserve">: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sets the stage by addressing the enduring tension within EU law on the free movement of goods under Article 28 EC (now Article 34 TFEU). The focus is on two pivotal rulings:</w:t>
      </w:r>
    </w:p>
    <w:p w14:paraId="7BFE1A95"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i/>
          <w:iCs/>
          <w:lang w:val="en-HK"/>
        </w:rPr>
        <w:t>Commission v Italy</w:t>
      </w:r>
      <w:r w:rsidRPr="001056F6">
        <w:rPr>
          <w:rFonts w:ascii="Times New Roman" w:hAnsi="Times New Roman"/>
          <w:lang w:val="en-HK"/>
        </w:rPr>
        <w:t xml:space="preserve"> (Case C-110/05, EU:C:2009:66).</w:t>
      </w:r>
    </w:p>
    <w:p w14:paraId="5E4EB4B9"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(Case C-142/05, EU:C:2009:336).</w:t>
      </w:r>
    </w:p>
    <w:p w14:paraId="0C77FAF2"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These cases marked significant developments in the interpretation of what constitutes a measure having equivalent effect to a quantitative restriction (MEQR).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specifically examines the implications of these rulings for the </w:t>
      </w:r>
      <w:r w:rsidRPr="001056F6">
        <w:rPr>
          <w:rFonts w:ascii="Times New Roman" w:hAnsi="Times New Roman"/>
          <w:i/>
          <w:iCs/>
          <w:lang w:val="en-HK"/>
        </w:rPr>
        <w:t>Keck</w:t>
      </w:r>
      <w:r w:rsidRPr="001056F6">
        <w:rPr>
          <w:rFonts w:ascii="Times New Roman" w:hAnsi="Times New Roman"/>
          <w:lang w:val="en-HK"/>
        </w:rPr>
        <w:t xml:space="preserve"> doctrine and whether they signal a shift towards a broader market access test.</w:t>
      </w:r>
    </w:p>
    <w:p w14:paraId="71E2D24E" w14:textId="77777777" w:rsidR="001056F6" w:rsidRPr="001056F6" w:rsidRDefault="001056F6" w:rsidP="001056F6">
      <w:pPr>
        <w:numPr>
          <w:ilvl w:val="0"/>
          <w:numId w:val="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Keck Doctrine and Its Criticism</w:t>
      </w:r>
      <w:r w:rsidRPr="001056F6">
        <w:rPr>
          <w:rFonts w:ascii="Times New Roman" w:hAnsi="Times New Roman"/>
          <w:lang w:val="en-HK"/>
        </w:rPr>
        <w:t xml:space="preserve">: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explains the </w:t>
      </w:r>
      <w:r w:rsidRPr="001056F6">
        <w:rPr>
          <w:rFonts w:ascii="Times New Roman" w:hAnsi="Times New Roman"/>
          <w:i/>
          <w:iCs/>
          <w:lang w:val="en-HK"/>
        </w:rPr>
        <w:t>Keck</w:t>
      </w:r>
      <w:r w:rsidRPr="001056F6">
        <w:rPr>
          <w:rFonts w:ascii="Times New Roman" w:hAnsi="Times New Roman"/>
          <w:lang w:val="en-HK"/>
        </w:rPr>
        <w:t xml:space="preserve"> doctrine as established in </w:t>
      </w:r>
      <w:r w:rsidRPr="001056F6">
        <w:rPr>
          <w:rFonts w:ascii="Times New Roman" w:hAnsi="Times New Roman"/>
          <w:i/>
          <w:iCs/>
          <w:lang w:val="en-HK"/>
        </w:rPr>
        <w:t xml:space="preserve">Criminal Proceedings against Keck and </w:t>
      </w:r>
      <w:proofErr w:type="spellStart"/>
      <w:r w:rsidRPr="001056F6">
        <w:rPr>
          <w:rFonts w:ascii="Times New Roman" w:hAnsi="Times New Roman"/>
          <w:i/>
          <w:iCs/>
          <w:lang w:val="en-HK"/>
        </w:rPr>
        <w:t>Mithouard</w:t>
      </w:r>
      <w:proofErr w:type="spellEnd"/>
      <w:r w:rsidRPr="001056F6">
        <w:rPr>
          <w:rFonts w:ascii="Times New Roman" w:hAnsi="Times New Roman"/>
          <w:lang w:val="en-HK"/>
        </w:rPr>
        <w:t xml:space="preserve"> (Case C-267/91, EU:C:1993:905). This doctrine was an attempt by the European Court of Justice (ECJ) to narrow the expansive scope of </w:t>
      </w:r>
      <w:proofErr w:type="spellStart"/>
      <w:r w:rsidRPr="001056F6">
        <w:rPr>
          <w:rFonts w:ascii="Times New Roman" w:hAnsi="Times New Roman"/>
          <w:i/>
          <w:iCs/>
          <w:lang w:val="en-HK"/>
        </w:rPr>
        <w:t>Dassonville</w:t>
      </w:r>
      <w:proofErr w:type="spellEnd"/>
      <w:r w:rsidRPr="001056F6">
        <w:rPr>
          <w:rFonts w:ascii="Times New Roman" w:hAnsi="Times New Roman"/>
          <w:lang w:val="en-HK"/>
        </w:rPr>
        <w:t xml:space="preserve"> by excluding certain “selling arrangements” from the purview of Article 28 EC, provided:</w:t>
      </w:r>
    </w:p>
    <w:p w14:paraId="25AAE39D" w14:textId="77777777" w:rsidR="001056F6" w:rsidRPr="001056F6" w:rsidRDefault="001056F6" w:rsidP="001056F6">
      <w:pPr>
        <w:numPr>
          <w:ilvl w:val="1"/>
          <w:numId w:val="1"/>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measures apply equally in law and fact to domestic and imported goods.</w:t>
      </w:r>
    </w:p>
    <w:p w14:paraId="27EAB975" w14:textId="77777777" w:rsidR="001056F6" w:rsidRPr="001056F6" w:rsidRDefault="001056F6" w:rsidP="001056F6">
      <w:pPr>
        <w:numPr>
          <w:ilvl w:val="1"/>
          <w:numId w:val="1"/>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They do not impose a greater burden on imports than on domestic products.</w:t>
      </w:r>
    </w:p>
    <w:p w14:paraId="72D9728D"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r w:rsidRPr="001056F6">
        <w:rPr>
          <w:rFonts w:ascii="Times New Roman" w:hAnsi="Times New Roman"/>
          <w:lang w:val="en-HK"/>
        </w:rPr>
        <w:t>While the doctrine was meant to provide clarity and limit overreach, it has faced extensive criticism:</w:t>
      </w:r>
    </w:p>
    <w:p w14:paraId="1B0C7C24" w14:textId="77777777" w:rsidR="001056F6" w:rsidRPr="001056F6" w:rsidRDefault="001056F6" w:rsidP="001056F6">
      <w:pPr>
        <w:numPr>
          <w:ilvl w:val="1"/>
          <w:numId w:val="1"/>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It created artificial distinctions between “product requirements” and “selling arrangements.”</w:t>
      </w:r>
    </w:p>
    <w:p w14:paraId="490340BA" w14:textId="77777777" w:rsidR="001056F6" w:rsidRPr="001056F6" w:rsidRDefault="001056F6" w:rsidP="001056F6">
      <w:pPr>
        <w:numPr>
          <w:ilvl w:val="1"/>
          <w:numId w:val="1"/>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Its application has been inconsistent, leading to uncertainty for Member States and traders.</w:t>
      </w:r>
    </w:p>
    <w:p w14:paraId="1CD6FCA2"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sets out to explore whether the </w:t>
      </w:r>
      <w:r w:rsidRPr="001056F6">
        <w:rPr>
          <w:rFonts w:ascii="Times New Roman" w:hAnsi="Times New Roman"/>
          <w:i/>
          <w:iCs/>
          <w:lang w:val="en-HK"/>
        </w:rPr>
        <w:t>Keck</w:t>
      </w:r>
      <w:r w:rsidRPr="001056F6">
        <w:rPr>
          <w:rFonts w:ascii="Times New Roman" w:hAnsi="Times New Roman"/>
          <w:lang w:val="en-HK"/>
        </w:rPr>
        <w:t xml:space="preserve"> framework remains viable in light of these recent rulings.</w:t>
      </w:r>
    </w:p>
    <w:p w14:paraId="7EA69D40"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0C07FEBD">
          <v:rect id="_x0000_i1056" alt="" style="width:451.3pt;height:.05pt;mso-width-percent:0;mso-height-percent:0;mso-width-percent:0;mso-height-percent:0" o:hralign="center" o:hrstd="t" o:hr="t" fillcolor="#a0a0a0" stroked="f"/>
        </w:pict>
      </w:r>
    </w:p>
    <w:p w14:paraId="58EBAE9D" w14:textId="77777777" w:rsidR="001056F6" w:rsidRPr="001056F6" w:rsidRDefault="001056F6" w:rsidP="001056F6">
      <w:pPr>
        <w:numPr>
          <w:ilvl w:val="0"/>
          <w:numId w:val="2"/>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Significance of the Cases</w:t>
      </w:r>
      <w:r w:rsidRPr="001056F6">
        <w:rPr>
          <w:rFonts w:ascii="Times New Roman" w:hAnsi="Times New Roman"/>
          <w:lang w:val="en-HK"/>
        </w:rPr>
        <w:t>:</w:t>
      </w:r>
    </w:p>
    <w:p w14:paraId="64969B5E"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r w:rsidRPr="001056F6">
        <w:rPr>
          <w:rFonts w:ascii="Times New Roman" w:hAnsi="Times New Roman"/>
          <w:i/>
          <w:iCs/>
          <w:lang w:val="en-HK"/>
        </w:rPr>
        <w:t>Commission v Italy</w:t>
      </w:r>
      <w:r w:rsidRPr="001056F6">
        <w:rPr>
          <w:rFonts w:ascii="Times New Roman" w:hAnsi="Times New Roman"/>
          <w:lang w:val="en-HK"/>
        </w:rPr>
        <w:t>, the Court dealt with Italian regulations prohibiting motorcycles from towing trailers. Italy justified this restriction on the grounds of road safety.</w:t>
      </w:r>
    </w:p>
    <w:p w14:paraId="00D3594B"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the Swedish government imposed restrictions on the use of personal watercraft to protect the environment.</w:t>
      </w:r>
    </w:p>
    <w:p w14:paraId="47153430"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r w:rsidRPr="001056F6">
        <w:rPr>
          <w:rFonts w:ascii="Times New Roman" w:hAnsi="Times New Roman"/>
          <w:lang w:val="en-HK"/>
        </w:rPr>
        <w:lastRenderedPageBreak/>
        <w:t xml:space="preserve">Both cases raised the question of whether restrictions on the </w:t>
      </w:r>
      <w:r w:rsidRPr="001056F6">
        <w:rPr>
          <w:rFonts w:ascii="Times New Roman" w:hAnsi="Times New Roman"/>
          <w:b/>
          <w:bCs/>
          <w:lang w:val="en-HK"/>
        </w:rPr>
        <w:t>use</w:t>
      </w:r>
      <w:r w:rsidRPr="001056F6">
        <w:rPr>
          <w:rFonts w:ascii="Times New Roman" w:hAnsi="Times New Roman"/>
          <w:lang w:val="en-HK"/>
        </w:rPr>
        <w:t xml:space="preserve"> of products should be treated as MEQRs under Article 28 EC or as excluded “selling arrangements” under </w:t>
      </w:r>
      <w:r w:rsidRPr="001056F6">
        <w:rPr>
          <w:rFonts w:ascii="Times New Roman" w:hAnsi="Times New Roman"/>
          <w:i/>
          <w:iCs/>
          <w:lang w:val="en-HK"/>
        </w:rPr>
        <w:t>Keck</w:t>
      </w:r>
      <w:r w:rsidRPr="001056F6">
        <w:rPr>
          <w:rFonts w:ascii="Times New Roman" w:hAnsi="Times New Roman"/>
          <w:lang w:val="en-HK"/>
        </w:rPr>
        <w:t xml:space="preserve">. The rulings ultimately refined the Court’s approach, introducing the </w:t>
      </w:r>
      <w:r w:rsidRPr="001056F6">
        <w:rPr>
          <w:rFonts w:ascii="Times New Roman" w:hAnsi="Times New Roman"/>
          <w:b/>
          <w:bCs/>
          <w:lang w:val="en-HK"/>
        </w:rPr>
        <w:t>market access test</w:t>
      </w:r>
      <w:r w:rsidRPr="001056F6">
        <w:rPr>
          <w:rFonts w:ascii="Times New Roman" w:hAnsi="Times New Roman"/>
          <w:lang w:val="en-HK"/>
        </w:rPr>
        <w:t xml:space="preserve">, which focuses on whether the measure hinders access to the market rather than fitting into </w:t>
      </w:r>
      <w:r w:rsidRPr="001056F6">
        <w:rPr>
          <w:rFonts w:ascii="Times New Roman" w:hAnsi="Times New Roman"/>
          <w:i/>
          <w:iCs/>
          <w:lang w:val="en-HK"/>
        </w:rPr>
        <w:t>Keck’s</w:t>
      </w:r>
      <w:r w:rsidRPr="001056F6">
        <w:rPr>
          <w:rFonts w:ascii="Times New Roman" w:hAnsi="Times New Roman"/>
          <w:lang w:val="en-HK"/>
        </w:rPr>
        <w:t xml:space="preserve"> rigid categories.</w:t>
      </w:r>
    </w:p>
    <w:p w14:paraId="137FFA25"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29C44A31">
          <v:rect id="_x0000_i1055" alt="" style="width:451.3pt;height:.05pt;mso-width-percent:0;mso-height-percent:0;mso-width-percent:0;mso-height-percent:0" o:hralign="center" o:hrstd="t" o:hr="t" fillcolor="#a0a0a0" stroked="f"/>
        </w:pict>
      </w:r>
    </w:p>
    <w:p w14:paraId="2FAC212E" w14:textId="77777777" w:rsidR="001056F6" w:rsidRPr="001056F6" w:rsidRDefault="001056F6" w:rsidP="001056F6">
      <w:pPr>
        <w:numPr>
          <w:ilvl w:val="0"/>
          <w:numId w:val="3"/>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Constitutional Implications</w:t>
      </w:r>
      <w:r w:rsidRPr="001056F6">
        <w:rPr>
          <w:rFonts w:ascii="Times New Roman" w:hAnsi="Times New Roman"/>
          <w:lang w:val="en-HK"/>
        </w:rPr>
        <w:t xml:space="preserve">: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highlights the constitutional importance of these cases. The rulings challenge the balance between:</w:t>
      </w:r>
    </w:p>
    <w:p w14:paraId="79819CFA" w14:textId="77777777" w:rsidR="001056F6" w:rsidRPr="001056F6" w:rsidRDefault="001056F6" w:rsidP="001056F6">
      <w:pPr>
        <w:numPr>
          <w:ilvl w:val="1"/>
          <w:numId w:val="3"/>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EU’s objective of eliminating barriers to trade and fostering market integration.</w:t>
      </w:r>
    </w:p>
    <w:p w14:paraId="7C7016A8" w14:textId="77777777" w:rsidR="001056F6" w:rsidRPr="001056F6" w:rsidRDefault="001056F6" w:rsidP="001056F6">
      <w:pPr>
        <w:numPr>
          <w:ilvl w:val="1"/>
          <w:numId w:val="3"/>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Member States’ right to regulate in areas such as public safety and environmental protection.</w:t>
      </w:r>
    </w:p>
    <w:p w14:paraId="73222430"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observes:</w:t>
      </w:r>
    </w:p>
    <w:p w14:paraId="7FD33AB2" w14:textId="77777777" w:rsidR="001056F6" w:rsidRPr="001056F6" w:rsidRDefault="001056F6" w:rsidP="001056F6">
      <w:pPr>
        <w:spacing w:beforeAutospacing="1" w:afterAutospacing="1" w:line="276" w:lineRule="auto"/>
        <w:ind w:left="1440"/>
        <w:rPr>
          <w:rFonts w:ascii="Times New Roman" w:hAnsi="Times New Roman"/>
          <w:lang w:val="en-HK"/>
        </w:rPr>
      </w:pPr>
      <w:r w:rsidRPr="001056F6">
        <w:rPr>
          <w:rFonts w:ascii="Times New Roman" w:hAnsi="Times New Roman"/>
          <w:lang w:val="en-HK"/>
        </w:rPr>
        <w:t>"The broadening of the Treaty’s scope to include such restrictions risks undermining the legitimacy of judicial decision-making, especially in sensitive policy areas traditionally reserved for national authorities."</w:t>
      </w:r>
    </w:p>
    <w:p w14:paraId="657FC934"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r w:rsidRPr="001056F6">
        <w:rPr>
          <w:rFonts w:ascii="Times New Roman" w:hAnsi="Times New Roman"/>
          <w:lang w:val="en-HK"/>
        </w:rPr>
        <w:t>She emphasizes the need for clear interpretive principles to justify this expansion of Article 28 EC.</w:t>
      </w:r>
    </w:p>
    <w:p w14:paraId="7256CA8C"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6A5F06BE">
          <v:rect id="_x0000_i1054" alt="" style="width:451.3pt;height:.05pt;mso-width-percent:0;mso-height-percent:0;mso-width-percent:0;mso-height-percent:0" o:hralign="center" o:hrstd="t" o:hr="t" fillcolor="#a0a0a0" stroked="f"/>
        </w:pict>
      </w:r>
    </w:p>
    <w:p w14:paraId="06A543F7" w14:textId="77777777" w:rsidR="001056F6" w:rsidRPr="001056F6" w:rsidRDefault="001056F6" w:rsidP="001056F6">
      <w:pPr>
        <w:numPr>
          <w:ilvl w:val="0"/>
          <w:numId w:val="4"/>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Scholarly and Judicial Critiques</w:t>
      </w:r>
      <w:r w:rsidRPr="001056F6">
        <w:rPr>
          <w:rFonts w:ascii="Times New Roman" w:hAnsi="Times New Roman"/>
          <w:lang w:val="en-HK"/>
        </w:rPr>
        <w:t xml:space="preserve">: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situates the debate within a broader academic and judicial discourse:</w:t>
      </w:r>
    </w:p>
    <w:p w14:paraId="0D2D0BD0" w14:textId="77777777" w:rsidR="001056F6" w:rsidRPr="001056F6" w:rsidRDefault="001056F6" w:rsidP="001056F6">
      <w:pPr>
        <w:numPr>
          <w:ilvl w:val="1"/>
          <w:numId w:val="4"/>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Scholars like Snell and </w:t>
      </w:r>
      <w:proofErr w:type="spellStart"/>
      <w:r w:rsidRPr="001056F6">
        <w:rPr>
          <w:rFonts w:ascii="Times New Roman" w:hAnsi="Times New Roman"/>
          <w:lang w:val="en-HK"/>
        </w:rPr>
        <w:t>Weatherill</w:t>
      </w:r>
      <w:proofErr w:type="spellEnd"/>
      <w:r w:rsidRPr="001056F6">
        <w:rPr>
          <w:rFonts w:ascii="Times New Roman" w:hAnsi="Times New Roman"/>
          <w:lang w:val="en-HK"/>
        </w:rPr>
        <w:t xml:space="preserve"> have criticized </w:t>
      </w:r>
      <w:r w:rsidRPr="001056F6">
        <w:rPr>
          <w:rFonts w:ascii="Times New Roman" w:hAnsi="Times New Roman"/>
          <w:i/>
          <w:iCs/>
          <w:lang w:val="en-HK"/>
        </w:rPr>
        <w:t>Keck</w:t>
      </w:r>
      <w:r w:rsidRPr="001056F6">
        <w:rPr>
          <w:rFonts w:ascii="Times New Roman" w:hAnsi="Times New Roman"/>
          <w:lang w:val="en-HK"/>
        </w:rPr>
        <w:t xml:space="preserve"> for its artificiality and inability to address modern regulatory challenges.</w:t>
      </w:r>
    </w:p>
    <w:p w14:paraId="142ADD11" w14:textId="77777777" w:rsidR="001056F6" w:rsidRPr="001056F6" w:rsidRDefault="001056F6" w:rsidP="001056F6">
      <w:pPr>
        <w:numPr>
          <w:ilvl w:val="1"/>
          <w:numId w:val="4"/>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Advocates General have consistently questioned its utility, as seen in their opinions in both </w:t>
      </w:r>
      <w:r w:rsidRPr="001056F6">
        <w:rPr>
          <w:rFonts w:ascii="Times New Roman" w:hAnsi="Times New Roman"/>
          <w:i/>
          <w:iCs/>
          <w:lang w:val="en-HK"/>
        </w:rPr>
        <w:t>Commission v Italy</w:t>
      </w:r>
      <w:r w:rsidRPr="001056F6">
        <w:rPr>
          <w:rFonts w:ascii="Times New Roman" w:hAnsi="Times New Roman"/>
          <w:lang w:val="en-HK"/>
        </w:rPr>
        <w:t xml:space="preserve">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w:t>
      </w:r>
    </w:p>
    <w:p w14:paraId="4B6F98FC"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signals her intent to explore how the rulings in these cases align with or deviate from these critiques.</w:t>
      </w:r>
    </w:p>
    <w:p w14:paraId="134CE426"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5A928685">
          <v:rect id="_x0000_i1053" alt="" style="width:451.3pt;height:.05pt;mso-width-percent:0;mso-height-percent:0;mso-width-percent:0;mso-height-percent:0" o:hralign="center" o:hrstd="t" o:hr="t" fillcolor="#a0a0a0" stroked="f"/>
        </w:pict>
      </w:r>
    </w:p>
    <w:p w14:paraId="07D94F2A" w14:textId="77777777" w:rsidR="001056F6" w:rsidRPr="001056F6" w:rsidRDefault="001056F6" w:rsidP="001056F6">
      <w:pPr>
        <w:numPr>
          <w:ilvl w:val="0"/>
          <w:numId w:val="5"/>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Aim of the Article</w:t>
      </w:r>
      <w:r w:rsidRPr="001056F6">
        <w:rPr>
          <w:rFonts w:ascii="Times New Roman" w:hAnsi="Times New Roman"/>
          <w:lang w:val="en-HK"/>
        </w:rPr>
        <w:t>: The article aims to:</w:t>
      </w:r>
    </w:p>
    <w:p w14:paraId="36BEAB11" w14:textId="178E4D65"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1. </w:t>
      </w:r>
      <w:r w:rsidRPr="001056F6">
        <w:rPr>
          <w:rFonts w:ascii="Times New Roman" w:hAnsi="Times New Roman"/>
          <w:lang w:val="en-HK"/>
        </w:rPr>
        <w:t xml:space="preserve">Examine whether the Court’s rulings in </w:t>
      </w:r>
      <w:r w:rsidRPr="001056F6">
        <w:rPr>
          <w:rFonts w:ascii="Times New Roman" w:hAnsi="Times New Roman"/>
          <w:i/>
          <w:iCs/>
          <w:lang w:val="en-HK"/>
        </w:rPr>
        <w:t>Commission v Italy</w:t>
      </w:r>
      <w:r w:rsidRPr="001056F6">
        <w:rPr>
          <w:rFonts w:ascii="Times New Roman" w:hAnsi="Times New Roman"/>
          <w:lang w:val="en-HK"/>
        </w:rPr>
        <w:t xml:space="preserve">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effectively replace </w:t>
      </w:r>
      <w:r w:rsidRPr="001056F6">
        <w:rPr>
          <w:rFonts w:ascii="Times New Roman" w:hAnsi="Times New Roman"/>
          <w:i/>
          <w:iCs/>
          <w:lang w:val="en-HK"/>
        </w:rPr>
        <w:t>Keck</w:t>
      </w:r>
      <w:r w:rsidRPr="001056F6">
        <w:rPr>
          <w:rFonts w:ascii="Times New Roman" w:hAnsi="Times New Roman"/>
          <w:lang w:val="en-HK"/>
        </w:rPr>
        <w:t xml:space="preserve"> with a more coherent market access approach.</w:t>
      </w:r>
    </w:p>
    <w:p w14:paraId="4BB5767A" w14:textId="1ADF99DC"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2. </w:t>
      </w:r>
      <w:proofErr w:type="spellStart"/>
      <w:r w:rsidRPr="001056F6">
        <w:rPr>
          <w:rFonts w:ascii="Times New Roman" w:hAnsi="Times New Roman"/>
          <w:lang w:val="en-HK"/>
        </w:rPr>
        <w:t>Analyze</w:t>
      </w:r>
      <w:proofErr w:type="spellEnd"/>
      <w:r w:rsidRPr="001056F6">
        <w:rPr>
          <w:rFonts w:ascii="Times New Roman" w:hAnsi="Times New Roman"/>
          <w:lang w:val="en-HK"/>
        </w:rPr>
        <w:t xml:space="preserve"> the constitutional implications of this shift, particularly for Member State autonomy.</w:t>
      </w:r>
    </w:p>
    <w:p w14:paraId="0B8F1538" w14:textId="58DC8803"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lastRenderedPageBreak/>
        <w:t xml:space="preserve">3. </w:t>
      </w:r>
      <w:r w:rsidRPr="001056F6">
        <w:rPr>
          <w:rFonts w:ascii="Times New Roman" w:hAnsi="Times New Roman"/>
          <w:lang w:val="en-HK"/>
        </w:rPr>
        <w:t>Provide a critical assessment of the Court’s reasoning and the potential impact on EU law’s development.</w:t>
      </w:r>
    </w:p>
    <w:p w14:paraId="0B2DB23B"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23F763B">
          <v:rect id="_x0000_i1052" alt="" style="width:451.3pt;height:.05pt;mso-width-percent:0;mso-height-percent:0;mso-width-percent:0;mso-height-percent:0" o:hralign="center" o:hrstd="t" o:hr="t" fillcolor="#a0a0a0" stroked="f"/>
        </w:pict>
      </w:r>
    </w:p>
    <w:p w14:paraId="76B9FB9A" w14:textId="6878252F"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 xml:space="preserve">II. </w:t>
      </w:r>
      <w:r w:rsidRPr="001056F6">
        <w:rPr>
          <w:rFonts w:ascii="Times New Roman" w:hAnsi="Times New Roman"/>
          <w:b/>
          <w:bCs/>
          <w:lang w:val="en-HK"/>
        </w:rPr>
        <w:t>The Opinions of the Advocates General</w:t>
      </w:r>
    </w:p>
    <w:p w14:paraId="57F6385B" w14:textId="77777777" w:rsidR="001056F6" w:rsidRPr="001056F6" w:rsidRDefault="001056F6" w:rsidP="001056F6">
      <w:pPr>
        <w:numPr>
          <w:ilvl w:val="0"/>
          <w:numId w:val="6"/>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Context of the Cases</w:t>
      </w:r>
      <w:r w:rsidRPr="001056F6">
        <w:rPr>
          <w:rFonts w:ascii="Times New Roman" w:hAnsi="Times New Roman"/>
          <w:lang w:val="en-HK"/>
        </w:rPr>
        <w:t>:</w:t>
      </w:r>
    </w:p>
    <w:p w14:paraId="1BDCED2D" w14:textId="77777777" w:rsidR="001056F6" w:rsidRPr="001056F6" w:rsidRDefault="001056F6" w:rsidP="001056F6">
      <w:pPr>
        <w:numPr>
          <w:ilvl w:val="1"/>
          <w:numId w:val="6"/>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Commission v Italy</w:t>
      </w:r>
      <w:r w:rsidRPr="001056F6">
        <w:rPr>
          <w:rFonts w:ascii="Times New Roman" w:hAnsi="Times New Roman"/>
          <w:lang w:val="en-HK"/>
        </w:rPr>
        <w:t xml:space="preserve"> (Case C-110/05): Concerned a prohibition on motorcycles towing trailers, justified on road safety grounds. The issue was whether such a prohibition constituted a measure having equivalent effect to a quantitative restriction (MEQR) under Article 28 EC (now Article 34 TFEU).</w:t>
      </w:r>
    </w:p>
    <w:p w14:paraId="0583A354" w14:textId="77777777" w:rsidR="001056F6" w:rsidRPr="001056F6" w:rsidRDefault="001056F6" w:rsidP="001056F6">
      <w:pPr>
        <w:numPr>
          <w:ilvl w:val="1"/>
          <w:numId w:val="6"/>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b/>
          <w:bCs/>
          <w:lang w:val="en-HK"/>
        </w:rPr>
        <w:t>Mickelsson</w:t>
      </w:r>
      <w:proofErr w:type="spellEnd"/>
      <w:r w:rsidRPr="001056F6">
        <w:rPr>
          <w:rFonts w:ascii="Times New Roman" w:hAnsi="Times New Roman"/>
          <w:b/>
          <w:bCs/>
          <w:lang w:val="en-HK"/>
        </w:rPr>
        <w:t xml:space="preserve"> and </w:t>
      </w:r>
      <w:proofErr w:type="spellStart"/>
      <w:r w:rsidRPr="001056F6">
        <w:rPr>
          <w:rFonts w:ascii="Times New Roman" w:hAnsi="Times New Roman"/>
          <w:b/>
          <w:bCs/>
          <w:lang w:val="en-HK"/>
        </w:rPr>
        <w:t>Roos</w:t>
      </w:r>
      <w:proofErr w:type="spellEnd"/>
      <w:r w:rsidRPr="001056F6">
        <w:rPr>
          <w:rFonts w:ascii="Times New Roman" w:hAnsi="Times New Roman"/>
          <w:lang w:val="en-HK"/>
        </w:rPr>
        <w:t xml:space="preserve"> (Case C-142/05): Dealt with Swedish restrictions on the use of personal watercraft in certain areas to protect the environment. The question was whether these rules, which limited the effective use of imported products, fell within Article 28 EC’s scope.</w:t>
      </w:r>
    </w:p>
    <w:p w14:paraId="261D8809"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r w:rsidRPr="001056F6">
        <w:rPr>
          <w:rFonts w:ascii="Times New Roman" w:hAnsi="Times New Roman"/>
          <w:lang w:val="en-HK"/>
        </w:rPr>
        <w:t xml:space="preserve">In both cases, the ECJ received extensive guidance from the Advocates General, who proposed differing approaches to the interpretation of MEQRs and the application of the </w:t>
      </w:r>
      <w:r w:rsidRPr="001056F6">
        <w:rPr>
          <w:rFonts w:ascii="Times New Roman" w:hAnsi="Times New Roman"/>
          <w:i/>
          <w:iCs/>
          <w:lang w:val="en-HK"/>
        </w:rPr>
        <w:t>Keck</w:t>
      </w:r>
      <w:r w:rsidRPr="001056F6">
        <w:rPr>
          <w:rFonts w:ascii="Times New Roman" w:hAnsi="Times New Roman"/>
          <w:lang w:val="en-HK"/>
        </w:rPr>
        <w:t xml:space="preserve"> doctrine.</w:t>
      </w:r>
    </w:p>
    <w:p w14:paraId="55F895CA"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7CA21893">
          <v:rect id="_x0000_i1051" alt="" style="width:451.3pt;height:.05pt;mso-width-percent:0;mso-height-percent:0;mso-width-percent:0;mso-height-percent:0" o:hralign="center" o:hrstd="t" o:hr="t" fillcolor="#a0a0a0" stroked="f"/>
        </w:pict>
      </w:r>
    </w:p>
    <w:p w14:paraId="3C973C07"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2. Advocate General Léger’s Opinion in Commission v Italy</w:t>
      </w:r>
    </w:p>
    <w:p w14:paraId="10E6A3A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Advocate General Léger’s Approach</w:t>
      </w:r>
      <w:r w:rsidRPr="001056F6">
        <w:rPr>
          <w:rFonts w:ascii="Times New Roman" w:hAnsi="Times New Roman"/>
          <w:lang w:val="en-HK"/>
        </w:rPr>
        <w:t>:</w:t>
      </w:r>
      <w:r w:rsidRPr="001056F6">
        <w:rPr>
          <w:rFonts w:ascii="Times New Roman" w:hAnsi="Times New Roman"/>
          <w:lang w:val="en-HK"/>
        </w:rPr>
        <w:br/>
        <w:t xml:space="preserve">Léger argued that the prohibition on towing trailers was not a "selling arrangement" as defined in </w:t>
      </w:r>
      <w:r w:rsidRPr="001056F6">
        <w:rPr>
          <w:rFonts w:ascii="Times New Roman" w:hAnsi="Times New Roman"/>
          <w:i/>
          <w:iCs/>
          <w:lang w:val="en-HK"/>
        </w:rPr>
        <w:t>Keck</w:t>
      </w:r>
      <w:r w:rsidRPr="001056F6">
        <w:rPr>
          <w:rFonts w:ascii="Times New Roman" w:hAnsi="Times New Roman"/>
          <w:lang w:val="en-HK"/>
        </w:rPr>
        <w:t xml:space="preserve"> but rather a measure regulating the </w:t>
      </w:r>
      <w:r w:rsidRPr="001056F6">
        <w:rPr>
          <w:rFonts w:ascii="Times New Roman" w:hAnsi="Times New Roman"/>
          <w:b/>
          <w:bCs/>
          <w:lang w:val="en-HK"/>
        </w:rPr>
        <w:t>use</w:t>
      </w:r>
      <w:r w:rsidRPr="001056F6">
        <w:rPr>
          <w:rFonts w:ascii="Times New Roman" w:hAnsi="Times New Roman"/>
          <w:lang w:val="en-HK"/>
        </w:rPr>
        <w:t xml:space="preserve"> of a product. He urged the Court to return to the broad scope of the </w:t>
      </w:r>
      <w:proofErr w:type="spellStart"/>
      <w:r w:rsidRPr="001056F6">
        <w:rPr>
          <w:rFonts w:ascii="Times New Roman" w:hAnsi="Times New Roman"/>
          <w:b/>
          <w:bCs/>
          <w:lang w:val="en-HK"/>
        </w:rPr>
        <w:t>Dassonville</w:t>
      </w:r>
      <w:proofErr w:type="spellEnd"/>
      <w:r w:rsidRPr="001056F6">
        <w:rPr>
          <w:rFonts w:ascii="Times New Roman" w:hAnsi="Times New Roman"/>
          <w:lang w:val="en-HK"/>
        </w:rPr>
        <w:t xml:space="preserve"> formula:</w:t>
      </w:r>
    </w:p>
    <w:p w14:paraId="7B1FE4BF" w14:textId="77777777" w:rsidR="001056F6" w:rsidRPr="001056F6" w:rsidRDefault="001056F6" w:rsidP="001056F6">
      <w:pPr>
        <w:spacing w:beforeAutospacing="1" w:afterAutospacing="1" w:line="276" w:lineRule="auto"/>
        <w:ind w:left="1440"/>
        <w:rPr>
          <w:rFonts w:ascii="Times New Roman" w:hAnsi="Times New Roman"/>
          <w:lang w:val="en-HK"/>
        </w:rPr>
      </w:pPr>
      <w:r w:rsidRPr="001056F6">
        <w:rPr>
          <w:rFonts w:ascii="Times New Roman" w:hAnsi="Times New Roman"/>
          <w:lang w:val="en-HK"/>
        </w:rPr>
        <w:t>“All trading rules enacted by Member States which are capable of hindering, directly or indirectly, actually or potentially, intra-Community trade are to be considered as measures having equivalent effect to quantitative restrictions.”</w:t>
      </w:r>
    </w:p>
    <w:p w14:paraId="1197795D" w14:textId="77777777" w:rsidR="001056F6" w:rsidRPr="001056F6" w:rsidRDefault="001056F6" w:rsidP="001056F6">
      <w:pPr>
        <w:numPr>
          <w:ilvl w:val="1"/>
          <w:numId w:val="7"/>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Léger emphasized that even measures regulating the use of goods could impact intra-EU trade by reducing the marketability of certain products.</w:t>
      </w:r>
    </w:p>
    <w:p w14:paraId="7B178F91" w14:textId="77777777" w:rsidR="001056F6" w:rsidRPr="001056F6" w:rsidRDefault="001056F6" w:rsidP="001056F6">
      <w:pPr>
        <w:numPr>
          <w:ilvl w:val="1"/>
          <w:numId w:val="7"/>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He warned against extending </w:t>
      </w:r>
      <w:r w:rsidRPr="001056F6">
        <w:rPr>
          <w:rFonts w:ascii="Times New Roman" w:hAnsi="Times New Roman"/>
          <w:i/>
          <w:iCs/>
          <w:lang w:val="en-HK"/>
        </w:rPr>
        <w:t>Keck</w:t>
      </w:r>
      <w:r w:rsidRPr="001056F6">
        <w:rPr>
          <w:rFonts w:ascii="Times New Roman" w:hAnsi="Times New Roman"/>
          <w:lang w:val="en-HK"/>
        </w:rPr>
        <w:t xml:space="preserve"> to cover use restrictions, arguing that this would risk excluding measures that significantly affect market access from the scope of Article 28 EC.</w:t>
      </w:r>
    </w:p>
    <w:p w14:paraId="51EBA303"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Position on Proportionality</w:t>
      </w:r>
      <w:r w:rsidRPr="001056F6">
        <w:rPr>
          <w:rFonts w:ascii="Times New Roman" w:hAnsi="Times New Roman"/>
          <w:lang w:val="en-HK"/>
        </w:rPr>
        <w:t>:</w:t>
      </w:r>
      <w:r w:rsidRPr="001056F6">
        <w:rPr>
          <w:rFonts w:ascii="Times New Roman" w:hAnsi="Times New Roman"/>
          <w:lang w:val="en-HK"/>
        </w:rPr>
        <w:br/>
        <w:t>Léger acknowledged that road safety was a legitimate public interest under Article 30 EC (now Article 36 TFEU). However, he insisted that proportionality must be rigorously assessed:</w:t>
      </w:r>
    </w:p>
    <w:p w14:paraId="57D99529"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lastRenderedPageBreak/>
        <w:t>“National measures must not go beyond what is necessary to achieve the objective pursued.”</w:t>
      </w:r>
    </w:p>
    <w:p w14:paraId="513C3563"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7195C73F">
          <v:rect id="_x0000_i1050" alt="" style="width:451.3pt;height:.05pt;mso-width-percent:0;mso-height-percent:0;mso-width-percent:0;mso-height-percent:0" o:hralign="center" o:hrstd="t" o:hr="t" fillcolor="#a0a0a0" stroked="f"/>
        </w:pict>
      </w:r>
    </w:p>
    <w:p w14:paraId="0DD8FB99"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 xml:space="preserve">3. Advocate General </w:t>
      </w:r>
      <w:proofErr w:type="spellStart"/>
      <w:r w:rsidRPr="001056F6">
        <w:rPr>
          <w:rFonts w:ascii="Times New Roman" w:hAnsi="Times New Roman"/>
          <w:b/>
          <w:bCs/>
          <w:lang w:val="en-HK"/>
        </w:rPr>
        <w:t>Kokott’s</w:t>
      </w:r>
      <w:proofErr w:type="spellEnd"/>
      <w:r w:rsidRPr="001056F6">
        <w:rPr>
          <w:rFonts w:ascii="Times New Roman" w:hAnsi="Times New Roman"/>
          <w:b/>
          <w:bCs/>
          <w:lang w:val="en-HK"/>
        </w:rPr>
        <w:t xml:space="preserve"> Opinion in </w:t>
      </w:r>
      <w:proofErr w:type="spellStart"/>
      <w:r w:rsidRPr="001056F6">
        <w:rPr>
          <w:rFonts w:ascii="Times New Roman" w:hAnsi="Times New Roman"/>
          <w:b/>
          <w:bCs/>
          <w:lang w:val="en-HK"/>
        </w:rPr>
        <w:t>Mickelsson</w:t>
      </w:r>
      <w:proofErr w:type="spellEnd"/>
      <w:r w:rsidRPr="001056F6">
        <w:rPr>
          <w:rFonts w:ascii="Times New Roman" w:hAnsi="Times New Roman"/>
          <w:b/>
          <w:bCs/>
          <w:lang w:val="en-HK"/>
        </w:rPr>
        <w:t xml:space="preserve"> and </w:t>
      </w:r>
      <w:proofErr w:type="spellStart"/>
      <w:r w:rsidRPr="001056F6">
        <w:rPr>
          <w:rFonts w:ascii="Times New Roman" w:hAnsi="Times New Roman"/>
          <w:b/>
          <w:bCs/>
          <w:lang w:val="en-HK"/>
        </w:rPr>
        <w:t>Roos</w:t>
      </w:r>
      <w:proofErr w:type="spellEnd"/>
    </w:p>
    <w:p w14:paraId="5838CDE2"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Proposal to Extend Keck</w:t>
      </w:r>
      <w:r w:rsidRPr="001056F6">
        <w:rPr>
          <w:rFonts w:ascii="Times New Roman" w:hAnsi="Times New Roman"/>
          <w:lang w:val="en-HK"/>
        </w:rPr>
        <w:t>:</w:t>
      </w:r>
      <w:r w:rsidRPr="001056F6">
        <w:rPr>
          <w:rFonts w:ascii="Times New Roman" w:hAnsi="Times New Roman"/>
          <w:lang w:val="en-HK"/>
        </w:rPr>
        <w:br/>
        <w:t xml:space="preserve">Advocate General </w:t>
      </w:r>
      <w:proofErr w:type="spellStart"/>
      <w:r w:rsidRPr="001056F6">
        <w:rPr>
          <w:rFonts w:ascii="Times New Roman" w:hAnsi="Times New Roman"/>
          <w:lang w:val="en-HK"/>
        </w:rPr>
        <w:t>Kokott</w:t>
      </w:r>
      <w:proofErr w:type="spellEnd"/>
      <w:r w:rsidRPr="001056F6">
        <w:rPr>
          <w:rFonts w:ascii="Times New Roman" w:hAnsi="Times New Roman"/>
          <w:lang w:val="en-HK"/>
        </w:rPr>
        <w:t xml:space="preserve"> suggested extending the </w:t>
      </w:r>
      <w:r w:rsidRPr="001056F6">
        <w:rPr>
          <w:rFonts w:ascii="Times New Roman" w:hAnsi="Times New Roman"/>
          <w:i/>
          <w:iCs/>
          <w:lang w:val="en-HK"/>
        </w:rPr>
        <w:t>Keck</w:t>
      </w:r>
      <w:r w:rsidRPr="001056F6">
        <w:rPr>
          <w:rFonts w:ascii="Times New Roman" w:hAnsi="Times New Roman"/>
          <w:lang w:val="en-HK"/>
        </w:rPr>
        <w:t xml:space="preserve"> doctrine to include measures regulating the use of products. She argued that such measures, provided they were non-discriminatory and applied equally to domestic and imported goods, should fall outside the scope of Article 28 EC:</w:t>
      </w:r>
    </w:p>
    <w:p w14:paraId="163F44E0"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“National rules governing the use of products should not automatically be treated as measures having equivalent effect to quantitative restrictions.”</w:t>
      </w:r>
    </w:p>
    <w:p w14:paraId="1441FCD3"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Kokott</w:t>
      </w:r>
      <w:proofErr w:type="spellEnd"/>
      <w:r w:rsidRPr="001056F6">
        <w:rPr>
          <w:rFonts w:ascii="Times New Roman" w:hAnsi="Times New Roman"/>
          <w:lang w:val="en-HK"/>
        </w:rPr>
        <w:t xml:space="preserve"> believed that rules governing product use were analogous to selling arrangements because they did not inherently impede the entry of goods into the market. Instead, they only regulated how goods could be used after entering the market.</w:t>
      </w:r>
    </w:p>
    <w:p w14:paraId="428CEE03"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Environmental Justification</w:t>
      </w:r>
      <w:r w:rsidRPr="001056F6">
        <w:rPr>
          <w:rFonts w:ascii="Times New Roman" w:hAnsi="Times New Roman"/>
          <w:lang w:val="en-HK"/>
        </w:rPr>
        <w:t>:</w:t>
      </w:r>
      <w:r w:rsidRPr="001056F6">
        <w:rPr>
          <w:rFonts w:ascii="Times New Roman" w:hAnsi="Times New Roman"/>
          <w:lang w:val="en-HK"/>
        </w:rPr>
        <w:br/>
      </w:r>
      <w:proofErr w:type="spellStart"/>
      <w:r w:rsidRPr="001056F6">
        <w:rPr>
          <w:rFonts w:ascii="Times New Roman" w:hAnsi="Times New Roman"/>
          <w:lang w:val="en-HK"/>
        </w:rPr>
        <w:t>Kokott</w:t>
      </w:r>
      <w:proofErr w:type="spellEnd"/>
      <w:r w:rsidRPr="001056F6">
        <w:rPr>
          <w:rFonts w:ascii="Times New Roman" w:hAnsi="Times New Roman"/>
          <w:lang w:val="en-HK"/>
        </w:rPr>
        <w:t xml:space="preserve"> strongly supported Sweden’s environmental protection objectives, arguing that they aligned with Article 36 TFEU and broader EU commitments to environmental sustainability:</w:t>
      </w:r>
    </w:p>
    <w:p w14:paraId="3393CE3E"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“The protection of the environment is one of the EU’s fundamental objectives and must be interpreted broadly when balancing trade freedoms with legitimate regulatory aims.”</w:t>
      </w:r>
    </w:p>
    <w:p w14:paraId="485C029B"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1A09A1DE">
          <v:rect id="_x0000_i1049" alt="" style="width:451.3pt;height:.05pt;mso-width-percent:0;mso-height-percent:0;mso-width-percent:0;mso-height-percent:0" o:hralign="center" o:hrstd="t" o:hr="t" fillcolor="#a0a0a0" stroked="f"/>
        </w:pict>
      </w:r>
    </w:p>
    <w:p w14:paraId="0CDCC53C"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4. Advocate General Bot’s Opinion in Commission v Italy</w:t>
      </w:r>
    </w:p>
    <w:p w14:paraId="0C8748DF" w14:textId="77777777" w:rsidR="001056F6" w:rsidRPr="001056F6" w:rsidRDefault="001056F6" w:rsidP="001056F6">
      <w:pPr>
        <w:numPr>
          <w:ilvl w:val="0"/>
          <w:numId w:val="9"/>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Market Access Test</w:t>
      </w:r>
      <w:r w:rsidRPr="001056F6">
        <w:rPr>
          <w:rFonts w:ascii="Times New Roman" w:hAnsi="Times New Roman"/>
          <w:lang w:val="en-HK"/>
        </w:rPr>
        <w:t>:</w:t>
      </w:r>
      <w:r w:rsidRPr="001056F6">
        <w:rPr>
          <w:rFonts w:ascii="Times New Roman" w:hAnsi="Times New Roman"/>
          <w:lang w:val="en-HK"/>
        </w:rPr>
        <w:br/>
        <w:t xml:space="preserve">Advocate General Bot explicitly rejected the rigid distinctions created by the </w:t>
      </w:r>
      <w:r w:rsidRPr="001056F6">
        <w:rPr>
          <w:rFonts w:ascii="Times New Roman" w:hAnsi="Times New Roman"/>
          <w:i/>
          <w:iCs/>
          <w:lang w:val="en-HK"/>
        </w:rPr>
        <w:t>Keck</w:t>
      </w:r>
      <w:r w:rsidRPr="001056F6">
        <w:rPr>
          <w:rFonts w:ascii="Times New Roman" w:hAnsi="Times New Roman"/>
          <w:lang w:val="en-HK"/>
        </w:rPr>
        <w:t xml:space="preserve"> doctrine. He proposed replacing it with a more comprehensive </w:t>
      </w:r>
      <w:r w:rsidRPr="001056F6">
        <w:rPr>
          <w:rFonts w:ascii="Times New Roman" w:hAnsi="Times New Roman"/>
          <w:b/>
          <w:bCs/>
          <w:lang w:val="en-HK"/>
        </w:rPr>
        <w:t>market access test</w:t>
      </w:r>
      <w:r w:rsidRPr="001056F6">
        <w:rPr>
          <w:rFonts w:ascii="Times New Roman" w:hAnsi="Times New Roman"/>
          <w:lang w:val="en-HK"/>
        </w:rPr>
        <w:t>:</w:t>
      </w:r>
    </w:p>
    <w:p w14:paraId="3D033DB9" w14:textId="77777777" w:rsidR="001056F6" w:rsidRPr="001056F6" w:rsidRDefault="001056F6" w:rsidP="001056F6">
      <w:pPr>
        <w:spacing w:beforeAutospacing="1" w:afterAutospacing="1" w:line="276" w:lineRule="auto"/>
        <w:ind w:left="1440"/>
        <w:rPr>
          <w:rFonts w:ascii="Times New Roman" w:hAnsi="Times New Roman"/>
          <w:lang w:val="en-HK"/>
        </w:rPr>
      </w:pPr>
      <w:r w:rsidRPr="001056F6">
        <w:rPr>
          <w:rFonts w:ascii="Times New Roman" w:hAnsi="Times New Roman"/>
          <w:lang w:val="en-HK"/>
        </w:rPr>
        <w:t>“Any measure that prevents, impedes, or renders access to the market more difficult should fall within the scope of Article 28 EC.”</w:t>
      </w:r>
    </w:p>
    <w:p w14:paraId="4063AA37" w14:textId="77777777" w:rsidR="001056F6" w:rsidRPr="001056F6" w:rsidRDefault="001056F6" w:rsidP="001056F6">
      <w:pPr>
        <w:spacing w:before="100" w:beforeAutospacing="1" w:after="100" w:afterAutospacing="1" w:line="276" w:lineRule="auto"/>
        <w:ind w:left="720"/>
        <w:rPr>
          <w:rFonts w:ascii="Times New Roman" w:hAnsi="Times New Roman"/>
          <w:lang w:val="en-HK"/>
        </w:rPr>
      </w:pPr>
      <w:r w:rsidRPr="001056F6">
        <w:rPr>
          <w:rFonts w:ascii="Times New Roman" w:hAnsi="Times New Roman"/>
          <w:lang w:val="en-HK"/>
        </w:rPr>
        <w:t>Bot argued that the prohibition on towing trailers created a clear barrier to market access, particularly for trailers manufactured in other Member States. The rule effectively rendered these products useless for their intended purpose in Italy, thereby restricting their marketability.</w:t>
      </w:r>
    </w:p>
    <w:p w14:paraId="4A85C8CF" w14:textId="77777777" w:rsidR="001056F6" w:rsidRPr="001056F6" w:rsidRDefault="001056F6" w:rsidP="001056F6">
      <w:pPr>
        <w:numPr>
          <w:ilvl w:val="0"/>
          <w:numId w:val="9"/>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Criticism of Keck</w:t>
      </w:r>
      <w:r w:rsidRPr="001056F6">
        <w:rPr>
          <w:rFonts w:ascii="Times New Roman" w:hAnsi="Times New Roman"/>
          <w:lang w:val="en-HK"/>
        </w:rPr>
        <w:t>:</w:t>
      </w:r>
      <w:r w:rsidRPr="001056F6">
        <w:rPr>
          <w:rFonts w:ascii="Times New Roman" w:hAnsi="Times New Roman"/>
          <w:lang w:val="en-HK"/>
        </w:rPr>
        <w:br/>
        <w:t xml:space="preserve">Bot criticized the </w:t>
      </w:r>
      <w:r w:rsidRPr="001056F6">
        <w:rPr>
          <w:rFonts w:ascii="Times New Roman" w:hAnsi="Times New Roman"/>
          <w:i/>
          <w:iCs/>
          <w:lang w:val="en-HK"/>
        </w:rPr>
        <w:t>Keck</w:t>
      </w:r>
      <w:r w:rsidRPr="001056F6">
        <w:rPr>
          <w:rFonts w:ascii="Times New Roman" w:hAnsi="Times New Roman"/>
          <w:lang w:val="en-HK"/>
        </w:rPr>
        <w:t xml:space="preserve"> doctrine for creating artificial and overly rigid categories that failed to account for the economic realities of modern markets:</w:t>
      </w:r>
    </w:p>
    <w:p w14:paraId="09759C52" w14:textId="77777777" w:rsidR="001056F6" w:rsidRPr="001056F6" w:rsidRDefault="001056F6" w:rsidP="001056F6">
      <w:pPr>
        <w:spacing w:beforeAutospacing="1" w:afterAutospacing="1" w:line="276" w:lineRule="auto"/>
        <w:ind w:left="1440"/>
        <w:rPr>
          <w:rFonts w:ascii="Times New Roman" w:hAnsi="Times New Roman"/>
          <w:lang w:val="en-HK"/>
        </w:rPr>
      </w:pPr>
      <w:r w:rsidRPr="001056F6">
        <w:rPr>
          <w:rFonts w:ascii="Times New Roman" w:hAnsi="Times New Roman"/>
          <w:lang w:val="en-HK"/>
        </w:rPr>
        <w:lastRenderedPageBreak/>
        <w:t>“Keck’s dichotomy between product requirements and selling arrangements ignores the cumulative impact of use restrictions on trade.”</w:t>
      </w:r>
    </w:p>
    <w:p w14:paraId="7FFAB793" w14:textId="77777777" w:rsidR="001056F6" w:rsidRPr="001056F6" w:rsidRDefault="001056F6" w:rsidP="001056F6">
      <w:pPr>
        <w:numPr>
          <w:ilvl w:val="0"/>
          <w:numId w:val="9"/>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Proportionality and Justifications</w:t>
      </w:r>
      <w:r w:rsidRPr="001056F6">
        <w:rPr>
          <w:rFonts w:ascii="Times New Roman" w:hAnsi="Times New Roman"/>
          <w:lang w:val="en-HK"/>
        </w:rPr>
        <w:t>:</w:t>
      </w:r>
      <w:r w:rsidRPr="001056F6">
        <w:rPr>
          <w:rFonts w:ascii="Times New Roman" w:hAnsi="Times New Roman"/>
          <w:lang w:val="en-HK"/>
        </w:rPr>
        <w:br/>
        <w:t>Bot agreed that road safety was a valid justification under Article 36 TFEU but stressed that proportionality must be examined rigorously. He noted that Italy failed to provide sufficient evidence that its blanket ban was necessary to achieve its safety objectives.</w:t>
      </w:r>
    </w:p>
    <w:p w14:paraId="50616EAC"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7E937D5D">
          <v:rect id="_x0000_i1048" alt="" style="width:451.3pt;height:.05pt;mso-width-percent:0;mso-height-percent:0;mso-width-percent:0;mso-height-percent:0" o:hralign="center" o:hrstd="t" o:hr="t" fillcolor="#a0a0a0" stroked="f"/>
        </w:pict>
      </w:r>
    </w:p>
    <w:p w14:paraId="44DFA875"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5. Common Themes in the Opinions</w:t>
      </w:r>
    </w:p>
    <w:p w14:paraId="534E6087" w14:textId="77777777" w:rsidR="001056F6" w:rsidRPr="001056F6" w:rsidRDefault="001056F6" w:rsidP="001056F6">
      <w:pPr>
        <w:numPr>
          <w:ilvl w:val="0"/>
          <w:numId w:val="1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Divergent Approaches to Keck</w:t>
      </w:r>
      <w:r w:rsidRPr="001056F6">
        <w:rPr>
          <w:rFonts w:ascii="Times New Roman" w:hAnsi="Times New Roman"/>
          <w:lang w:val="en-HK"/>
        </w:rPr>
        <w:t>:</w:t>
      </w:r>
      <w:r w:rsidRPr="001056F6">
        <w:rPr>
          <w:rFonts w:ascii="Times New Roman" w:hAnsi="Times New Roman"/>
          <w:lang w:val="en-HK"/>
        </w:rPr>
        <w:br/>
        <w:t>The Advocates General demonstrated significant divergence in their approaches:</w:t>
      </w:r>
    </w:p>
    <w:p w14:paraId="00D9F496" w14:textId="77777777" w:rsidR="001056F6" w:rsidRPr="001056F6" w:rsidRDefault="001056F6" w:rsidP="001056F6">
      <w:pPr>
        <w:numPr>
          <w:ilvl w:val="1"/>
          <w:numId w:val="10"/>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Léger and Bot advocated a broader interpretation of Article 28 EC, focusing on market access rather than the formalistic distinctions of </w:t>
      </w:r>
      <w:r w:rsidRPr="001056F6">
        <w:rPr>
          <w:rFonts w:ascii="Times New Roman" w:hAnsi="Times New Roman"/>
          <w:i/>
          <w:iCs/>
          <w:lang w:val="en-HK"/>
        </w:rPr>
        <w:t>Keck</w:t>
      </w:r>
      <w:r w:rsidRPr="001056F6">
        <w:rPr>
          <w:rFonts w:ascii="Times New Roman" w:hAnsi="Times New Roman"/>
          <w:lang w:val="en-HK"/>
        </w:rPr>
        <w:t>.</w:t>
      </w:r>
    </w:p>
    <w:p w14:paraId="4488D44A" w14:textId="77777777" w:rsidR="001056F6" w:rsidRPr="001056F6" w:rsidRDefault="001056F6" w:rsidP="001056F6">
      <w:pPr>
        <w:numPr>
          <w:ilvl w:val="1"/>
          <w:numId w:val="10"/>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Kokott</w:t>
      </w:r>
      <w:proofErr w:type="spellEnd"/>
      <w:r w:rsidRPr="001056F6">
        <w:rPr>
          <w:rFonts w:ascii="Times New Roman" w:hAnsi="Times New Roman"/>
          <w:lang w:val="en-HK"/>
        </w:rPr>
        <w:t xml:space="preserve"> proposed extending </w:t>
      </w:r>
      <w:r w:rsidRPr="001056F6">
        <w:rPr>
          <w:rFonts w:ascii="Times New Roman" w:hAnsi="Times New Roman"/>
          <w:i/>
          <w:iCs/>
          <w:lang w:val="en-HK"/>
        </w:rPr>
        <w:t>Keck</w:t>
      </w:r>
      <w:r w:rsidRPr="001056F6">
        <w:rPr>
          <w:rFonts w:ascii="Times New Roman" w:hAnsi="Times New Roman"/>
          <w:lang w:val="en-HK"/>
        </w:rPr>
        <w:t xml:space="preserve"> to include use restrictions, aiming to preserve Member State autonomy in regulating public interests.</w:t>
      </w:r>
    </w:p>
    <w:p w14:paraId="504504C2" w14:textId="77777777" w:rsidR="001056F6" w:rsidRPr="001056F6" w:rsidRDefault="001056F6" w:rsidP="001056F6">
      <w:pPr>
        <w:numPr>
          <w:ilvl w:val="0"/>
          <w:numId w:val="1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Emphasis on Market Access</w:t>
      </w:r>
      <w:r w:rsidRPr="001056F6">
        <w:rPr>
          <w:rFonts w:ascii="Times New Roman" w:hAnsi="Times New Roman"/>
          <w:lang w:val="en-HK"/>
        </w:rPr>
        <w:t>:</w:t>
      </w:r>
      <w:r w:rsidRPr="001056F6">
        <w:rPr>
          <w:rFonts w:ascii="Times New Roman" w:hAnsi="Times New Roman"/>
          <w:lang w:val="en-HK"/>
        </w:rPr>
        <w:br/>
        <w:t>Both Léger and Bot emphasized the importance of the market access test as a unifying principle for Article 28 EC. They argued that any measure that impedes the marketability of goods, whether directly or indirectly, should be scrutinized under EU law.</w:t>
      </w:r>
    </w:p>
    <w:p w14:paraId="02D45EAC" w14:textId="77777777" w:rsidR="001056F6" w:rsidRPr="001056F6" w:rsidRDefault="001056F6" w:rsidP="001056F6">
      <w:pPr>
        <w:numPr>
          <w:ilvl w:val="0"/>
          <w:numId w:val="1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Justifications and Proportionality</w:t>
      </w:r>
      <w:r w:rsidRPr="001056F6">
        <w:rPr>
          <w:rFonts w:ascii="Times New Roman" w:hAnsi="Times New Roman"/>
          <w:lang w:val="en-HK"/>
        </w:rPr>
        <w:t>:</w:t>
      </w:r>
      <w:r w:rsidRPr="001056F6">
        <w:rPr>
          <w:rFonts w:ascii="Times New Roman" w:hAnsi="Times New Roman"/>
          <w:lang w:val="en-HK"/>
        </w:rPr>
        <w:br/>
        <w:t>All three Advocates General agreed that Member States must justify restrictive measures under Article 36 TFEU and demonstrate proportionality. However, they differed in their evaluation of the measures in question:</w:t>
      </w:r>
    </w:p>
    <w:p w14:paraId="284097F2" w14:textId="77777777" w:rsidR="001056F6" w:rsidRPr="001056F6" w:rsidRDefault="001056F6" w:rsidP="001056F6">
      <w:pPr>
        <w:numPr>
          <w:ilvl w:val="1"/>
          <w:numId w:val="10"/>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Léger and Bot viewed the Italian and Swedish rules as disproportionate.</w:t>
      </w:r>
    </w:p>
    <w:p w14:paraId="5111DFE1" w14:textId="77777777" w:rsidR="001056F6" w:rsidRPr="001056F6" w:rsidRDefault="001056F6" w:rsidP="001056F6">
      <w:pPr>
        <w:numPr>
          <w:ilvl w:val="1"/>
          <w:numId w:val="10"/>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Kokott</w:t>
      </w:r>
      <w:proofErr w:type="spellEnd"/>
      <w:r w:rsidRPr="001056F6">
        <w:rPr>
          <w:rFonts w:ascii="Times New Roman" w:hAnsi="Times New Roman"/>
          <w:lang w:val="en-HK"/>
        </w:rPr>
        <w:t xml:space="preserve"> emphasized the legitimacy of environmental protection as a justification, supporting Sweden’s approach.</w:t>
      </w:r>
    </w:p>
    <w:p w14:paraId="35C697BA"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7B3D5011">
          <v:rect id="_x0000_i1047" alt="" style="width:451.3pt;height:.05pt;mso-width-percent:0;mso-height-percent:0;mso-width-percent:0;mso-height-percent:0" o:hralign="center" o:hrstd="t" o:hr="t" fillcolor="#a0a0a0" stroked="f"/>
        </w:pict>
      </w:r>
    </w:p>
    <w:p w14:paraId="1EB77E02"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6. Scholarly and Judicial Critique of the Opinions</w:t>
      </w:r>
    </w:p>
    <w:p w14:paraId="0069D87D"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notes that the divergence among the Advocates General reflects broader academic and judicial debates on the utility and coherence of </w:t>
      </w:r>
      <w:r w:rsidRPr="001056F6">
        <w:rPr>
          <w:rFonts w:ascii="Times New Roman" w:hAnsi="Times New Roman"/>
          <w:i/>
          <w:iCs/>
          <w:lang w:val="en-HK"/>
        </w:rPr>
        <w:t>Keck</w:t>
      </w:r>
      <w:r w:rsidRPr="001056F6">
        <w:rPr>
          <w:rFonts w:ascii="Times New Roman" w:hAnsi="Times New Roman"/>
          <w:lang w:val="en-HK"/>
        </w:rPr>
        <w:t xml:space="preserve">. Scholars like </w:t>
      </w:r>
      <w:proofErr w:type="spellStart"/>
      <w:r w:rsidRPr="001056F6">
        <w:rPr>
          <w:rFonts w:ascii="Times New Roman" w:hAnsi="Times New Roman"/>
          <w:lang w:val="en-HK"/>
        </w:rPr>
        <w:t>Weatherill</w:t>
      </w:r>
      <w:proofErr w:type="spellEnd"/>
      <w:r w:rsidRPr="001056F6">
        <w:rPr>
          <w:rFonts w:ascii="Times New Roman" w:hAnsi="Times New Roman"/>
          <w:lang w:val="en-HK"/>
        </w:rPr>
        <w:t xml:space="preserve"> and Snell have criticized </w:t>
      </w:r>
      <w:r w:rsidRPr="001056F6">
        <w:rPr>
          <w:rFonts w:ascii="Times New Roman" w:hAnsi="Times New Roman"/>
          <w:i/>
          <w:iCs/>
          <w:lang w:val="en-HK"/>
        </w:rPr>
        <w:t>Keck</w:t>
      </w:r>
      <w:r w:rsidRPr="001056F6">
        <w:rPr>
          <w:rFonts w:ascii="Times New Roman" w:hAnsi="Times New Roman"/>
          <w:lang w:val="en-HK"/>
        </w:rPr>
        <w:t xml:space="preserve"> for its artificiality and failure to address the complexities of modern trade. The opinions in these cases illustrate the difficulty of reconciling trade liberalization with national regulatory autonomy.</w:t>
      </w:r>
    </w:p>
    <w:p w14:paraId="77A2EB01"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7A35A2F8">
          <v:rect id="_x0000_i1046" alt="" style="width:451.3pt;height:.05pt;mso-width-percent:0;mso-height-percent:0;mso-width-percent:0;mso-height-percent:0" o:hralign="center" o:hrstd="t" o:hr="t" fillcolor="#a0a0a0" stroked="f"/>
        </w:pict>
      </w:r>
    </w:p>
    <w:p w14:paraId="401E7D07"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Conclusion on the Opinions of the Advocates General</w:t>
      </w:r>
    </w:p>
    <w:p w14:paraId="6CAF3A66"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lastRenderedPageBreak/>
        <w:t xml:space="preserve">The opinions of the Advocates General in </w:t>
      </w:r>
      <w:r w:rsidRPr="001056F6">
        <w:rPr>
          <w:rFonts w:ascii="Times New Roman" w:hAnsi="Times New Roman"/>
          <w:i/>
          <w:iCs/>
          <w:lang w:val="en-HK"/>
        </w:rPr>
        <w:t>Commission v Italy</w:t>
      </w:r>
      <w:r w:rsidRPr="001056F6">
        <w:rPr>
          <w:rFonts w:ascii="Times New Roman" w:hAnsi="Times New Roman"/>
          <w:lang w:val="en-HK"/>
        </w:rPr>
        <w:t xml:space="preserve">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illustrate the tension between preserving market access and respecting Member State autonomy. While </w:t>
      </w:r>
      <w:proofErr w:type="spellStart"/>
      <w:r w:rsidRPr="001056F6">
        <w:rPr>
          <w:rFonts w:ascii="Times New Roman" w:hAnsi="Times New Roman"/>
          <w:lang w:val="en-HK"/>
        </w:rPr>
        <w:t>Kokott’s</w:t>
      </w:r>
      <w:proofErr w:type="spellEnd"/>
      <w:r w:rsidRPr="001056F6">
        <w:rPr>
          <w:rFonts w:ascii="Times New Roman" w:hAnsi="Times New Roman"/>
          <w:lang w:val="en-HK"/>
        </w:rPr>
        <w:t xml:space="preserve"> extension of </w:t>
      </w:r>
      <w:r w:rsidRPr="001056F6">
        <w:rPr>
          <w:rFonts w:ascii="Times New Roman" w:hAnsi="Times New Roman"/>
          <w:i/>
          <w:iCs/>
          <w:lang w:val="en-HK"/>
        </w:rPr>
        <w:t>Keck</w:t>
      </w:r>
      <w:r w:rsidRPr="001056F6">
        <w:rPr>
          <w:rFonts w:ascii="Times New Roman" w:hAnsi="Times New Roman"/>
          <w:lang w:val="en-HK"/>
        </w:rPr>
        <w:t xml:space="preserve"> aimed to preserve national discretion, Léger and Bot </w:t>
      </w:r>
      <w:proofErr w:type="spellStart"/>
      <w:r w:rsidRPr="001056F6">
        <w:rPr>
          <w:rFonts w:ascii="Times New Roman" w:hAnsi="Times New Roman"/>
          <w:lang w:val="en-HK"/>
        </w:rPr>
        <w:t>favored</w:t>
      </w:r>
      <w:proofErr w:type="spellEnd"/>
      <w:r w:rsidRPr="001056F6">
        <w:rPr>
          <w:rFonts w:ascii="Times New Roman" w:hAnsi="Times New Roman"/>
          <w:lang w:val="en-HK"/>
        </w:rPr>
        <w:t xml:space="preserve"> a broader market access approach, </w:t>
      </w:r>
      <w:proofErr w:type="spellStart"/>
      <w:r w:rsidRPr="001056F6">
        <w:rPr>
          <w:rFonts w:ascii="Times New Roman" w:hAnsi="Times New Roman"/>
          <w:lang w:val="en-HK"/>
        </w:rPr>
        <w:t>signaling</w:t>
      </w:r>
      <w:proofErr w:type="spellEnd"/>
      <w:r w:rsidRPr="001056F6">
        <w:rPr>
          <w:rFonts w:ascii="Times New Roman" w:hAnsi="Times New Roman"/>
          <w:lang w:val="en-HK"/>
        </w:rPr>
        <w:t xml:space="preserve"> the potential erosion of </w:t>
      </w:r>
      <w:r w:rsidRPr="001056F6">
        <w:rPr>
          <w:rFonts w:ascii="Times New Roman" w:hAnsi="Times New Roman"/>
          <w:i/>
          <w:iCs/>
          <w:lang w:val="en-HK"/>
        </w:rPr>
        <w:t>Keck</w:t>
      </w:r>
      <w:r w:rsidRPr="001056F6">
        <w:rPr>
          <w:rFonts w:ascii="Times New Roman" w:hAnsi="Times New Roman"/>
          <w:lang w:val="en-HK"/>
        </w:rPr>
        <w:t xml:space="preserve"> as a useful legal framework. These opinions set the stage for the ECJ’s rulings, which would further refine the interpretation of Article 28 EC.</w:t>
      </w:r>
    </w:p>
    <w:p w14:paraId="6F009FAB"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1706172C">
          <v:rect id="_x0000_i1045" alt="" style="width:451.3pt;height:.05pt;mso-width-percent:0;mso-height-percent:0;mso-width-percent:0;mso-height-percent:0" o:hralign="center" o:hrstd="t" o:hr="t" fillcolor="#a0a0a0" stroked="f"/>
        </w:pict>
      </w:r>
    </w:p>
    <w:p w14:paraId="05FA6799" w14:textId="047A21AB"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 xml:space="preserve">III. </w:t>
      </w:r>
      <w:r w:rsidRPr="001056F6">
        <w:rPr>
          <w:rFonts w:ascii="Times New Roman" w:hAnsi="Times New Roman"/>
          <w:b/>
          <w:bCs/>
          <w:lang w:val="en-HK"/>
        </w:rPr>
        <w:t>The Rulings of the Court</w:t>
      </w:r>
    </w:p>
    <w:p w14:paraId="72651173"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1. Overview of the Cases</w:t>
      </w:r>
    </w:p>
    <w:p w14:paraId="2A5B63D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Court delivered its rulings in two pivotal cases addressing the scope of Article 28 EC (now Article 34 TFEU) and the limits of Member State regulatory autonomy:</w:t>
      </w:r>
    </w:p>
    <w:p w14:paraId="0F10DFC8" w14:textId="77777777" w:rsidR="001056F6" w:rsidRPr="001056F6" w:rsidRDefault="001056F6" w:rsidP="001056F6">
      <w:pPr>
        <w:numPr>
          <w:ilvl w:val="0"/>
          <w:numId w:val="1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Commission v Italy</w:t>
      </w:r>
      <w:r w:rsidRPr="001056F6">
        <w:rPr>
          <w:rFonts w:ascii="Times New Roman" w:hAnsi="Times New Roman"/>
          <w:lang w:val="en-HK"/>
        </w:rPr>
        <w:t xml:space="preserve"> (Case C-110/05): Concerned an Italian law prohibiting motorcycles from towing trailers, which Italy justified on road safety grounds.</w:t>
      </w:r>
    </w:p>
    <w:p w14:paraId="1565BE7F" w14:textId="77777777" w:rsidR="001056F6" w:rsidRPr="001056F6" w:rsidRDefault="001056F6" w:rsidP="001056F6">
      <w:pPr>
        <w:numPr>
          <w:ilvl w:val="0"/>
          <w:numId w:val="11"/>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b/>
          <w:bCs/>
          <w:lang w:val="en-HK"/>
        </w:rPr>
        <w:t>Mickelsson</w:t>
      </w:r>
      <w:proofErr w:type="spellEnd"/>
      <w:r w:rsidRPr="001056F6">
        <w:rPr>
          <w:rFonts w:ascii="Times New Roman" w:hAnsi="Times New Roman"/>
          <w:b/>
          <w:bCs/>
          <w:lang w:val="en-HK"/>
        </w:rPr>
        <w:t xml:space="preserve"> and </w:t>
      </w:r>
      <w:proofErr w:type="spellStart"/>
      <w:r w:rsidRPr="001056F6">
        <w:rPr>
          <w:rFonts w:ascii="Times New Roman" w:hAnsi="Times New Roman"/>
          <w:b/>
          <w:bCs/>
          <w:lang w:val="en-HK"/>
        </w:rPr>
        <w:t>Roos</w:t>
      </w:r>
      <w:proofErr w:type="spellEnd"/>
      <w:r w:rsidRPr="001056F6">
        <w:rPr>
          <w:rFonts w:ascii="Times New Roman" w:hAnsi="Times New Roman"/>
          <w:lang w:val="en-HK"/>
        </w:rPr>
        <w:t xml:space="preserve"> (Case C-142/05): Involved Swedish regulations restricting the use of personal watercraft in certain areas to protect the environment.</w:t>
      </w:r>
    </w:p>
    <w:p w14:paraId="7B49C282"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Both cases examined whether national rules regulating the </w:t>
      </w:r>
      <w:r w:rsidRPr="001056F6">
        <w:rPr>
          <w:rFonts w:ascii="Times New Roman" w:hAnsi="Times New Roman"/>
          <w:b/>
          <w:bCs/>
          <w:lang w:val="en-HK"/>
        </w:rPr>
        <w:t>use</w:t>
      </w:r>
      <w:r w:rsidRPr="001056F6">
        <w:rPr>
          <w:rFonts w:ascii="Times New Roman" w:hAnsi="Times New Roman"/>
          <w:lang w:val="en-HK"/>
        </w:rPr>
        <w:t xml:space="preserve"> of goods constituted measures having equivalent effect to quantitative restrictions (MEQRs) and whether such rules could be justified under EU law.</w:t>
      </w:r>
    </w:p>
    <w:p w14:paraId="57B7F427"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5FB3BD03">
          <v:rect id="_x0000_i1044" alt="" style="width:451.3pt;height:.05pt;mso-width-percent:0;mso-height-percent:0;mso-width-percent:0;mso-height-percent:0" o:hralign="center" o:hrstd="t" o:hr="t" fillcolor="#a0a0a0" stroked="f"/>
        </w:pict>
      </w:r>
    </w:p>
    <w:p w14:paraId="471E70D5"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2. Adoption of the Market Access Test</w:t>
      </w:r>
    </w:p>
    <w:p w14:paraId="75DB6E19"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both cases, the Court refined its interpretation of Article 28 EC by emphasizing </w:t>
      </w:r>
      <w:r w:rsidRPr="001056F6">
        <w:rPr>
          <w:rFonts w:ascii="Times New Roman" w:hAnsi="Times New Roman"/>
          <w:b/>
          <w:bCs/>
          <w:lang w:val="en-HK"/>
        </w:rPr>
        <w:t>market access</w:t>
      </w:r>
      <w:r w:rsidRPr="001056F6">
        <w:rPr>
          <w:rFonts w:ascii="Times New Roman" w:hAnsi="Times New Roman"/>
          <w:lang w:val="en-HK"/>
        </w:rPr>
        <w:t xml:space="preserve"> as the central test for identifying MEQRs:</w:t>
      </w:r>
    </w:p>
    <w:p w14:paraId="7E1BA34C"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Court ruled that measures restricting the use of goods may constitute MEQRs if they significantly hinder market access, even indirectly or potentially.</w:t>
      </w:r>
    </w:p>
    <w:p w14:paraId="0554A24F"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Key Judgment in Commission v Italy</w:t>
      </w:r>
      <w:r w:rsidRPr="001056F6">
        <w:rPr>
          <w:rFonts w:ascii="Times New Roman" w:hAnsi="Times New Roman"/>
          <w:lang w:val="en-HK"/>
        </w:rPr>
        <w:t>:</w:t>
      </w:r>
    </w:p>
    <w:p w14:paraId="1AE36261"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“Any measure that hinders the access of products originating in other Member States to the market of a Member State is considered to be a measure having equivalent effect to quantitative restrictions.”</w:t>
      </w:r>
    </w:p>
    <w:p w14:paraId="2041E72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Italian prohibition on towing trailers effectively dissuaded consumers from purchasing imported trailers designed for motorcycles, thereby restricting their market access. The measure was deemed a breach of Article 28 EC.</w:t>
      </w:r>
    </w:p>
    <w:p w14:paraId="1B4C7FD5"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lastRenderedPageBreak/>
        <w:t xml:space="preserve">Key Judgment in </w:t>
      </w:r>
      <w:proofErr w:type="spellStart"/>
      <w:r w:rsidRPr="001056F6">
        <w:rPr>
          <w:rFonts w:ascii="Times New Roman" w:hAnsi="Times New Roman"/>
          <w:b/>
          <w:bCs/>
          <w:lang w:val="en-HK"/>
        </w:rPr>
        <w:t>Mickelsson</w:t>
      </w:r>
      <w:proofErr w:type="spellEnd"/>
      <w:r w:rsidRPr="001056F6">
        <w:rPr>
          <w:rFonts w:ascii="Times New Roman" w:hAnsi="Times New Roman"/>
          <w:b/>
          <w:bCs/>
          <w:lang w:val="en-HK"/>
        </w:rPr>
        <w:t xml:space="preserve"> and </w:t>
      </w:r>
      <w:proofErr w:type="spellStart"/>
      <w:r w:rsidRPr="001056F6">
        <w:rPr>
          <w:rFonts w:ascii="Times New Roman" w:hAnsi="Times New Roman"/>
          <w:b/>
          <w:bCs/>
          <w:lang w:val="en-HK"/>
        </w:rPr>
        <w:t>Roos</w:t>
      </w:r>
      <w:proofErr w:type="spellEnd"/>
      <w:r w:rsidRPr="001056F6">
        <w:rPr>
          <w:rFonts w:ascii="Times New Roman" w:hAnsi="Times New Roman"/>
          <w:lang w:val="en-HK"/>
        </w:rPr>
        <w:t>:</w:t>
      </w:r>
    </w:p>
    <w:p w14:paraId="60D0D39C"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“National rules that prevent or greatly restrict the use of a product deprive it of its economic value, thus constituting a barrier to market access.”</w:t>
      </w:r>
    </w:p>
    <w:p w14:paraId="46530195"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Swedish restrictions on the use of personal watercraft were found to reduce the marketability of such products, particularly for imports, making them an MEQR under Article 28 EC.</w:t>
      </w:r>
    </w:p>
    <w:p w14:paraId="797078E8"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0D67079E">
          <v:rect id="_x0000_i1043" alt="" style="width:451.3pt;height:.05pt;mso-width-percent:0;mso-height-percent:0;mso-width-percent:0;mso-height-percent:0" o:hralign="center" o:hrstd="t" o:hr="t" fillcolor="#a0a0a0" stroked="f"/>
        </w:pict>
      </w:r>
    </w:p>
    <w:p w14:paraId="6ADB5CEE"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3. Reflections on the Keck Doctrine</w:t>
      </w:r>
    </w:p>
    <w:p w14:paraId="7C891204"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The Court avoided explicitly overruling the </w:t>
      </w:r>
      <w:r w:rsidRPr="001056F6">
        <w:rPr>
          <w:rFonts w:ascii="Times New Roman" w:hAnsi="Times New Roman"/>
          <w:i/>
          <w:iCs/>
          <w:lang w:val="en-HK"/>
        </w:rPr>
        <w:t>Keck</w:t>
      </w:r>
      <w:r w:rsidRPr="001056F6">
        <w:rPr>
          <w:rFonts w:ascii="Times New Roman" w:hAnsi="Times New Roman"/>
          <w:lang w:val="en-HK"/>
        </w:rPr>
        <w:t xml:space="preserve"> doctrine but </w:t>
      </w:r>
      <w:proofErr w:type="spellStart"/>
      <w:r w:rsidRPr="001056F6">
        <w:rPr>
          <w:rFonts w:ascii="Times New Roman" w:hAnsi="Times New Roman"/>
          <w:lang w:val="en-HK"/>
        </w:rPr>
        <w:t>signaled</w:t>
      </w:r>
      <w:proofErr w:type="spellEnd"/>
      <w:r w:rsidRPr="001056F6">
        <w:rPr>
          <w:rFonts w:ascii="Times New Roman" w:hAnsi="Times New Roman"/>
          <w:lang w:val="en-HK"/>
        </w:rPr>
        <w:t xml:space="preserve"> a shift away from its rigid framework.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highlights several key points from the rulings:</w:t>
      </w:r>
    </w:p>
    <w:p w14:paraId="31851186" w14:textId="77777777" w:rsidR="001056F6" w:rsidRPr="001056F6" w:rsidRDefault="001056F6" w:rsidP="001056F6">
      <w:pPr>
        <w:numPr>
          <w:ilvl w:val="0"/>
          <w:numId w:val="15"/>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Implicit Redundancy of Keck</w:t>
      </w:r>
      <w:r w:rsidRPr="001056F6">
        <w:rPr>
          <w:rFonts w:ascii="Times New Roman" w:hAnsi="Times New Roman"/>
          <w:lang w:val="en-HK"/>
        </w:rPr>
        <w:t>:</w:t>
      </w:r>
    </w:p>
    <w:p w14:paraId="58FE1513" w14:textId="77777777" w:rsidR="001056F6" w:rsidRPr="001056F6" w:rsidRDefault="001056F6" w:rsidP="001056F6">
      <w:pPr>
        <w:numPr>
          <w:ilvl w:val="1"/>
          <w:numId w:val="15"/>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The Court’s reasoning in both cases bypassed the </w:t>
      </w:r>
      <w:r w:rsidRPr="001056F6">
        <w:rPr>
          <w:rFonts w:ascii="Times New Roman" w:hAnsi="Times New Roman"/>
          <w:i/>
          <w:iCs/>
          <w:lang w:val="en-HK"/>
        </w:rPr>
        <w:t>Keck</w:t>
      </w:r>
      <w:r w:rsidRPr="001056F6">
        <w:rPr>
          <w:rFonts w:ascii="Times New Roman" w:hAnsi="Times New Roman"/>
          <w:lang w:val="en-HK"/>
        </w:rPr>
        <w:t xml:space="preserve"> dichotomy between “product requirements” and “selling arrangements.”</w:t>
      </w:r>
    </w:p>
    <w:p w14:paraId="267B5A1D" w14:textId="77777777" w:rsidR="001056F6" w:rsidRPr="001056F6" w:rsidRDefault="001056F6" w:rsidP="001056F6">
      <w:pPr>
        <w:numPr>
          <w:ilvl w:val="1"/>
          <w:numId w:val="15"/>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By focusing on market access, the Court blurred the distinctions created by </w:t>
      </w:r>
      <w:r w:rsidRPr="001056F6">
        <w:rPr>
          <w:rFonts w:ascii="Times New Roman" w:hAnsi="Times New Roman"/>
          <w:i/>
          <w:iCs/>
          <w:lang w:val="en-HK"/>
        </w:rPr>
        <w:t>Keck</w:t>
      </w:r>
      <w:r w:rsidRPr="001056F6">
        <w:rPr>
          <w:rFonts w:ascii="Times New Roman" w:hAnsi="Times New Roman"/>
          <w:lang w:val="en-HK"/>
        </w:rPr>
        <w:t xml:space="preserve"> and aligned its approach with the broader principles of </w:t>
      </w:r>
      <w:proofErr w:type="spellStart"/>
      <w:r w:rsidRPr="001056F6">
        <w:rPr>
          <w:rFonts w:ascii="Times New Roman" w:hAnsi="Times New Roman"/>
          <w:i/>
          <w:iCs/>
          <w:lang w:val="en-HK"/>
        </w:rPr>
        <w:t>Dassonville</w:t>
      </w:r>
      <w:proofErr w:type="spellEnd"/>
      <w:r w:rsidRPr="001056F6">
        <w:rPr>
          <w:rFonts w:ascii="Times New Roman" w:hAnsi="Times New Roman"/>
          <w:lang w:val="en-HK"/>
        </w:rPr>
        <w:t>.</w:t>
      </w:r>
    </w:p>
    <w:p w14:paraId="653CC6B3" w14:textId="77777777" w:rsidR="001056F6" w:rsidRPr="001056F6" w:rsidRDefault="001056F6" w:rsidP="001056F6">
      <w:pPr>
        <w:numPr>
          <w:ilvl w:val="0"/>
          <w:numId w:val="15"/>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Critique of Keck’s Practical Utility</w:t>
      </w:r>
      <w:r w:rsidRPr="001056F6">
        <w:rPr>
          <w:rFonts w:ascii="Times New Roman" w:hAnsi="Times New Roman"/>
          <w:lang w:val="en-HK"/>
        </w:rPr>
        <w:t>:</w:t>
      </w:r>
    </w:p>
    <w:p w14:paraId="679FBBC2" w14:textId="77777777" w:rsidR="001056F6" w:rsidRPr="001056F6" w:rsidRDefault="001056F6" w:rsidP="001056F6">
      <w:pPr>
        <w:numPr>
          <w:ilvl w:val="1"/>
          <w:numId w:val="15"/>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The Court’s lack of reference to </w:t>
      </w:r>
      <w:r w:rsidRPr="001056F6">
        <w:rPr>
          <w:rFonts w:ascii="Times New Roman" w:hAnsi="Times New Roman"/>
          <w:i/>
          <w:iCs/>
          <w:lang w:val="en-HK"/>
        </w:rPr>
        <w:t>Keck</w:t>
      </w:r>
      <w:r w:rsidRPr="001056F6">
        <w:rPr>
          <w:rFonts w:ascii="Times New Roman" w:hAnsi="Times New Roman"/>
          <w:lang w:val="en-HK"/>
        </w:rPr>
        <w:t xml:space="preserve"> in these rulings reflects its limited practical utility in cases involving use restrictions.</w:t>
      </w:r>
    </w:p>
    <w:p w14:paraId="75F2EF8B" w14:textId="77777777" w:rsidR="001056F6" w:rsidRPr="001056F6" w:rsidRDefault="001056F6" w:rsidP="001056F6">
      <w:pPr>
        <w:numPr>
          <w:ilvl w:val="1"/>
          <w:numId w:val="15"/>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notes that the judgments suggest a tacit acknowledgment that </w:t>
      </w:r>
      <w:r w:rsidRPr="001056F6">
        <w:rPr>
          <w:rFonts w:ascii="Times New Roman" w:hAnsi="Times New Roman"/>
          <w:i/>
          <w:iCs/>
          <w:lang w:val="en-HK"/>
        </w:rPr>
        <w:t>Keck</w:t>
      </w:r>
      <w:r w:rsidRPr="001056F6">
        <w:rPr>
          <w:rFonts w:ascii="Times New Roman" w:hAnsi="Times New Roman"/>
          <w:lang w:val="en-HK"/>
        </w:rPr>
        <w:t>’s distinctions are artificial and overly rigid.</w:t>
      </w:r>
    </w:p>
    <w:p w14:paraId="03DCA12F"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49BDE9D">
          <v:rect id="_x0000_i1042" alt="" style="width:451.3pt;height:.05pt;mso-width-percent:0;mso-height-percent:0;mso-width-percent:0;mso-height-percent:0" o:hralign="center" o:hrstd="t" o:hr="t" fillcolor="#a0a0a0" stroked="f"/>
        </w:pict>
      </w:r>
    </w:p>
    <w:p w14:paraId="42203AF3"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4. Proportionality and Justifications</w:t>
      </w:r>
    </w:p>
    <w:p w14:paraId="698262ED"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Court emphasized that national measures restricting market access can only be justified if they:</w:t>
      </w:r>
    </w:p>
    <w:p w14:paraId="4A1A1875" w14:textId="77777777" w:rsidR="001056F6" w:rsidRPr="001056F6" w:rsidRDefault="001056F6" w:rsidP="001056F6">
      <w:pPr>
        <w:numPr>
          <w:ilvl w:val="0"/>
          <w:numId w:val="1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Pursue a legitimate objective under EU law (e.g., public safety, environmental protection, or public health under Article 36 TFEU).</w:t>
      </w:r>
    </w:p>
    <w:p w14:paraId="66290BBB" w14:textId="77777777" w:rsidR="001056F6" w:rsidRPr="001056F6" w:rsidRDefault="001056F6" w:rsidP="001056F6">
      <w:pPr>
        <w:numPr>
          <w:ilvl w:val="0"/>
          <w:numId w:val="1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Satisfy the principle of proportionality:</w:t>
      </w:r>
    </w:p>
    <w:p w14:paraId="4FB3ECDC" w14:textId="77777777" w:rsidR="001056F6" w:rsidRPr="001056F6" w:rsidRDefault="001056F6" w:rsidP="001056F6">
      <w:pPr>
        <w:numPr>
          <w:ilvl w:val="1"/>
          <w:numId w:val="1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measure must be appropriate to achieve the objective.</w:t>
      </w:r>
    </w:p>
    <w:p w14:paraId="44928B4A" w14:textId="77777777" w:rsidR="001056F6" w:rsidRPr="001056F6" w:rsidRDefault="001056F6" w:rsidP="001056F6">
      <w:pPr>
        <w:numPr>
          <w:ilvl w:val="1"/>
          <w:numId w:val="1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It must not go beyond what is necessary to achieve that objective.</w:t>
      </w:r>
    </w:p>
    <w:p w14:paraId="44F667C8"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Commission v Italy</w:t>
      </w:r>
      <w:r w:rsidRPr="001056F6">
        <w:rPr>
          <w:rFonts w:ascii="Times New Roman" w:hAnsi="Times New Roman"/>
          <w:lang w:val="en-HK"/>
        </w:rPr>
        <w:t>:</w:t>
      </w:r>
    </w:p>
    <w:p w14:paraId="3BF82B97"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Court accepted road safety as a legitimate public interest under Article 36 TFEU but ruled that the blanket prohibition was disproportionate:</w:t>
      </w:r>
    </w:p>
    <w:p w14:paraId="3AAD01B8"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lastRenderedPageBreak/>
        <w:t>“Italy failed to demonstrate that the total prohibition on towing trailers was necessary to ensure road safety.”</w:t>
      </w:r>
    </w:p>
    <w:p w14:paraId="1A27BCB9"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b/>
          <w:bCs/>
          <w:lang w:val="en-HK"/>
        </w:rPr>
        <w:t>Mickelsson</w:t>
      </w:r>
      <w:proofErr w:type="spellEnd"/>
      <w:r w:rsidRPr="001056F6">
        <w:rPr>
          <w:rFonts w:ascii="Times New Roman" w:hAnsi="Times New Roman"/>
          <w:b/>
          <w:bCs/>
          <w:lang w:val="en-HK"/>
        </w:rPr>
        <w:t xml:space="preserve"> and </w:t>
      </w:r>
      <w:proofErr w:type="spellStart"/>
      <w:r w:rsidRPr="001056F6">
        <w:rPr>
          <w:rFonts w:ascii="Times New Roman" w:hAnsi="Times New Roman"/>
          <w:b/>
          <w:bCs/>
          <w:lang w:val="en-HK"/>
        </w:rPr>
        <w:t>Roos</w:t>
      </w:r>
      <w:proofErr w:type="spellEnd"/>
      <w:r w:rsidRPr="001056F6">
        <w:rPr>
          <w:rFonts w:ascii="Times New Roman" w:hAnsi="Times New Roman"/>
          <w:lang w:val="en-HK"/>
        </w:rPr>
        <w:t>:</w:t>
      </w:r>
    </w:p>
    <w:p w14:paraId="017FC6A0" w14:textId="46F33D96"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Court acknowledged that environmental protection is a fundamental EU objective</w:t>
      </w:r>
      <w:r w:rsidRPr="001056F6">
        <w:rPr>
          <w:rFonts w:ascii="Times New Roman" w:hAnsi="Times New Roman"/>
          <w:lang w:val="en-HK"/>
        </w:rPr>
        <w:t xml:space="preserve"> </w:t>
      </w:r>
      <w:r w:rsidRPr="001056F6">
        <w:rPr>
          <w:rFonts w:ascii="Times New Roman" w:hAnsi="Times New Roman"/>
          <w:lang w:val="en-HK"/>
        </w:rPr>
        <w:t>but stressed that proportionality must be rigorously applied:</w:t>
      </w:r>
    </w:p>
    <w:p w14:paraId="1DF38B32"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“National authorities must ensure that restrictions are not more extensive than necessary and must provide clear guidelines to avoid arbitrary enforcement.”</w:t>
      </w:r>
    </w:p>
    <w:p w14:paraId="232FB0F1"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2AB7F8F0">
          <v:rect id="_x0000_i1041" alt="" style="width:451.3pt;height:.05pt;mso-width-percent:0;mso-height-percent:0;mso-width-percent:0;mso-height-percent:0" o:hralign="center" o:hrstd="t" o:hr="t" fillcolor="#a0a0a0" stroked="f"/>
        </w:pict>
      </w:r>
    </w:p>
    <w:p w14:paraId="77A3E03B"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5. Scholarly Observations</w:t>
      </w:r>
    </w:p>
    <w:p w14:paraId="64DE3559"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provides critical observations on the Court’s rulings:</w:t>
      </w:r>
    </w:p>
    <w:p w14:paraId="3BB18DCB"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Market Access as the Dominant Test</w:t>
      </w:r>
      <w:r w:rsidRPr="001056F6">
        <w:rPr>
          <w:rFonts w:ascii="Times New Roman" w:hAnsi="Times New Roman"/>
          <w:lang w:val="en-HK"/>
        </w:rPr>
        <w:t>:</w:t>
      </w:r>
    </w:p>
    <w:p w14:paraId="25998541"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By focusing on market access, the Court effectively sidesteps </w:t>
      </w:r>
      <w:r w:rsidRPr="001056F6">
        <w:rPr>
          <w:rFonts w:ascii="Times New Roman" w:hAnsi="Times New Roman"/>
          <w:i/>
          <w:iCs/>
          <w:lang w:val="en-HK"/>
        </w:rPr>
        <w:t>Keck</w:t>
      </w:r>
      <w:r w:rsidRPr="001056F6">
        <w:rPr>
          <w:rFonts w:ascii="Times New Roman" w:hAnsi="Times New Roman"/>
          <w:lang w:val="en-HK"/>
        </w:rPr>
        <w:t xml:space="preserve">, moving closer to the broader </w:t>
      </w:r>
      <w:proofErr w:type="spellStart"/>
      <w:r w:rsidRPr="001056F6">
        <w:rPr>
          <w:rFonts w:ascii="Times New Roman" w:hAnsi="Times New Roman"/>
          <w:i/>
          <w:iCs/>
          <w:lang w:val="en-HK"/>
        </w:rPr>
        <w:t>Dassonville</w:t>
      </w:r>
      <w:proofErr w:type="spellEnd"/>
      <w:r w:rsidRPr="001056F6">
        <w:rPr>
          <w:rFonts w:ascii="Times New Roman" w:hAnsi="Times New Roman"/>
          <w:lang w:val="en-HK"/>
        </w:rPr>
        <w:t xml:space="preserve"> principle.</w:t>
      </w:r>
    </w:p>
    <w:p w14:paraId="0D99E6A8"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This shift reflects the Court’s intent to prioritize the economic value of goods and protect consumer choice over rigid categorizations of measures.</w:t>
      </w:r>
    </w:p>
    <w:p w14:paraId="64327EEA"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Implications for Member State Autonomy</w:t>
      </w:r>
      <w:r w:rsidRPr="001056F6">
        <w:rPr>
          <w:rFonts w:ascii="Times New Roman" w:hAnsi="Times New Roman"/>
          <w:lang w:val="en-HK"/>
        </w:rPr>
        <w:t>:</w:t>
      </w:r>
    </w:p>
    <w:p w14:paraId="003BC695"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rulings impose stricter scrutiny on national regulatory measures, even when they are non-discriminatory. This raises concerns about the Court’s encroachment on Member States’ regulatory autonomy.</w:t>
      </w:r>
    </w:p>
    <w:p w14:paraId="103DE101"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notes:</w:t>
      </w:r>
    </w:p>
    <w:p w14:paraId="30ED908C" w14:textId="77777777" w:rsidR="001056F6" w:rsidRPr="001056F6" w:rsidRDefault="001056F6" w:rsidP="001056F6">
      <w:pPr>
        <w:spacing w:beforeAutospacing="1" w:afterAutospacing="1" w:line="276" w:lineRule="auto"/>
        <w:rPr>
          <w:rFonts w:ascii="Times New Roman" w:hAnsi="Times New Roman"/>
          <w:b/>
          <w:bCs/>
          <w:lang w:val="en-HK"/>
        </w:rPr>
      </w:pPr>
      <w:r w:rsidRPr="001056F6">
        <w:rPr>
          <w:rFonts w:ascii="Times New Roman" w:hAnsi="Times New Roman"/>
          <w:lang w:val="en-HK"/>
        </w:rPr>
        <w:t xml:space="preserve">“The </w:t>
      </w:r>
      <w:r w:rsidRPr="001056F6">
        <w:rPr>
          <w:rFonts w:ascii="Times New Roman" w:hAnsi="Times New Roman"/>
          <w:b/>
          <w:bCs/>
          <w:lang w:val="en-HK"/>
        </w:rPr>
        <w:t>broad application of the market access test risks undermining Member States’ ability to pursue legitimate regulatory objectives.”</w:t>
      </w:r>
    </w:p>
    <w:p w14:paraId="24CF2103"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Potential for Legal Uncertainty</w:t>
      </w:r>
      <w:r w:rsidRPr="001056F6">
        <w:rPr>
          <w:rFonts w:ascii="Times New Roman" w:hAnsi="Times New Roman"/>
          <w:lang w:val="en-HK"/>
        </w:rPr>
        <w:t>:</w:t>
      </w:r>
    </w:p>
    <w:p w14:paraId="39322717"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The lack of clear guidelines for applying the market access test creates uncertainty for Member States and traders.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warns that this could lead to increased litigation as parties seek to clarify the scope of Article 28 EC.</w:t>
      </w:r>
    </w:p>
    <w:p w14:paraId="54125D45"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6ED5E919">
          <v:rect id="_x0000_i1040" alt="" style="width:451.3pt;height:.05pt;mso-width-percent:0;mso-height-percent:0;mso-width-percent:0;mso-height-percent:0" o:hralign="center" o:hrstd="t" o:hr="t" fillcolor="#a0a0a0" stroked="f"/>
        </w:pict>
      </w:r>
    </w:p>
    <w:p w14:paraId="5F90F795"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6. The Court’s Evolving Approach to Free Movement</w:t>
      </w:r>
    </w:p>
    <w:p w14:paraId="5776EEF6"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lastRenderedPageBreak/>
        <w:t>Spaventa</w:t>
      </w:r>
      <w:proofErr w:type="spellEnd"/>
      <w:r w:rsidRPr="001056F6">
        <w:rPr>
          <w:rFonts w:ascii="Times New Roman" w:hAnsi="Times New Roman"/>
          <w:lang w:val="en-HK"/>
        </w:rPr>
        <w:t xml:space="preserve"> argues that the rulings in </w:t>
      </w:r>
      <w:r w:rsidRPr="001056F6">
        <w:rPr>
          <w:rFonts w:ascii="Times New Roman" w:hAnsi="Times New Roman"/>
          <w:i/>
          <w:iCs/>
          <w:lang w:val="en-HK"/>
        </w:rPr>
        <w:t>Commission v Italy</w:t>
      </w:r>
      <w:r w:rsidRPr="001056F6">
        <w:rPr>
          <w:rFonts w:ascii="Times New Roman" w:hAnsi="Times New Roman"/>
          <w:lang w:val="en-HK"/>
        </w:rPr>
        <w:t xml:space="preserve">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reflect a broader trend in the Court’s jurisprudence:</w:t>
      </w:r>
    </w:p>
    <w:p w14:paraId="08BA396C" w14:textId="77777777" w:rsidR="001056F6" w:rsidRPr="001056F6" w:rsidRDefault="001056F6" w:rsidP="001056F6">
      <w:pPr>
        <w:numPr>
          <w:ilvl w:val="0"/>
          <w:numId w:val="2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Alignment with Free Movement of Persons</w:t>
      </w:r>
      <w:r w:rsidRPr="001056F6">
        <w:rPr>
          <w:rFonts w:ascii="Times New Roman" w:hAnsi="Times New Roman"/>
          <w:lang w:val="en-HK"/>
        </w:rPr>
        <w:t>:</w:t>
      </w:r>
    </w:p>
    <w:p w14:paraId="6B39A6D8"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market access test aligns the free movement of goods with the broader principles governing the free movement of persons, services, and capital, emphasizing individual economic freedoms.</w:t>
      </w:r>
    </w:p>
    <w:p w14:paraId="1DC298AB" w14:textId="77777777" w:rsidR="001056F6" w:rsidRPr="001056F6" w:rsidRDefault="001056F6" w:rsidP="001056F6">
      <w:pPr>
        <w:numPr>
          <w:ilvl w:val="0"/>
          <w:numId w:val="2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Erosion of the Keck Framework</w:t>
      </w:r>
      <w:r w:rsidRPr="001056F6">
        <w:rPr>
          <w:rFonts w:ascii="Times New Roman" w:hAnsi="Times New Roman"/>
          <w:lang w:val="en-HK"/>
        </w:rPr>
        <w:t>:</w:t>
      </w:r>
    </w:p>
    <w:p w14:paraId="4D6796B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The judgments suggest a gradual erosion of </w:t>
      </w:r>
      <w:r w:rsidRPr="001056F6">
        <w:rPr>
          <w:rFonts w:ascii="Times New Roman" w:hAnsi="Times New Roman"/>
          <w:i/>
          <w:iCs/>
          <w:lang w:val="en-HK"/>
        </w:rPr>
        <w:t>Keck</w:t>
      </w:r>
      <w:r w:rsidRPr="001056F6">
        <w:rPr>
          <w:rFonts w:ascii="Times New Roman" w:hAnsi="Times New Roman"/>
          <w:lang w:val="en-HK"/>
        </w:rPr>
        <w:t xml:space="preserve"> as a meaningful framework for </w:t>
      </w:r>
      <w:proofErr w:type="spellStart"/>
      <w:r w:rsidRPr="001056F6">
        <w:rPr>
          <w:rFonts w:ascii="Times New Roman" w:hAnsi="Times New Roman"/>
          <w:lang w:val="en-HK"/>
        </w:rPr>
        <w:t>analyzing</w:t>
      </w:r>
      <w:proofErr w:type="spellEnd"/>
      <w:r w:rsidRPr="001056F6">
        <w:rPr>
          <w:rFonts w:ascii="Times New Roman" w:hAnsi="Times New Roman"/>
          <w:lang w:val="en-HK"/>
        </w:rPr>
        <w:t xml:space="preserve"> MEQRs, </w:t>
      </w:r>
      <w:proofErr w:type="spellStart"/>
      <w:r w:rsidRPr="001056F6">
        <w:rPr>
          <w:rFonts w:ascii="Times New Roman" w:hAnsi="Times New Roman"/>
          <w:lang w:val="en-HK"/>
        </w:rPr>
        <w:t>signaling</w:t>
      </w:r>
      <w:proofErr w:type="spellEnd"/>
      <w:r w:rsidRPr="001056F6">
        <w:rPr>
          <w:rFonts w:ascii="Times New Roman" w:hAnsi="Times New Roman"/>
          <w:lang w:val="en-HK"/>
        </w:rPr>
        <w:t xml:space="preserve"> a return to the simplicity and flexibility of </w:t>
      </w:r>
      <w:proofErr w:type="spellStart"/>
      <w:r w:rsidRPr="001056F6">
        <w:rPr>
          <w:rFonts w:ascii="Times New Roman" w:hAnsi="Times New Roman"/>
          <w:i/>
          <w:iCs/>
          <w:lang w:val="en-HK"/>
        </w:rPr>
        <w:t>Dassonville</w:t>
      </w:r>
      <w:proofErr w:type="spellEnd"/>
      <w:r w:rsidRPr="001056F6">
        <w:rPr>
          <w:rFonts w:ascii="Times New Roman" w:hAnsi="Times New Roman"/>
          <w:lang w:val="en-HK"/>
        </w:rPr>
        <w:t>.</w:t>
      </w:r>
    </w:p>
    <w:p w14:paraId="1A0CAB1E"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1F5C6316">
          <v:rect id="_x0000_i1039" alt="" style="width:451.3pt;height:.05pt;mso-width-percent:0;mso-height-percent:0;mso-width-percent:0;mso-height-percent:0" o:hralign="center" o:hrstd="t" o:hr="t" fillcolor="#a0a0a0" stroked="f"/>
        </w:pict>
      </w:r>
    </w:p>
    <w:p w14:paraId="730D54D1"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Conclusion on the Rulings of the Court</w:t>
      </w:r>
    </w:p>
    <w:p w14:paraId="617BDB99"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concludes that the rulings mark a significant shift in the Court’s approach to the free movement of goods:</w:t>
      </w:r>
    </w:p>
    <w:p w14:paraId="67A45838" w14:textId="77777777" w:rsidR="001056F6" w:rsidRPr="001056F6" w:rsidRDefault="001056F6" w:rsidP="001056F6">
      <w:pPr>
        <w:numPr>
          <w:ilvl w:val="0"/>
          <w:numId w:val="2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Market Access as the Central Criterion</w:t>
      </w:r>
      <w:r w:rsidRPr="001056F6">
        <w:rPr>
          <w:rFonts w:ascii="Times New Roman" w:hAnsi="Times New Roman"/>
          <w:lang w:val="en-HK"/>
        </w:rPr>
        <w:t>:</w:t>
      </w:r>
    </w:p>
    <w:p w14:paraId="26D93BCE"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focus on market access simplifies the legal analysis but risks expanding the scope of Article 28 EC to include a wider range of national measures.</w:t>
      </w:r>
    </w:p>
    <w:p w14:paraId="76D8110B" w14:textId="77777777" w:rsidR="001056F6" w:rsidRPr="001056F6" w:rsidRDefault="001056F6" w:rsidP="001056F6">
      <w:pPr>
        <w:numPr>
          <w:ilvl w:val="0"/>
          <w:numId w:val="2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Stricter Scrutiny of National Measures</w:t>
      </w:r>
      <w:r w:rsidRPr="001056F6">
        <w:rPr>
          <w:rFonts w:ascii="Times New Roman" w:hAnsi="Times New Roman"/>
          <w:lang w:val="en-HK"/>
        </w:rPr>
        <w:t>:</w:t>
      </w:r>
    </w:p>
    <w:p w14:paraId="5A12D093" w14:textId="697E38BC"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rulings impose higher evidentiary and proportionality requirements on</w:t>
      </w:r>
      <w:r w:rsidRPr="001056F6">
        <w:rPr>
          <w:rFonts w:ascii="Times New Roman" w:hAnsi="Times New Roman"/>
          <w:lang w:val="en-HK"/>
        </w:rPr>
        <w:t xml:space="preserve"> </w:t>
      </w:r>
      <w:r w:rsidRPr="001056F6">
        <w:rPr>
          <w:rFonts w:ascii="Times New Roman" w:hAnsi="Times New Roman"/>
          <w:lang w:val="en-HK"/>
        </w:rPr>
        <w:t>Member States, raising questions about the balance between market integration and regulatory autonomy.</w:t>
      </w:r>
    </w:p>
    <w:p w14:paraId="1ED881BA" w14:textId="77777777" w:rsidR="001056F6" w:rsidRPr="001056F6" w:rsidRDefault="001056F6" w:rsidP="001056F6">
      <w:pPr>
        <w:numPr>
          <w:ilvl w:val="0"/>
          <w:numId w:val="2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The Future of Keck</w:t>
      </w:r>
      <w:r w:rsidRPr="001056F6">
        <w:rPr>
          <w:rFonts w:ascii="Times New Roman" w:hAnsi="Times New Roman"/>
          <w:lang w:val="en-HK"/>
        </w:rPr>
        <w:t>:</w:t>
      </w:r>
    </w:p>
    <w:p w14:paraId="72F58CBE"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While </w:t>
      </w:r>
      <w:r w:rsidRPr="001056F6">
        <w:rPr>
          <w:rFonts w:ascii="Times New Roman" w:hAnsi="Times New Roman"/>
          <w:i/>
          <w:iCs/>
          <w:lang w:val="en-HK"/>
        </w:rPr>
        <w:t>Keck</w:t>
      </w:r>
      <w:r w:rsidRPr="001056F6">
        <w:rPr>
          <w:rFonts w:ascii="Times New Roman" w:hAnsi="Times New Roman"/>
          <w:lang w:val="en-HK"/>
        </w:rPr>
        <w:t xml:space="preserve"> was not explicitly overruled, its utility has been significantly diminished. The rulings suggest that the Court is moving towards a more flexible and consistent approach based on market access.</w:t>
      </w:r>
    </w:p>
    <w:p w14:paraId="51253C80"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36521856">
          <v:rect id="_x0000_i1038" alt="" style="width:451.3pt;height:.05pt;mso-width-percent:0;mso-height-percent:0;mso-width-percent:0;mso-height-percent:0" o:hralign="center" o:hrstd="t" o:hr="t" fillcolor="#a0a0a0" stroked="f"/>
        </w:pict>
      </w:r>
    </w:p>
    <w:p w14:paraId="57393B50" w14:textId="0AE79C14"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 xml:space="preserve">IV. </w:t>
      </w:r>
      <w:r w:rsidRPr="001056F6">
        <w:rPr>
          <w:rFonts w:ascii="Times New Roman" w:hAnsi="Times New Roman"/>
          <w:b/>
          <w:bCs/>
          <w:lang w:val="en-HK"/>
        </w:rPr>
        <w:t>E.L. Rev. 919 Analysis</w:t>
      </w:r>
    </w:p>
    <w:p w14:paraId="49A54168"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1. Broadening the Concept of Market Access</w:t>
      </w:r>
    </w:p>
    <w:p w14:paraId="63CB0859"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examines how the rulings in </w:t>
      </w:r>
      <w:r w:rsidRPr="001056F6">
        <w:rPr>
          <w:rFonts w:ascii="Times New Roman" w:hAnsi="Times New Roman"/>
          <w:i/>
          <w:iCs/>
          <w:lang w:val="en-HK"/>
        </w:rPr>
        <w:t>Commission v Italy</w:t>
      </w:r>
      <w:r w:rsidRPr="001056F6">
        <w:rPr>
          <w:rFonts w:ascii="Times New Roman" w:hAnsi="Times New Roman"/>
          <w:lang w:val="en-HK"/>
        </w:rPr>
        <w:t xml:space="preserve"> (Case C-110/05)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(Case C-142/05) have significantly broadened the concept of market access under Article 28 EC (now Article 34 TFEU):</w:t>
      </w:r>
    </w:p>
    <w:p w14:paraId="7F0C28CD" w14:textId="77777777" w:rsidR="001056F6" w:rsidRPr="001056F6" w:rsidRDefault="001056F6" w:rsidP="001056F6">
      <w:pPr>
        <w:numPr>
          <w:ilvl w:val="0"/>
          <w:numId w:val="22"/>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lastRenderedPageBreak/>
        <w:t xml:space="preserve">The </w:t>
      </w:r>
      <w:r w:rsidRPr="001056F6">
        <w:rPr>
          <w:rFonts w:ascii="Times New Roman" w:hAnsi="Times New Roman"/>
          <w:b/>
          <w:bCs/>
          <w:lang w:val="en-HK"/>
        </w:rPr>
        <w:t>market access test</w:t>
      </w:r>
      <w:r w:rsidRPr="001056F6">
        <w:rPr>
          <w:rFonts w:ascii="Times New Roman" w:hAnsi="Times New Roman"/>
          <w:lang w:val="en-HK"/>
        </w:rPr>
        <w:t xml:space="preserve"> has become the dominant criterion for determining whether national measures constitute MEQRs.</w:t>
      </w:r>
    </w:p>
    <w:p w14:paraId="108644F3" w14:textId="77777777" w:rsidR="001056F6" w:rsidRPr="001056F6" w:rsidRDefault="001056F6" w:rsidP="001056F6">
      <w:pPr>
        <w:numPr>
          <w:ilvl w:val="0"/>
          <w:numId w:val="22"/>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notes that this shift signals a departure from the </w:t>
      </w:r>
      <w:r w:rsidRPr="001056F6">
        <w:rPr>
          <w:rFonts w:ascii="Times New Roman" w:hAnsi="Times New Roman"/>
          <w:i/>
          <w:iCs/>
          <w:lang w:val="en-HK"/>
        </w:rPr>
        <w:t>Keck</w:t>
      </w:r>
      <w:r w:rsidRPr="001056F6">
        <w:rPr>
          <w:rFonts w:ascii="Times New Roman" w:hAnsi="Times New Roman"/>
          <w:lang w:val="en-HK"/>
        </w:rPr>
        <w:t xml:space="preserve"> framework and its artificial distinction between product requirements and selling arrangements.</w:t>
      </w:r>
    </w:p>
    <w:p w14:paraId="0A0FD727"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Key Argument</w:t>
      </w:r>
      <w:r w:rsidRPr="001056F6">
        <w:rPr>
          <w:rFonts w:ascii="Times New Roman" w:hAnsi="Times New Roman"/>
          <w:lang w:val="en-HK"/>
        </w:rPr>
        <w:t>:</w:t>
      </w:r>
    </w:p>
    <w:p w14:paraId="1CBDA17A"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“The rulings confirm that any measure which hinders access to the market, whether directly or indirectly, constitutes a restriction under Article 28 EC.”</w:t>
      </w:r>
    </w:p>
    <w:p w14:paraId="31E8828A"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Case Example:</w:t>
      </w:r>
    </w:p>
    <w:p w14:paraId="3FE4AAF8" w14:textId="77777777" w:rsidR="001056F6" w:rsidRPr="001056F6" w:rsidRDefault="001056F6" w:rsidP="001056F6">
      <w:pPr>
        <w:numPr>
          <w:ilvl w:val="0"/>
          <w:numId w:val="23"/>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r w:rsidRPr="001056F6">
        <w:rPr>
          <w:rFonts w:ascii="Times New Roman" w:hAnsi="Times New Roman"/>
          <w:i/>
          <w:iCs/>
          <w:lang w:val="en-HK"/>
        </w:rPr>
        <w:t>Commission v Italy</w:t>
      </w:r>
      <w:r w:rsidRPr="001056F6">
        <w:rPr>
          <w:rFonts w:ascii="Times New Roman" w:hAnsi="Times New Roman"/>
          <w:lang w:val="en-HK"/>
        </w:rPr>
        <w:t>, the prohibition on towing trailers was found to discourage the purchase of trailers designed for motorcycles, thereby impeding market access.</w:t>
      </w:r>
    </w:p>
    <w:p w14:paraId="427FC6D5" w14:textId="77777777" w:rsidR="001056F6" w:rsidRPr="001056F6" w:rsidRDefault="001056F6" w:rsidP="001056F6">
      <w:pPr>
        <w:numPr>
          <w:ilvl w:val="0"/>
          <w:numId w:val="23"/>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the Swedish restrictions on the use of personal watercraft reduced their marketability and economic value, constituting a clear barrier to market access.</w:t>
      </w:r>
    </w:p>
    <w:p w14:paraId="3AFBB1F2"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0D750B38">
          <v:rect id="_x0000_i1037" alt="" style="width:451.3pt;height:.05pt;mso-width-percent:0;mso-height-percent:0;mso-width-percent:0;mso-height-percent:0" o:hralign="center" o:hrstd="t" o:hr="t" fillcolor="#a0a0a0" stroked="f"/>
        </w:pict>
      </w:r>
    </w:p>
    <w:p w14:paraId="64E65F36"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2. Criticism of the Lack of Clear Guidelines</w:t>
      </w:r>
    </w:p>
    <w:p w14:paraId="74DF93B3"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highlights the Court’s failure to provide clear and precise guidelines for applying the market access test. This lack of clarity creates uncertainty for national regulators and traders:</w:t>
      </w:r>
    </w:p>
    <w:p w14:paraId="4032283F" w14:textId="77777777" w:rsidR="001056F6" w:rsidRPr="001056F6" w:rsidRDefault="001056F6" w:rsidP="001056F6">
      <w:pPr>
        <w:numPr>
          <w:ilvl w:val="0"/>
          <w:numId w:val="24"/>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Risk of Overreach</w:t>
      </w:r>
      <w:r w:rsidRPr="001056F6">
        <w:rPr>
          <w:rFonts w:ascii="Times New Roman" w:hAnsi="Times New Roman"/>
          <w:lang w:val="en-HK"/>
        </w:rPr>
        <w:t>: Without limits, the market access test risks encompassing nearly all national rules, even those with minimal or negligible effects on trade.</w:t>
      </w:r>
    </w:p>
    <w:p w14:paraId="5F3EDA38" w14:textId="77777777" w:rsidR="001056F6" w:rsidRPr="001056F6" w:rsidRDefault="001056F6" w:rsidP="001056F6">
      <w:pPr>
        <w:numPr>
          <w:ilvl w:val="0"/>
          <w:numId w:val="24"/>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Legal Uncertainty</w:t>
      </w:r>
      <w:r w:rsidRPr="001056F6">
        <w:rPr>
          <w:rFonts w:ascii="Times New Roman" w:hAnsi="Times New Roman"/>
          <w:lang w:val="en-HK"/>
        </w:rPr>
        <w:t>: The absence of clear thresholds or criteria leaves Member States uncertain about the compatibility of their regulatory measures with EU law.</w:t>
      </w:r>
    </w:p>
    <w:p w14:paraId="09466E5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Scholarly Perspective</w:t>
      </w:r>
      <w:r w:rsidRPr="001056F6">
        <w:rPr>
          <w:rFonts w:ascii="Times New Roman" w:hAnsi="Times New Roman"/>
          <w:lang w:val="en-HK"/>
        </w:rPr>
        <w:t>:</w:t>
      </w:r>
    </w:p>
    <w:p w14:paraId="6E02AFFA" w14:textId="77777777" w:rsidR="001056F6" w:rsidRPr="001056F6" w:rsidRDefault="001056F6" w:rsidP="001056F6">
      <w:pPr>
        <w:numPr>
          <w:ilvl w:val="0"/>
          <w:numId w:val="25"/>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echoes </w:t>
      </w:r>
      <w:proofErr w:type="spellStart"/>
      <w:r w:rsidRPr="001056F6">
        <w:rPr>
          <w:rFonts w:ascii="Times New Roman" w:hAnsi="Times New Roman"/>
          <w:lang w:val="en-HK"/>
        </w:rPr>
        <w:t>Weatherill’s</w:t>
      </w:r>
      <w:proofErr w:type="spellEnd"/>
      <w:r w:rsidRPr="001056F6">
        <w:rPr>
          <w:rFonts w:ascii="Times New Roman" w:hAnsi="Times New Roman"/>
          <w:lang w:val="en-HK"/>
        </w:rPr>
        <w:t xml:space="preserve"> critique:</w:t>
      </w:r>
    </w:p>
    <w:p w14:paraId="7825FD82" w14:textId="77777777" w:rsidR="001056F6" w:rsidRPr="001056F6" w:rsidRDefault="001056F6" w:rsidP="001056F6">
      <w:pPr>
        <w:spacing w:beforeAutospacing="1" w:afterAutospacing="1" w:line="276" w:lineRule="auto"/>
        <w:ind w:left="1440"/>
        <w:rPr>
          <w:rFonts w:ascii="Times New Roman" w:hAnsi="Times New Roman"/>
          <w:lang w:val="en-HK"/>
        </w:rPr>
      </w:pPr>
      <w:r w:rsidRPr="001056F6">
        <w:rPr>
          <w:rFonts w:ascii="Times New Roman" w:hAnsi="Times New Roman"/>
          <w:lang w:val="en-HK"/>
        </w:rPr>
        <w:t>“The Court’s reliance on the concept of market access without defining its boundaries risks undermining the balance between market integration and Member State autonomy.”</w:t>
      </w:r>
    </w:p>
    <w:p w14:paraId="647B4F72"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5E3C22BB">
          <v:rect id="_x0000_i1036" alt="" style="width:451.3pt;height:.05pt;mso-width-percent:0;mso-height-percent:0;mso-width-percent:0;mso-height-percent:0" o:hralign="center" o:hrstd="t" o:hr="t" fillcolor="#a0a0a0" stroked="f"/>
        </w:pict>
      </w:r>
    </w:p>
    <w:p w14:paraId="69A3C5EB"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3. Comparison with Other Freedoms</w:t>
      </w:r>
    </w:p>
    <w:p w14:paraId="4AECABBA"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draws parallels between the market access approach in the free movement of goods and the ECJ’s interpretation of the free movement of persons, services, and capital:</w:t>
      </w:r>
    </w:p>
    <w:p w14:paraId="7484D2DD" w14:textId="77777777" w:rsidR="001056F6" w:rsidRPr="001056F6" w:rsidRDefault="001056F6" w:rsidP="001056F6">
      <w:pPr>
        <w:numPr>
          <w:ilvl w:val="0"/>
          <w:numId w:val="2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lastRenderedPageBreak/>
        <w:t>The ECJ has increasingly focused on individual economic freedoms and the removal of barriers, often prioritizing market integration over national regulatory autonomy.</w:t>
      </w:r>
    </w:p>
    <w:p w14:paraId="269A4F63" w14:textId="77777777" w:rsidR="001056F6" w:rsidRPr="001056F6" w:rsidRDefault="001056F6" w:rsidP="001056F6">
      <w:pPr>
        <w:numPr>
          <w:ilvl w:val="0"/>
          <w:numId w:val="2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By adopting a similar approach for goods, the Court aligns Article 28 EC with broader internal market principles.</w:t>
      </w:r>
    </w:p>
    <w:p w14:paraId="08E46069"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Example:</w:t>
      </w:r>
    </w:p>
    <w:p w14:paraId="3C534EA6" w14:textId="77777777" w:rsidR="001056F6" w:rsidRPr="001056F6" w:rsidRDefault="001056F6" w:rsidP="001056F6">
      <w:pPr>
        <w:numPr>
          <w:ilvl w:val="0"/>
          <w:numId w:val="27"/>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proofErr w:type="spellStart"/>
      <w:r w:rsidRPr="001056F6">
        <w:rPr>
          <w:rFonts w:ascii="Times New Roman" w:hAnsi="Times New Roman"/>
          <w:i/>
          <w:iCs/>
          <w:lang w:val="en-HK"/>
        </w:rPr>
        <w:t>Gebhard</w:t>
      </w:r>
      <w:proofErr w:type="spellEnd"/>
      <w:r w:rsidRPr="001056F6">
        <w:rPr>
          <w:rFonts w:ascii="Times New Roman" w:hAnsi="Times New Roman"/>
          <w:i/>
          <w:iCs/>
          <w:lang w:val="en-HK"/>
        </w:rPr>
        <w:t xml:space="preserve"> v </w:t>
      </w:r>
      <w:proofErr w:type="spellStart"/>
      <w:r w:rsidRPr="001056F6">
        <w:rPr>
          <w:rFonts w:ascii="Times New Roman" w:hAnsi="Times New Roman"/>
          <w:i/>
          <w:iCs/>
          <w:lang w:val="en-HK"/>
        </w:rPr>
        <w:t>Consiglio</w:t>
      </w:r>
      <w:proofErr w:type="spellEnd"/>
      <w:r w:rsidRPr="001056F6">
        <w:rPr>
          <w:rFonts w:ascii="Times New Roman" w:hAnsi="Times New Roman"/>
          <w:i/>
          <w:iCs/>
          <w:lang w:val="en-HK"/>
        </w:rPr>
        <w:t xml:space="preserve"> </w:t>
      </w:r>
      <w:proofErr w:type="spellStart"/>
      <w:r w:rsidRPr="001056F6">
        <w:rPr>
          <w:rFonts w:ascii="Times New Roman" w:hAnsi="Times New Roman"/>
          <w:i/>
          <w:iCs/>
          <w:lang w:val="en-HK"/>
        </w:rPr>
        <w:t>dell'Ordine</w:t>
      </w:r>
      <w:proofErr w:type="spellEnd"/>
      <w:r w:rsidRPr="001056F6">
        <w:rPr>
          <w:rFonts w:ascii="Times New Roman" w:hAnsi="Times New Roman"/>
          <w:i/>
          <w:iCs/>
          <w:lang w:val="en-HK"/>
        </w:rPr>
        <w:t xml:space="preserve"> </w:t>
      </w:r>
      <w:proofErr w:type="spellStart"/>
      <w:r w:rsidRPr="001056F6">
        <w:rPr>
          <w:rFonts w:ascii="Times New Roman" w:hAnsi="Times New Roman"/>
          <w:i/>
          <w:iCs/>
          <w:lang w:val="en-HK"/>
        </w:rPr>
        <w:t>degli</w:t>
      </w:r>
      <w:proofErr w:type="spellEnd"/>
      <w:r w:rsidRPr="001056F6">
        <w:rPr>
          <w:rFonts w:ascii="Times New Roman" w:hAnsi="Times New Roman"/>
          <w:i/>
          <w:iCs/>
          <w:lang w:val="en-HK"/>
        </w:rPr>
        <w:t xml:space="preserve"> </w:t>
      </w:r>
      <w:proofErr w:type="spellStart"/>
      <w:r w:rsidRPr="001056F6">
        <w:rPr>
          <w:rFonts w:ascii="Times New Roman" w:hAnsi="Times New Roman"/>
          <w:i/>
          <w:iCs/>
          <w:lang w:val="en-HK"/>
        </w:rPr>
        <w:t>Avvocati</w:t>
      </w:r>
      <w:proofErr w:type="spellEnd"/>
      <w:r w:rsidRPr="001056F6">
        <w:rPr>
          <w:rFonts w:ascii="Times New Roman" w:hAnsi="Times New Roman"/>
          <w:i/>
          <w:iCs/>
          <w:lang w:val="en-HK"/>
        </w:rPr>
        <w:t xml:space="preserve"> e </w:t>
      </w:r>
      <w:proofErr w:type="spellStart"/>
      <w:r w:rsidRPr="001056F6">
        <w:rPr>
          <w:rFonts w:ascii="Times New Roman" w:hAnsi="Times New Roman"/>
          <w:i/>
          <w:iCs/>
          <w:lang w:val="en-HK"/>
        </w:rPr>
        <w:t>Procuratori</w:t>
      </w:r>
      <w:proofErr w:type="spellEnd"/>
      <w:r w:rsidRPr="001056F6">
        <w:rPr>
          <w:rFonts w:ascii="Times New Roman" w:hAnsi="Times New Roman"/>
          <w:i/>
          <w:iCs/>
          <w:lang w:val="en-HK"/>
        </w:rPr>
        <w:t xml:space="preserve"> di Milano</w:t>
      </w:r>
      <w:r w:rsidRPr="001056F6">
        <w:rPr>
          <w:rFonts w:ascii="Times New Roman" w:hAnsi="Times New Roman"/>
          <w:lang w:val="en-HK"/>
        </w:rPr>
        <w:t xml:space="preserve"> (Case C-55/94), the Court emphasized that restrictions on freedom of establishment must be justified and proportionate.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argues that the market access test in goods law reflects a similar balancing exercise.</w:t>
      </w:r>
    </w:p>
    <w:p w14:paraId="62FCFA1D"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40D5366">
          <v:rect id="_x0000_i1035" alt="" style="width:451.3pt;height:.05pt;mso-width-percent:0;mso-height-percent:0;mso-width-percent:0;mso-height-percent:0" o:hralign="center" o:hrstd="t" o:hr="t" fillcolor="#a0a0a0" stroked="f"/>
        </w:pict>
      </w:r>
    </w:p>
    <w:p w14:paraId="1E141323"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4. Implications for Member State Autonomy</w:t>
      </w:r>
    </w:p>
    <w:p w14:paraId="032EEF13"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critiques the Court’s market access approach for its potential to undermine Member State regulatory autonomy:</w:t>
      </w:r>
    </w:p>
    <w:p w14:paraId="3A9658B6" w14:textId="77777777" w:rsidR="001056F6" w:rsidRPr="001056F6" w:rsidRDefault="001056F6" w:rsidP="001056F6">
      <w:pPr>
        <w:numPr>
          <w:ilvl w:val="0"/>
          <w:numId w:val="28"/>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Stricter Scrutiny of Non-Discriminatory Measures</w:t>
      </w:r>
      <w:r w:rsidRPr="001056F6">
        <w:rPr>
          <w:rFonts w:ascii="Times New Roman" w:hAnsi="Times New Roman"/>
          <w:lang w:val="en-HK"/>
        </w:rPr>
        <w:t>:</w:t>
      </w:r>
    </w:p>
    <w:p w14:paraId="34D6096C" w14:textId="77777777" w:rsidR="001056F6" w:rsidRPr="001056F6" w:rsidRDefault="001056F6" w:rsidP="001056F6">
      <w:pPr>
        <w:numPr>
          <w:ilvl w:val="1"/>
          <w:numId w:val="28"/>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rulings suggest that even non-discriminatory measures must undergo rigorous scrutiny if they impede market access. This raises concerns about the Court’s willingness to second-guess Member State policy decisions.</w:t>
      </w:r>
    </w:p>
    <w:p w14:paraId="123453C5" w14:textId="77777777" w:rsidR="001056F6" w:rsidRPr="001056F6" w:rsidRDefault="001056F6" w:rsidP="001056F6">
      <w:pPr>
        <w:numPr>
          <w:ilvl w:val="1"/>
          <w:numId w:val="28"/>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For example, in </w:t>
      </w:r>
      <w:r w:rsidRPr="001056F6">
        <w:rPr>
          <w:rFonts w:ascii="Times New Roman" w:hAnsi="Times New Roman"/>
          <w:i/>
          <w:iCs/>
          <w:lang w:val="en-HK"/>
        </w:rPr>
        <w:t>Commission v Italy</w:t>
      </w:r>
      <w:r w:rsidRPr="001056F6">
        <w:rPr>
          <w:rFonts w:ascii="Times New Roman" w:hAnsi="Times New Roman"/>
          <w:lang w:val="en-HK"/>
        </w:rPr>
        <w:t>, Italy’s road safety justification was rejected because it failed the proportionality test, despite being a legitimate public interest.</w:t>
      </w:r>
    </w:p>
    <w:p w14:paraId="7C7E76BE" w14:textId="77777777" w:rsidR="001056F6" w:rsidRPr="001056F6" w:rsidRDefault="001056F6" w:rsidP="001056F6">
      <w:pPr>
        <w:numPr>
          <w:ilvl w:val="0"/>
          <w:numId w:val="28"/>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Erosion of the Keck Framework</w:t>
      </w:r>
      <w:r w:rsidRPr="001056F6">
        <w:rPr>
          <w:rFonts w:ascii="Times New Roman" w:hAnsi="Times New Roman"/>
          <w:lang w:val="en-HK"/>
        </w:rPr>
        <w:t>:</w:t>
      </w:r>
    </w:p>
    <w:p w14:paraId="1A9E507C" w14:textId="77777777" w:rsidR="001056F6" w:rsidRPr="001056F6" w:rsidRDefault="001056F6" w:rsidP="001056F6">
      <w:pPr>
        <w:numPr>
          <w:ilvl w:val="1"/>
          <w:numId w:val="28"/>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By broadening the scope of Article 28 EC, the Court effectively sidelines </w:t>
      </w:r>
      <w:r w:rsidRPr="001056F6">
        <w:rPr>
          <w:rFonts w:ascii="Times New Roman" w:hAnsi="Times New Roman"/>
          <w:i/>
          <w:iCs/>
          <w:lang w:val="en-HK"/>
        </w:rPr>
        <w:t>Keck</w:t>
      </w:r>
      <w:r w:rsidRPr="001056F6">
        <w:rPr>
          <w:rFonts w:ascii="Times New Roman" w:hAnsi="Times New Roman"/>
          <w:lang w:val="en-HK"/>
        </w:rPr>
        <w:t>, which had sought to preserve Member State discretion in regulating certain selling arrangements.</w:t>
      </w:r>
    </w:p>
    <w:p w14:paraId="46826975" w14:textId="77777777" w:rsidR="001056F6" w:rsidRPr="001056F6" w:rsidRDefault="001056F6" w:rsidP="001056F6">
      <w:pPr>
        <w:numPr>
          <w:ilvl w:val="1"/>
          <w:numId w:val="28"/>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observes:</w:t>
      </w:r>
    </w:p>
    <w:p w14:paraId="14148120" w14:textId="77777777" w:rsidR="001056F6" w:rsidRPr="001056F6" w:rsidRDefault="001056F6" w:rsidP="001056F6">
      <w:pPr>
        <w:spacing w:beforeAutospacing="1" w:afterAutospacing="1" w:line="276" w:lineRule="auto"/>
        <w:ind w:left="2160"/>
        <w:rPr>
          <w:rFonts w:ascii="Times New Roman" w:hAnsi="Times New Roman"/>
          <w:lang w:val="en-HK"/>
        </w:rPr>
      </w:pPr>
      <w:r w:rsidRPr="001056F6">
        <w:rPr>
          <w:rFonts w:ascii="Times New Roman" w:hAnsi="Times New Roman"/>
          <w:lang w:val="en-HK"/>
        </w:rPr>
        <w:t xml:space="preserve">“The abandonment of </w:t>
      </w:r>
      <w:r w:rsidRPr="001056F6">
        <w:rPr>
          <w:rFonts w:ascii="Times New Roman" w:hAnsi="Times New Roman"/>
          <w:i/>
          <w:iCs/>
          <w:lang w:val="en-HK"/>
        </w:rPr>
        <w:t>Keck</w:t>
      </w:r>
      <w:r w:rsidRPr="001056F6">
        <w:rPr>
          <w:rFonts w:ascii="Times New Roman" w:hAnsi="Times New Roman"/>
          <w:lang w:val="en-HK"/>
        </w:rPr>
        <w:t xml:space="preserve"> risks transforming Article 28 EC into a tool for judicial activism, with insufficient regard for national regulatory diversity.”</w:t>
      </w:r>
    </w:p>
    <w:p w14:paraId="71AA775F"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E45465F">
          <v:rect id="_x0000_i1034" alt="" style="width:451.3pt;height:.05pt;mso-width-percent:0;mso-height-percent:0;mso-width-percent:0;mso-height-percent:0" o:hralign="center" o:hrstd="t" o:hr="t" fillcolor="#a0a0a0" stroked="f"/>
        </w:pict>
      </w:r>
    </w:p>
    <w:p w14:paraId="33B2740B"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5. Potential for Increased Litigation</w:t>
      </w:r>
    </w:p>
    <w:p w14:paraId="601A9F7D"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warns that the lack of clear guidelines for the market access test could lead to increased litigation:</w:t>
      </w:r>
    </w:p>
    <w:p w14:paraId="786561E9" w14:textId="77777777" w:rsidR="001056F6" w:rsidRPr="001056F6" w:rsidRDefault="001056F6" w:rsidP="001056F6">
      <w:pPr>
        <w:numPr>
          <w:ilvl w:val="0"/>
          <w:numId w:val="29"/>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Traders may challenge a wide range of national measures, arguing that they impede market access.</w:t>
      </w:r>
    </w:p>
    <w:p w14:paraId="646A303D" w14:textId="77777777" w:rsidR="001056F6" w:rsidRPr="001056F6" w:rsidRDefault="001056F6" w:rsidP="001056F6">
      <w:pPr>
        <w:numPr>
          <w:ilvl w:val="0"/>
          <w:numId w:val="29"/>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lastRenderedPageBreak/>
        <w:t>Member States may face greater difficulty defending their regulations, particularly in sensitive policy areas such as public health, safety, and environmental protection.</w:t>
      </w:r>
    </w:p>
    <w:p w14:paraId="58C97318"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Supporting Argument:</w:t>
      </w:r>
    </w:p>
    <w:p w14:paraId="43513EE1"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uncertainty surrounding the market access test is compounded by the Court’s inconsistent reasoning. For example:</w:t>
      </w:r>
    </w:p>
    <w:p w14:paraId="1EE60B71"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the Court required proportionality in the application of environmental rules but provided little guidance on how this should be assessed in practice.</w:t>
      </w:r>
    </w:p>
    <w:p w14:paraId="7A51AF63"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52A98DF1">
          <v:rect id="_x0000_i1033" alt="" style="width:451.3pt;height:.05pt;mso-width-percent:0;mso-height-percent:0;mso-width-percent:0;mso-height-percent:0" o:hralign="center" o:hrstd="t" o:hr="t" fillcolor="#a0a0a0" stroked="f"/>
        </w:pict>
      </w:r>
    </w:p>
    <w:p w14:paraId="2AC251CB"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6. Balancing Market Integration and Regulatory Autonomy</w:t>
      </w:r>
    </w:p>
    <w:p w14:paraId="7BC890B7"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argues that the Court must strike a better balance between promoting market integration and respecting Member State autonomy:</w:t>
      </w:r>
    </w:p>
    <w:p w14:paraId="5864B09E" w14:textId="77777777" w:rsidR="001056F6" w:rsidRPr="001056F6" w:rsidRDefault="001056F6" w:rsidP="001056F6">
      <w:pPr>
        <w:numPr>
          <w:ilvl w:val="0"/>
          <w:numId w:val="3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Proportionality as a Safeguard</w:t>
      </w:r>
      <w:r w:rsidRPr="001056F6">
        <w:rPr>
          <w:rFonts w:ascii="Times New Roman" w:hAnsi="Times New Roman"/>
          <w:lang w:val="en-HK"/>
        </w:rPr>
        <w:t>:</w:t>
      </w:r>
    </w:p>
    <w:p w14:paraId="29D88C12"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While proportionality provides a mechanism for balancing trade freedoms with legitimate public interests, its application remains inconsistent and underdefined.</w:t>
      </w:r>
    </w:p>
    <w:p w14:paraId="73824CE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For example, in </w:t>
      </w:r>
      <w:r w:rsidRPr="001056F6">
        <w:rPr>
          <w:rFonts w:ascii="Times New Roman" w:hAnsi="Times New Roman"/>
          <w:i/>
          <w:iCs/>
          <w:lang w:val="en-HK"/>
        </w:rPr>
        <w:t>Commission v Italy</w:t>
      </w:r>
      <w:r w:rsidRPr="001056F6">
        <w:rPr>
          <w:rFonts w:ascii="Times New Roman" w:hAnsi="Times New Roman"/>
          <w:lang w:val="en-HK"/>
        </w:rPr>
        <w:t>, the Court’s rejection of Italy’s road safety justification raised questions about the adequacy of evidence required to satisfy the proportionality test.</w:t>
      </w:r>
    </w:p>
    <w:p w14:paraId="68CC325F" w14:textId="77777777" w:rsidR="001056F6" w:rsidRPr="001056F6" w:rsidRDefault="001056F6" w:rsidP="001056F6">
      <w:pPr>
        <w:numPr>
          <w:ilvl w:val="0"/>
          <w:numId w:val="31"/>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Sound Constitutional Principles</w:t>
      </w:r>
      <w:r w:rsidRPr="001056F6">
        <w:rPr>
          <w:rFonts w:ascii="Times New Roman" w:hAnsi="Times New Roman"/>
          <w:lang w:val="en-HK"/>
        </w:rPr>
        <w:t>:</w:t>
      </w:r>
    </w:p>
    <w:p w14:paraId="7CB5503B"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emphasizes the need for sound constitutional principles to justify the expansion of Article 28 EC’s scope:</w:t>
      </w:r>
    </w:p>
    <w:p w14:paraId="52D3F2F3"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“The legitimacy of judicial interventions depends on their grounding in clear and consistent interpretive principles.”</w:t>
      </w:r>
    </w:p>
    <w:p w14:paraId="281C365C"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DB731D0">
          <v:rect id="_x0000_i1032" alt="" style="width:451.3pt;height:.05pt;mso-width-percent:0;mso-height-percent:0;mso-width-percent:0;mso-height-percent:0" o:hralign="center" o:hrstd="t" o:hr="t" fillcolor="#a0a0a0" stroked="f"/>
        </w:pict>
      </w:r>
    </w:p>
    <w:p w14:paraId="5D5E3858"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Conclusion on E.L. Rev. 919 Analysis</w:t>
      </w:r>
    </w:p>
    <w:p w14:paraId="02A46868"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concludes that while the market access test provides a more flexible framework for </w:t>
      </w:r>
      <w:proofErr w:type="spellStart"/>
      <w:r w:rsidRPr="001056F6">
        <w:rPr>
          <w:rFonts w:ascii="Times New Roman" w:hAnsi="Times New Roman"/>
          <w:lang w:val="en-HK"/>
        </w:rPr>
        <w:t>analyzing</w:t>
      </w:r>
      <w:proofErr w:type="spellEnd"/>
      <w:r w:rsidRPr="001056F6">
        <w:rPr>
          <w:rFonts w:ascii="Times New Roman" w:hAnsi="Times New Roman"/>
          <w:lang w:val="en-HK"/>
        </w:rPr>
        <w:t xml:space="preserve"> MEQRs, its lack of clear boundaries risks undermining legal certainty and Member State autonomy. The rulings in </w:t>
      </w:r>
      <w:r w:rsidRPr="001056F6">
        <w:rPr>
          <w:rFonts w:ascii="Times New Roman" w:hAnsi="Times New Roman"/>
          <w:i/>
          <w:iCs/>
          <w:lang w:val="en-HK"/>
        </w:rPr>
        <w:t>Commission v Italy</w:t>
      </w:r>
      <w:r w:rsidRPr="001056F6">
        <w:rPr>
          <w:rFonts w:ascii="Times New Roman" w:hAnsi="Times New Roman"/>
          <w:lang w:val="en-HK"/>
        </w:rPr>
        <w:t xml:space="preserve">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mark a shift towards prioritizing economic freedoms, but this comes at the cost of increasing judicial scrutiny over national regulatory measures. To maintain the legitimacy of EU law, the Court must provide clearer guidelines and strike a better balance between market integration and regulatory diversity.</w:t>
      </w:r>
    </w:p>
    <w:p w14:paraId="7846087D"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lastRenderedPageBreak/>
        <w:pict w14:anchorId="07FEDB8C">
          <v:rect id="_x0000_i1031" alt="" style="width:451.3pt;height:.05pt;mso-width-percent:0;mso-height-percent:0;mso-width-percent:0;mso-height-percent:0" o:hralign="center" o:hrstd="t" o:hr="t" fillcolor="#a0a0a0" stroked="f"/>
        </w:pict>
      </w:r>
    </w:p>
    <w:p w14:paraId="42C31800" w14:textId="176924A0"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 xml:space="preserve">V. </w:t>
      </w:r>
      <w:r w:rsidRPr="001056F6">
        <w:rPr>
          <w:rFonts w:ascii="Times New Roman" w:hAnsi="Times New Roman"/>
          <w:b/>
          <w:bCs/>
          <w:lang w:val="en-HK"/>
        </w:rPr>
        <w:t>Conclusions</w:t>
      </w:r>
    </w:p>
    <w:p w14:paraId="517C84A7"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1. The Shift Away from Keck</w:t>
      </w:r>
    </w:p>
    <w:p w14:paraId="30F9CD8A"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Eleanor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concludes that the rulings in </w:t>
      </w:r>
      <w:r w:rsidRPr="001056F6">
        <w:rPr>
          <w:rFonts w:ascii="Times New Roman" w:hAnsi="Times New Roman"/>
          <w:i/>
          <w:iCs/>
          <w:lang w:val="en-HK"/>
        </w:rPr>
        <w:t>Commission v Italy</w:t>
      </w:r>
      <w:r w:rsidRPr="001056F6">
        <w:rPr>
          <w:rFonts w:ascii="Times New Roman" w:hAnsi="Times New Roman"/>
          <w:lang w:val="en-HK"/>
        </w:rPr>
        <w:t xml:space="preserve"> (Case C-110/05)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(Case C-142/05) signal a substantial shift away from the framework established in </w:t>
      </w:r>
      <w:r w:rsidRPr="001056F6">
        <w:rPr>
          <w:rFonts w:ascii="Times New Roman" w:hAnsi="Times New Roman"/>
          <w:i/>
          <w:iCs/>
          <w:lang w:val="en-HK"/>
        </w:rPr>
        <w:t>Keck</w:t>
      </w:r>
      <w:r w:rsidRPr="001056F6">
        <w:rPr>
          <w:rFonts w:ascii="Times New Roman" w:hAnsi="Times New Roman"/>
          <w:lang w:val="en-HK"/>
        </w:rPr>
        <w:t xml:space="preserve"> (Case C-267/91). While the Court did not formally overrule </w:t>
      </w:r>
      <w:r w:rsidRPr="001056F6">
        <w:rPr>
          <w:rFonts w:ascii="Times New Roman" w:hAnsi="Times New Roman"/>
          <w:i/>
          <w:iCs/>
          <w:lang w:val="en-HK"/>
        </w:rPr>
        <w:t>Keck</w:t>
      </w:r>
      <w:r w:rsidRPr="001056F6">
        <w:rPr>
          <w:rFonts w:ascii="Times New Roman" w:hAnsi="Times New Roman"/>
          <w:lang w:val="en-HK"/>
        </w:rPr>
        <w:t>, it has:</w:t>
      </w:r>
    </w:p>
    <w:p w14:paraId="7A4EFCEC" w14:textId="77777777" w:rsidR="001056F6" w:rsidRPr="001056F6" w:rsidRDefault="001056F6" w:rsidP="001056F6">
      <w:pPr>
        <w:numPr>
          <w:ilvl w:val="0"/>
          <w:numId w:val="32"/>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Marginalized its significance by prioritizing a </w:t>
      </w:r>
      <w:r w:rsidRPr="001056F6">
        <w:rPr>
          <w:rFonts w:ascii="Times New Roman" w:hAnsi="Times New Roman"/>
          <w:b/>
          <w:bCs/>
          <w:lang w:val="en-HK"/>
        </w:rPr>
        <w:t>market access test</w:t>
      </w:r>
      <w:r w:rsidRPr="001056F6">
        <w:rPr>
          <w:rFonts w:ascii="Times New Roman" w:hAnsi="Times New Roman"/>
          <w:lang w:val="en-HK"/>
        </w:rPr>
        <w:t xml:space="preserve"> over the rigid distinction between “product requirements” and “selling arrangements.”</w:t>
      </w:r>
    </w:p>
    <w:p w14:paraId="4349E91D" w14:textId="77777777" w:rsidR="001056F6" w:rsidRPr="001056F6" w:rsidRDefault="001056F6" w:rsidP="001056F6">
      <w:pPr>
        <w:numPr>
          <w:ilvl w:val="0"/>
          <w:numId w:val="32"/>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Rendered </w:t>
      </w:r>
      <w:r w:rsidRPr="001056F6">
        <w:rPr>
          <w:rFonts w:ascii="Times New Roman" w:hAnsi="Times New Roman"/>
          <w:i/>
          <w:iCs/>
          <w:lang w:val="en-HK"/>
        </w:rPr>
        <w:t>Keck</w:t>
      </w:r>
      <w:r w:rsidRPr="001056F6">
        <w:rPr>
          <w:rFonts w:ascii="Times New Roman" w:hAnsi="Times New Roman"/>
          <w:lang w:val="en-HK"/>
        </w:rPr>
        <w:t xml:space="preserve"> practically redundant, as the market access test captures a wider array of measures, including use restrictions.</w:t>
      </w:r>
    </w:p>
    <w:p w14:paraId="0580CF49"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Key Argument</w:t>
      </w:r>
      <w:r w:rsidRPr="001056F6">
        <w:rPr>
          <w:rFonts w:ascii="Times New Roman" w:hAnsi="Times New Roman"/>
          <w:lang w:val="en-HK"/>
        </w:rPr>
        <w:t>:</w:t>
      </w:r>
    </w:p>
    <w:p w14:paraId="399CDD84"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 xml:space="preserve">"The Court has chosen flexibility over categorization, </w:t>
      </w:r>
      <w:proofErr w:type="spellStart"/>
      <w:r w:rsidRPr="001056F6">
        <w:rPr>
          <w:rFonts w:ascii="Times New Roman" w:hAnsi="Times New Roman"/>
          <w:lang w:val="en-HK"/>
        </w:rPr>
        <w:t>favoring</w:t>
      </w:r>
      <w:proofErr w:type="spellEnd"/>
      <w:r w:rsidRPr="001056F6">
        <w:rPr>
          <w:rFonts w:ascii="Times New Roman" w:hAnsi="Times New Roman"/>
          <w:lang w:val="en-HK"/>
        </w:rPr>
        <w:t xml:space="preserve"> an approach that emphasizes the economic impact of measures rather than their formal characteristics."</w:t>
      </w:r>
    </w:p>
    <w:p w14:paraId="51EADB0E"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E3440E4">
          <v:rect id="_x0000_i1030" alt="" style="width:451.3pt;height:.05pt;mso-width-percent:0;mso-height-percent:0;mso-width-percent:0;mso-height-percent:0" o:hralign="center" o:hrstd="t" o:hr="t" fillcolor="#a0a0a0" stroked="f"/>
        </w:pict>
      </w:r>
    </w:p>
    <w:p w14:paraId="39E29A94"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2. The Dominance of the Market Access Test</w:t>
      </w:r>
    </w:p>
    <w:p w14:paraId="4550E839"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highlights that the </w:t>
      </w:r>
      <w:r w:rsidRPr="001056F6">
        <w:rPr>
          <w:rFonts w:ascii="Times New Roman" w:hAnsi="Times New Roman"/>
          <w:b/>
          <w:bCs/>
          <w:lang w:val="en-HK"/>
        </w:rPr>
        <w:t>market access test</w:t>
      </w:r>
      <w:r w:rsidRPr="001056F6">
        <w:rPr>
          <w:rFonts w:ascii="Times New Roman" w:hAnsi="Times New Roman"/>
          <w:lang w:val="en-HK"/>
        </w:rPr>
        <w:t xml:space="preserve"> has now become the central criterion for determining whether a national measure breaches Article 28 EC (now Article 34 TFEU). Under this test:</w:t>
      </w:r>
    </w:p>
    <w:p w14:paraId="4BE99EFC" w14:textId="77777777" w:rsidR="001056F6" w:rsidRPr="001056F6" w:rsidRDefault="001056F6" w:rsidP="001056F6">
      <w:pPr>
        <w:numPr>
          <w:ilvl w:val="0"/>
          <w:numId w:val="33"/>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Any measure that hinders access to the market, even indirectly or potentially, may be considered an MEQR.</w:t>
      </w:r>
    </w:p>
    <w:p w14:paraId="5C84FFF0" w14:textId="77777777" w:rsidR="001056F6" w:rsidRPr="001056F6" w:rsidRDefault="001056F6" w:rsidP="001056F6">
      <w:pPr>
        <w:numPr>
          <w:ilvl w:val="0"/>
          <w:numId w:val="33"/>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focus shifts from the form of the measure to its practical effect on the marketability of goods.</w:t>
      </w:r>
    </w:p>
    <w:p w14:paraId="755B8495"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Examples:</w:t>
      </w:r>
    </w:p>
    <w:p w14:paraId="52FA45A2" w14:textId="77777777" w:rsidR="001056F6" w:rsidRPr="001056F6" w:rsidRDefault="001056F6" w:rsidP="001056F6">
      <w:pPr>
        <w:numPr>
          <w:ilvl w:val="0"/>
          <w:numId w:val="34"/>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r w:rsidRPr="001056F6">
        <w:rPr>
          <w:rFonts w:ascii="Times New Roman" w:hAnsi="Times New Roman"/>
          <w:i/>
          <w:iCs/>
          <w:lang w:val="en-HK"/>
        </w:rPr>
        <w:t>Commission v Italy</w:t>
      </w:r>
      <w:r w:rsidRPr="001056F6">
        <w:rPr>
          <w:rFonts w:ascii="Times New Roman" w:hAnsi="Times New Roman"/>
          <w:lang w:val="en-HK"/>
        </w:rPr>
        <w:t>, the prohibition on towing trailers restricted the utility and desirability of imported trailers, constituting a barrier to market access.</w:t>
      </w:r>
    </w:p>
    <w:p w14:paraId="664E3B48" w14:textId="77777777" w:rsidR="001056F6" w:rsidRPr="001056F6" w:rsidRDefault="001056F6" w:rsidP="001056F6">
      <w:pPr>
        <w:numPr>
          <w:ilvl w:val="0"/>
          <w:numId w:val="34"/>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In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Swedish rules on watercraft usage significantly reduced the value and marketability of such products, making them an MEQR.</w:t>
      </w:r>
    </w:p>
    <w:p w14:paraId="6245146B"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argues that this approach aligns with the principles of </w:t>
      </w:r>
      <w:proofErr w:type="spellStart"/>
      <w:r w:rsidRPr="001056F6">
        <w:rPr>
          <w:rFonts w:ascii="Times New Roman" w:hAnsi="Times New Roman"/>
          <w:i/>
          <w:iCs/>
          <w:lang w:val="en-HK"/>
        </w:rPr>
        <w:t>Dassonville</w:t>
      </w:r>
      <w:proofErr w:type="spellEnd"/>
      <w:r w:rsidRPr="001056F6">
        <w:rPr>
          <w:rFonts w:ascii="Times New Roman" w:hAnsi="Times New Roman"/>
          <w:lang w:val="en-HK"/>
        </w:rPr>
        <w:t xml:space="preserve"> (Case 8/74), which defines MEQRs as:</w:t>
      </w:r>
    </w:p>
    <w:p w14:paraId="0F2D2FDB"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"All trading rules enacted by Member States which are capable of hindering, directly or indirectly, actually or potentially, intra-Community trade."</w:t>
      </w:r>
    </w:p>
    <w:p w14:paraId="53919603"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lastRenderedPageBreak/>
        <w:pict w14:anchorId="45AA5022">
          <v:rect id="_x0000_i1029" alt="" style="width:451.3pt;height:.05pt;mso-width-percent:0;mso-height-percent:0;mso-width-percent:0;mso-height-percent:0" o:hralign="center" o:hrstd="t" o:hr="t" fillcolor="#a0a0a0" stroked="f"/>
        </w:pict>
      </w:r>
    </w:p>
    <w:p w14:paraId="1334C670"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3. Implications for Member States</w:t>
      </w:r>
    </w:p>
    <w:p w14:paraId="6AAD65E4"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A. Stricter Scrutiny of National Measures</w:t>
      </w:r>
      <w:r w:rsidRPr="001056F6">
        <w:rPr>
          <w:rFonts w:ascii="Times New Roman" w:hAnsi="Times New Roman"/>
          <w:lang w:val="en-HK"/>
        </w:rPr>
        <w:t>:</w:t>
      </w:r>
    </w:p>
    <w:p w14:paraId="192AC64E" w14:textId="77777777" w:rsidR="001056F6" w:rsidRPr="001056F6" w:rsidRDefault="001056F6" w:rsidP="001056F6">
      <w:pPr>
        <w:numPr>
          <w:ilvl w:val="0"/>
          <w:numId w:val="35"/>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points out that the market access test subjects Member State regulations to stricter scrutiny, even if they are non-discriminatory.</w:t>
      </w:r>
    </w:p>
    <w:p w14:paraId="19065616" w14:textId="77777777" w:rsidR="001056F6" w:rsidRPr="001056F6" w:rsidRDefault="001056F6" w:rsidP="001056F6">
      <w:pPr>
        <w:numPr>
          <w:ilvl w:val="0"/>
          <w:numId w:val="35"/>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Member States now face heightened evidentiary burdens to justify measures that affect trade. For example, in </w:t>
      </w:r>
      <w:r w:rsidRPr="001056F6">
        <w:rPr>
          <w:rFonts w:ascii="Times New Roman" w:hAnsi="Times New Roman"/>
          <w:i/>
          <w:iCs/>
          <w:lang w:val="en-HK"/>
        </w:rPr>
        <w:t>Commission v Italy</w:t>
      </w:r>
      <w:r w:rsidRPr="001056F6">
        <w:rPr>
          <w:rFonts w:ascii="Times New Roman" w:hAnsi="Times New Roman"/>
          <w:lang w:val="en-HK"/>
        </w:rPr>
        <w:t>, Italy’s road safety justification was deemed insufficient due to a lack of proportionality.</w:t>
      </w:r>
    </w:p>
    <w:p w14:paraId="232142DD"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B. Erosion of Regulatory Autonomy</w:t>
      </w:r>
      <w:r w:rsidRPr="001056F6">
        <w:rPr>
          <w:rFonts w:ascii="Times New Roman" w:hAnsi="Times New Roman"/>
          <w:lang w:val="en-HK"/>
        </w:rPr>
        <w:t>:</w:t>
      </w:r>
    </w:p>
    <w:p w14:paraId="4E0EECF4" w14:textId="77777777" w:rsidR="001056F6" w:rsidRPr="001056F6" w:rsidRDefault="001056F6" w:rsidP="001056F6">
      <w:pPr>
        <w:numPr>
          <w:ilvl w:val="0"/>
          <w:numId w:val="36"/>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broad application of the market access test risks encroaching on Member State autonomy, particularly in sensitive areas such as public health, safety, and environmental protection.</w:t>
      </w:r>
    </w:p>
    <w:p w14:paraId="2DA53039" w14:textId="77777777" w:rsidR="001056F6" w:rsidRPr="001056F6" w:rsidRDefault="001056F6" w:rsidP="001056F6">
      <w:pPr>
        <w:numPr>
          <w:ilvl w:val="0"/>
          <w:numId w:val="36"/>
        </w:num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warns:</w:t>
      </w:r>
    </w:p>
    <w:p w14:paraId="3537BD8B" w14:textId="77777777" w:rsidR="001056F6" w:rsidRPr="001056F6" w:rsidRDefault="001056F6" w:rsidP="001056F6">
      <w:pPr>
        <w:spacing w:beforeAutospacing="1" w:afterAutospacing="1" w:line="276" w:lineRule="auto"/>
        <w:ind w:left="1440"/>
        <w:rPr>
          <w:rFonts w:ascii="Times New Roman" w:hAnsi="Times New Roman"/>
          <w:lang w:val="en-HK"/>
        </w:rPr>
      </w:pPr>
      <w:r w:rsidRPr="001056F6">
        <w:rPr>
          <w:rFonts w:ascii="Times New Roman" w:hAnsi="Times New Roman"/>
          <w:lang w:val="en-HK"/>
        </w:rPr>
        <w:t>"The Court’s approach risks transforming Article 28 EC into a tool for overriding national regulatory preferences, with insufficient regard for diversity within the Union."</w:t>
      </w:r>
    </w:p>
    <w:p w14:paraId="366F583C"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31D0F202">
          <v:rect id="_x0000_i1028" alt="" style="width:451.3pt;height:.05pt;mso-width-percent:0;mso-height-percent:0;mso-width-percent:0;mso-height-percent:0" o:hralign="center" o:hrstd="t" o:hr="t" fillcolor="#a0a0a0" stroked="f"/>
        </w:pict>
      </w:r>
    </w:p>
    <w:p w14:paraId="6898CE5C"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4. Risks of Legal Uncertainty</w:t>
      </w:r>
    </w:p>
    <w:p w14:paraId="49319416"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emphasizes that the market access test introduces new uncertainties:</w:t>
      </w:r>
    </w:p>
    <w:p w14:paraId="0E0AE2B7" w14:textId="77777777" w:rsidR="001056F6" w:rsidRPr="001056F6" w:rsidRDefault="001056F6" w:rsidP="001056F6">
      <w:pPr>
        <w:numPr>
          <w:ilvl w:val="0"/>
          <w:numId w:val="37"/>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Lack of Clear Guidelines</w:t>
      </w:r>
      <w:r w:rsidRPr="001056F6">
        <w:rPr>
          <w:rFonts w:ascii="Times New Roman" w:hAnsi="Times New Roman"/>
          <w:lang w:val="en-HK"/>
        </w:rPr>
        <w:t>:</w:t>
      </w:r>
    </w:p>
    <w:p w14:paraId="52A84E56"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Court has failed to articulate clear criteria for determining when a measure constitutes a significant hindrance to market access.</w:t>
      </w:r>
    </w:p>
    <w:p w14:paraId="1DD21A8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Without clear boundaries, the market access test risks encompassing nearly all national rules, creating uncertainty for regulators and traders alike.</w:t>
      </w:r>
    </w:p>
    <w:p w14:paraId="204F7180" w14:textId="77777777" w:rsidR="001056F6" w:rsidRPr="001056F6" w:rsidRDefault="001056F6" w:rsidP="001056F6">
      <w:pPr>
        <w:numPr>
          <w:ilvl w:val="0"/>
          <w:numId w:val="37"/>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Potential for Increased Litigation</w:t>
      </w:r>
      <w:r w:rsidRPr="001056F6">
        <w:rPr>
          <w:rFonts w:ascii="Times New Roman" w:hAnsi="Times New Roman"/>
          <w:lang w:val="en-HK"/>
        </w:rPr>
        <w:t>:</w:t>
      </w:r>
    </w:p>
    <w:p w14:paraId="22C1FC8A"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Traders may increasingly challenge national measures, arguing that they hinder market access, even where such measures serve legitimate public interests.</w:t>
      </w:r>
    </w:p>
    <w:p w14:paraId="07020717"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Scholarly Criticism</w:t>
      </w:r>
      <w:r w:rsidRPr="001056F6">
        <w:rPr>
          <w:rFonts w:ascii="Times New Roman" w:hAnsi="Times New Roman"/>
          <w:lang w:val="en-HK"/>
        </w:rPr>
        <w:t>:</w:t>
      </w:r>
    </w:p>
    <w:p w14:paraId="73D69F5F"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echoes </w:t>
      </w:r>
      <w:proofErr w:type="spellStart"/>
      <w:r w:rsidRPr="001056F6">
        <w:rPr>
          <w:rFonts w:ascii="Times New Roman" w:hAnsi="Times New Roman"/>
          <w:lang w:val="en-HK"/>
        </w:rPr>
        <w:t>Weatherill’s</w:t>
      </w:r>
      <w:proofErr w:type="spellEnd"/>
      <w:r w:rsidRPr="001056F6">
        <w:rPr>
          <w:rFonts w:ascii="Times New Roman" w:hAnsi="Times New Roman"/>
          <w:lang w:val="en-HK"/>
        </w:rPr>
        <w:t xml:space="preserve"> concerns about the risks of an unqualified market access test:</w:t>
      </w:r>
    </w:p>
    <w:p w14:paraId="0BACEB30"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lastRenderedPageBreak/>
        <w:t>"By failing to define its limits, the Court undermines legal certainty and exposes Member States to unnecessary challenges."</w:t>
      </w:r>
    </w:p>
    <w:p w14:paraId="03C744AB"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37E0FF68">
          <v:rect id="_x0000_i1027" alt="" style="width:451.3pt;height:.05pt;mso-width-percent:0;mso-height-percent:0;mso-width-percent:0;mso-height-percent:0" o:hralign="center" o:hrstd="t" o:hr="t" fillcolor="#a0a0a0" stroked="f"/>
        </w:pict>
      </w:r>
    </w:p>
    <w:p w14:paraId="0EA1F864"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5. Proportionality as a Safeguard</w:t>
      </w:r>
    </w:p>
    <w:p w14:paraId="76C2C481"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acknowledges that proportionality remains an important safeguard for balancing market integration with national interests:</w:t>
      </w:r>
    </w:p>
    <w:p w14:paraId="28F98133" w14:textId="77777777" w:rsidR="001056F6" w:rsidRPr="001056F6" w:rsidRDefault="001056F6" w:rsidP="001056F6">
      <w:pPr>
        <w:numPr>
          <w:ilvl w:val="0"/>
          <w:numId w:val="39"/>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Measures that hinder market access can still be justified if they pursue legitimate objectives under Article 36 TFEU (e.g., public health, safety, or environmental protection) and satisfy proportionality requirements.</w:t>
      </w:r>
    </w:p>
    <w:p w14:paraId="06DE506E" w14:textId="77777777" w:rsidR="001056F6" w:rsidRPr="001056F6" w:rsidRDefault="001056F6" w:rsidP="001056F6">
      <w:pPr>
        <w:numPr>
          <w:ilvl w:val="0"/>
          <w:numId w:val="39"/>
        </w:numPr>
        <w:spacing w:before="100" w:beforeAutospacing="1" w:after="100" w:afterAutospacing="1" w:line="276" w:lineRule="auto"/>
        <w:rPr>
          <w:rFonts w:ascii="Times New Roman" w:hAnsi="Times New Roman"/>
          <w:lang w:val="en-HK"/>
        </w:rPr>
      </w:pPr>
      <w:r w:rsidRPr="001056F6">
        <w:rPr>
          <w:rFonts w:ascii="Times New Roman" w:hAnsi="Times New Roman"/>
          <w:lang w:val="en-HK"/>
        </w:rPr>
        <w:t>However, she critiques the Court’s inconsistent application of proportionality, noting that:</w:t>
      </w:r>
    </w:p>
    <w:p w14:paraId="19C049B4"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"The proportionality test requires clearer and more consistent application to ensure that legitimate national interests are adequately protected."</w:t>
      </w:r>
    </w:p>
    <w:p w14:paraId="00D84BA5"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pict w14:anchorId="4DB319F6">
          <v:rect id="_x0000_i1026" alt="" style="width:451.3pt;height:.05pt;mso-width-percent:0;mso-height-percent:0;mso-width-percent:0;mso-height-percent:0" o:hralign="center" o:hrstd="t" o:hr="t" fillcolor="#a0a0a0" stroked="f"/>
        </w:pict>
      </w:r>
    </w:p>
    <w:p w14:paraId="04DAB6D6" w14:textId="77777777" w:rsidR="001056F6" w:rsidRPr="001056F6" w:rsidRDefault="001056F6" w:rsidP="001056F6">
      <w:pPr>
        <w:spacing w:before="100" w:beforeAutospacing="1" w:after="100" w:afterAutospacing="1" w:line="276" w:lineRule="auto"/>
        <w:outlineLvl w:val="3"/>
        <w:rPr>
          <w:rFonts w:ascii="Times New Roman" w:hAnsi="Times New Roman"/>
          <w:b/>
          <w:bCs/>
          <w:lang w:val="en-HK"/>
        </w:rPr>
      </w:pPr>
      <w:r w:rsidRPr="001056F6">
        <w:rPr>
          <w:rFonts w:ascii="Times New Roman" w:hAnsi="Times New Roman"/>
          <w:b/>
          <w:bCs/>
          <w:lang w:val="en-HK"/>
        </w:rPr>
        <w:t>6. The Future of Free Movement Law</w:t>
      </w:r>
    </w:p>
    <w:p w14:paraId="55A4E491"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concludes by reflecting on the future trajectory of free movement law in light of these rulings:</w:t>
      </w:r>
    </w:p>
    <w:p w14:paraId="31E17631" w14:textId="77777777" w:rsidR="001056F6" w:rsidRPr="001056F6" w:rsidRDefault="001056F6" w:rsidP="001056F6">
      <w:pPr>
        <w:numPr>
          <w:ilvl w:val="0"/>
          <w:numId w:val="4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Market Access as the Unifying Principle</w:t>
      </w:r>
      <w:r w:rsidRPr="001056F6">
        <w:rPr>
          <w:rFonts w:ascii="Times New Roman" w:hAnsi="Times New Roman"/>
          <w:lang w:val="en-HK"/>
        </w:rPr>
        <w:t>:</w:t>
      </w:r>
    </w:p>
    <w:p w14:paraId="317FFA1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The market access test aligns the free movement of goods with other freedoms (e.g., persons, services, and capital), emphasizing the removal of barriers to individual economic freedoms.</w:t>
      </w:r>
    </w:p>
    <w:p w14:paraId="15A8FD80"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This approach simplifies the legal framework by moving away from </w:t>
      </w:r>
      <w:r w:rsidRPr="001056F6">
        <w:rPr>
          <w:rFonts w:ascii="Times New Roman" w:hAnsi="Times New Roman"/>
          <w:i/>
          <w:iCs/>
          <w:lang w:val="en-HK"/>
        </w:rPr>
        <w:t>Keck’s</w:t>
      </w:r>
      <w:r w:rsidRPr="001056F6">
        <w:rPr>
          <w:rFonts w:ascii="Times New Roman" w:hAnsi="Times New Roman"/>
          <w:lang w:val="en-HK"/>
        </w:rPr>
        <w:t xml:space="preserve"> artificial distinctions.</w:t>
      </w:r>
    </w:p>
    <w:p w14:paraId="0F11C822" w14:textId="77777777" w:rsidR="001056F6" w:rsidRPr="001056F6" w:rsidRDefault="001056F6" w:rsidP="001056F6">
      <w:pPr>
        <w:numPr>
          <w:ilvl w:val="0"/>
          <w:numId w:val="4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Need for Judicial Restraint</w:t>
      </w:r>
      <w:r w:rsidRPr="001056F6">
        <w:rPr>
          <w:rFonts w:ascii="Times New Roman" w:hAnsi="Times New Roman"/>
          <w:lang w:val="en-HK"/>
        </w:rPr>
        <w:t>:</w:t>
      </w:r>
    </w:p>
    <w:p w14:paraId="38376F68"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warns that the Court must exercise caution in applying the market access test to avoid overstepping its role and undermining Member State sovereignty:</w:t>
      </w:r>
    </w:p>
    <w:p w14:paraId="41B9C551" w14:textId="77777777" w:rsidR="001056F6" w:rsidRPr="001056F6" w:rsidRDefault="001056F6" w:rsidP="001056F6">
      <w:pPr>
        <w:spacing w:beforeAutospacing="1" w:afterAutospacing="1" w:line="276" w:lineRule="auto"/>
        <w:rPr>
          <w:rFonts w:ascii="Times New Roman" w:hAnsi="Times New Roman"/>
          <w:lang w:val="en-HK"/>
        </w:rPr>
      </w:pPr>
      <w:r w:rsidRPr="001056F6">
        <w:rPr>
          <w:rFonts w:ascii="Times New Roman" w:hAnsi="Times New Roman"/>
          <w:lang w:val="en-HK"/>
        </w:rPr>
        <w:t>"Judicial overreach risks eroding the legitimacy of the Court’s interventions and the balance of competences between the Union and its Member States."</w:t>
      </w:r>
    </w:p>
    <w:p w14:paraId="0ED39AC8" w14:textId="77777777" w:rsidR="001056F6" w:rsidRPr="001056F6" w:rsidRDefault="001056F6" w:rsidP="001056F6">
      <w:pPr>
        <w:numPr>
          <w:ilvl w:val="0"/>
          <w:numId w:val="40"/>
        </w:numPr>
        <w:spacing w:before="100" w:beforeAutospacing="1" w:after="100" w:afterAutospacing="1" w:line="276" w:lineRule="auto"/>
        <w:rPr>
          <w:rFonts w:ascii="Times New Roman" w:hAnsi="Times New Roman"/>
          <w:lang w:val="en-HK"/>
        </w:rPr>
      </w:pPr>
      <w:r w:rsidRPr="001056F6">
        <w:rPr>
          <w:rFonts w:ascii="Times New Roman" w:hAnsi="Times New Roman"/>
          <w:b/>
          <w:bCs/>
          <w:lang w:val="en-HK"/>
        </w:rPr>
        <w:t>Call for Clearer Guidelines</w:t>
      </w:r>
      <w:r w:rsidRPr="001056F6">
        <w:rPr>
          <w:rFonts w:ascii="Times New Roman" w:hAnsi="Times New Roman"/>
          <w:lang w:val="en-HK"/>
        </w:rPr>
        <w:t>:</w:t>
      </w:r>
    </w:p>
    <w:p w14:paraId="66E5A2C7" w14:textId="77777777" w:rsidR="001056F6" w:rsidRPr="001056F6" w:rsidRDefault="001056F6" w:rsidP="001056F6">
      <w:pPr>
        <w:spacing w:before="100" w:beforeAutospacing="1" w:after="100" w:afterAutospacing="1" w:line="276" w:lineRule="auto"/>
        <w:rPr>
          <w:rFonts w:ascii="Times New Roman" w:hAnsi="Times New Roman"/>
          <w:lang w:val="en-HK"/>
        </w:rPr>
      </w:pPr>
      <w:r w:rsidRPr="001056F6">
        <w:rPr>
          <w:rFonts w:ascii="Times New Roman" w:hAnsi="Times New Roman"/>
          <w:lang w:val="en-HK"/>
        </w:rPr>
        <w:t xml:space="preserve">To maintain legal certainty and respect for national diversity,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calls on the Court to provide clearer and more consistent guidance on the application of the market access test.</w:t>
      </w:r>
    </w:p>
    <w:p w14:paraId="12A28802" w14:textId="77777777" w:rsidR="001056F6" w:rsidRPr="001056F6" w:rsidRDefault="00AA5254" w:rsidP="001056F6">
      <w:pPr>
        <w:spacing w:line="276" w:lineRule="auto"/>
        <w:rPr>
          <w:rFonts w:ascii="Times New Roman" w:hAnsi="Times New Roman"/>
          <w:lang w:val="en-HK"/>
        </w:rPr>
      </w:pPr>
      <w:r w:rsidRPr="00AA5254">
        <w:rPr>
          <w:rFonts w:ascii="Times New Roman" w:hAnsi="Times New Roman"/>
          <w:noProof/>
          <w:lang w:val="en-HK"/>
          <w14:ligatures w14:val="standardContextual"/>
        </w:rPr>
        <w:lastRenderedPageBreak/>
        <w:pict w14:anchorId="6AF7E2C2">
          <v:rect id="_x0000_i1025" alt="" style="width:451.3pt;height:.05pt;mso-width-percent:0;mso-height-percent:0;mso-width-percent:0;mso-height-percent:0" o:hralign="center" o:hrstd="t" o:hr="t" fillcolor="#a0a0a0" stroked="f"/>
        </w:pict>
      </w:r>
    </w:p>
    <w:p w14:paraId="004874CB" w14:textId="77777777" w:rsidR="001056F6" w:rsidRPr="001056F6" w:rsidRDefault="001056F6" w:rsidP="001056F6">
      <w:pPr>
        <w:spacing w:before="100" w:beforeAutospacing="1" w:after="100" w:afterAutospacing="1" w:line="276" w:lineRule="auto"/>
        <w:outlineLvl w:val="2"/>
        <w:rPr>
          <w:rFonts w:ascii="Times New Roman" w:hAnsi="Times New Roman"/>
          <w:b/>
          <w:bCs/>
          <w:lang w:val="en-HK"/>
        </w:rPr>
      </w:pPr>
      <w:r w:rsidRPr="001056F6">
        <w:rPr>
          <w:rFonts w:ascii="Times New Roman" w:hAnsi="Times New Roman"/>
          <w:b/>
          <w:bCs/>
          <w:lang w:val="en-HK"/>
        </w:rPr>
        <w:t>Conclusion Summary</w:t>
      </w:r>
    </w:p>
    <w:p w14:paraId="76B54ED5" w14:textId="77777777" w:rsidR="001056F6" w:rsidRPr="001056F6" w:rsidRDefault="001056F6" w:rsidP="001056F6">
      <w:pPr>
        <w:spacing w:before="100" w:beforeAutospacing="1" w:after="100" w:afterAutospacing="1" w:line="276" w:lineRule="auto"/>
        <w:rPr>
          <w:rFonts w:ascii="Times New Roman" w:hAnsi="Times New Roman"/>
          <w:lang w:val="en-HK"/>
        </w:rPr>
      </w:pPr>
      <w:proofErr w:type="spellStart"/>
      <w:r w:rsidRPr="001056F6">
        <w:rPr>
          <w:rFonts w:ascii="Times New Roman" w:hAnsi="Times New Roman"/>
          <w:lang w:val="en-HK"/>
        </w:rPr>
        <w:t>Spaventa’s</w:t>
      </w:r>
      <w:proofErr w:type="spellEnd"/>
      <w:r w:rsidRPr="001056F6">
        <w:rPr>
          <w:rFonts w:ascii="Times New Roman" w:hAnsi="Times New Roman"/>
          <w:lang w:val="en-HK"/>
        </w:rPr>
        <w:t xml:space="preserve"> analysis of the Court’s rulings in </w:t>
      </w:r>
      <w:r w:rsidRPr="001056F6">
        <w:rPr>
          <w:rFonts w:ascii="Times New Roman" w:hAnsi="Times New Roman"/>
          <w:i/>
          <w:iCs/>
          <w:lang w:val="en-HK"/>
        </w:rPr>
        <w:t>Commission v Italy</w:t>
      </w:r>
      <w:r w:rsidRPr="001056F6">
        <w:rPr>
          <w:rFonts w:ascii="Times New Roman" w:hAnsi="Times New Roman"/>
          <w:lang w:val="en-HK"/>
        </w:rPr>
        <w:t xml:space="preserve"> and </w:t>
      </w:r>
      <w:proofErr w:type="spellStart"/>
      <w:r w:rsidRPr="001056F6">
        <w:rPr>
          <w:rFonts w:ascii="Times New Roman" w:hAnsi="Times New Roman"/>
          <w:i/>
          <w:iCs/>
          <w:lang w:val="en-HK"/>
        </w:rPr>
        <w:t>Mickelsson</w:t>
      </w:r>
      <w:proofErr w:type="spellEnd"/>
      <w:r w:rsidRPr="001056F6">
        <w:rPr>
          <w:rFonts w:ascii="Times New Roman" w:hAnsi="Times New Roman"/>
          <w:i/>
          <w:iCs/>
          <w:lang w:val="en-HK"/>
        </w:rPr>
        <w:t xml:space="preserve"> and </w:t>
      </w:r>
      <w:proofErr w:type="spellStart"/>
      <w:r w:rsidRPr="001056F6">
        <w:rPr>
          <w:rFonts w:ascii="Times New Roman" w:hAnsi="Times New Roman"/>
          <w:i/>
          <w:iCs/>
          <w:lang w:val="en-HK"/>
        </w:rPr>
        <w:t>Roos</w:t>
      </w:r>
      <w:proofErr w:type="spellEnd"/>
      <w:r w:rsidRPr="001056F6">
        <w:rPr>
          <w:rFonts w:ascii="Times New Roman" w:hAnsi="Times New Roman"/>
          <w:lang w:val="en-HK"/>
        </w:rPr>
        <w:t xml:space="preserve"> highlights the Court’s shift away from the rigid </w:t>
      </w:r>
      <w:r w:rsidRPr="001056F6">
        <w:rPr>
          <w:rFonts w:ascii="Times New Roman" w:hAnsi="Times New Roman"/>
          <w:i/>
          <w:iCs/>
          <w:lang w:val="en-HK"/>
        </w:rPr>
        <w:t>Keck</w:t>
      </w:r>
      <w:r w:rsidRPr="001056F6">
        <w:rPr>
          <w:rFonts w:ascii="Times New Roman" w:hAnsi="Times New Roman"/>
          <w:lang w:val="en-HK"/>
        </w:rPr>
        <w:t xml:space="preserve"> framework towards a more flexible market access test. While this approach offers greater coherence with the broader principles of free movement, it raises significant concerns about legal uncertainty, Member State autonomy, and proportionality. </w:t>
      </w:r>
      <w:proofErr w:type="spellStart"/>
      <w:r w:rsidRPr="001056F6">
        <w:rPr>
          <w:rFonts w:ascii="Times New Roman" w:hAnsi="Times New Roman"/>
          <w:lang w:val="en-HK"/>
        </w:rPr>
        <w:t>Spaventa</w:t>
      </w:r>
      <w:proofErr w:type="spellEnd"/>
      <w:r w:rsidRPr="001056F6">
        <w:rPr>
          <w:rFonts w:ascii="Times New Roman" w:hAnsi="Times New Roman"/>
          <w:lang w:val="en-HK"/>
        </w:rPr>
        <w:t xml:space="preserve"> concludes that the future of free movement law depends on the Court’s ability to strike a balance between market integration and national regulatory diversity, grounded in sound constitutional principles and clear judicial reasoning.</w:t>
      </w:r>
    </w:p>
    <w:p w14:paraId="02CAC3B6" w14:textId="77777777" w:rsidR="00CD39F1" w:rsidRPr="001056F6" w:rsidRDefault="00CD39F1" w:rsidP="001056F6">
      <w:pPr>
        <w:spacing w:line="276" w:lineRule="auto"/>
        <w:rPr>
          <w:rFonts w:ascii="Times New Roman" w:hAnsi="Times New Roman"/>
        </w:rPr>
      </w:pPr>
    </w:p>
    <w:sectPr w:rsidR="00CD39F1" w:rsidRPr="00105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C3D5F"/>
    <w:multiLevelType w:val="multilevel"/>
    <w:tmpl w:val="3FA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22204"/>
    <w:multiLevelType w:val="multilevel"/>
    <w:tmpl w:val="694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56E43"/>
    <w:multiLevelType w:val="multilevel"/>
    <w:tmpl w:val="7C94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1FF5"/>
    <w:multiLevelType w:val="multilevel"/>
    <w:tmpl w:val="59DE28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D4392E"/>
    <w:multiLevelType w:val="multilevel"/>
    <w:tmpl w:val="C52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67CA7"/>
    <w:multiLevelType w:val="multilevel"/>
    <w:tmpl w:val="D194C4C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6B8549D"/>
    <w:multiLevelType w:val="multilevel"/>
    <w:tmpl w:val="939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639C0"/>
    <w:multiLevelType w:val="multilevel"/>
    <w:tmpl w:val="7E9A7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4539F"/>
    <w:multiLevelType w:val="multilevel"/>
    <w:tmpl w:val="193EA60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26C391F"/>
    <w:multiLevelType w:val="multilevel"/>
    <w:tmpl w:val="19AE6F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F00E79"/>
    <w:multiLevelType w:val="multilevel"/>
    <w:tmpl w:val="FA72A1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ADB491F"/>
    <w:multiLevelType w:val="multilevel"/>
    <w:tmpl w:val="D64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E16C2"/>
    <w:multiLevelType w:val="multilevel"/>
    <w:tmpl w:val="92F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33BF2"/>
    <w:multiLevelType w:val="multilevel"/>
    <w:tmpl w:val="071C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54068"/>
    <w:multiLevelType w:val="multilevel"/>
    <w:tmpl w:val="C94ABC3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2772DD5"/>
    <w:multiLevelType w:val="multilevel"/>
    <w:tmpl w:val="E7D46944"/>
    <w:lvl w:ilvl="0">
      <w:start w:val="5"/>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9FA74A2"/>
    <w:multiLevelType w:val="multilevel"/>
    <w:tmpl w:val="52F4E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74CD5"/>
    <w:multiLevelType w:val="multilevel"/>
    <w:tmpl w:val="7AD0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9C0D74"/>
    <w:multiLevelType w:val="multilevel"/>
    <w:tmpl w:val="92B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E2C21"/>
    <w:multiLevelType w:val="multilevel"/>
    <w:tmpl w:val="708E516C"/>
    <w:lvl w:ilvl="0">
      <w:start w:val="4"/>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5BE4790"/>
    <w:multiLevelType w:val="multilevel"/>
    <w:tmpl w:val="491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C46A0"/>
    <w:multiLevelType w:val="multilevel"/>
    <w:tmpl w:val="757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D0123"/>
    <w:multiLevelType w:val="multilevel"/>
    <w:tmpl w:val="971EE5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897174D"/>
    <w:multiLevelType w:val="multilevel"/>
    <w:tmpl w:val="1AACA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A3C1B31"/>
    <w:multiLevelType w:val="multilevel"/>
    <w:tmpl w:val="B0E0F9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E1B1F11"/>
    <w:multiLevelType w:val="multilevel"/>
    <w:tmpl w:val="1DA0D04C"/>
    <w:lvl w:ilvl="0">
      <w:start w:val="6"/>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15572DC"/>
    <w:multiLevelType w:val="multilevel"/>
    <w:tmpl w:val="6F8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56BD6"/>
    <w:multiLevelType w:val="multilevel"/>
    <w:tmpl w:val="928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24E49"/>
    <w:multiLevelType w:val="multilevel"/>
    <w:tmpl w:val="19D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5355F"/>
    <w:multiLevelType w:val="multilevel"/>
    <w:tmpl w:val="6E4AA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1233996"/>
    <w:multiLevelType w:val="multilevel"/>
    <w:tmpl w:val="1B4EEF5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3A61C8A"/>
    <w:multiLevelType w:val="multilevel"/>
    <w:tmpl w:val="30FA6704"/>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6115BF4"/>
    <w:multiLevelType w:val="multilevel"/>
    <w:tmpl w:val="C46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A41B6"/>
    <w:multiLevelType w:val="multilevel"/>
    <w:tmpl w:val="26E468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E904D5C"/>
    <w:multiLevelType w:val="multilevel"/>
    <w:tmpl w:val="1EC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61A74"/>
    <w:multiLevelType w:val="multilevel"/>
    <w:tmpl w:val="1D882C0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5713167"/>
    <w:multiLevelType w:val="multilevel"/>
    <w:tmpl w:val="EE4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559BB"/>
    <w:multiLevelType w:val="multilevel"/>
    <w:tmpl w:val="397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36B5E"/>
    <w:multiLevelType w:val="multilevel"/>
    <w:tmpl w:val="6D3C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B7F16"/>
    <w:multiLevelType w:val="multilevel"/>
    <w:tmpl w:val="7C3A4F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30389248">
    <w:abstractNumId w:val="10"/>
  </w:num>
  <w:num w:numId="2" w16cid:durableId="1151023476">
    <w:abstractNumId w:val="31"/>
  </w:num>
  <w:num w:numId="3" w16cid:durableId="403724176">
    <w:abstractNumId w:val="19"/>
  </w:num>
  <w:num w:numId="4" w16cid:durableId="2004892941">
    <w:abstractNumId w:val="15"/>
  </w:num>
  <w:num w:numId="5" w16cid:durableId="1264800592">
    <w:abstractNumId w:val="25"/>
  </w:num>
  <w:num w:numId="6" w16cid:durableId="107163763">
    <w:abstractNumId w:val="5"/>
  </w:num>
  <w:num w:numId="7" w16cid:durableId="1577278254">
    <w:abstractNumId w:val="38"/>
  </w:num>
  <w:num w:numId="8" w16cid:durableId="1407652465">
    <w:abstractNumId w:val="12"/>
  </w:num>
  <w:num w:numId="9" w16cid:durableId="593905039">
    <w:abstractNumId w:val="23"/>
  </w:num>
  <w:num w:numId="10" w16cid:durableId="1570730738">
    <w:abstractNumId w:val="24"/>
  </w:num>
  <w:num w:numId="11" w16cid:durableId="158733319">
    <w:abstractNumId w:val="17"/>
  </w:num>
  <w:num w:numId="12" w16cid:durableId="1411655669">
    <w:abstractNumId w:val="0"/>
  </w:num>
  <w:num w:numId="13" w16cid:durableId="863397863">
    <w:abstractNumId w:val="11"/>
  </w:num>
  <w:num w:numId="14" w16cid:durableId="1894391250">
    <w:abstractNumId w:val="21"/>
  </w:num>
  <w:num w:numId="15" w16cid:durableId="1907450505">
    <w:abstractNumId w:val="16"/>
  </w:num>
  <w:num w:numId="16" w16cid:durableId="1242518346">
    <w:abstractNumId w:val="30"/>
  </w:num>
  <w:num w:numId="17" w16cid:durableId="1811708749">
    <w:abstractNumId w:val="36"/>
  </w:num>
  <w:num w:numId="18" w16cid:durableId="668942748">
    <w:abstractNumId w:val="1"/>
  </w:num>
  <w:num w:numId="19" w16cid:durableId="394546031">
    <w:abstractNumId w:val="35"/>
  </w:num>
  <w:num w:numId="20" w16cid:durableId="453330651">
    <w:abstractNumId w:val="22"/>
  </w:num>
  <w:num w:numId="21" w16cid:durableId="1860195388">
    <w:abstractNumId w:val="39"/>
  </w:num>
  <w:num w:numId="22" w16cid:durableId="2047363129">
    <w:abstractNumId w:val="26"/>
  </w:num>
  <w:num w:numId="23" w16cid:durableId="1905873724">
    <w:abstractNumId w:val="37"/>
  </w:num>
  <w:num w:numId="24" w16cid:durableId="2144998364">
    <w:abstractNumId w:val="28"/>
  </w:num>
  <w:num w:numId="25" w16cid:durableId="692196293">
    <w:abstractNumId w:val="6"/>
  </w:num>
  <w:num w:numId="26" w16cid:durableId="1971277499">
    <w:abstractNumId w:val="34"/>
  </w:num>
  <w:num w:numId="27" w16cid:durableId="843740828">
    <w:abstractNumId w:val="13"/>
  </w:num>
  <w:num w:numId="28" w16cid:durableId="917253873">
    <w:abstractNumId w:val="8"/>
  </w:num>
  <w:num w:numId="29" w16cid:durableId="911816554">
    <w:abstractNumId w:val="29"/>
  </w:num>
  <w:num w:numId="30" w16cid:durableId="1890989303">
    <w:abstractNumId w:val="7"/>
  </w:num>
  <w:num w:numId="31" w16cid:durableId="1871264057">
    <w:abstractNumId w:val="9"/>
  </w:num>
  <w:num w:numId="32" w16cid:durableId="185605326">
    <w:abstractNumId w:val="32"/>
  </w:num>
  <w:num w:numId="33" w16cid:durableId="1979333206">
    <w:abstractNumId w:val="4"/>
  </w:num>
  <w:num w:numId="34" w16cid:durableId="1808357948">
    <w:abstractNumId w:val="18"/>
  </w:num>
  <w:num w:numId="35" w16cid:durableId="772239874">
    <w:abstractNumId w:val="20"/>
  </w:num>
  <w:num w:numId="36" w16cid:durableId="502014118">
    <w:abstractNumId w:val="2"/>
  </w:num>
  <w:num w:numId="37" w16cid:durableId="1414007890">
    <w:abstractNumId w:val="14"/>
  </w:num>
  <w:num w:numId="38" w16cid:durableId="765731648">
    <w:abstractNumId w:val="27"/>
  </w:num>
  <w:num w:numId="39" w16cid:durableId="1726637394">
    <w:abstractNumId w:val="33"/>
  </w:num>
  <w:num w:numId="40" w16cid:durableId="698237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1F"/>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056F6"/>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A5254"/>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77E1F"/>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A582"/>
  <w15:chartTrackingRefBased/>
  <w15:docId w15:val="{EAA0F89D-54CF-414F-B381-A465C0AA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77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7E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7E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7E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77E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7E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7E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7E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E1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77E1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77E1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77E1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77E1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77E1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77E1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77E1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77E1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77E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E1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77E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E1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77E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7E1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77E1F"/>
    <w:pPr>
      <w:ind w:left="720"/>
      <w:contextualSpacing/>
    </w:pPr>
  </w:style>
  <w:style w:type="character" w:styleId="IntenseEmphasis">
    <w:name w:val="Intense Emphasis"/>
    <w:basedOn w:val="DefaultParagraphFont"/>
    <w:uiPriority w:val="21"/>
    <w:qFormat/>
    <w:rsid w:val="00E77E1F"/>
    <w:rPr>
      <w:i/>
      <w:iCs/>
      <w:color w:val="2F5496" w:themeColor="accent1" w:themeShade="BF"/>
    </w:rPr>
  </w:style>
  <w:style w:type="paragraph" w:styleId="IntenseQuote">
    <w:name w:val="Intense Quote"/>
    <w:basedOn w:val="Normal"/>
    <w:next w:val="Normal"/>
    <w:link w:val="IntenseQuoteChar"/>
    <w:uiPriority w:val="30"/>
    <w:qFormat/>
    <w:rsid w:val="00E77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E1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77E1F"/>
    <w:rPr>
      <w:b/>
      <w:bCs/>
      <w:smallCaps/>
      <w:color w:val="2F5496" w:themeColor="accent1" w:themeShade="BF"/>
      <w:spacing w:val="5"/>
    </w:rPr>
  </w:style>
  <w:style w:type="character" w:styleId="Strong">
    <w:name w:val="Strong"/>
    <w:basedOn w:val="DefaultParagraphFont"/>
    <w:uiPriority w:val="22"/>
    <w:qFormat/>
    <w:rsid w:val="001056F6"/>
    <w:rPr>
      <w:b/>
      <w:bCs/>
    </w:rPr>
  </w:style>
  <w:style w:type="paragraph" w:styleId="NormalWeb">
    <w:name w:val="Normal (Web)"/>
    <w:basedOn w:val="Normal"/>
    <w:uiPriority w:val="99"/>
    <w:semiHidden/>
    <w:unhideWhenUsed/>
    <w:rsid w:val="001056F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056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174241">
      <w:bodyDiv w:val="1"/>
      <w:marLeft w:val="0"/>
      <w:marRight w:val="0"/>
      <w:marTop w:val="0"/>
      <w:marBottom w:val="0"/>
      <w:divBdr>
        <w:top w:val="none" w:sz="0" w:space="0" w:color="auto"/>
        <w:left w:val="none" w:sz="0" w:space="0" w:color="auto"/>
        <w:bottom w:val="none" w:sz="0" w:space="0" w:color="auto"/>
        <w:right w:val="none" w:sz="0" w:space="0" w:color="auto"/>
      </w:divBdr>
      <w:divsChild>
        <w:div w:id="1161853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4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84567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37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824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903166">
      <w:bodyDiv w:val="1"/>
      <w:marLeft w:val="0"/>
      <w:marRight w:val="0"/>
      <w:marTop w:val="0"/>
      <w:marBottom w:val="0"/>
      <w:divBdr>
        <w:top w:val="none" w:sz="0" w:space="0" w:color="auto"/>
        <w:left w:val="none" w:sz="0" w:space="0" w:color="auto"/>
        <w:bottom w:val="none" w:sz="0" w:space="0" w:color="auto"/>
        <w:right w:val="none" w:sz="0" w:space="0" w:color="auto"/>
      </w:divBdr>
      <w:divsChild>
        <w:div w:id="197027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372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28365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665131">
      <w:bodyDiv w:val="1"/>
      <w:marLeft w:val="0"/>
      <w:marRight w:val="0"/>
      <w:marTop w:val="0"/>
      <w:marBottom w:val="0"/>
      <w:divBdr>
        <w:top w:val="none" w:sz="0" w:space="0" w:color="auto"/>
        <w:left w:val="none" w:sz="0" w:space="0" w:color="auto"/>
        <w:bottom w:val="none" w:sz="0" w:space="0" w:color="auto"/>
        <w:right w:val="none" w:sz="0" w:space="0" w:color="auto"/>
      </w:divBdr>
      <w:divsChild>
        <w:div w:id="394402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91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8908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78689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9133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234130">
      <w:bodyDiv w:val="1"/>
      <w:marLeft w:val="0"/>
      <w:marRight w:val="0"/>
      <w:marTop w:val="0"/>
      <w:marBottom w:val="0"/>
      <w:divBdr>
        <w:top w:val="none" w:sz="0" w:space="0" w:color="auto"/>
        <w:left w:val="none" w:sz="0" w:space="0" w:color="auto"/>
        <w:bottom w:val="none" w:sz="0" w:space="0" w:color="auto"/>
        <w:right w:val="none" w:sz="0" w:space="0" w:color="auto"/>
      </w:divBdr>
      <w:divsChild>
        <w:div w:id="207311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81491">
      <w:bodyDiv w:val="1"/>
      <w:marLeft w:val="0"/>
      <w:marRight w:val="0"/>
      <w:marTop w:val="0"/>
      <w:marBottom w:val="0"/>
      <w:divBdr>
        <w:top w:val="none" w:sz="0" w:space="0" w:color="auto"/>
        <w:left w:val="none" w:sz="0" w:space="0" w:color="auto"/>
        <w:bottom w:val="none" w:sz="0" w:space="0" w:color="auto"/>
        <w:right w:val="none" w:sz="0" w:space="0" w:color="auto"/>
      </w:divBdr>
      <w:divsChild>
        <w:div w:id="98396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4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7099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09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564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8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4215</Words>
  <Characters>24029</Characters>
  <Application>Microsoft Office Word</Application>
  <DocSecurity>0</DocSecurity>
  <Lines>200</Lines>
  <Paragraphs>56</Paragraphs>
  <ScaleCrop>false</ScaleCrop>
  <Company/>
  <LinksUpToDate>false</LinksUpToDate>
  <CharactersWithSpaces>28188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2025-01-23T22:33:00Z</dcterms:created>
  <dcterms:modified xsi:type="dcterms:W3CDTF">2025-01-23T22:49:00Z</dcterms:modified>
</cp:coreProperties>
</file>