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85F2A" w14:textId="7BA2BAD2" w:rsidR="005F6DC5" w:rsidRPr="005F6DC5" w:rsidRDefault="005F6DC5" w:rsidP="005F6DC5">
      <w:pPr>
        <w:spacing w:before="100" w:beforeAutospacing="1" w:after="100" w:afterAutospacing="1" w:line="276" w:lineRule="auto"/>
        <w:outlineLvl w:val="2"/>
        <w:rPr>
          <w:rFonts w:ascii="Times New Roman" w:hAnsi="Times New Roman"/>
          <w:b/>
          <w:bCs/>
          <w:lang w:val="en-HK"/>
        </w:rPr>
      </w:pPr>
      <w:r w:rsidRPr="005F6DC5">
        <w:rPr>
          <w:rFonts w:ascii="Times New Roman" w:hAnsi="Times New Roman"/>
          <w:b/>
          <w:bCs/>
          <w:lang w:val="en-HK"/>
        </w:rPr>
        <w:t xml:space="preserve">I. </w:t>
      </w:r>
      <w:r w:rsidRPr="005F6DC5">
        <w:rPr>
          <w:rFonts w:ascii="Times New Roman" w:hAnsi="Times New Roman"/>
          <w:b/>
          <w:bCs/>
          <w:lang w:val="en-HK"/>
        </w:rPr>
        <w:t>Introduction</w:t>
      </w:r>
    </w:p>
    <w:p w14:paraId="45E78BC6"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article identifies persistent academic debate surrounding the scope and interpretation of Articles 34 and 36 of the TFEU, particularly regarding measures equivalent to quantitative restrictions. Gormley critiques the European Court of Justice's (ECJ) inconsistent and opaque judgments, especially concerning the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and </w:t>
      </w:r>
      <w:r w:rsidRPr="005F6DC5">
        <w:rPr>
          <w:rFonts w:ascii="Times New Roman" w:hAnsi="Times New Roman"/>
          <w:b/>
          <w:bCs/>
          <w:lang w:val="en-HK"/>
        </w:rPr>
        <w:t>Keck</w:t>
      </w:r>
      <w:r w:rsidRPr="005F6DC5">
        <w:rPr>
          <w:rFonts w:ascii="Times New Roman" w:hAnsi="Times New Roman"/>
          <w:lang w:val="en-HK"/>
        </w:rPr>
        <w:t xml:space="preserve"> doctrines. Three themes dominate the discussion:</w:t>
      </w:r>
    </w:p>
    <w:p w14:paraId="5EEA09A3" w14:textId="77777777" w:rsidR="005F6DC5" w:rsidRPr="005F6DC5" w:rsidRDefault="005F6DC5" w:rsidP="005F6DC5">
      <w:pPr>
        <w:numPr>
          <w:ilvl w:val="0"/>
          <w:numId w:val="1"/>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Whether the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principle remains valid and </w:t>
      </w:r>
      <w:r w:rsidRPr="005F6DC5">
        <w:rPr>
          <w:rFonts w:ascii="Times New Roman" w:hAnsi="Times New Roman"/>
          <w:b/>
          <w:bCs/>
          <w:lang w:val="en-HK"/>
        </w:rPr>
        <w:t>Keck</w:t>
      </w:r>
      <w:r w:rsidRPr="005F6DC5">
        <w:rPr>
          <w:rFonts w:ascii="Times New Roman" w:hAnsi="Times New Roman"/>
          <w:lang w:val="en-HK"/>
        </w:rPr>
        <w:t xml:space="preserve"> survives.</w:t>
      </w:r>
    </w:p>
    <w:p w14:paraId="5380A2D5" w14:textId="77777777" w:rsidR="005F6DC5" w:rsidRPr="005F6DC5" w:rsidRDefault="005F6DC5" w:rsidP="005F6DC5">
      <w:pPr>
        <w:numPr>
          <w:ilvl w:val="0"/>
          <w:numId w:val="1"/>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possibility of a </w:t>
      </w:r>
      <w:r w:rsidRPr="005F6DC5">
        <w:rPr>
          <w:rFonts w:ascii="Times New Roman" w:hAnsi="Times New Roman"/>
          <w:b/>
          <w:bCs/>
          <w:lang w:val="en-HK"/>
        </w:rPr>
        <w:t>de minimis</w:t>
      </w:r>
      <w:r w:rsidRPr="005F6DC5">
        <w:rPr>
          <w:rFonts w:ascii="Times New Roman" w:hAnsi="Times New Roman"/>
          <w:lang w:val="en-HK"/>
        </w:rPr>
        <w:t xml:space="preserve"> threshold in the application of Articles 34 and 35.</w:t>
      </w:r>
    </w:p>
    <w:p w14:paraId="7F65580E" w14:textId="05C0F35B" w:rsidR="005F6DC5" w:rsidRPr="005F6DC5" w:rsidRDefault="005F6DC5" w:rsidP="005F6DC5">
      <w:pPr>
        <w:numPr>
          <w:ilvl w:val="0"/>
          <w:numId w:val="1"/>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Whether justifications under case law should be assimilated to those in Article 36.</w:t>
      </w:r>
    </w:p>
    <w:p w14:paraId="6DF00320"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46211967">
          <v:rect id="_x0000_i1045" alt="" style="width:451.3pt;height:.05pt;mso-width-percent:0;mso-height-percent:0;mso-width-percent:0;mso-height-percent:0" o:hralign="center" o:hrstd="t" o:hr="t" fillcolor="#a0a0a0" stroked="f"/>
        </w:pict>
      </w:r>
    </w:p>
    <w:p w14:paraId="2BB4CE00" w14:textId="3634DBFD" w:rsidR="005F6DC5" w:rsidRPr="005F6DC5" w:rsidRDefault="005F6DC5" w:rsidP="005F6DC5">
      <w:pPr>
        <w:spacing w:before="100" w:beforeAutospacing="1" w:after="100" w:afterAutospacing="1" w:line="276" w:lineRule="auto"/>
        <w:outlineLvl w:val="2"/>
        <w:rPr>
          <w:rFonts w:ascii="Times New Roman" w:hAnsi="Times New Roman"/>
          <w:b/>
          <w:bCs/>
          <w:lang w:val="en-HK"/>
        </w:rPr>
      </w:pPr>
      <w:r w:rsidRPr="005F6DC5">
        <w:rPr>
          <w:rFonts w:ascii="Times New Roman" w:hAnsi="Times New Roman"/>
          <w:b/>
          <w:bCs/>
          <w:lang w:val="en-HK"/>
        </w:rPr>
        <w:t xml:space="preserve">II. </w:t>
      </w:r>
      <w:r w:rsidRPr="005F6DC5">
        <w:rPr>
          <w:rFonts w:ascii="Times New Roman" w:hAnsi="Times New Roman"/>
          <w:b/>
          <w:bCs/>
          <w:lang w:val="en-HK"/>
        </w:rPr>
        <w:t xml:space="preserve">The Basic Principle in </w:t>
      </w:r>
      <w:proofErr w:type="spellStart"/>
      <w:r w:rsidRPr="005F6DC5">
        <w:rPr>
          <w:rFonts w:ascii="Times New Roman" w:hAnsi="Times New Roman"/>
          <w:b/>
          <w:bCs/>
          <w:lang w:val="en-HK"/>
        </w:rPr>
        <w:t>Dassonville</w:t>
      </w:r>
      <w:proofErr w:type="spellEnd"/>
      <w:r w:rsidRPr="005F6DC5">
        <w:rPr>
          <w:rFonts w:ascii="Times New Roman" w:hAnsi="Times New Roman"/>
          <w:b/>
          <w:bCs/>
          <w:lang w:val="en-HK"/>
        </w:rPr>
        <w:t xml:space="preserve"> Remains Good Law—Does Keck Survive?</w:t>
      </w:r>
    </w:p>
    <w:p w14:paraId="524F94B7"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 xml:space="preserve">1. The </w:t>
      </w:r>
      <w:proofErr w:type="spellStart"/>
      <w:r w:rsidRPr="005F6DC5">
        <w:rPr>
          <w:rFonts w:ascii="Times New Roman" w:hAnsi="Times New Roman"/>
          <w:b/>
          <w:bCs/>
          <w:lang w:val="en-HK"/>
        </w:rPr>
        <w:t>Dassonville</w:t>
      </w:r>
      <w:proofErr w:type="spellEnd"/>
      <w:r w:rsidRPr="005F6DC5">
        <w:rPr>
          <w:rFonts w:ascii="Times New Roman" w:hAnsi="Times New Roman"/>
          <w:b/>
          <w:bCs/>
          <w:lang w:val="en-HK"/>
        </w:rPr>
        <w:t xml:space="preserve"> Principle:</w:t>
      </w:r>
    </w:p>
    <w:p w14:paraId="52090B98"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case (</w:t>
      </w:r>
      <w:r w:rsidRPr="005F6DC5">
        <w:rPr>
          <w:rFonts w:ascii="Times New Roman" w:hAnsi="Times New Roman"/>
          <w:i/>
          <w:iCs/>
          <w:lang w:val="en-HK"/>
        </w:rPr>
        <w:t xml:space="preserve">Procureur du Roi v </w:t>
      </w:r>
      <w:proofErr w:type="spellStart"/>
      <w:r w:rsidRPr="005F6DC5">
        <w:rPr>
          <w:rFonts w:ascii="Times New Roman" w:hAnsi="Times New Roman"/>
          <w:i/>
          <w:iCs/>
          <w:lang w:val="en-HK"/>
        </w:rPr>
        <w:t>Dassonville</w:t>
      </w:r>
      <w:proofErr w:type="spellEnd"/>
      <w:r w:rsidRPr="005F6DC5">
        <w:rPr>
          <w:rFonts w:ascii="Times New Roman" w:hAnsi="Times New Roman"/>
          <w:lang w:val="en-HK"/>
        </w:rPr>
        <w:t>, Case 8/74, EU:C:1974:82) laid down the foundational principle under Article 34 TFEU:</w:t>
      </w:r>
    </w:p>
    <w:p w14:paraId="400E9B43" w14:textId="77777777" w:rsidR="005F6DC5" w:rsidRPr="005F6DC5" w:rsidRDefault="005F6DC5" w:rsidP="005F6DC5">
      <w:pPr>
        <w:spacing w:beforeAutospacing="1" w:afterAutospacing="1" w:line="276" w:lineRule="auto"/>
        <w:rPr>
          <w:rFonts w:ascii="Times New Roman" w:hAnsi="Times New Roman"/>
          <w:lang w:val="en-HK"/>
        </w:rPr>
      </w:pPr>
      <w:r w:rsidRPr="005F6DC5">
        <w:rPr>
          <w:rFonts w:ascii="Times New Roman" w:hAnsi="Times New Roman"/>
          <w:lang w:val="en-HK"/>
        </w:rPr>
        <w:t>“All trading rules enacted by Member States which are capable of hindering, directly or indirectly, actually or potentially, intra-Community trade are to be considered as measures having equivalent effect to quantitative restrictions.”</w:t>
      </w:r>
    </w:p>
    <w:p w14:paraId="0B673967" w14:textId="77777777" w:rsidR="005F6DC5" w:rsidRPr="005F6DC5" w:rsidRDefault="005F6DC5" w:rsidP="005F6DC5">
      <w:pPr>
        <w:numPr>
          <w:ilvl w:val="0"/>
          <w:numId w:val="2"/>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This definition, often simplified by omitting "trading rules," remains central to the interpretation of measures under Article 34.</w:t>
      </w:r>
    </w:p>
    <w:p w14:paraId="1211D2A7" w14:textId="77777777" w:rsidR="005F6DC5" w:rsidRPr="005F6DC5" w:rsidRDefault="005F6DC5" w:rsidP="005F6DC5">
      <w:pPr>
        <w:numPr>
          <w:ilvl w:val="0"/>
          <w:numId w:val="2"/>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ECJ in </w:t>
      </w:r>
      <w:r w:rsidRPr="005F6DC5">
        <w:rPr>
          <w:rFonts w:ascii="Times New Roman" w:hAnsi="Times New Roman"/>
          <w:i/>
          <w:iCs/>
          <w:lang w:val="en-HK"/>
        </w:rPr>
        <w:t>Commission v Italy (C-110/05) EU:C:2009:66</w:t>
      </w:r>
      <w:r w:rsidRPr="005F6DC5">
        <w:rPr>
          <w:rFonts w:ascii="Times New Roman" w:hAnsi="Times New Roman"/>
          <w:lang w:val="en-HK"/>
        </w:rPr>
        <w:t xml:space="preserve"> confirmed that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still applies to measures capable of hindering trade, irrespective of their intent. Intention to hinder intra-EU trade is not required; any measure having the object or effect of hindering trade will be caught.</w:t>
      </w:r>
    </w:p>
    <w:p w14:paraId="50CB06EA"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2. Keck’s Introduction and Criteria:</w:t>
      </w:r>
    </w:p>
    <w:p w14:paraId="17D52C55"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w:t>
      </w:r>
      <w:r w:rsidRPr="005F6DC5">
        <w:rPr>
          <w:rFonts w:ascii="Times New Roman" w:hAnsi="Times New Roman"/>
          <w:b/>
          <w:bCs/>
          <w:lang w:val="en-HK"/>
        </w:rPr>
        <w:t>Keck</w:t>
      </w:r>
      <w:r w:rsidRPr="005F6DC5">
        <w:rPr>
          <w:rFonts w:ascii="Times New Roman" w:hAnsi="Times New Roman"/>
          <w:lang w:val="en-HK"/>
        </w:rPr>
        <w:t xml:space="preserve"> doctrine (</w:t>
      </w:r>
      <w:r w:rsidRPr="005F6DC5">
        <w:rPr>
          <w:rFonts w:ascii="Times New Roman" w:hAnsi="Times New Roman"/>
          <w:i/>
          <w:iCs/>
          <w:lang w:val="en-HK"/>
        </w:rPr>
        <w:t xml:space="preserve">Criminal Proceedings against Keck and </w:t>
      </w:r>
      <w:proofErr w:type="spellStart"/>
      <w:r w:rsidRPr="005F6DC5">
        <w:rPr>
          <w:rFonts w:ascii="Times New Roman" w:hAnsi="Times New Roman"/>
          <w:i/>
          <w:iCs/>
          <w:lang w:val="en-HK"/>
        </w:rPr>
        <w:t>Mithouard</w:t>
      </w:r>
      <w:proofErr w:type="spellEnd"/>
      <w:r w:rsidRPr="005F6DC5">
        <w:rPr>
          <w:rFonts w:ascii="Times New Roman" w:hAnsi="Times New Roman"/>
          <w:lang w:val="en-HK"/>
        </w:rPr>
        <w:t>, Case C-267/91, EU:C:1993:905) was introduced to distinguish "selling arrangements" from measures caught by Article 34:</w:t>
      </w:r>
    </w:p>
    <w:p w14:paraId="68126CE1" w14:textId="77777777" w:rsidR="005F6DC5" w:rsidRPr="005F6DC5" w:rsidRDefault="005F6DC5" w:rsidP="005F6DC5">
      <w:pPr>
        <w:numPr>
          <w:ilvl w:val="0"/>
          <w:numId w:val="3"/>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Selling arrangements fall outside Article 34 if they:</w:t>
      </w:r>
    </w:p>
    <w:p w14:paraId="25E7CFD4" w14:textId="77777777" w:rsidR="005F6DC5" w:rsidRPr="005F6DC5" w:rsidRDefault="005F6DC5" w:rsidP="005F6DC5">
      <w:pPr>
        <w:numPr>
          <w:ilvl w:val="1"/>
          <w:numId w:val="3"/>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Apply equally to all traders operating within the national territory, and</w:t>
      </w:r>
    </w:p>
    <w:p w14:paraId="491CB48F" w14:textId="77777777" w:rsidR="005F6DC5" w:rsidRPr="005F6DC5" w:rsidRDefault="005F6DC5" w:rsidP="005F6DC5">
      <w:pPr>
        <w:numPr>
          <w:ilvl w:val="1"/>
          <w:numId w:val="3"/>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Do not impede the access of imported products more than domestic products.</w:t>
      </w:r>
    </w:p>
    <w:p w14:paraId="6D47A2CB"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This was intended to limit the broad scope of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which was criticized for including even minor or indirect hindrances under Article 34.</w:t>
      </w:r>
    </w:p>
    <w:p w14:paraId="703D4592"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lastRenderedPageBreak/>
        <w:pict w14:anchorId="7ED85C01">
          <v:rect id="_x0000_i1044" alt="" style="width:451.3pt;height:.05pt;mso-width-percent:0;mso-height-percent:0;mso-width-percent:0;mso-height-percent:0" o:hralign="center" o:hrstd="t" o:hr="t" fillcolor="#a0a0a0" stroked="f"/>
        </w:pict>
      </w:r>
    </w:p>
    <w:p w14:paraId="79A2ED98"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 xml:space="preserve">3. </w:t>
      </w:r>
      <w:proofErr w:type="spellStart"/>
      <w:r w:rsidRPr="005F6DC5">
        <w:rPr>
          <w:rFonts w:ascii="Times New Roman" w:hAnsi="Times New Roman"/>
          <w:b/>
          <w:bCs/>
          <w:lang w:val="en-HK"/>
        </w:rPr>
        <w:t>Dassonville's</w:t>
      </w:r>
      <w:proofErr w:type="spellEnd"/>
      <w:r w:rsidRPr="005F6DC5">
        <w:rPr>
          <w:rFonts w:ascii="Times New Roman" w:hAnsi="Times New Roman"/>
          <w:b/>
          <w:bCs/>
          <w:lang w:val="en-HK"/>
        </w:rPr>
        <w:t xml:space="preserve"> Strength and Keck’s Weakness:</w:t>
      </w:r>
    </w:p>
    <w:p w14:paraId="7A81CE49"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 xml:space="preserve">The Survival of </w:t>
      </w:r>
      <w:proofErr w:type="spellStart"/>
      <w:r w:rsidRPr="005F6DC5">
        <w:rPr>
          <w:rFonts w:ascii="Times New Roman" w:hAnsi="Times New Roman"/>
          <w:b/>
          <w:bCs/>
          <w:lang w:val="en-HK"/>
        </w:rPr>
        <w:t>Dassonville</w:t>
      </w:r>
      <w:proofErr w:type="spellEnd"/>
      <w:r w:rsidRPr="005F6DC5">
        <w:rPr>
          <w:rFonts w:ascii="Times New Roman" w:hAnsi="Times New Roman"/>
          <w:b/>
          <w:bCs/>
          <w:lang w:val="en-HK"/>
        </w:rPr>
        <w:t>:</w:t>
      </w:r>
    </w:p>
    <w:p w14:paraId="60D3C047" w14:textId="77777777" w:rsidR="005F6DC5" w:rsidRPr="005F6DC5" w:rsidRDefault="005F6DC5" w:rsidP="005F6DC5">
      <w:pPr>
        <w:numPr>
          <w:ilvl w:val="0"/>
          <w:numId w:val="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principle of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remains resilient, as confirmed in cases like </w:t>
      </w:r>
      <w:r w:rsidRPr="005F6DC5">
        <w:rPr>
          <w:rFonts w:ascii="Times New Roman" w:hAnsi="Times New Roman"/>
          <w:i/>
          <w:iCs/>
          <w:lang w:val="en-HK"/>
        </w:rPr>
        <w:t>Commission v Italy (C-110/05)</w:t>
      </w:r>
      <w:r w:rsidRPr="005F6DC5">
        <w:rPr>
          <w:rFonts w:ascii="Times New Roman" w:hAnsi="Times New Roman"/>
          <w:lang w:val="en-HK"/>
        </w:rPr>
        <w:t>, where the ECJ categorized measures hindering trade into three illustrative groups:</w:t>
      </w:r>
    </w:p>
    <w:p w14:paraId="36844414" w14:textId="77777777" w:rsidR="005F6DC5" w:rsidRPr="005F6DC5" w:rsidRDefault="005F6DC5" w:rsidP="005F6DC5">
      <w:pPr>
        <w:numPr>
          <w:ilvl w:val="1"/>
          <w:numId w:val="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Measures treating imports less </w:t>
      </w:r>
      <w:proofErr w:type="spellStart"/>
      <w:r w:rsidRPr="005F6DC5">
        <w:rPr>
          <w:rFonts w:ascii="Times New Roman" w:hAnsi="Times New Roman"/>
          <w:lang w:val="en-HK"/>
        </w:rPr>
        <w:t>favorably</w:t>
      </w:r>
      <w:proofErr w:type="spellEnd"/>
      <w:r w:rsidRPr="005F6DC5">
        <w:rPr>
          <w:rFonts w:ascii="Times New Roman" w:hAnsi="Times New Roman"/>
          <w:lang w:val="en-HK"/>
        </w:rPr>
        <w:t xml:space="preserve"> than domestic products.</w:t>
      </w:r>
    </w:p>
    <w:p w14:paraId="0B347668" w14:textId="77777777" w:rsidR="005F6DC5" w:rsidRPr="005F6DC5" w:rsidRDefault="005F6DC5" w:rsidP="005F6DC5">
      <w:pPr>
        <w:numPr>
          <w:ilvl w:val="1"/>
          <w:numId w:val="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Equally applicable product requirements in the absence of harmonization.</w:t>
      </w:r>
    </w:p>
    <w:p w14:paraId="76AF1DAA" w14:textId="77777777" w:rsidR="005F6DC5" w:rsidRPr="005F6DC5" w:rsidRDefault="005F6DC5" w:rsidP="005F6DC5">
      <w:pPr>
        <w:numPr>
          <w:ilvl w:val="1"/>
          <w:numId w:val="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Any measure hindering market access.</w:t>
      </w:r>
    </w:p>
    <w:p w14:paraId="3711F134" w14:textId="77777777" w:rsidR="005F6DC5" w:rsidRPr="005F6DC5" w:rsidRDefault="005F6DC5" w:rsidP="005F6DC5">
      <w:pPr>
        <w:numPr>
          <w:ilvl w:val="0"/>
          <w:numId w:val="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third category, “hindrance of market access,” aligns closely with </w:t>
      </w:r>
      <w:proofErr w:type="spellStart"/>
      <w:r w:rsidRPr="005F6DC5">
        <w:rPr>
          <w:rFonts w:ascii="Times New Roman" w:hAnsi="Times New Roman"/>
          <w:b/>
          <w:bCs/>
          <w:lang w:val="en-HK"/>
        </w:rPr>
        <w:t>Dassonville</w:t>
      </w:r>
      <w:r w:rsidRPr="005F6DC5">
        <w:rPr>
          <w:rFonts w:ascii="Times New Roman" w:hAnsi="Times New Roman"/>
          <w:lang w:val="en-HK"/>
        </w:rPr>
        <w:t>'s</w:t>
      </w:r>
      <w:proofErr w:type="spellEnd"/>
      <w:r w:rsidRPr="005F6DC5">
        <w:rPr>
          <w:rFonts w:ascii="Times New Roman" w:hAnsi="Times New Roman"/>
          <w:lang w:val="en-HK"/>
        </w:rPr>
        <w:t xml:space="preserve"> original broad scope, further affirming its continued relevance.</w:t>
      </w:r>
    </w:p>
    <w:p w14:paraId="465F27B0"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Keck's Flaws and Limited Survival:</w:t>
      </w:r>
    </w:p>
    <w:p w14:paraId="4B8275EF" w14:textId="77777777" w:rsidR="005F6DC5" w:rsidRPr="005F6DC5" w:rsidRDefault="005F6DC5" w:rsidP="005F6DC5">
      <w:pPr>
        <w:numPr>
          <w:ilvl w:val="0"/>
          <w:numId w:val="5"/>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Gormley criticizes the </w:t>
      </w:r>
      <w:r w:rsidRPr="005F6DC5">
        <w:rPr>
          <w:rFonts w:ascii="Times New Roman" w:hAnsi="Times New Roman"/>
          <w:b/>
          <w:bCs/>
          <w:lang w:val="en-HK"/>
        </w:rPr>
        <w:t>Keck</w:t>
      </w:r>
      <w:r w:rsidRPr="005F6DC5">
        <w:rPr>
          <w:rFonts w:ascii="Times New Roman" w:hAnsi="Times New Roman"/>
          <w:lang w:val="en-HK"/>
        </w:rPr>
        <w:t xml:space="preserve"> doctrine as an "immaculate misconception," arguing that it fails to achieve its intended purpose of reducing judicial caseloads and instead generates confusion.</w:t>
      </w:r>
    </w:p>
    <w:p w14:paraId="66F33A59" w14:textId="77777777" w:rsidR="005F6DC5" w:rsidRPr="005F6DC5" w:rsidRDefault="005F6DC5" w:rsidP="005F6DC5">
      <w:pPr>
        <w:numPr>
          <w:ilvl w:val="0"/>
          <w:numId w:val="5"/>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ECJ's failure to define key terms like "selling arrangements" or clarify which precedents </w:t>
      </w:r>
      <w:r w:rsidRPr="005F6DC5">
        <w:rPr>
          <w:rFonts w:ascii="Times New Roman" w:hAnsi="Times New Roman"/>
          <w:b/>
          <w:bCs/>
          <w:lang w:val="en-HK"/>
        </w:rPr>
        <w:t>Keck</w:t>
      </w:r>
      <w:r w:rsidRPr="005F6DC5">
        <w:rPr>
          <w:rFonts w:ascii="Times New Roman" w:hAnsi="Times New Roman"/>
          <w:lang w:val="en-HK"/>
        </w:rPr>
        <w:t xml:space="preserve"> overrules exacerbates its ineffectiveness.</w:t>
      </w:r>
    </w:p>
    <w:p w14:paraId="1C125116"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For example, in </w:t>
      </w:r>
      <w:proofErr w:type="spellStart"/>
      <w:r w:rsidRPr="005F6DC5">
        <w:rPr>
          <w:rFonts w:ascii="Times New Roman" w:hAnsi="Times New Roman"/>
          <w:i/>
          <w:iCs/>
          <w:lang w:val="en-HK"/>
        </w:rPr>
        <w:t>Mickelsson</w:t>
      </w:r>
      <w:proofErr w:type="spellEnd"/>
      <w:r w:rsidRPr="005F6DC5">
        <w:rPr>
          <w:rFonts w:ascii="Times New Roman" w:hAnsi="Times New Roman"/>
          <w:i/>
          <w:iCs/>
          <w:lang w:val="en-HK"/>
        </w:rPr>
        <w:t xml:space="preserve"> and </w:t>
      </w:r>
      <w:proofErr w:type="spellStart"/>
      <w:r w:rsidRPr="005F6DC5">
        <w:rPr>
          <w:rFonts w:ascii="Times New Roman" w:hAnsi="Times New Roman"/>
          <w:i/>
          <w:iCs/>
          <w:lang w:val="en-HK"/>
        </w:rPr>
        <w:t>Roos</w:t>
      </w:r>
      <w:proofErr w:type="spellEnd"/>
      <w:r w:rsidRPr="005F6DC5">
        <w:rPr>
          <w:rFonts w:ascii="Times New Roman" w:hAnsi="Times New Roman"/>
          <w:lang w:val="en-HK"/>
        </w:rPr>
        <w:t xml:space="preserve"> (C-142/05), Advocate General </w:t>
      </w:r>
      <w:proofErr w:type="spellStart"/>
      <w:r w:rsidRPr="005F6DC5">
        <w:rPr>
          <w:rFonts w:ascii="Times New Roman" w:hAnsi="Times New Roman"/>
          <w:lang w:val="en-HK"/>
        </w:rPr>
        <w:t>Kokott</w:t>
      </w:r>
      <w:proofErr w:type="spellEnd"/>
      <w:r w:rsidRPr="005F6DC5">
        <w:rPr>
          <w:rFonts w:ascii="Times New Roman" w:hAnsi="Times New Roman"/>
          <w:lang w:val="en-HK"/>
        </w:rPr>
        <w:t xml:space="preserve"> argued for extending </w:t>
      </w:r>
      <w:r w:rsidRPr="005F6DC5">
        <w:rPr>
          <w:rFonts w:ascii="Times New Roman" w:hAnsi="Times New Roman"/>
          <w:b/>
          <w:bCs/>
          <w:lang w:val="en-HK"/>
        </w:rPr>
        <w:t>Keck</w:t>
      </w:r>
      <w:r w:rsidRPr="005F6DC5">
        <w:rPr>
          <w:rFonts w:ascii="Times New Roman" w:hAnsi="Times New Roman"/>
          <w:lang w:val="en-HK"/>
        </w:rPr>
        <w:t xml:space="preserve"> to exclude measures governing the use of products from Article 34’s scope. However, this suggestion was firmly rejected, reinforcing </w:t>
      </w:r>
      <w:proofErr w:type="spellStart"/>
      <w:r w:rsidRPr="005F6DC5">
        <w:rPr>
          <w:rFonts w:ascii="Times New Roman" w:hAnsi="Times New Roman"/>
          <w:b/>
          <w:bCs/>
          <w:lang w:val="en-HK"/>
        </w:rPr>
        <w:t>Dassonville</w:t>
      </w:r>
      <w:r w:rsidRPr="005F6DC5">
        <w:rPr>
          <w:rFonts w:ascii="Times New Roman" w:hAnsi="Times New Roman"/>
          <w:lang w:val="en-HK"/>
        </w:rPr>
        <w:t>’s</w:t>
      </w:r>
      <w:proofErr w:type="spellEnd"/>
      <w:r w:rsidRPr="005F6DC5">
        <w:rPr>
          <w:rFonts w:ascii="Times New Roman" w:hAnsi="Times New Roman"/>
          <w:lang w:val="en-HK"/>
        </w:rPr>
        <w:t xml:space="preserve"> broader applicability.</w:t>
      </w:r>
    </w:p>
    <w:p w14:paraId="05BD69ED"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4D4E9F87">
          <v:rect id="_x0000_i1043" alt="" style="width:451.3pt;height:.05pt;mso-width-percent:0;mso-height-percent:0;mso-width-percent:0;mso-height-percent:0" o:hralign="center" o:hrstd="t" o:hr="t" fillcolor="#a0a0a0" stroked="f"/>
        </w:pict>
      </w:r>
    </w:p>
    <w:p w14:paraId="4E954DA9"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4. Market Access:</w:t>
      </w:r>
    </w:p>
    <w:p w14:paraId="50D13ECF" w14:textId="77777777" w:rsidR="005F6DC5" w:rsidRPr="005F6DC5" w:rsidRDefault="005F6DC5" w:rsidP="005F6DC5">
      <w:pPr>
        <w:numPr>
          <w:ilvl w:val="0"/>
          <w:numId w:val="6"/>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w:t>
      </w:r>
      <w:r w:rsidRPr="005F6DC5">
        <w:rPr>
          <w:rFonts w:ascii="Times New Roman" w:hAnsi="Times New Roman"/>
          <w:b/>
          <w:bCs/>
          <w:lang w:val="en-HK"/>
        </w:rPr>
        <w:t>Keck</w:t>
      </w:r>
      <w:r w:rsidRPr="005F6DC5">
        <w:rPr>
          <w:rFonts w:ascii="Times New Roman" w:hAnsi="Times New Roman"/>
          <w:lang w:val="en-HK"/>
        </w:rPr>
        <w:t xml:space="preserve"> doctrine was criticized for its "market access" framework, which appears redundant given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already captures measures hindering trade.</w:t>
      </w:r>
    </w:p>
    <w:p w14:paraId="0663730E" w14:textId="77777777" w:rsidR="005F6DC5" w:rsidRPr="005F6DC5" w:rsidRDefault="005F6DC5" w:rsidP="005F6DC5">
      <w:pPr>
        <w:numPr>
          <w:ilvl w:val="0"/>
          <w:numId w:val="6"/>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r w:rsidRPr="005F6DC5">
        <w:rPr>
          <w:rFonts w:ascii="Times New Roman" w:hAnsi="Times New Roman"/>
          <w:i/>
          <w:iCs/>
          <w:lang w:val="en-HK"/>
        </w:rPr>
        <w:t>Commission v Italy (C-110/05)</w:t>
      </w:r>
      <w:r w:rsidRPr="005F6DC5">
        <w:rPr>
          <w:rFonts w:ascii="Times New Roman" w:hAnsi="Times New Roman"/>
          <w:lang w:val="en-HK"/>
        </w:rPr>
        <w:t xml:space="preserve">, the ECJ emphasized that market access is a subset of the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principle, providing no additional clarity. Gormley agrees with </w:t>
      </w:r>
      <w:proofErr w:type="spellStart"/>
      <w:r w:rsidRPr="005F6DC5">
        <w:rPr>
          <w:rFonts w:ascii="Times New Roman" w:hAnsi="Times New Roman"/>
          <w:lang w:val="en-HK"/>
        </w:rPr>
        <w:t>Spaventa’s</w:t>
      </w:r>
      <w:proofErr w:type="spellEnd"/>
      <w:r w:rsidRPr="005F6DC5">
        <w:rPr>
          <w:rFonts w:ascii="Times New Roman" w:hAnsi="Times New Roman"/>
          <w:lang w:val="en-HK"/>
        </w:rPr>
        <w:t xml:space="preserve"> observation:</w:t>
      </w:r>
    </w:p>
    <w:p w14:paraId="30418A1F" w14:textId="77777777" w:rsidR="005F6DC5" w:rsidRPr="005F6DC5" w:rsidRDefault="005F6DC5" w:rsidP="005F6DC5">
      <w:pPr>
        <w:spacing w:beforeAutospacing="1" w:afterAutospacing="1" w:line="276" w:lineRule="auto"/>
        <w:rPr>
          <w:rFonts w:ascii="Times New Roman" w:hAnsi="Times New Roman"/>
          <w:lang w:val="en-HK"/>
        </w:rPr>
      </w:pPr>
      <w:r w:rsidRPr="005F6DC5">
        <w:rPr>
          <w:rFonts w:ascii="Times New Roman" w:hAnsi="Times New Roman"/>
          <w:lang w:val="en-HK"/>
        </w:rPr>
        <w:t>"Market access merely realigns goods law with the free movement of persons, focusing on barriers to economic freedom."</w:t>
      </w:r>
    </w:p>
    <w:p w14:paraId="5D5C9D47"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This alignment, however, is viewed as superfluous and ambiguous. Scholars like Snell argue that "market access" obscures rather than clarifies the legal analysis.</w:t>
      </w:r>
    </w:p>
    <w:p w14:paraId="450A9AB6"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5C4ADFF9">
          <v:rect id="_x0000_i1042" alt="" style="width:451.3pt;height:.05pt;mso-width-percent:0;mso-height-percent:0;mso-width-percent:0;mso-height-percent:0" o:hralign="center" o:hrstd="t" o:hr="t" fillcolor="#a0a0a0" stroked="f"/>
        </w:pict>
      </w:r>
    </w:p>
    <w:p w14:paraId="42DE23DD"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lastRenderedPageBreak/>
        <w:t>5. Inconsistencies in Keck’s Application:</w:t>
      </w:r>
    </w:p>
    <w:p w14:paraId="5F12B6C4" w14:textId="77777777" w:rsidR="005F6DC5" w:rsidRPr="005F6DC5" w:rsidRDefault="005F6DC5" w:rsidP="005F6DC5">
      <w:pPr>
        <w:numPr>
          <w:ilvl w:val="0"/>
          <w:numId w:val="7"/>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Judicial inconsistency plagues </w:t>
      </w:r>
      <w:r w:rsidRPr="005F6DC5">
        <w:rPr>
          <w:rFonts w:ascii="Times New Roman" w:hAnsi="Times New Roman"/>
          <w:b/>
          <w:bCs/>
          <w:lang w:val="en-HK"/>
        </w:rPr>
        <w:t>Keck</w:t>
      </w:r>
      <w:r w:rsidRPr="005F6DC5">
        <w:rPr>
          <w:rFonts w:ascii="Times New Roman" w:hAnsi="Times New Roman"/>
          <w:lang w:val="en-HK"/>
        </w:rPr>
        <w:t>, with varying interpretations undermining its utility:</w:t>
      </w:r>
    </w:p>
    <w:p w14:paraId="6BFA631A" w14:textId="77777777" w:rsidR="005F6DC5" w:rsidRPr="005F6DC5" w:rsidRDefault="005F6DC5" w:rsidP="005F6DC5">
      <w:pPr>
        <w:numPr>
          <w:ilvl w:val="1"/>
          <w:numId w:val="7"/>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r w:rsidRPr="005F6DC5">
        <w:rPr>
          <w:rFonts w:ascii="Times New Roman" w:hAnsi="Times New Roman"/>
          <w:i/>
          <w:iCs/>
          <w:lang w:val="en-HK"/>
        </w:rPr>
        <w:t>Ker-</w:t>
      </w:r>
      <w:proofErr w:type="spellStart"/>
      <w:r w:rsidRPr="005F6DC5">
        <w:rPr>
          <w:rFonts w:ascii="Times New Roman" w:hAnsi="Times New Roman"/>
          <w:i/>
          <w:iCs/>
          <w:lang w:val="en-HK"/>
        </w:rPr>
        <w:t>Optika</w:t>
      </w:r>
      <w:proofErr w:type="spellEnd"/>
      <w:r w:rsidRPr="005F6DC5">
        <w:rPr>
          <w:rFonts w:ascii="Times New Roman" w:hAnsi="Times New Roman"/>
          <w:lang w:val="en-HK"/>
        </w:rPr>
        <w:t xml:space="preserve"> (C-108/09), the ECJ reversed the presumption, holding that selling arrangements are prohibited unless they satisfy both </w:t>
      </w:r>
      <w:r w:rsidRPr="005F6DC5">
        <w:rPr>
          <w:rFonts w:ascii="Times New Roman" w:hAnsi="Times New Roman"/>
          <w:b/>
          <w:bCs/>
          <w:lang w:val="en-HK"/>
        </w:rPr>
        <w:t>Keck</w:t>
      </w:r>
      <w:r w:rsidRPr="005F6DC5">
        <w:rPr>
          <w:rFonts w:ascii="Times New Roman" w:hAnsi="Times New Roman"/>
          <w:lang w:val="en-HK"/>
        </w:rPr>
        <w:t xml:space="preserve"> conditions, deviating from the original doctrine.</w:t>
      </w:r>
    </w:p>
    <w:p w14:paraId="7FB8DDD8" w14:textId="77777777" w:rsidR="005F6DC5" w:rsidRPr="005F6DC5" w:rsidRDefault="005F6DC5" w:rsidP="005F6DC5">
      <w:pPr>
        <w:numPr>
          <w:ilvl w:val="1"/>
          <w:numId w:val="7"/>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r w:rsidRPr="005F6DC5">
        <w:rPr>
          <w:rFonts w:ascii="Times New Roman" w:hAnsi="Times New Roman"/>
          <w:i/>
          <w:iCs/>
          <w:lang w:val="en-HK"/>
        </w:rPr>
        <w:t>ANETT</w:t>
      </w:r>
      <w:r w:rsidRPr="005F6DC5">
        <w:rPr>
          <w:rFonts w:ascii="Times New Roman" w:hAnsi="Times New Roman"/>
          <w:lang w:val="en-HK"/>
        </w:rPr>
        <w:t xml:space="preserve"> (C-456/10), the ECJ’s convoluted reasoning deemed restrictions on tobacco imports to hinder market access, despite their similarity to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w:t>
      </w:r>
    </w:p>
    <w:p w14:paraId="72239BFB"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These inconsistent rulings reveal the ECJ's discomfort with </w:t>
      </w:r>
      <w:r w:rsidRPr="005F6DC5">
        <w:rPr>
          <w:rFonts w:ascii="Times New Roman" w:hAnsi="Times New Roman"/>
          <w:b/>
          <w:bCs/>
          <w:lang w:val="en-HK"/>
        </w:rPr>
        <w:t>Keck</w:t>
      </w:r>
      <w:r w:rsidRPr="005F6DC5">
        <w:rPr>
          <w:rFonts w:ascii="Times New Roman" w:hAnsi="Times New Roman"/>
          <w:lang w:val="en-HK"/>
        </w:rPr>
        <w:t xml:space="preserve"> and a trend toward its erosion.</w:t>
      </w:r>
    </w:p>
    <w:p w14:paraId="5B23D768"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3F7F3CCE">
          <v:rect id="_x0000_i1041" alt="" style="width:451.3pt;height:.05pt;mso-width-percent:0;mso-height-percent:0;mso-width-percent:0;mso-height-percent:0" o:hralign="center" o:hrstd="t" o:hr="t" fillcolor="#a0a0a0" stroked="f"/>
        </w:pict>
      </w:r>
    </w:p>
    <w:p w14:paraId="090B87ED"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6. Scholarly Opinions:</w:t>
      </w:r>
    </w:p>
    <w:p w14:paraId="1A6A4C18" w14:textId="77777777" w:rsidR="005F6DC5" w:rsidRPr="005F6DC5" w:rsidRDefault="005F6DC5" w:rsidP="005F6DC5">
      <w:pPr>
        <w:numPr>
          <w:ilvl w:val="0"/>
          <w:numId w:val="8"/>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Gormley:</w:t>
      </w:r>
      <w:r w:rsidRPr="005F6DC5">
        <w:rPr>
          <w:rFonts w:ascii="Times New Roman" w:hAnsi="Times New Roman"/>
          <w:lang w:val="en-HK"/>
        </w:rPr>
        <w:t xml:space="preserve"> He labels </w:t>
      </w:r>
      <w:r w:rsidRPr="005F6DC5">
        <w:rPr>
          <w:rFonts w:ascii="Times New Roman" w:hAnsi="Times New Roman"/>
          <w:b/>
          <w:bCs/>
          <w:lang w:val="en-HK"/>
        </w:rPr>
        <w:t>Keck</w:t>
      </w:r>
      <w:r w:rsidRPr="005F6DC5">
        <w:rPr>
          <w:rFonts w:ascii="Times New Roman" w:hAnsi="Times New Roman"/>
          <w:lang w:val="en-HK"/>
        </w:rPr>
        <w:t xml:space="preserve"> an "immaculate misconception," arguing it sowed confusion and failed to achieve its intended purpose. Its formal survival reflects judicial inertia rather than practical utility.</w:t>
      </w:r>
    </w:p>
    <w:p w14:paraId="7AF5E2A6" w14:textId="77777777" w:rsidR="005F6DC5" w:rsidRPr="005F6DC5" w:rsidRDefault="005F6DC5" w:rsidP="005F6DC5">
      <w:pPr>
        <w:numPr>
          <w:ilvl w:val="0"/>
          <w:numId w:val="8"/>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Snell:</w:t>
      </w:r>
      <w:r w:rsidRPr="005F6DC5">
        <w:rPr>
          <w:rFonts w:ascii="Times New Roman" w:hAnsi="Times New Roman"/>
          <w:lang w:val="en-HK"/>
        </w:rPr>
        <w:t xml:space="preserve"> Criticizes the "market access" concept as redundant and misleading, </w:t>
      </w:r>
      <w:proofErr w:type="spellStart"/>
      <w:r w:rsidRPr="005F6DC5">
        <w:rPr>
          <w:rFonts w:ascii="Times New Roman" w:hAnsi="Times New Roman"/>
          <w:lang w:val="en-HK"/>
        </w:rPr>
        <w:t>favoring</w:t>
      </w:r>
      <w:proofErr w:type="spellEnd"/>
      <w:r w:rsidRPr="005F6DC5">
        <w:rPr>
          <w:rFonts w:ascii="Times New Roman" w:hAnsi="Times New Roman"/>
          <w:lang w:val="en-HK"/>
        </w:rPr>
        <w:t xml:space="preserve"> </w:t>
      </w:r>
      <w:proofErr w:type="spellStart"/>
      <w:r w:rsidRPr="005F6DC5">
        <w:rPr>
          <w:rFonts w:ascii="Times New Roman" w:hAnsi="Times New Roman"/>
          <w:b/>
          <w:bCs/>
          <w:lang w:val="en-HK"/>
        </w:rPr>
        <w:t>Dassonville</w:t>
      </w:r>
      <w:r w:rsidRPr="005F6DC5">
        <w:rPr>
          <w:rFonts w:ascii="Times New Roman" w:hAnsi="Times New Roman"/>
          <w:lang w:val="en-HK"/>
        </w:rPr>
        <w:t>'s</w:t>
      </w:r>
      <w:proofErr w:type="spellEnd"/>
      <w:r w:rsidRPr="005F6DC5">
        <w:rPr>
          <w:rFonts w:ascii="Times New Roman" w:hAnsi="Times New Roman"/>
          <w:lang w:val="en-HK"/>
        </w:rPr>
        <w:t xml:space="preserve"> broader scope.</w:t>
      </w:r>
    </w:p>
    <w:p w14:paraId="4604E168" w14:textId="77777777" w:rsidR="005F6DC5" w:rsidRPr="005F6DC5" w:rsidRDefault="005F6DC5" w:rsidP="005F6DC5">
      <w:pPr>
        <w:numPr>
          <w:ilvl w:val="0"/>
          <w:numId w:val="8"/>
        </w:numPr>
        <w:spacing w:before="100" w:beforeAutospacing="1" w:after="100" w:afterAutospacing="1" w:line="276" w:lineRule="auto"/>
        <w:rPr>
          <w:rFonts w:ascii="Times New Roman" w:hAnsi="Times New Roman"/>
          <w:lang w:val="en-HK"/>
        </w:rPr>
      </w:pPr>
      <w:proofErr w:type="spellStart"/>
      <w:r w:rsidRPr="005F6DC5">
        <w:rPr>
          <w:rFonts w:ascii="Times New Roman" w:hAnsi="Times New Roman"/>
          <w:b/>
          <w:bCs/>
          <w:lang w:val="en-HK"/>
        </w:rPr>
        <w:t>Spaventa</w:t>
      </w:r>
      <w:proofErr w:type="spellEnd"/>
      <w:r w:rsidRPr="005F6DC5">
        <w:rPr>
          <w:rFonts w:ascii="Times New Roman" w:hAnsi="Times New Roman"/>
          <w:b/>
          <w:bCs/>
          <w:lang w:val="en-HK"/>
        </w:rPr>
        <w:t>:</w:t>
      </w:r>
      <w:r w:rsidRPr="005F6DC5">
        <w:rPr>
          <w:rFonts w:ascii="Times New Roman" w:hAnsi="Times New Roman"/>
          <w:lang w:val="en-HK"/>
        </w:rPr>
        <w:t xml:space="preserve"> Notes that "market access" aligns goods law with the free movement of persons but adds no substantive clarity.</w:t>
      </w:r>
    </w:p>
    <w:p w14:paraId="44482A39"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0F4C9384">
          <v:rect id="_x0000_i1040" alt="" style="width:451.3pt;height:.05pt;mso-width-percent:0;mso-height-percent:0;mso-width-percent:0;mso-height-percent:0" o:hralign="center" o:hrstd="t" o:hr="t" fillcolor="#a0a0a0" stroked="f"/>
        </w:pict>
      </w:r>
    </w:p>
    <w:p w14:paraId="1F88A593"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 xml:space="preserve">7. Conclusion on </w:t>
      </w:r>
      <w:proofErr w:type="spellStart"/>
      <w:r w:rsidRPr="005F6DC5">
        <w:rPr>
          <w:rFonts w:ascii="Times New Roman" w:hAnsi="Times New Roman"/>
          <w:b/>
          <w:bCs/>
          <w:lang w:val="en-HK"/>
        </w:rPr>
        <w:t>Dassonville</w:t>
      </w:r>
      <w:proofErr w:type="spellEnd"/>
      <w:r w:rsidRPr="005F6DC5">
        <w:rPr>
          <w:rFonts w:ascii="Times New Roman" w:hAnsi="Times New Roman"/>
          <w:b/>
          <w:bCs/>
          <w:lang w:val="en-HK"/>
        </w:rPr>
        <w:t xml:space="preserve"> and Keck:</w:t>
      </w:r>
    </w:p>
    <w:p w14:paraId="5844BC36" w14:textId="77777777" w:rsidR="005F6DC5" w:rsidRPr="005F6DC5" w:rsidRDefault="005F6DC5" w:rsidP="005F6DC5">
      <w:pPr>
        <w:numPr>
          <w:ilvl w:val="0"/>
          <w:numId w:val="9"/>
        </w:numPr>
        <w:spacing w:before="100" w:beforeAutospacing="1" w:after="100" w:afterAutospacing="1" w:line="276" w:lineRule="auto"/>
        <w:rPr>
          <w:rFonts w:ascii="Times New Roman" w:hAnsi="Times New Roman"/>
          <w:lang w:val="en-HK"/>
        </w:rPr>
      </w:pP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remains a robust and central principle under Article 34, capturing all measures capable of hindering trade, directly or indirectly, actually or potentially.</w:t>
      </w:r>
    </w:p>
    <w:p w14:paraId="5FF54C37" w14:textId="77777777" w:rsidR="005F6DC5" w:rsidRPr="005F6DC5" w:rsidRDefault="005F6DC5" w:rsidP="005F6DC5">
      <w:pPr>
        <w:numPr>
          <w:ilvl w:val="0"/>
          <w:numId w:val="9"/>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Keck</w:t>
      </w:r>
      <w:r w:rsidRPr="005F6DC5">
        <w:rPr>
          <w:rFonts w:ascii="Times New Roman" w:hAnsi="Times New Roman"/>
          <w:lang w:val="en-HK"/>
        </w:rPr>
        <w:t>, while surviving formally, is inelegant and ineffective. Its restrictive criteria have not simplified the law but instead created confusion and inconsistent judgments.</w:t>
      </w:r>
    </w:p>
    <w:p w14:paraId="6079C9B2" w14:textId="77777777" w:rsidR="005F6DC5" w:rsidRPr="005F6DC5" w:rsidRDefault="005F6DC5" w:rsidP="005F6DC5">
      <w:pPr>
        <w:numPr>
          <w:ilvl w:val="0"/>
          <w:numId w:val="9"/>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principle’s adaptability ensures its longevity, whereas </w:t>
      </w:r>
      <w:r w:rsidRPr="005F6DC5">
        <w:rPr>
          <w:rFonts w:ascii="Times New Roman" w:hAnsi="Times New Roman"/>
          <w:b/>
          <w:bCs/>
          <w:lang w:val="en-HK"/>
        </w:rPr>
        <w:t>Keck</w:t>
      </w:r>
      <w:r w:rsidRPr="005F6DC5">
        <w:rPr>
          <w:rFonts w:ascii="Times New Roman" w:hAnsi="Times New Roman"/>
          <w:lang w:val="en-HK"/>
        </w:rPr>
        <w:t xml:space="preserve"> faces mounting criticism and is unlikely to achieve its purported aims.</w:t>
      </w:r>
    </w:p>
    <w:p w14:paraId="3B3BAB33"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07C3D8EB">
          <v:rect id="_x0000_i1039" alt="" style="width:451.3pt;height:.05pt;mso-width-percent:0;mso-height-percent:0;mso-width-percent:0;mso-height-percent:0" o:hralign="center" o:hrstd="t" o:hr="t" fillcolor="#a0a0a0" stroked="f"/>
        </w:pict>
      </w:r>
    </w:p>
    <w:p w14:paraId="143EEF40" w14:textId="20EE273A" w:rsidR="005F6DC5" w:rsidRPr="005F6DC5" w:rsidRDefault="005F6DC5" w:rsidP="005F6DC5">
      <w:pPr>
        <w:spacing w:before="100" w:beforeAutospacing="1" w:after="100" w:afterAutospacing="1" w:line="276" w:lineRule="auto"/>
        <w:outlineLvl w:val="2"/>
        <w:rPr>
          <w:rFonts w:ascii="Times New Roman" w:hAnsi="Times New Roman"/>
          <w:b/>
          <w:bCs/>
          <w:lang w:val="en-HK"/>
        </w:rPr>
      </w:pPr>
      <w:r w:rsidRPr="005F6DC5">
        <w:rPr>
          <w:rFonts w:ascii="Times New Roman" w:hAnsi="Times New Roman"/>
          <w:b/>
          <w:bCs/>
          <w:lang w:val="en-HK"/>
        </w:rPr>
        <w:t xml:space="preserve">III. </w:t>
      </w:r>
      <w:r w:rsidRPr="005F6DC5">
        <w:rPr>
          <w:rFonts w:ascii="Times New Roman" w:hAnsi="Times New Roman"/>
          <w:b/>
          <w:bCs/>
          <w:lang w:val="en-HK"/>
        </w:rPr>
        <w:t>Assimilation of the Justifications</w:t>
      </w:r>
    </w:p>
    <w:p w14:paraId="4D6D334E"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1. The Concept of Case Law-Based Justifications</w:t>
      </w:r>
    </w:p>
    <w:p w14:paraId="715614FE"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The ECJ’s landmark decision in </w:t>
      </w:r>
      <w:proofErr w:type="spellStart"/>
      <w:r w:rsidRPr="005F6DC5">
        <w:rPr>
          <w:rFonts w:ascii="Times New Roman" w:hAnsi="Times New Roman"/>
          <w:i/>
          <w:iCs/>
          <w:lang w:val="en-HK"/>
        </w:rPr>
        <w:t>Dassonville</w:t>
      </w:r>
      <w:proofErr w:type="spellEnd"/>
      <w:r w:rsidRPr="005F6DC5">
        <w:rPr>
          <w:rFonts w:ascii="Times New Roman" w:hAnsi="Times New Roman"/>
          <w:lang w:val="en-HK"/>
        </w:rPr>
        <w:t xml:space="preserve"> (Case 8/74) introduced the possibility of justifications for measures that hinder trade, even if these justifications are not expressly </w:t>
      </w:r>
      <w:r w:rsidRPr="005F6DC5">
        <w:rPr>
          <w:rFonts w:ascii="Times New Roman" w:hAnsi="Times New Roman"/>
          <w:lang w:val="en-HK"/>
        </w:rPr>
        <w:lastRenderedPageBreak/>
        <w:t xml:space="preserve">mentioned in Article 36 TFEU. This was further developed in </w:t>
      </w:r>
      <w:r w:rsidRPr="005F6DC5">
        <w:rPr>
          <w:rFonts w:ascii="Times New Roman" w:hAnsi="Times New Roman"/>
          <w:i/>
          <w:iCs/>
          <w:lang w:val="en-HK"/>
        </w:rPr>
        <w:t>Cassis de Dijon</w:t>
      </w:r>
      <w:r w:rsidRPr="005F6DC5">
        <w:rPr>
          <w:rFonts w:ascii="Times New Roman" w:hAnsi="Times New Roman"/>
          <w:lang w:val="en-HK"/>
        </w:rPr>
        <w:t xml:space="preserve"> (Case 120/78), where the ECJ coined the term "mandatory requirements," emphasizing that:</w:t>
      </w:r>
    </w:p>
    <w:p w14:paraId="0E70566D" w14:textId="77777777" w:rsidR="005F6DC5" w:rsidRPr="005F6DC5" w:rsidRDefault="005F6DC5" w:rsidP="005F6DC5">
      <w:pPr>
        <w:spacing w:beforeAutospacing="1" w:afterAutospacing="1" w:line="276" w:lineRule="auto"/>
        <w:rPr>
          <w:rFonts w:ascii="Times New Roman" w:hAnsi="Times New Roman"/>
          <w:lang w:val="en-HK"/>
        </w:rPr>
      </w:pPr>
      <w:r w:rsidRPr="005F6DC5">
        <w:rPr>
          <w:rFonts w:ascii="Times New Roman" w:hAnsi="Times New Roman"/>
          <w:lang w:val="en-HK"/>
        </w:rPr>
        <w:t>"Measures that are indistinctly applicable could be justified by overriding requirements of general public interest."</w:t>
      </w:r>
    </w:p>
    <w:p w14:paraId="06B05AB5"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Unlike Article 36, which contains a closed list of justifications (e.g., public health, public policy, public security), the mandatory requirements framework introduced a more flexible, open-ended approach.</w:t>
      </w:r>
    </w:p>
    <w:p w14:paraId="369493B1"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5F762959">
          <v:rect id="_x0000_i1038" alt="" style="width:451.3pt;height:.05pt;mso-width-percent:0;mso-height-percent:0;mso-width-percent:0;mso-height-percent:0" o:hralign="center" o:hrstd="t" o:hr="t" fillcolor="#a0a0a0" stroked="f"/>
        </w:pict>
      </w:r>
    </w:p>
    <w:p w14:paraId="7CF2C124"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2. Article 36 Justifications</w:t>
      </w:r>
    </w:p>
    <w:p w14:paraId="07E88C1A"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Text of Article 36 TFEU</w:t>
      </w:r>
      <w:r w:rsidRPr="005F6DC5">
        <w:rPr>
          <w:rFonts w:ascii="Times New Roman" w:hAnsi="Times New Roman"/>
          <w:lang w:val="en-HK"/>
        </w:rPr>
        <w:t>:</w:t>
      </w:r>
    </w:p>
    <w:p w14:paraId="7F5364E2" w14:textId="77777777" w:rsidR="005F6DC5" w:rsidRPr="005F6DC5" w:rsidRDefault="005F6DC5" w:rsidP="005F6DC5">
      <w:pPr>
        <w:spacing w:beforeAutospacing="1" w:afterAutospacing="1" w:line="276" w:lineRule="auto"/>
        <w:rPr>
          <w:rFonts w:ascii="Times New Roman" w:hAnsi="Times New Roman"/>
          <w:lang w:val="en-HK"/>
        </w:rPr>
      </w:pPr>
      <w:r w:rsidRPr="005F6DC5">
        <w:rPr>
          <w:rFonts w:ascii="Times New Roman" w:hAnsi="Times New Roman"/>
          <w:lang w:val="en-HK"/>
        </w:rPr>
        <w:t>“The provisions of Articles 34 and 35 shall not preclude prohibitions or restrictions on imports, exports, or goods in transit justified on grounds of public morality, public policy or public security; the protection of health and life of humans, animals or plants; the protection of national treasures possessing artistic, historic or archaeological value; or the protection of industrial and commercial property. Such prohibitions or restrictions shall not, however, constitute a means of arbitrary discrimination or a disguised restriction on trade between Member States.”</w:t>
      </w:r>
    </w:p>
    <w:p w14:paraId="3D522F15"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Gormley emphasizes that the justifications under Article 36 must be interpreted narrowly, as they are exceptions to the free movement principles. The ECJ has consistently held that these justifications must be both:</w:t>
      </w:r>
    </w:p>
    <w:p w14:paraId="14E51192" w14:textId="77777777" w:rsidR="005F6DC5" w:rsidRPr="005F6DC5" w:rsidRDefault="005F6DC5" w:rsidP="005F6DC5">
      <w:pPr>
        <w:numPr>
          <w:ilvl w:val="0"/>
          <w:numId w:val="10"/>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Proportionate</w:t>
      </w:r>
      <w:r w:rsidRPr="005F6DC5">
        <w:rPr>
          <w:rFonts w:ascii="Times New Roman" w:hAnsi="Times New Roman"/>
          <w:lang w:val="en-HK"/>
        </w:rPr>
        <w:t>: The measure must be appropriate to achieve its objective and not go beyond what is necessary.</w:t>
      </w:r>
    </w:p>
    <w:p w14:paraId="32DFD8D2" w14:textId="77777777" w:rsidR="005F6DC5" w:rsidRPr="005F6DC5" w:rsidRDefault="005F6DC5" w:rsidP="005F6DC5">
      <w:pPr>
        <w:numPr>
          <w:ilvl w:val="0"/>
          <w:numId w:val="10"/>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Non-discriminatory</w:t>
      </w:r>
      <w:r w:rsidRPr="005F6DC5">
        <w:rPr>
          <w:rFonts w:ascii="Times New Roman" w:hAnsi="Times New Roman"/>
          <w:lang w:val="en-HK"/>
        </w:rPr>
        <w:t xml:space="preserve">: The measure cannot </w:t>
      </w:r>
      <w:proofErr w:type="spellStart"/>
      <w:r w:rsidRPr="005F6DC5">
        <w:rPr>
          <w:rFonts w:ascii="Times New Roman" w:hAnsi="Times New Roman"/>
          <w:lang w:val="en-HK"/>
        </w:rPr>
        <w:t>favor</w:t>
      </w:r>
      <w:proofErr w:type="spellEnd"/>
      <w:r w:rsidRPr="005F6DC5">
        <w:rPr>
          <w:rFonts w:ascii="Times New Roman" w:hAnsi="Times New Roman"/>
          <w:lang w:val="en-HK"/>
        </w:rPr>
        <w:t xml:space="preserve"> domestic goods or be a disguised restriction on trade.</w:t>
      </w:r>
    </w:p>
    <w:p w14:paraId="508DAE67"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531D1BC4">
          <v:rect id="_x0000_i1037" alt="" style="width:451.3pt;height:.05pt;mso-width-percent:0;mso-height-percent:0;mso-width-percent:0;mso-height-percent:0" o:hralign="center" o:hrstd="t" o:hr="t" fillcolor="#a0a0a0" stroked="f"/>
        </w:pict>
      </w:r>
    </w:p>
    <w:p w14:paraId="66689582"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3. Differences Between Article 36 and Case Law-Based Justifications</w:t>
      </w:r>
    </w:p>
    <w:p w14:paraId="553C923D" w14:textId="77777777" w:rsidR="005F6DC5" w:rsidRPr="005F6DC5" w:rsidRDefault="005F6DC5" w:rsidP="005F6DC5">
      <w:pPr>
        <w:numPr>
          <w:ilvl w:val="0"/>
          <w:numId w:val="11"/>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Article 36 justifications apply to </w:t>
      </w:r>
      <w:r w:rsidRPr="005F6DC5">
        <w:rPr>
          <w:rFonts w:ascii="Times New Roman" w:hAnsi="Times New Roman"/>
          <w:b/>
          <w:bCs/>
          <w:lang w:val="en-HK"/>
        </w:rPr>
        <w:t>discriminatory measures</w:t>
      </w:r>
      <w:r w:rsidRPr="005F6DC5">
        <w:rPr>
          <w:rFonts w:ascii="Times New Roman" w:hAnsi="Times New Roman"/>
          <w:lang w:val="en-HK"/>
        </w:rPr>
        <w:t xml:space="preserve"> and equally applicable measures.</w:t>
      </w:r>
    </w:p>
    <w:p w14:paraId="0FC30B39" w14:textId="77777777" w:rsidR="005F6DC5" w:rsidRPr="005F6DC5" w:rsidRDefault="005F6DC5" w:rsidP="005F6DC5">
      <w:pPr>
        <w:numPr>
          <w:ilvl w:val="0"/>
          <w:numId w:val="11"/>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Case law-based justifications, however, apply </w:t>
      </w:r>
      <w:r w:rsidRPr="005F6DC5">
        <w:rPr>
          <w:rFonts w:ascii="Times New Roman" w:hAnsi="Times New Roman"/>
          <w:b/>
          <w:bCs/>
          <w:lang w:val="en-HK"/>
        </w:rPr>
        <w:t>only to non-discriminatory measures</w:t>
      </w:r>
      <w:r w:rsidRPr="005F6DC5">
        <w:rPr>
          <w:rFonts w:ascii="Times New Roman" w:hAnsi="Times New Roman"/>
          <w:lang w:val="en-HK"/>
        </w:rPr>
        <w:t>. For example:</w:t>
      </w:r>
    </w:p>
    <w:p w14:paraId="4892541C" w14:textId="77777777" w:rsidR="005F6DC5" w:rsidRPr="005F6DC5" w:rsidRDefault="005F6DC5" w:rsidP="005F6DC5">
      <w:pPr>
        <w:numPr>
          <w:ilvl w:val="1"/>
          <w:numId w:val="11"/>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r w:rsidRPr="005F6DC5">
        <w:rPr>
          <w:rFonts w:ascii="Times New Roman" w:hAnsi="Times New Roman"/>
          <w:i/>
          <w:iCs/>
          <w:lang w:val="en-HK"/>
        </w:rPr>
        <w:t>Commission v Denmark</w:t>
      </w:r>
      <w:r w:rsidRPr="005F6DC5">
        <w:rPr>
          <w:rFonts w:ascii="Times New Roman" w:hAnsi="Times New Roman"/>
          <w:lang w:val="en-HK"/>
        </w:rPr>
        <w:t xml:space="preserve"> (Case 302/86), the ECJ accepted environmental protection as a mandatory requirement but emphasized that it must apply equally to imported and domestic goods.</w:t>
      </w:r>
    </w:p>
    <w:p w14:paraId="30B19E2C"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lastRenderedPageBreak/>
        <w:t>This distinction preserves the stricter scrutiny for discriminatory measures under Article 36 while allowing some flexibility for non-discriminatory measures.</w:t>
      </w:r>
    </w:p>
    <w:p w14:paraId="290DDC52"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1EBEFF47">
          <v:rect id="_x0000_i1036" alt="" style="width:451.3pt;height:.05pt;mso-width-percent:0;mso-height-percent:0;mso-width-percent:0;mso-height-percent:0" o:hralign="center" o:hrstd="t" o:hr="t" fillcolor="#a0a0a0" stroked="f"/>
        </w:pict>
      </w:r>
    </w:p>
    <w:p w14:paraId="13CA0391"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4. Expansion of Case Law-Based Justifications</w:t>
      </w:r>
    </w:p>
    <w:p w14:paraId="47F799FB"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The ECJ has expanded the list of case law-based justifications over time, sometimes overlapping with Article 36. For example:</w:t>
      </w:r>
    </w:p>
    <w:p w14:paraId="00DB16E4" w14:textId="77777777" w:rsidR="005F6DC5" w:rsidRPr="005F6DC5" w:rsidRDefault="005F6DC5" w:rsidP="005F6DC5">
      <w:pPr>
        <w:numPr>
          <w:ilvl w:val="0"/>
          <w:numId w:val="12"/>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Environmental Protection</w:t>
      </w:r>
      <w:r w:rsidRPr="005F6DC5">
        <w:rPr>
          <w:rFonts w:ascii="Times New Roman" w:hAnsi="Times New Roman"/>
          <w:lang w:val="en-HK"/>
        </w:rPr>
        <w:t xml:space="preserve">: Accepted as a mandatory requirement in cases such as </w:t>
      </w:r>
      <w:r w:rsidRPr="005F6DC5">
        <w:rPr>
          <w:rFonts w:ascii="Times New Roman" w:hAnsi="Times New Roman"/>
          <w:i/>
          <w:iCs/>
          <w:lang w:val="en-HK"/>
        </w:rPr>
        <w:t>Commission v Denmark</w:t>
      </w:r>
      <w:r w:rsidRPr="005F6DC5">
        <w:rPr>
          <w:rFonts w:ascii="Times New Roman" w:hAnsi="Times New Roman"/>
          <w:lang w:val="en-HK"/>
        </w:rPr>
        <w:t xml:space="preserve"> and </w:t>
      </w:r>
      <w:proofErr w:type="spellStart"/>
      <w:r w:rsidRPr="005F6DC5">
        <w:rPr>
          <w:rFonts w:ascii="Times New Roman" w:hAnsi="Times New Roman"/>
          <w:i/>
          <w:iCs/>
          <w:lang w:val="en-HK"/>
        </w:rPr>
        <w:t>PreussenElektra</w:t>
      </w:r>
      <w:proofErr w:type="spellEnd"/>
      <w:r w:rsidRPr="005F6DC5">
        <w:rPr>
          <w:rFonts w:ascii="Times New Roman" w:hAnsi="Times New Roman"/>
          <w:i/>
          <w:iCs/>
          <w:lang w:val="en-HK"/>
        </w:rPr>
        <w:t xml:space="preserve"> AG v </w:t>
      </w:r>
      <w:proofErr w:type="spellStart"/>
      <w:r w:rsidRPr="005F6DC5">
        <w:rPr>
          <w:rFonts w:ascii="Times New Roman" w:hAnsi="Times New Roman"/>
          <w:i/>
          <w:iCs/>
          <w:lang w:val="en-HK"/>
        </w:rPr>
        <w:t>Schhleswag</w:t>
      </w:r>
      <w:proofErr w:type="spellEnd"/>
      <w:r w:rsidRPr="005F6DC5">
        <w:rPr>
          <w:rFonts w:ascii="Times New Roman" w:hAnsi="Times New Roman"/>
          <w:i/>
          <w:iCs/>
          <w:lang w:val="en-HK"/>
        </w:rPr>
        <w:t xml:space="preserve"> AG</w:t>
      </w:r>
      <w:r w:rsidRPr="005F6DC5">
        <w:rPr>
          <w:rFonts w:ascii="Times New Roman" w:hAnsi="Times New Roman"/>
          <w:lang w:val="en-HK"/>
        </w:rPr>
        <w:t xml:space="preserve"> (Case C-379/98).</w:t>
      </w:r>
    </w:p>
    <w:p w14:paraId="7009E119" w14:textId="77777777" w:rsidR="005F6DC5" w:rsidRPr="005F6DC5" w:rsidRDefault="005F6DC5" w:rsidP="005F6DC5">
      <w:pPr>
        <w:numPr>
          <w:ilvl w:val="0"/>
          <w:numId w:val="12"/>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Consumer Protection</w:t>
      </w:r>
      <w:r w:rsidRPr="005F6DC5">
        <w:rPr>
          <w:rFonts w:ascii="Times New Roman" w:hAnsi="Times New Roman"/>
          <w:lang w:val="en-HK"/>
        </w:rPr>
        <w:t xml:space="preserve">: Recognized in </w:t>
      </w:r>
      <w:r w:rsidRPr="005F6DC5">
        <w:rPr>
          <w:rFonts w:ascii="Times New Roman" w:hAnsi="Times New Roman"/>
          <w:i/>
          <w:iCs/>
          <w:lang w:val="en-HK"/>
        </w:rPr>
        <w:t>Cassis de Dijon</w:t>
      </w:r>
      <w:r w:rsidRPr="005F6DC5">
        <w:rPr>
          <w:rFonts w:ascii="Times New Roman" w:hAnsi="Times New Roman"/>
          <w:lang w:val="en-HK"/>
        </w:rPr>
        <w:t xml:space="preserve"> and subsequent cases.</w:t>
      </w:r>
    </w:p>
    <w:p w14:paraId="460D65BB"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However, Gormley notes that these expansions have sometimes blurred the lines between the two frameworks, leading to criticisms of inconsistency.</w:t>
      </w:r>
    </w:p>
    <w:p w14:paraId="0B04A0A9"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20540ECD">
          <v:rect id="_x0000_i1035" alt="" style="width:451.3pt;height:.05pt;mso-width-percent:0;mso-height-percent:0;mso-width-percent:0;mso-height-percent:0" o:hralign="center" o:hrstd="t" o:hr="t" fillcolor="#a0a0a0" stroked="f"/>
        </w:pict>
      </w:r>
    </w:p>
    <w:p w14:paraId="4B94322F"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5. Pressures for Assimilation</w:t>
      </w:r>
    </w:p>
    <w:p w14:paraId="0F561729"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Certain academic and judicial commentators have argued for the assimilation of case law-based justifications with Article 36 justifications, citing efficiency and coherence as reasons. However, Gormley firmly opposes such assimilation, presenting the following arguments:</w:t>
      </w:r>
    </w:p>
    <w:p w14:paraId="74C32A73"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A. Threat to the Doctrine of Strict Interpretation:</w:t>
      </w:r>
    </w:p>
    <w:p w14:paraId="7E408492" w14:textId="77777777" w:rsidR="005F6DC5" w:rsidRPr="005F6DC5" w:rsidRDefault="005F6DC5" w:rsidP="005F6DC5">
      <w:pPr>
        <w:numPr>
          <w:ilvl w:val="0"/>
          <w:numId w:val="13"/>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Article 36 justifications must be strictly interpreted to protect the internal market. Allowing case law-based justifications to adopt the same latitude risks undermining this principle.</w:t>
      </w:r>
    </w:p>
    <w:p w14:paraId="0C2ACC8E" w14:textId="77777777" w:rsidR="005F6DC5" w:rsidRPr="005F6DC5" w:rsidRDefault="005F6DC5" w:rsidP="005F6DC5">
      <w:pPr>
        <w:numPr>
          <w:ilvl w:val="0"/>
          <w:numId w:val="13"/>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Gormley warns of "open season" for weak justifications, leading to potential abuse by Member States.</w:t>
      </w:r>
    </w:p>
    <w:p w14:paraId="60F60C45"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B. Risk of Dilution of Proportionality and Non-Discrimination:</w:t>
      </w:r>
    </w:p>
    <w:p w14:paraId="5A41A51B" w14:textId="77777777" w:rsidR="005F6DC5" w:rsidRPr="005F6DC5" w:rsidRDefault="005F6DC5" w:rsidP="005F6DC5">
      <w:pPr>
        <w:numPr>
          <w:ilvl w:val="0"/>
          <w:numId w:val="1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Case law-based justifications do not undergo the same stringent analysis as Article 36 justifications. Assimilation could dilute the robust proportionality test applied under Article 36.</w:t>
      </w:r>
    </w:p>
    <w:p w14:paraId="2367E82F"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C. Lack of Treaty Revision:</w:t>
      </w:r>
    </w:p>
    <w:p w14:paraId="644311B6" w14:textId="77777777" w:rsidR="005F6DC5" w:rsidRPr="005F6DC5" w:rsidRDefault="005F6DC5" w:rsidP="005F6DC5">
      <w:pPr>
        <w:numPr>
          <w:ilvl w:val="0"/>
          <w:numId w:val="15"/>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Despite opportunities for Treaty revisions during Intergovernmental Conferences, Member States have refrained from amending Article 36. Gormley argues that this reflects their satisfaction with the existing framework and suggests judicial restraint:</w:t>
      </w:r>
    </w:p>
    <w:p w14:paraId="7C0B6D9F" w14:textId="77777777" w:rsidR="005F6DC5" w:rsidRPr="005F6DC5" w:rsidRDefault="005F6DC5" w:rsidP="005F6DC5">
      <w:pPr>
        <w:spacing w:beforeAutospacing="1" w:afterAutospacing="1" w:line="276" w:lineRule="auto"/>
        <w:ind w:left="1440"/>
        <w:rPr>
          <w:rFonts w:ascii="Times New Roman" w:hAnsi="Times New Roman"/>
          <w:lang w:val="en-HK"/>
        </w:rPr>
      </w:pPr>
      <w:r w:rsidRPr="005F6DC5">
        <w:rPr>
          <w:rFonts w:ascii="Times New Roman" w:hAnsi="Times New Roman"/>
          <w:lang w:val="en-HK"/>
        </w:rPr>
        <w:lastRenderedPageBreak/>
        <w:t>"It is not for the Court to rewrite the terms of the TFEU."</w:t>
      </w:r>
    </w:p>
    <w:p w14:paraId="5D796C4A"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53C8974D">
          <v:rect id="_x0000_i1034" alt="" style="width:451.3pt;height:.05pt;mso-width-percent:0;mso-height-percent:0;mso-width-percent:0;mso-height-percent:0" o:hralign="center" o:hrstd="t" o:hr="t" fillcolor="#a0a0a0" stroked="f"/>
        </w:pict>
      </w:r>
    </w:p>
    <w:p w14:paraId="163C3292"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6. Scholarly Opinions</w:t>
      </w:r>
    </w:p>
    <w:p w14:paraId="1E6CBCCB" w14:textId="77777777" w:rsidR="005F6DC5" w:rsidRPr="005F6DC5" w:rsidRDefault="005F6DC5" w:rsidP="005F6DC5">
      <w:pPr>
        <w:numPr>
          <w:ilvl w:val="0"/>
          <w:numId w:val="16"/>
        </w:numPr>
        <w:spacing w:before="100" w:beforeAutospacing="1" w:after="100" w:afterAutospacing="1" w:line="276" w:lineRule="auto"/>
        <w:rPr>
          <w:rFonts w:ascii="Times New Roman" w:hAnsi="Times New Roman"/>
          <w:lang w:val="en-HK"/>
        </w:rPr>
      </w:pPr>
      <w:proofErr w:type="spellStart"/>
      <w:r w:rsidRPr="005F6DC5">
        <w:rPr>
          <w:rFonts w:ascii="Times New Roman" w:hAnsi="Times New Roman"/>
          <w:b/>
          <w:bCs/>
          <w:lang w:val="en-HK"/>
        </w:rPr>
        <w:t>Enchelmaier</w:t>
      </w:r>
      <w:proofErr w:type="spellEnd"/>
      <w:r w:rsidRPr="005F6DC5">
        <w:rPr>
          <w:rFonts w:ascii="Times New Roman" w:hAnsi="Times New Roman"/>
          <w:lang w:val="en-HK"/>
        </w:rPr>
        <w:t xml:space="preserve">: Identified a few "apparent chinks in the </w:t>
      </w:r>
      <w:proofErr w:type="spellStart"/>
      <w:r w:rsidRPr="005F6DC5">
        <w:rPr>
          <w:rFonts w:ascii="Times New Roman" w:hAnsi="Times New Roman"/>
          <w:lang w:val="en-HK"/>
        </w:rPr>
        <w:t>armor</w:t>
      </w:r>
      <w:proofErr w:type="spellEnd"/>
      <w:r w:rsidRPr="005F6DC5">
        <w:rPr>
          <w:rFonts w:ascii="Times New Roman" w:hAnsi="Times New Roman"/>
          <w:lang w:val="en-HK"/>
        </w:rPr>
        <w:t>," where the ECJ’s reasoning appears inconsistent. However, these cases are seen as deviations rather than a systematic trend toward assimilation.</w:t>
      </w:r>
    </w:p>
    <w:p w14:paraId="4C938299" w14:textId="77777777" w:rsidR="005F6DC5" w:rsidRPr="005F6DC5" w:rsidRDefault="005F6DC5" w:rsidP="005F6DC5">
      <w:pPr>
        <w:numPr>
          <w:ilvl w:val="0"/>
          <w:numId w:val="16"/>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Snell</w:t>
      </w:r>
      <w:r w:rsidRPr="005F6DC5">
        <w:rPr>
          <w:rFonts w:ascii="Times New Roman" w:hAnsi="Times New Roman"/>
          <w:lang w:val="en-HK"/>
        </w:rPr>
        <w:t xml:space="preserve">: Criticizes the ECJ for its inconsistency in applying justifications, noting that environmental protection has often been given undue leeway, as seen in </w:t>
      </w:r>
      <w:proofErr w:type="spellStart"/>
      <w:r w:rsidRPr="005F6DC5">
        <w:rPr>
          <w:rFonts w:ascii="Times New Roman" w:hAnsi="Times New Roman"/>
          <w:i/>
          <w:iCs/>
          <w:lang w:val="en-HK"/>
        </w:rPr>
        <w:t>PreussenElektra</w:t>
      </w:r>
      <w:proofErr w:type="spellEnd"/>
      <w:r w:rsidRPr="005F6DC5">
        <w:rPr>
          <w:rFonts w:ascii="Times New Roman" w:hAnsi="Times New Roman"/>
          <w:lang w:val="en-HK"/>
        </w:rPr>
        <w:t>.</w:t>
      </w:r>
    </w:p>
    <w:p w14:paraId="52061307"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51615417">
          <v:rect id="_x0000_i1033" alt="" style="width:451.3pt;height:.05pt;mso-width-percent:0;mso-height-percent:0;mso-width-percent:0;mso-height-percent:0" o:hralign="center" o:hrstd="t" o:hr="t" fillcolor="#a0a0a0" stroked="f"/>
        </w:pict>
      </w:r>
    </w:p>
    <w:p w14:paraId="4E14DF84"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7. Examples of Inconsistency</w:t>
      </w:r>
    </w:p>
    <w:p w14:paraId="11CF9AFB" w14:textId="77777777" w:rsidR="005F6DC5" w:rsidRPr="005F6DC5" w:rsidRDefault="005F6DC5" w:rsidP="005F6DC5">
      <w:pPr>
        <w:numPr>
          <w:ilvl w:val="0"/>
          <w:numId w:val="17"/>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r w:rsidRPr="005F6DC5">
        <w:rPr>
          <w:rFonts w:ascii="Times New Roman" w:hAnsi="Times New Roman"/>
          <w:i/>
          <w:iCs/>
          <w:lang w:val="en-HK"/>
        </w:rPr>
        <w:t>Commission v Italy</w:t>
      </w:r>
      <w:r w:rsidRPr="005F6DC5">
        <w:rPr>
          <w:rFonts w:ascii="Times New Roman" w:hAnsi="Times New Roman"/>
          <w:lang w:val="en-HK"/>
        </w:rPr>
        <w:t xml:space="preserve"> (Case C-110/05), the ECJ upheld a ban on trailers, despite Advocate Generals Léger and Bot finding it disproportionate. Gormley criticizes this as an example of judicial inconsistency:</w:t>
      </w:r>
    </w:p>
    <w:p w14:paraId="6479425C" w14:textId="77777777" w:rsidR="005F6DC5" w:rsidRPr="005F6DC5" w:rsidRDefault="005F6DC5" w:rsidP="005F6DC5">
      <w:pPr>
        <w:spacing w:beforeAutospacing="1" w:afterAutospacing="1" w:line="276" w:lineRule="auto"/>
        <w:ind w:left="1440"/>
        <w:rPr>
          <w:rFonts w:ascii="Times New Roman" w:hAnsi="Times New Roman"/>
          <w:lang w:val="en-HK"/>
        </w:rPr>
      </w:pPr>
      <w:r w:rsidRPr="005F6DC5">
        <w:rPr>
          <w:rFonts w:ascii="Times New Roman" w:hAnsi="Times New Roman"/>
          <w:lang w:val="en-HK"/>
        </w:rPr>
        <w:t>"The Court’s approach is nonsense and takes no account of traffic management practice."</w:t>
      </w:r>
    </w:p>
    <w:p w14:paraId="1AF39F96"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This case highlights the risks of case law-based justifications being misapplied, further justifying the need to keep them distinct from Article 36.</w:t>
      </w:r>
    </w:p>
    <w:p w14:paraId="0F3E0102"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1DE3DE82">
          <v:rect id="_x0000_i1032" alt="" style="width:451.3pt;height:.05pt;mso-width-percent:0;mso-height-percent:0;mso-width-percent:0;mso-height-percent:0" o:hralign="center" o:hrstd="t" o:hr="t" fillcolor="#a0a0a0" stroked="f"/>
        </w:pict>
      </w:r>
    </w:p>
    <w:p w14:paraId="58B95017"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8. Conclusion on Assimilation</w:t>
      </w:r>
    </w:p>
    <w:p w14:paraId="58425C31"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Gormley concludes that assimilation of case law-based justifications with Article 36 would:</w:t>
      </w:r>
    </w:p>
    <w:p w14:paraId="04D7BBD7" w14:textId="77777777" w:rsidR="005F6DC5" w:rsidRPr="005F6DC5" w:rsidRDefault="005F6DC5" w:rsidP="005F6DC5">
      <w:pPr>
        <w:numPr>
          <w:ilvl w:val="0"/>
          <w:numId w:val="18"/>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Undermine the principle of strict interpretation.</w:t>
      </w:r>
    </w:p>
    <w:p w14:paraId="634DDA21" w14:textId="77777777" w:rsidR="005F6DC5" w:rsidRPr="005F6DC5" w:rsidRDefault="005F6DC5" w:rsidP="005F6DC5">
      <w:pPr>
        <w:numPr>
          <w:ilvl w:val="0"/>
          <w:numId w:val="18"/>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Weaken the internal market by allowing Member States greater leeway to justify restrictive measures.</w:t>
      </w:r>
    </w:p>
    <w:p w14:paraId="3CB61894" w14:textId="77777777" w:rsidR="005F6DC5" w:rsidRPr="005F6DC5" w:rsidRDefault="005F6DC5" w:rsidP="005F6DC5">
      <w:pPr>
        <w:numPr>
          <w:ilvl w:val="0"/>
          <w:numId w:val="18"/>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Erode legal certainty and the proportionality test, leading to greater inconsistency.</w:t>
      </w:r>
    </w:p>
    <w:p w14:paraId="30D9B185"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Instead, Gormley advocates maintaining the existing distinction, with case law-based justifications reserved for non-discriminatory measures and Article 36 justifications remaining strictly interpreted exceptions.</w:t>
      </w:r>
    </w:p>
    <w:p w14:paraId="2A7C074C"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49DBE722">
          <v:rect id="_x0000_i1031" alt="" style="width:451.3pt;height:.05pt;mso-width-percent:0;mso-height-percent:0;mso-width-percent:0;mso-height-percent:0" o:hralign="center" o:hrstd="t" o:hr="t" fillcolor="#a0a0a0" stroked="f"/>
        </w:pict>
      </w:r>
    </w:p>
    <w:p w14:paraId="2903012B" w14:textId="69C880F6" w:rsidR="005F6DC5" w:rsidRPr="005F6DC5" w:rsidRDefault="005F6DC5" w:rsidP="005F6DC5">
      <w:pPr>
        <w:spacing w:before="100" w:beforeAutospacing="1" w:after="100" w:afterAutospacing="1" w:line="276" w:lineRule="auto"/>
        <w:outlineLvl w:val="2"/>
        <w:rPr>
          <w:rFonts w:ascii="Times New Roman" w:hAnsi="Times New Roman"/>
          <w:b/>
          <w:bCs/>
          <w:lang w:val="en-HK"/>
        </w:rPr>
      </w:pPr>
      <w:r w:rsidRPr="005F6DC5">
        <w:rPr>
          <w:rFonts w:ascii="Times New Roman" w:hAnsi="Times New Roman"/>
          <w:b/>
          <w:bCs/>
          <w:lang w:val="en-HK"/>
        </w:rPr>
        <w:t xml:space="preserve">IV. </w:t>
      </w:r>
      <w:r w:rsidRPr="005F6DC5">
        <w:rPr>
          <w:rFonts w:ascii="Times New Roman" w:hAnsi="Times New Roman"/>
          <w:b/>
          <w:bCs/>
          <w:lang w:val="en-HK"/>
        </w:rPr>
        <w:t>Concluding Observations</w:t>
      </w:r>
    </w:p>
    <w:p w14:paraId="73509DE4"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lastRenderedPageBreak/>
        <w:t xml:space="preserve">1. </w:t>
      </w:r>
      <w:proofErr w:type="spellStart"/>
      <w:r w:rsidRPr="005F6DC5">
        <w:rPr>
          <w:rFonts w:ascii="Times New Roman" w:hAnsi="Times New Roman"/>
          <w:b/>
          <w:bCs/>
          <w:lang w:val="en-HK"/>
        </w:rPr>
        <w:t>Dassonville's</w:t>
      </w:r>
      <w:proofErr w:type="spellEnd"/>
      <w:r w:rsidRPr="005F6DC5">
        <w:rPr>
          <w:rFonts w:ascii="Times New Roman" w:hAnsi="Times New Roman"/>
          <w:b/>
          <w:bCs/>
          <w:lang w:val="en-HK"/>
        </w:rPr>
        <w:t xml:space="preserve"> Enduring Relevance</w:t>
      </w:r>
    </w:p>
    <w:p w14:paraId="76C63AC5"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Laurence Gormley emphasizes that the principle established in </w:t>
      </w:r>
      <w:r w:rsidRPr="005F6DC5">
        <w:rPr>
          <w:rFonts w:ascii="Times New Roman" w:hAnsi="Times New Roman"/>
          <w:i/>
          <w:iCs/>
          <w:lang w:val="en-HK"/>
        </w:rPr>
        <w:t xml:space="preserve">Procureur du Roi v </w:t>
      </w:r>
      <w:proofErr w:type="spellStart"/>
      <w:r w:rsidRPr="005F6DC5">
        <w:rPr>
          <w:rFonts w:ascii="Times New Roman" w:hAnsi="Times New Roman"/>
          <w:i/>
          <w:iCs/>
          <w:lang w:val="en-HK"/>
        </w:rPr>
        <w:t>Dassonville</w:t>
      </w:r>
      <w:proofErr w:type="spellEnd"/>
      <w:r w:rsidRPr="005F6DC5">
        <w:rPr>
          <w:rFonts w:ascii="Times New Roman" w:hAnsi="Times New Roman"/>
          <w:lang w:val="en-HK"/>
        </w:rPr>
        <w:t xml:space="preserve"> (Case 8/74, EU:C:1974:82) remains a cornerstone of EU law on the free movement of goods. The judgment defined measures equivalent to quantitative restrictions (MEQRs) as:</w:t>
      </w:r>
    </w:p>
    <w:p w14:paraId="2DC99D04" w14:textId="77777777" w:rsidR="005F6DC5" w:rsidRPr="005F6DC5" w:rsidRDefault="005F6DC5" w:rsidP="005F6DC5">
      <w:pPr>
        <w:spacing w:beforeAutospacing="1" w:afterAutospacing="1" w:line="276" w:lineRule="auto"/>
        <w:rPr>
          <w:rFonts w:ascii="Times New Roman" w:hAnsi="Times New Roman"/>
          <w:lang w:val="en-HK"/>
        </w:rPr>
      </w:pPr>
      <w:r w:rsidRPr="005F6DC5">
        <w:rPr>
          <w:rFonts w:ascii="Times New Roman" w:hAnsi="Times New Roman"/>
          <w:lang w:val="en-HK"/>
        </w:rPr>
        <w:t>"All trading rules enacted by Member States which are capable of hindering, directly or indirectly, actually or potentially, intra-Community trade are to be considered as measures having equivalent effect to quantitative restrictions."</w:t>
      </w:r>
    </w:p>
    <w:p w14:paraId="2A996943" w14:textId="77777777" w:rsidR="005F6DC5" w:rsidRPr="005F6DC5" w:rsidRDefault="005F6DC5" w:rsidP="005F6DC5">
      <w:pPr>
        <w:numPr>
          <w:ilvl w:val="0"/>
          <w:numId w:val="19"/>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 xml:space="preserve">Scope of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xml:space="preserve">: Gormley highlights that the </w:t>
      </w:r>
      <w:proofErr w:type="spellStart"/>
      <w:r w:rsidRPr="005F6DC5">
        <w:rPr>
          <w:rFonts w:ascii="Times New Roman" w:hAnsi="Times New Roman"/>
          <w:i/>
          <w:iCs/>
          <w:lang w:val="en-HK"/>
        </w:rPr>
        <w:t>Dassonville</w:t>
      </w:r>
      <w:proofErr w:type="spellEnd"/>
      <w:r w:rsidRPr="005F6DC5">
        <w:rPr>
          <w:rFonts w:ascii="Times New Roman" w:hAnsi="Times New Roman"/>
          <w:lang w:val="en-HK"/>
        </w:rPr>
        <w:t xml:space="preserve"> formula is both comprehensive and adaptable, making it suitable for regulating barriers to trade in a wide variety of contexts. This is reflected in cases such as </w:t>
      </w:r>
      <w:r w:rsidRPr="005F6DC5">
        <w:rPr>
          <w:rFonts w:ascii="Times New Roman" w:hAnsi="Times New Roman"/>
          <w:i/>
          <w:iCs/>
          <w:lang w:val="en-HK"/>
        </w:rPr>
        <w:t>Commission v Italy</w:t>
      </w:r>
      <w:r w:rsidRPr="005F6DC5">
        <w:rPr>
          <w:rFonts w:ascii="Times New Roman" w:hAnsi="Times New Roman"/>
          <w:lang w:val="en-HK"/>
        </w:rPr>
        <w:t xml:space="preserve"> (Case C-110/05, EU:C:2009:66), where the ECJ re-affirmed its applicability to various categories of trade restrictions.</w:t>
      </w:r>
    </w:p>
    <w:p w14:paraId="5A67FBC4" w14:textId="77777777" w:rsidR="005F6DC5" w:rsidRPr="005F6DC5" w:rsidRDefault="005F6DC5" w:rsidP="005F6DC5">
      <w:pPr>
        <w:numPr>
          <w:ilvl w:val="0"/>
          <w:numId w:val="19"/>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Strength of the Principle</w:t>
      </w:r>
      <w:r w:rsidRPr="005F6DC5">
        <w:rPr>
          <w:rFonts w:ascii="Times New Roman" w:hAnsi="Times New Roman"/>
          <w:lang w:val="en-HK"/>
        </w:rPr>
        <w:t xml:space="preserve">: The ability of </w:t>
      </w:r>
      <w:proofErr w:type="spellStart"/>
      <w:r w:rsidRPr="005F6DC5">
        <w:rPr>
          <w:rFonts w:ascii="Times New Roman" w:hAnsi="Times New Roman"/>
          <w:i/>
          <w:iCs/>
          <w:lang w:val="en-HK"/>
        </w:rPr>
        <w:t>Dassonville</w:t>
      </w:r>
      <w:proofErr w:type="spellEnd"/>
      <w:r w:rsidRPr="005F6DC5">
        <w:rPr>
          <w:rFonts w:ascii="Times New Roman" w:hAnsi="Times New Roman"/>
          <w:lang w:val="en-HK"/>
        </w:rPr>
        <w:t xml:space="preserve"> to encompass both direct and indirect barriers ensures its continued relevance, even as the legal landscape evolves.</w:t>
      </w:r>
    </w:p>
    <w:p w14:paraId="62327288"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18EB0422">
          <v:rect id="_x0000_i1030" alt="" style="width:451.3pt;height:.05pt;mso-width-percent:0;mso-height-percent:0;mso-width-percent:0;mso-height-percent:0" o:hralign="center" o:hrstd="t" o:hr="t" fillcolor="#a0a0a0" stroked="f"/>
        </w:pict>
      </w:r>
    </w:p>
    <w:p w14:paraId="4460AD90"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2. Keck: A Formal Survivor but Substantively Weak</w:t>
      </w:r>
    </w:p>
    <w:p w14:paraId="4BEF4534"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While </w:t>
      </w:r>
      <w:r w:rsidRPr="005F6DC5">
        <w:rPr>
          <w:rFonts w:ascii="Times New Roman" w:hAnsi="Times New Roman"/>
          <w:i/>
          <w:iCs/>
          <w:lang w:val="en-HK"/>
        </w:rPr>
        <w:t>Keck</w:t>
      </w:r>
      <w:r w:rsidRPr="005F6DC5">
        <w:rPr>
          <w:rFonts w:ascii="Times New Roman" w:hAnsi="Times New Roman"/>
          <w:lang w:val="en-HK"/>
        </w:rPr>
        <w:t xml:space="preserve"> (</w:t>
      </w:r>
      <w:r w:rsidRPr="005F6DC5">
        <w:rPr>
          <w:rFonts w:ascii="Times New Roman" w:hAnsi="Times New Roman"/>
          <w:i/>
          <w:iCs/>
          <w:lang w:val="en-HK"/>
        </w:rPr>
        <w:t xml:space="preserve">Criminal Proceedings against Keck and </w:t>
      </w:r>
      <w:proofErr w:type="spellStart"/>
      <w:r w:rsidRPr="005F6DC5">
        <w:rPr>
          <w:rFonts w:ascii="Times New Roman" w:hAnsi="Times New Roman"/>
          <w:i/>
          <w:iCs/>
          <w:lang w:val="en-HK"/>
        </w:rPr>
        <w:t>Mithouard</w:t>
      </w:r>
      <w:proofErr w:type="spellEnd"/>
      <w:r w:rsidRPr="005F6DC5">
        <w:rPr>
          <w:rFonts w:ascii="Times New Roman" w:hAnsi="Times New Roman"/>
          <w:lang w:val="en-HK"/>
        </w:rPr>
        <w:t xml:space="preserve">, Case C-267/91, EU:C:1993:905) formally survives, Gormley argues it has failed to clarify or simplify the scope of Article 34. The </w:t>
      </w:r>
      <w:r w:rsidRPr="005F6DC5">
        <w:rPr>
          <w:rFonts w:ascii="Times New Roman" w:hAnsi="Times New Roman"/>
          <w:i/>
          <w:iCs/>
          <w:lang w:val="en-HK"/>
        </w:rPr>
        <w:t>Keck</w:t>
      </w:r>
      <w:r w:rsidRPr="005F6DC5">
        <w:rPr>
          <w:rFonts w:ascii="Times New Roman" w:hAnsi="Times New Roman"/>
          <w:lang w:val="en-HK"/>
        </w:rPr>
        <w:t xml:space="preserve"> doctrine sought to exclude certain "selling arrangements" from the scope of Article 34, provided they:</w:t>
      </w:r>
    </w:p>
    <w:p w14:paraId="353EB834" w14:textId="77777777" w:rsidR="005F6DC5" w:rsidRPr="005F6DC5" w:rsidRDefault="005F6DC5" w:rsidP="005F6DC5">
      <w:pPr>
        <w:numPr>
          <w:ilvl w:val="0"/>
          <w:numId w:val="20"/>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Apply equally in law and fact to all products.</w:t>
      </w:r>
    </w:p>
    <w:p w14:paraId="422D7456" w14:textId="77777777" w:rsidR="005F6DC5" w:rsidRPr="005F6DC5" w:rsidRDefault="005F6DC5" w:rsidP="005F6DC5">
      <w:pPr>
        <w:numPr>
          <w:ilvl w:val="0"/>
          <w:numId w:val="20"/>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Do not hinder market access more for imports than domestic products.</w:t>
      </w:r>
    </w:p>
    <w:p w14:paraId="64D4F217"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However, Gormley identifies critical weaknesses:</w:t>
      </w:r>
    </w:p>
    <w:p w14:paraId="585836F1" w14:textId="77777777" w:rsidR="005F6DC5" w:rsidRPr="005F6DC5" w:rsidRDefault="005F6DC5" w:rsidP="005F6DC5">
      <w:pPr>
        <w:numPr>
          <w:ilvl w:val="0"/>
          <w:numId w:val="21"/>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Judicial Confusion</w:t>
      </w:r>
      <w:r w:rsidRPr="005F6DC5">
        <w:rPr>
          <w:rFonts w:ascii="Times New Roman" w:hAnsi="Times New Roman"/>
          <w:lang w:val="en-HK"/>
        </w:rPr>
        <w:t xml:space="preserve">: The lack of clarity around the definition of "selling arrangements" has led to inconsistent judgments. For example, in </w:t>
      </w:r>
      <w:r w:rsidRPr="005F6DC5">
        <w:rPr>
          <w:rFonts w:ascii="Times New Roman" w:hAnsi="Times New Roman"/>
          <w:i/>
          <w:iCs/>
          <w:lang w:val="en-HK"/>
        </w:rPr>
        <w:t>Ker-</w:t>
      </w:r>
      <w:proofErr w:type="spellStart"/>
      <w:r w:rsidRPr="005F6DC5">
        <w:rPr>
          <w:rFonts w:ascii="Times New Roman" w:hAnsi="Times New Roman"/>
          <w:i/>
          <w:iCs/>
          <w:lang w:val="en-HK"/>
        </w:rPr>
        <w:t>Optika</w:t>
      </w:r>
      <w:proofErr w:type="spellEnd"/>
      <w:r w:rsidRPr="005F6DC5">
        <w:rPr>
          <w:rFonts w:ascii="Times New Roman" w:hAnsi="Times New Roman"/>
          <w:lang w:val="en-HK"/>
        </w:rPr>
        <w:t xml:space="preserve"> (Case C-108/09), the ECJ treated online sales restrictions as MEQRs, effectively bypassing </w:t>
      </w:r>
      <w:r w:rsidRPr="005F6DC5">
        <w:rPr>
          <w:rFonts w:ascii="Times New Roman" w:hAnsi="Times New Roman"/>
          <w:i/>
          <w:iCs/>
          <w:lang w:val="en-HK"/>
        </w:rPr>
        <w:t>Keck</w:t>
      </w:r>
      <w:r w:rsidRPr="005F6DC5">
        <w:rPr>
          <w:rFonts w:ascii="Times New Roman" w:hAnsi="Times New Roman"/>
          <w:lang w:val="en-HK"/>
        </w:rPr>
        <w:t>.</w:t>
      </w:r>
    </w:p>
    <w:p w14:paraId="4B40AC8B" w14:textId="77777777" w:rsidR="005F6DC5" w:rsidRPr="005F6DC5" w:rsidRDefault="005F6DC5" w:rsidP="005F6DC5">
      <w:pPr>
        <w:numPr>
          <w:ilvl w:val="0"/>
          <w:numId w:val="21"/>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Market Access Criterion</w:t>
      </w:r>
      <w:r w:rsidRPr="005F6DC5">
        <w:rPr>
          <w:rFonts w:ascii="Times New Roman" w:hAnsi="Times New Roman"/>
          <w:lang w:val="en-HK"/>
        </w:rPr>
        <w:t xml:space="preserve">: The market access test introduced in </w:t>
      </w:r>
      <w:r w:rsidRPr="005F6DC5">
        <w:rPr>
          <w:rFonts w:ascii="Times New Roman" w:hAnsi="Times New Roman"/>
          <w:i/>
          <w:iCs/>
          <w:lang w:val="en-HK"/>
        </w:rPr>
        <w:t>Commission v Italy</w:t>
      </w:r>
      <w:r w:rsidRPr="005F6DC5">
        <w:rPr>
          <w:rFonts w:ascii="Times New Roman" w:hAnsi="Times New Roman"/>
          <w:lang w:val="en-HK"/>
        </w:rPr>
        <w:t xml:space="preserve"> dilutes the distinctions between product requirements and selling arrangements, undermining </w:t>
      </w:r>
      <w:r w:rsidRPr="005F6DC5">
        <w:rPr>
          <w:rFonts w:ascii="Times New Roman" w:hAnsi="Times New Roman"/>
          <w:i/>
          <w:iCs/>
          <w:lang w:val="en-HK"/>
        </w:rPr>
        <w:t>Keck</w:t>
      </w:r>
      <w:r w:rsidRPr="005F6DC5">
        <w:rPr>
          <w:rFonts w:ascii="Times New Roman" w:hAnsi="Times New Roman"/>
          <w:lang w:val="en-HK"/>
        </w:rPr>
        <w:t>’s utility.</w:t>
      </w:r>
    </w:p>
    <w:p w14:paraId="0B28270B"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Scholarly Views</w:t>
      </w:r>
      <w:r w:rsidRPr="005F6DC5">
        <w:rPr>
          <w:rFonts w:ascii="Times New Roman" w:hAnsi="Times New Roman"/>
          <w:lang w:val="en-HK"/>
        </w:rPr>
        <w:t>:</w:t>
      </w:r>
    </w:p>
    <w:p w14:paraId="1E6E7C9B" w14:textId="77777777" w:rsidR="005F6DC5" w:rsidRPr="005F6DC5" w:rsidRDefault="005F6DC5" w:rsidP="005F6DC5">
      <w:pPr>
        <w:numPr>
          <w:ilvl w:val="0"/>
          <w:numId w:val="22"/>
        </w:numPr>
        <w:spacing w:before="100" w:beforeAutospacing="1" w:after="100" w:afterAutospacing="1" w:line="276" w:lineRule="auto"/>
        <w:rPr>
          <w:rFonts w:ascii="Times New Roman" w:hAnsi="Times New Roman"/>
          <w:lang w:val="en-HK"/>
        </w:rPr>
      </w:pPr>
      <w:proofErr w:type="spellStart"/>
      <w:r w:rsidRPr="005F6DC5">
        <w:rPr>
          <w:rFonts w:ascii="Times New Roman" w:hAnsi="Times New Roman"/>
          <w:lang w:val="en-HK"/>
        </w:rPr>
        <w:t>Spaventa</w:t>
      </w:r>
      <w:proofErr w:type="spellEnd"/>
      <w:r w:rsidRPr="005F6DC5">
        <w:rPr>
          <w:rFonts w:ascii="Times New Roman" w:hAnsi="Times New Roman"/>
          <w:lang w:val="en-HK"/>
        </w:rPr>
        <w:t xml:space="preserve"> criticizes </w:t>
      </w:r>
      <w:r w:rsidRPr="005F6DC5">
        <w:rPr>
          <w:rFonts w:ascii="Times New Roman" w:hAnsi="Times New Roman"/>
          <w:i/>
          <w:iCs/>
          <w:lang w:val="en-HK"/>
        </w:rPr>
        <w:t>Keck</w:t>
      </w:r>
      <w:r w:rsidRPr="005F6DC5">
        <w:rPr>
          <w:rFonts w:ascii="Times New Roman" w:hAnsi="Times New Roman"/>
          <w:lang w:val="en-HK"/>
        </w:rPr>
        <w:t xml:space="preserve"> as introducing unnecessary complexity, stating:</w:t>
      </w:r>
    </w:p>
    <w:p w14:paraId="0FAF1536" w14:textId="77777777" w:rsidR="005F6DC5" w:rsidRPr="005F6DC5" w:rsidRDefault="005F6DC5" w:rsidP="005F6DC5">
      <w:pPr>
        <w:spacing w:beforeAutospacing="1" w:afterAutospacing="1" w:line="276" w:lineRule="auto"/>
        <w:rPr>
          <w:rFonts w:ascii="Times New Roman" w:hAnsi="Times New Roman"/>
          <w:lang w:val="en-HK"/>
        </w:rPr>
      </w:pPr>
      <w:r w:rsidRPr="005F6DC5">
        <w:rPr>
          <w:rFonts w:ascii="Times New Roman" w:hAnsi="Times New Roman"/>
          <w:lang w:val="en-HK"/>
        </w:rPr>
        <w:lastRenderedPageBreak/>
        <w:t>"Keck has become a legal quagmire, entangling both courts and practitioners in definitional disputes."</w:t>
      </w:r>
    </w:p>
    <w:p w14:paraId="4ACD765C" w14:textId="77777777" w:rsidR="005F6DC5" w:rsidRPr="005F6DC5" w:rsidRDefault="005F6DC5" w:rsidP="005F6DC5">
      <w:pPr>
        <w:numPr>
          <w:ilvl w:val="0"/>
          <w:numId w:val="23"/>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Snell agrees, observing that the doctrine creates "artificial and overly rigid" distinctions that fail to address real barriers to trade.</w:t>
      </w:r>
    </w:p>
    <w:p w14:paraId="474274AC"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0B0A5C01">
          <v:rect id="_x0000_i1029" alt="" style="width:451.3pt;height:.05pt;mso-width-percent:0;mso-height-percent:0;mso-width-percent:0;mso-height-percent:0" o:hralign="center" o:hrstd="t" o:hr="t" fillcolor="#a0a0a0" stroked="f"/>
        </w:pict>
      </w:r>
    </w:p>
    <w:p w14:paraId="5B82CEBD"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3. Rejection of a De Minimis Threshold</w:t>
      </w:r>
    </w:p>
    <w:p w14:paraId="444203D9"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Gormley firmly rejects the idea of a </w:t>
      </w:r>
      <w:r w:rsidRPr="005F6DC5">
        <w:rPr>
          <w:rFonts w:ascii="Times New Roman" w:hAnsi="Times New Roman"/>
          <w:b/>
          <w:bCs/>
          <w:lang w:val="en-HK"/>
        </w:rPr>
        <w:t>de minimis</w:t>
      </w:r>
      <w:r w:rsidRPr="005F6DC5">
        <w:rPr>
          <w:rFonts w:ascii="Times New Roman" w:hAnsi="Times New Roman"/>
          <w:lang w:val="en-HK"/>
        </w:rPr>
        <w:t xml:space="preserve"> threshold for Article 34. Some academics have suggested that minor or insignificant trade barriers should not fall under Article 34’s scope. However, Gormley warns that such a threshold would:</w:t>
      </w:r>
    </w:p>
    <w:p w14:paraId="339A77D8" w14:textId="77777777" w:rsidR="005F6DC5" w:rsidRPr="005F6DC5" w:rsidRDefault="005F6DC5" w:rsidP="005F6DC5">
      <w:pPr>
        <w:numPr>
          <w:ilvl w:val="0"/>
          <w:numId w:val="2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Undermine the effectiveness of the internal market.</w:t>
      </w:r>
    </w:p>
    <w:p w14:paraId="47F47568" w14:textId="77777777" w:rsidR="005F6DC5" w:rsidRPr="005F6DC5" w:rsidRDefault="005F6DC5" w:rsidP="005F6DC5">
      <w:pPr>
        <w:numPr>
          <w:ilvl w:val="0"/>
          <w:numId w:val="24"/>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Create uncertainty about which measures are exempt.</w:t>
      </w:r>
    </w:p>
    <w:p w14:paraId="0848EBC1"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Case Support</w:t>
      </w:r>
      <w:r w:rsidRPr="005F6DC5">
        <w:rPr>
          <w:rFonts w:ascii="Times New Roman" w:hAnsi="Times New Roman"/>
          <w:lang w:val="en-HK"/>
        </w:rPr>
        <w:t>:</w:t>
      </w:r>
    </w:p>
    <w:p w14:paraId="7088FDD6" w14:textId="77777777" w:rsidR="005F6DC5" w:rsidRPr="005F6DC5" w:rsidRDefault="005F6DC5" w:rsidP="005F6DC5">
      <w:pPr>
        <w:numPr>
          <w:ilvl w:val="0"/>
          <w:numId w:val="25"/>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proofErr w:type="spellStart"/>
      <w:r w:rsidRPr="005F6DC5">
        <w:rPr>
          <w:rFonts w:ascii="Times New Roman" w:hAnsi="Times New Roman"/>
          <w:i/>
          <w:iCs/>
          <w:lang w:val="en-HK"/>
        </w:rPr>
        <w:t>Bluhme</w:t>
      </w:r>
      <w:proofErr w:type="spellEnd"/>
      <w:r w:rsidRPr="005F6DC5">
        <w:rPr>
          <w:rFonts w:ascii="Times New Roman" w:hAnsi="Times New Roman"/>
          <w:lang w:val="en-HK"/>
        </w:rPr>
        <w:t xml:space="preserve"> (Case C-67/97, EU:C:1998:584), the ECJ ruled that a ban on non-native bees on a small island was a breach of Article 34, despite its minimal economic impact. The Court’s decision reflects the principle that even minor restrictions can disrupt the functioning of the internal market.</w:t>
      </w:r>
    </w:p>
    <w:p w14:paraId="527EF9D2"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27784910">
          <v:rect id="_x0000_i1028" alt="" style="width:451.3pt;height:.05pt;mso-width-percent:0;mso-height-percent:0;mso-width-percent:0;mso-height-percent:0" o:hralign="center" o:hrstd="t" o:hr="t" fillcolor="#a0a0a0" stroked="f"/>
        </w:pict>
      </w:r>
    </w:p>
    <w:p w14:paraId="6C42C986"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4. Assimilation of Justifications: A Risk to Legal Certainty</w:t>
      </w:r>
    </w:p>
    <w:p w14:paraId="593A0A85"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Gormley revisits the argument against assimilating case law-based justifications (e.g., mandatory requirements from </w:t>
      </w:r>
      <w:r w:rsidRPr="005F6DC5">
        <w:rPr>
          <w:rFonts w:ascii="Times New Roman" w:hAnsi="Times New Roman"/>
          <w:i/>
          <w:iCs/>
          <w:lang w:val="en-HK"/>
        </w:rPr>
        <w:t>Cassis de Dijon</w:t>
      </w:r>
      <w:r w:rsidRPr="005F6DC5">
        <w:rPr>
          <w:rFonts w:ascii="Times New Roman" w:hAnsi="Times New Roman"/>
          <w:lang w:val="en-HK"/>
        </w:rPr>
        <w:t>) with Article 36 justifications. Assimilation risks:</w:t>
      </w:r>
    </w:p>
    <w:p w14:paraId="22B27F4A" w14:textId="77777777" w:rsidR="005F6DC5" w:rsidRPr="005F6DC5" w:rsidRDefault="005F6DC5" w:rsidP="005F6DC5">
      <w:pPr>
        <w:numPr>
          <w:ilvl w:val="0"/>
          <w:numId w:val="26"/>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Diluting the strict interpretation required for Article 36.</w:t>
      </w:r>
    </w:p>
    <w:p w14:paraId="34C9EDBC" w14:textId="77777777" w:rsidR="005F6DC5" w:rsidRPr="005F6DC5" w:rsidRDefault="005F6DC5" w:rsidP="005F6DC5">
      <w:pPr>
        <w:numPr>
          <w:ilvl w:val="0"/>
          <w:numId w:val="26"/>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Expanding the scope of acceptable justifications, allowing Member States more leeway to restrict trade.</w:t>
      </w:r>
    </w:p>
    <w:p w14:paraId="41B21373"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He cites </w:t>
      </w:r>
      <w:r w:rsidRPr="005F6DC5">
        <w:rPr>
          <w:rFonts w:ascii="Times New Roman" w:hAnsi="Times New Roman"/>
          <w:i/>
          <w:iCs/>
          <w:lang w:val="en-HK"/>
        </w:rPr>
        <w:t>Commission v Denmark</w:t>
      </w:r>
      <w:r w:rsidRPr="005F6DC5">
        <w:rPr>
          <w:rFonts w:ascii="Times New Roman" w:hAnsi="Times New Roman"/>
          <w:lang w:val="en-HK"/>
        </w:rPr>
        <w:t xml:space="preserve"> (Case 302/86), where environmental protection was accepted as a justification but subject to strict proportionality and non-discrimination tests.</w:t>
      </w:r>
    </w:p>
    <w:p w14:paraId="67A0E78F"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Scholarly Views</w:t>
      </w:r>
      <w:r w:rsidRPr="005F6DC5">
        <w:rPr>
          <w:rFonts w:ascii="Times New Roman" w:hAnsi="Times New Roman"/>
          <w:lang w:val="en-HK"/>
        </w:rPr>
        <w:t>:</w:t>
      </w:r>
    </w:p>
    <w:p w14:paraId="22E04F6A" w14:textId="77777777" w:rsidR="005F6DC5" w:rsidRPr="005F6DC5" w:rsidRDefault="005F6DC5" w:rsidP="005F6DC5">
      <w:pPr>
        <w:numPr>
          <w:ilvl w:val="0"/>
          <w:numId w:val="27"/>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Snell highlights the danger of overlapping justifications, arguing:</w:t>
      </w:r>
    </w:p>
    <w:p w14:paraId="12534FA8" w14:textId="77777777" w:rsidR="005F6DC5" w:rsidRPr="005F6DC5" w:rsidRDefault="005F6DC5" w:rsidP="005F6DC5">
      <w:pPr>
        <w:spacing w:beforeAutospacing="1" w:afterAutospacing="1" w:line="276" w:lineRule="auto"/>
        <w:rPr>
          <w:rFonts w:ascii="Times New Roman" w:hAnsi="Times New Roman"/>
          <w:lang w:val="en-HK"/>
        </w:rPr>
      </w:pPr>
      <w:r w:rsidRPr="005F6DC5">
        <w:rPr>
          <w:rFonts w:ascii="Times New Roman" w:hAnsi="Times New Roman"/>
          <w:lang w:val="en-HK"/>
        </w:rPr>
        <w:t>"A blurred distinction between Article 36 and mandatory requirements undermines the foundational principles of proportionality and consistency in trade law."</w:t>
      </w:r>
    </w:p>
    <w:p w14:paraId="212391B6"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4C97B537">
          <v:rect id="_x0000_i1027" alt="" style="width:451.3pt;height:.05pt;mso-width-percent:0;mso-height-percent:0;mso-width-percent:0;mso-height-percent:0" o:hralign="center" o:hrstd="t" o:hr="t" fillcolor="#a0a0a0" stroked="f"/>
        </w:pict>
      </w:r>
    </w:p>
    <w:p w14:paraId="6C99B700"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5. The Role of Judicial Consistency</w:t>
      </w:r>
    </w:p>
    <w:p w14:paraId="600E6A91"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One of Gormley’s central critiques is the ECJ’s inconsistent application of Article 34, </w:t>
      </w:r>
      <w:proofErr w:type="spellStart"/>
      <w:r w:rsidRPr="005F6DC5">
        <w:rPr>
          <w:rFonts w:ascii="Times New Roman" w:hAnsi="Times New Roman"/>
          <w:i/>
          <w:iCs/>
          <w:lang w:val="en-HK"/>
        </w:rPr>
        <w:t>Dassonville</w:t>
      </w:r>
      <w:proofErr w:type="spellEnd"/>
      <w:r w:rsidRPr="005F6DC5">
        <w:rPr>
          <w:rFonts w:ascii="Times New Roman" w:hAnsi="Times New Roman"/>
          <w:lang w:val="en-HK"/>
        </w:rPr>
        <w:t xml:space="preserve">, and </w:t>
      </w:r>
      <w:r w:rsidRPr="005F6DC5">
        <w:rPr>
          <w:rFonts w:ascii="Times New Roman" w:hAnsi="Times New Roman"/>
          <w:i/>
          <w:iCs/>
          <w:lang w:val="en-HK"/>
        </w:rPr>
        <w:t>Keck</w:t>
      </w:r>
      <w:r w:rsidRPr="005F6DC5">
        <w:rPr>
          <w:rFonts w:ascii="Times New Roman" w:hAnsi="Times New Roman"/>
          <w:lang w:val="en-HK"/>
        </w:rPr>
        <w:t>. He argues that judicial inconsistency erodes confidence in EU trade law. For example:</w:t>
      </w:r>
    </w:p>
    <w:p w14:paraId="241B285A" w14:textId="77777777" w:rsidR="005F6DC5" w:rsidRPr="005F6DC5" w:rsidRDefault="005F6DC5" w:rsidP="005F6DC5">
      <w:pPr>
        <w:numPr>
          <w:ilvl w:val="0"/>
          <w:numId w:val="28"/>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proofErr w:type="spellStart"/>
      <w:r w:rsidRPr="005F6DC5">
        <w:rPr>
          <w:rFonts w:ascii="Times New Roman" w:hAnsi="Times New Roman"/>
          <w:i/>
          <w:iCs/>
          <w:lang w:val="en-HK"/>
        </w:rPr>
        <w:t>Mickelsson</w:t>
      </w:r>
      <w:proofErr w:type="spellEnd"/>
      <w:r w:rsidRPr="005F6DC5">
        <w:rPr>
          <w:rFonts w:ascii="Times New Roman" w:hAnsi="Times New Roman"/>
          <w:i/>
          <w:iCs/>
          <w:lang w:val="en-HK"/>
        </w:rPr>
        <w:t xml:space="preserve"> and </w:t>
      </w:r>
      <w:proofErr w:type="spellStart"/>
      <w:r w:rsidRPr="005F6DC5">
        <w:rPr>
          <w:rFonts w:ascii="Times New Roman" w:hAnsi="Times New Roman"/>
          <w:i/>
          <w:iCs/>
          <w:lang w:val="en-HK"/>
        </w:rPr>
        <w:t>Roos</w:t>
      </w:r>
      <w:proofErr w:type="spellEnd"/>
      <w:r w:rsidRPr="005F6DC5">
        <w:rPr>
          <w:rFonts w:ascii="Times New Roman" w:hAnsi="Times New Roman"/>
          <w:lang w:val="en-HK"/>
        </w:rPr>
        <w:t xml:space="preserve"> (Case C-142/05), restrictions on the use of jet skis were classified as MEQRs, diverging from earlier interpretations of similar measures.</w:t>
      </w:r>
    </w:p>
    <w:p w14:paraId="40E7B8D8" w14:textId="77777777" w:rsidR="005F6DC5" w:rsidRPr="005F6DC5" w:rsidRDefault="005F6DC5" w:rsidP="005F6DC5">
      <w:pPr>
        <w:numPr>
          <w:ilvl w:val="0"/>
          <w:numId w:val="28"/>
        </w:numPr>
        <w:spacing w:before="100" w:beforeAutospacing="1" w:after="100" w:afterAutospacing="1" w:line="276" w:lineRule="auto"/>
        <w:rPr>
          <w:rFonts w:ascii="Times New Roman" w:hAnsi="Times New Roman"/>
          <w:lang w:val="en-HK"/>
        </w:rPr>
      </w:pPr>
      <w:r w:rsidRPr="005F6DC5">
        <w:rPr>
          <w:rFonts w:ascii="Times New Roman" w:hAnsi="Times New Roman"/>
          <w:lang w:val="en-HK"/>
        </w:rPr>
        <w:t xml:space="preserve">In </w:t>
      </w:r>
      <w:r w:rsidRPr="005F6DC5">
        <w:rPr>
          <w:rFonts w:ascii="Times New Roman" w:hAnsi="Times New Roman"/>
          <w:i/>
          <w:iCs/>
          <w:lang w:val="en-HK"/>
        </w:rPr>
        <w:t>ANETT</w:t>
      </w:r>
      <w:r w:rsidRPr="005F6DC5">
        <w:rPr>
          <w:rFonts w:ascii="Times New Roman" w:hAnsi="Times New Roman"/>
          <w:lang w:val="en-HK"/>
        </w:rPr>
        <w:t xml:space="preserve"> (Case C-456/10), the Court provided unclear reasoning for treating tobacco import restrictions as hindrances to market access.</w:t>
      </w:r>
    </w:p>
    <w:p w14:paraId="14AB207F"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Gormley calls for greater clarity and uniformity in judgments, emphasizing that legal certainty is vital for both traders and regulators.</w:t>
      </w:r>
    </w:p>
    <w:p w14:paraId="040A5C71"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730FE6FA">
          <v:rect id="_x0000_i1026" alt="" style="width:451.3pt;height:.05pt;mso-width-percent:0;mso-height-percent:0;mso-width-percent:0;mso-height-percent:0" o:hralign="center" o:hrstd="t" o:hr="t" fillcolor="#a0a0a0" stroked="f"/>
        </w:pict>
      </w:r>
    </w:p>
    <w:p w14:paraId="1C890649" w14:textId="77777777" w:rsidR="005F6DC5" w:rsidRPr="005F6DC5" w:rsidRDefault="005F6DC5" w:rsidP="005F6DC5">
      <w:pPr>
        <w:spacing w:before="100" w:beforeAutospacing="1" w:after="100" w:afterAutospacing="1" w:line="276" w:lineRule="auto"/>
        <w:outlineLvl w:val="3"/>
        <w:rPr>
          <w:rFonts w:ascii="Times New Roman" w:hAnsi="Times New Roman"/>
          <w:b/>
          <w:bCs/>
          <w:lang w:val="en-HK"/>
        </w:rPr>
      </w:pPr>
      <w:r w:rsidRPr="005F6DC5">
        <w:rPr>
          <w:rFonts w:ascii="Times New Roman" w:hAnsi="Times New Roman"/>
          <w:b/>
          <w:bCs/>
          <w:lang w:val="en-HK"/>
        </w:rPr>
        <w:t>6. The Future of Article 34</w:t>
      </w:r>
    </w:p>
    <w:p w14:paraId="4FC2F0F1"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lang w:val="en-HK"/>
        </w:rPr>
        <w:t>Gormley concludes by reiterating the enduring significance of Article 34 in promoting the internal market. Key recommendations include:</w:t>
      </w:r>
    </w:p>
    <w:p w14:paraId="04A21FE7" w14:textId="77777777" w:rsidR="005F6DC5" w:rsidRPr="005F6DC5" w:rsidRDefault="005F6DC5" w:rsidP="005F6DC5">
      <w:pPr>
        <w:numPr>
          <w:ilvl w:val="0"/>
          <w:numId w:val="29"/>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 xml:space="preserve">Retaining </w:t>
      </w:r>
      <w:proofErr w:type="spellStart"/>
      <w:r w:rsidRPr="005F6DC5">
        <w:rPr>
          <w:rFonts w:ascii="Times New Roman" w:hAnsi="Times New Roman"/>
          <w:b/>
          <w:bCs/>
          <w:lang w:val="en-HK"/>
        </w:rPr>
        <w:t>Dassonville</w:t>
      </w:r>
      <w:proofErr w:type="spellEnd"/>
      <w:r w:rsidRPr="005F6DC5">
        <w:rPr>
          <w:rFonts w:ascii="Times New Roman" w:hAnsi="Times New Roman"/>
          <w:lang w:val="en-HK"/>
        </w:rPr>
        <w:t>: The principle’s flexibility and breadth ensure its continued relevance.</w:t>
      </w:r>
    </w:p>
    <w:p w14:paraId="5AAE85EE" w14:textId="77777777" w:rsidR="005F6DC5" w:rsidRPr="005F6DC5" w:rsidRDefault="005F6DC5" w:rsidP="005F6DC5">
      <w:pPr>
        <w:numPr>
          <w:ilvl w:val="0"/>
          <w:numId w:val="29"/>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Phasing Out Keck</w:t>
      </w:r>
      <w:r w:rsidRPr="005F6DC5">
        <w:rPr>
          <w:rFonts w:ascii="Times New Roman" w:hAnsi="Times New Roman"/>
          <w:lang w:val="en-HK"/>
        </w:rPr>
        <w:t xml:space="preserve">: Gormley predicts that </w:t>
      </w:r>
      <w:r w:rsidRPr="005F6DC5">
        <w:rPr>
          <w:rFonts w:ascii="Times New Roman" w:hAnsi="Times New Roman"/>
          <w:i/>
          <w:iCs/>
          <w:lang w:val="en-HK"/>
        </w:rPr>
        <w:t>Keck</w:t>
      </w:r>
      <w:r w:rsidRPr="005F6DC5">
        <w:rPr>
          <w:rFonts w:ascii="Times New Roman" w:hAnsi="Times New Roman"/>
          <w:lang w:val="en-HK"/>
        </w:rPr>
        <w:t xml:space="preserve"> will gradually lose its significance as the ECJ increasingly relies on the market access test.</w:t>
      </w:r>
    </w:p>
    <w:p w14:paraId="7454F152" w14:textId="77777777" w:rsidR="005F6DC5" w:rsidRPr="005F6DC5" w:rsidRDefault="005F6DC5" w:rsidP="005F6DC5">
      <w:pPr>
        <w:numPr>
          <w:ilvl w:val="0"/>
          <w:numId w:val="29"/>
        </w:num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t>Strict Interpretation of Justifications</w:t>
      </w:r>
      <w:r w:rsidRPr="005F6DC5">
        <w:rPr>
          <w:rFonts w:ascii="Times New Roman" w:hAnsi="Times New Roman"/>
          <w:lang w:val="en-HK"/>
        </w:rPr>
        <w:t>: The distinction between Article 36 and mandatory requirements must be preserved to maintain proportionality and prevent abuse by Member States.</w:t>
      </w:r>
    </w:p>
    <w:p w14:paraId="79BACC46" w14:textId="77777777" w:rsidR="005F6DC5" w:rsidRPr="005F6DC5" w:rsidRDefault="005F6DC5" w:rsidP="005F6DC5">
      <w:pPr>
        <w:spacing w:before="100" w:beforeAutospacing="1" w:after="100" w:afterAutospacing="1" w:line="276" w:lineRule="auto"/>
        <w:rPr>
          <w:rFonts w:ascii="Times New Roman" w:hAnsi="Times New Roman"/>
          <w:lang w:val="en-HK"/>
        </w:rPr>
      </w:pPr>
      <w:r w:rsidRPr="005F6DC5">
        <w:rPr>
          <w:rFonts w:ascii="Times New Roman" w:hAnsi="Times New Roman"/>
          <w:b/>
          <w:bCs/>
          <w:lang w:val="en-HK"/>
        </w:rPr>
        <w:lastRenderedPageBreak/>
        <w:t>Final Thoughts</w:t>
      </w:r>
      <w:r w:rsidRPr="005F6DC5">
        <w:rPr>
          <w:rFonts w:ascii="Times New Roman" w:hAnsi="Times New Roman"/>
          <w:lang w:val="en-HK"/>
        </w:rPr>
        <w:t xml:space="preserve">: Gormley emphasizes that the ECJ must strike a balance between legal certainty and adaptability. While the principle of free movement evolves with the internal market, its foundational doctrines—rooted in </w:t>
      </w:r>
      <w:proofErr w:type="spellStart"/>
      <w:r w:rsidRPr="005F6DC5">
        <w:rPr>
          <w:rFonts w:ascii="Times New Roman" w:hAnsi="Times New Roman"/>
          <w:i/>
          <w:iCs/>
          <w:lang w:val="en-HK"/>
        </w:rPr>
        <w:t>Dassonville</w:t>
      </w:r>
      <w:proofErr w:type="spellEnd"/>
      <w:r w:rsidRPr="005F6DC5">
        <w:rPr>
          <w:rFonts w:ascii="Times New Roman" w:hAnsi="Times New Roman"/>
          <w:lang w:val="en-HK"/>
        </w:rPr>
        <w:t>—must remain clear and consistent to achieve the EU’s objectives.</w:t>
      </w:r>
    </w:p>
    <w:p w14:paraId="0E3B9271" w14:textId="77777777" w:rsidR="005F6DC5" w:rsidRPr="005F6DC5" w:rsidRDefault="00010851" w:rsidP="005F6DC5">
      <w:pPr>
        <w:spacing w:line="276" w:lineRule="auto"/>
        <w:rPr>
          <w:rFonts w:ascii="Times New Roman" w:hAnsi="Times New Roman"/>
          <w:lang w:val="en-HK"/>
        </w:rPr>
      </w:pPr>
      <w:r w:rsidRPr="00010851">
        <w:rPr>
          <w:rFonts w:ascii="Times New Roman" w:hAnsi="Times New Roman"/>
          <w:noProof/>
          <w:lang w:val="en-HK"/>
          <w14:ligatures w14:val="standardContextual"/>
        </w:rPr>
        <w:pict w14:anchorId="441D0985">
          <v:rect id="_x0000_i1025" alt="" style="width:451.3pt;height:.05pt;mso-width-percent:0;mso-height-percent:0;mso-width-percent:0;mso-height-percent:0" o:hralign="center" o:hrstd="t" o:hr="t" fillcolor="#a0a0a0" stroked="f"/>
        </w:pict>
      </w:r>
    </w:p>
    <w:p w14:paraId="668BCCAA" w14:textId="77777777" w:rsidR="00CD39F1" w:rsidRPr="005F6DC5" w:rsidRDefault="00CD39F1" w:rsidP="005F6DC5">
      <w:pPr>
        <w:spacing w:line="276" w:lineRule="auto"/>
        <w:rPr>
          <w:rFonts w:ascii="Times New Roman" w:hAnsi="Times New Roman"/>
        </w:rPr>
      </w:pPr>
    </w:p>
    <w:sectPr w:rsidR="00CD39F1" w:rsidRPr="005F6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0D0F"/>
    <w:multiLevelType w:val="multilevel"/>
    <w:tmpl w:val="58B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4181"/>
    <w:multiLevelType w:val="multilevel"/>
    <w:tmpl w:val="67D4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10F47"/>
    <w:multiLevelType w:val="multilevel"/>
    <w:tmpl w:val="88D0F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6C5"/>
    <w:multiLevelType w:val="multilevel"/>
    <w:tmpl w:val="2DC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516E7"/>
    <w:multiLevelType w:val="multilevel"/>
    <w:tmpl w:val="7DD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E1E99"/>
    <w:multiLevelType w:val="multilevel"/>
    <w:tmpl w:val="3A0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71191"/>
    <w:multiLevelType w:val="multilevel"/>
    <w:tmpl w:val="3F0C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0E1BB7"/>
    <w:multiLevelType w:val="multilevel"/>
    <w:tmpl w:val="FBF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4081F"/>
    <w:multiLevelType w:val="multilevel"/>
    <w:tmpl w:val="93C4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AA7516"/>
    <w:multiLevelType w:val="multilevel"/>
    <w:tmpl w:val="4AC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27502"/>
    <w:multiLevelType w:val="multilevel"/>
    <w:tmpl w:val="47B2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E2188"/>
    <w:multiLevelType w:val="multilevel"/>
    <w:tmpl w:val="4D4A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80063"/>
    <w:multiLevelType w:val="multilevel"/>
    <w:tmpl w:val="010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B1D82"/>
    <w:multiLevelType w:val="multilevel"/>
    <w:tmpl w:val="51D8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44396"/>
    <w:multiLevelType w:val="multilevel"/>
    <w:tmpl w:val="2590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A44953"/>
    <w:multiLevelType w:val="multilevel"/>
    <w:tmpl w:val="8A9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429B4"/>
    <w:multiLevelType w:val="multilevel"/>
    <w:tmpl w:val="0C9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813C9"/>
    <w:multiLevelType w:val="multilevel"/>
    <w:tmpl w:val="7B86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CA39FF"/>
    <w:multiLevelType w:val="multilevel"/>
    <w:tmpl w:val="7ADCAE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B25C6"/>
    <w:multiLevelType w:val="multilevel"/>
    <w:tmpl w:val="D33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17C45"/>
    <w:multiLevelType w:val="multilevel"/>
    <w:tmpl w:val="7ED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467A7"/>
    <w:multiLevelType w:val="multilevel"/>
    <w:tmpl w:val="9D98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CC5D53"/>
    <w:multiLevelType w:val="multilevel"/>
    <w:tmpl w:val="EB6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74B27"/>
    <w:multiLevelType w:val="multilevel"/>
    <w:tmpl w:val="B12E9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00CB4"/>
    <w:multiLevelType w:val="multilevel"/>
    <w:tmpl w:val="1D6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77E31"/>
    <w:multiLevelType w:val="multilevel"/>
    <w:tmpl w:val="0476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340AA"/>
    <w:multiLevelType w:val="multilevel"/>
    <w:tmpl w:val="043E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6028F"/>
    <w:multiLevelType w:val="multilevel"/>
    <w:tmpl w:val="C578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377FB"/>
    <w:multiLevelType w:val="multilevel"/>
    <w:tmpl w:val="63B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4115">
    <w:abstractNumId w:val="21"/>
  </w:num>
  <w:num w:numId="2" w16cid:durableId="1699239823">
    <w:abstractNumId w:val="20"/>
  </w:num>
  <w:num w:numId="3" w16cid:durableId="1978953761">
    <w:abstractNumId w:val="18"/>
  </w:num>
  <w:num w:numId="4" w16cid:durableId="161165598">
    <w:abstractNumId w:val="2"/>
  </w:num>
  <w:num w:numId="5" w16cid:durableId="578095159">
    <w:abstractNumId w:val="7"/>
  </w:num>
  <w:num w:numId="6" w16cid:durableId="419720168">
    <w:abstractNumId w:val="13"/>
  </w:num>
  <w:num w:numId="7" w16cid:durableId="1685981643">
    <w:abstractNumId w:val="26"/>
  </w:num>
  <w:num w:numId="8" w16cid:durableId="657613450">
    <w:abstractNumId w:val="15"/>
  </w:num>
  <w:num w:numId="9" w16cid:durableId="1856572402">
    <w:abstractNumId w:val="1"/>
  </w:num>
  <w:num w:numId="10" w16cid:durableId="1736850598">
    <w:abstractNumId w:val="14"/>
  </w:num>
  <w:num w:numId="11" w16cid:durableId="848251401">
    <w:abstractNumId w:val="23"/>
  </w:num>
  <w:num w:numId="12" w16cid:durableId="98842030">
    <w:abstractNumId w:val="27"/>
  </w:num>
  <w:num w:numId="13" w16cid:durableId="1323894072">
    <w:abstractNumId w:val="4"/>
  </w:num>
  <w:num w:numId="14" w16cid:durableId="1172452660">
    <w:abstractNumId w:val="16"/>
  </w:num>
  <w:num w:numId="15" w16cid:durableId="875695809">
    <w:abstractNumId w:val="19"/>
  </w:num>
  <w:num w:numId="16" w16cid:durableId="887958990">
    <w:abstractNumId w:val="11"/>
  </w:num>
  <w:num w:numId="17" w16cid:durableId="1042485281">
    <w:abstractNumId w:val="22"/>
  </w:num>
  <w:num w:numId="18" w16cid:durableId="1401126419">
    <w:abstractNumId w:val="17"/>
  </w:num>
  <w:num w:numId="19" w16cid:durableId="739140522">
    <w:abstractNumId w:val="24"/>
  </w:num>
  <w:num w:numId="20" w16cid:durableId="1409305340">
    <w:abstractNumId w:val="10"/>
  </w:num>
  <w:num w:numId="21" w16cid:durableId="1073089976">
    <w:abstractNumId w:val="28"/>
  </w:num>
  <w:num w:numId="22" w16cid:durableId="1308852130">
    <w:abstractNumId w:val="3"/>
  </w:num>
  <w:num w:numId="23" w16cid:durableId="1573999297">
    <w:abstractNumId w:val="0"/>
  </w:num>
  <w:num w:numId="24" w16cid:durableId="745035317">
    <w:abstractNumId w:val="6"/>
  </w:num>
  <w:num w:numId="25" w16cid:durableId="598223585">
    <w:abstractNumId w:val="5"/>
  </w:num>
  <w:num w:numId="26" w16cid:durableId="76681729">
    <w:abstractNumId w:val="12"/>
  </w:num>
  <w:num w:numId="27" w16cid:durableId="716274301">
    <w:abstractNumId w:val="25"/>
  </w:num>
  <w:num w:numId="28" w16cid:durableId="1980767317">
    <w:abstractNumId w:val="9"/>
  </w:num>
  <w:num w:numId="29" w16cid:durableId="11357552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571"/>
    <w:rsid w:val="00010851"/>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5F6DC5"/>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17571"/>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3149"/>
  <w15:chartTrackingRefBased/>
  <w15:docId w15:val="{AB5F1E21-F26D-0240-B11D-E6C093A6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17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75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175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75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75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75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75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75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57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1757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1757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1757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1757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1757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1757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1757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1757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175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57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175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57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175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757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17571"/>
    <w:pPr>
      <w:ind w:left="720"/>
      <w:contextualSpacing/>
    </w:pPr>
  </w:style>
  <w:style w:type="character" w:styleId="IntenseEmphasis">
    <w:name w:val="Intense Emphasis"/>
    <w:basedOn w:val="DefaultParagraphFont"/>
    <w:uiPriority w:val="21"/>
    <w:qFormat/>
    <w:rsid w:val="00E17571"/>
    <w:rPr>
      <w:i/>
      <w:iCs/>
      <w:color w:val="2F5496" w:themeColor="accent1" w:themeShade="BF"/>
    </w:rPr>
  </w:style>
  <w:style w:type="paragraph" w:styleId="IntenseQuote">
    <w:name w:val="Intense Quote"/>
    <w:basedOn w:val="Normal"/>
    <w:next w:val="Normal"/>
    <w:link w:val="IntenseQuoteChar"/>
    <w:uiPriority w:val="30"/>
    <w:qFormat/>
    <w:rsid w:val="00E17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57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17571"/>
    <w:rPr>
      <w:b/>
      <w:bCs/>
      <w:smallCaps/>
      <w:color w:val="2F5496" w:themeColor="accent1" w:themeShade="BF"/>
      <w:spacing w:val="5"/>
    </w:rPr>
  </w:style>
  <w:style w:type="character" w:styleId="Strong">
    <w:name w:val="Strong"/>
    <w:basedOn w:val="DefaultParagraphFont"/>
    <w:uiPriority w:val="22"/>
    <w:qFormat/>
    <w:rsid w:val="005F6DC5"/>
    <w:rPr>
      <w:b/>
      <w:bCs/>
    </w:rPr>
  </w:style>
  <w:style w:type="paragraph" w:styleId="NormalWeb">
    <w:name w:val="Normal (Web)"/>
    <w:basedOn w:val="Normal"/>
    <w:uiPriority w:val="99"/>
    <w:semiHidden/>
    <w:unhideWhenUsed/>
    <w:rsid w:val="005F6DC5"/>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F6D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3591608">
      <w:bodyDiv w:val="1"/>
      <w:marLeft w:val="0"/>
      <w:marRight w:val="0"/>
      <w:marTop w:val="0"/>
      <w:marBottom w:val="0"/>
      <w:divBdr>
        <w:top w:val="none" w:sz="0" w:space="0" w:color="auto"/>
        <w:left w:val="none" w:sz="0" w:space="0" w:color="auto"/>
        <w:bottom w:val="none" w:sz="0" w:space="0" w:color="auto"/>
        <w:right w:val="none" w:sz="0" w:space="0" w:color="auto"/>
      </w:divBdr>
      <w:divsChild>
        <w:div w:id="9085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29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386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204304">
      <w:bodyDiv w:val="1"/>
      <w:marLeft w:val="0"/>
      <w:marRight w:val="0"/>
      <w:marTop w:val="0"/>
      <w:marBottom w:val="0"/>
      <w:divBdr>
        <w:top w:val="none" w:sz="0" w:space="0" w:color="auto"/>
        <w:left w:val="none" w:sz="0" w:space="0" w:color="auto"/>
        <w:bottom w:val="none" w:sz="0" w:space="0" w:color="auto"/>
        <w:right w:val="none" w:sz="0" w:space="0" w:color="auto"/>
      </w:divBdr>
      <w:divsChild>
        <w:div w:id="1360202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00078083">
          <w:blockQuote w:val="1"/>
          <w:marLeft w:val="720"/>
          <w:marRight w:val="720"/>
          <w:marTop w:val="100"/>
          <w:marBottom w:val="100"/>
          <w:divBdr>
            <w:top w:val="none" w:sz="0" w:space="0" w:color="auto"/>
            <w:left w:val="none" w:sz="0" w:space="0" w:color="auto"/>
            <w:bottom w:val="none" w:sz="0" w:space="0" w:color="auto"/>
            <w:right w:val="none" w:sz="0" w:space="0" w:color="auto"/>
          </w:divBdr>
        </w:div>
        <w:div w:id="58025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589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149450">
      <w:bodyDiv w:val="1"/>
      <w:marLeft w:val="0"/>
      <w:marRight w:val="0"/>
      <w:marTop w:val="0"/>
      <w:marBottom w:val="0"/>
      <w:divBdr>
        <w:top w:val="none" w:sz="0" w:space="0" w:color="auto"/>
        <w:left w:val="none" w:sz="0" w:space="0" w:color="auto"/>
        <w:bottom w:val="none" w:sz="0" w:space="0" w:color="auto"/>
        <w:right w:val="none" w:sz="0" w:space="0" w:color="auto"/>
      </w:divBdr>
      <w:divsChild>
        <w:div w:id="775489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135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62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2488</Words>
  <Characters>14187</Characters>
  <Application>Microsoft Office Word</Application>
  <DocSecurity>0</DocSecurity>
  <Lines>118</Lines>
  <Paragraphs>33</Paragraphs>
  <ScaleCrop>false</ScaleCrop>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2025-01-23T22:12:00Z</dcterms:created>
  <dcterms:modified xsi:type="dcterms:W3CDTF">2025-01-23T22:35:00Z</dcterms:modified>
</cp:coreProperties>
</file>