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4A3E3" w14:textId="774CC801"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 xml:space="preserve">I. </w:t>
      </w:r>
      <w:r w:rsidRPr="006D5748">
        <w:rPr>
          <w:rFonts w:ascii="Times New Roman" w:hAnsi="Times New Roman"/>
          <w:b/>
          <w:bCs/>
          <w:lang w:val="en-HK"/>
        </w:rPr>
        <w:t>Introduction</w:t>
      </w:r>
    </w:p>
    <w:p w14:paraId="1FBFF9BC"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introduction sets the stage for a detailed historical and doctrinal analysis of the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case, arguing that its original meaning has been misunderstood or oversimplified over time. The judgment is described as "mythical" within EU law, second only to </w:t>
      </w:r>
      <w:r w:rsidRPr="006D5748">
        <w:rPr>
          <w:rFonts w:ascii="Times New Roman" w:hAnsi="Times New Roman"/>
          <w:i/>
          <w:iCs/>
          <w:lang w:val="en-HK"/>
        </w:rPr>
        <w:t xml:space="preserve">Van </w:t>
      </w:r>
      <w:proofErr w:type="spellStart"/>
      <w:r w:rsidRPr="006D5748">
        <w:rPr>
          <w:rFonts w:ascii="Times New Roman" w:hAnsi="Times New Roman"/>
          <w:i/>
          <w:iCs/>
          <w:lang w:val="en-HK"/>
        </w:rPr>
        <w:t>Gend</w:t>
      </w:r>
      <w:proofErr w:type="spellEnd"/>
      <w:r w:rsidRPr="006D5748">
        <w:rPr>
          <w:rFonts w:ascii="Times New Roman" w:hAnsi="Times New Roman"/>
          <w:i/>
          <w:iCs/>
          <w:lang w:val="en-HK"/>
        </w:rPr>
        <w:t xml:space="preserve"> </w:t>
      </w:r>
      <w:proofErr w:type="spellStart"/>
      <w:r w:rsidRPr="006D5748">
        <w:rPr>
          <w:rFonts w:ascii="Times New Roman" w:hAnsi="Times New Roman"/>
          <w:i/>
          <w:iCs/>
          <w:lang w:val="en-HK"/>
        </w:rPr>
        <w:t>en</w:t>
      </w:r>
      <w:proofErr w:type="spellEnd"/>
      <w:r w:rsidRPr="006D5748">
        <w:rPr>
          <w:rFonts w:ascii="Times New Roman" w:hAnsi="Times New Roman"/>
          <w:i/>
          <w:iCs/>
          <w:lang w:val="en-HK"/>
        </w:rPr>
        <w:t xml:space="preserve"> Loos</w:t>
      </w:r>
      <w:r w:rsidRPr="006D5748">
        <w:rPr>
          <w:rFonts w:ascii="Times New Roman" w:hAnsi="Times New Roman"/>
          <w:lang w:val="en-HK"/>
        </w:rPr>
        <w:t xml:space="preserve"> in its influence on the development of the internal market. The introduction outlines the following key themes:</w:t>
      </w:r>
    </w:p>
    <w:p w14:paraId="22DC529A"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 xml:space="preserve">1. Canonical Status of </w:t>
      </w:r>
      <w:proofErr w:type="spellStart"/>
      <w:r w:rsidRPr="006D5748">
        <w:rPr>
          <w:rFonts w:ascii="Times New Roman" w:hAnsi="Times New Roman"/>
          <w:b/>
          <w:bCs/>
          <w:lang w:val="en-HK"/>
        </w:rPr>
        <w:t>Dassonville</w:t>
      </w:r>
      <w:proofErr w:type="spellEnd"/>
    </w:p>
    <w:p w14:paraId="7959A559"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formula is regarded as one of the most cited and impactful judgments in EU law, particularly for its expansive interpretation of Article 34 TFEU. The ruling famously defined "measures having equivalent effect to quantitative restrictions" (MEQRs) as:</w:t>
      </w:r>
    </w:p>
    <w:p w14:paraId="7F294B81" w14:textId="77777777" w:rsidR="006D5748" w:rsidRPr="006D5748" w:rsidRDefault="006D5748" w:rsidP="006D5748">
      <w:pPr>
        <w:spacing w:beforeAutospacing="1" w:afterAutospacing="1" w:line="276" w:lineRule="auto"/>
        <w:ind w:left="1440"/>
        <w:rPr>
          <w:rFonts w:ascii="Times New Roman" w:hAnsi="Times New Roman"/>
          <w:lang w:val="en-HK"/>
        </w:rPr>
      </w:pPr>
      <w:r w:rsidRPr="006D5748">
        <w:rPr>
          <w:rFonts w:ascii="Times New Roman" w:hAnsi="Times New Roman"/>
          <w:lang w:val="en-HK"/>
        </w:rPr>
        <w:t>“All trading rules enacted by Member States which are capable of hindering, directly or indirectly, actually or potentially, intra-[Union] trade.” (</w:t>
      </w:r>
      <w:r w:rsidRPr="006D5748">
        <w:rPr>
          <w:rFonts w:ascii="Times New Roman" w:hAnsi="Times New Roman"/>
          <w:i/>
          <w:iCs/>
          <w:lang w:val="en-HK"/>
        </w:rPr>
        <w:t xml:space="preserve">Procureur du Roi v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Case 8/74, para. 5).</w:t>
      </w:r>
    </w:p>
    <w:p w14:paraId="6E427D96"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This definition has shaped the application of Article 34, making it a cornerstone of free movement jurisprudence.</w:t>
      </w:r>
    </w:p>
    <w:p w14:paraId="07D8C8B9"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 xml:space="preserve">2. Conventional Interpretation of </w:t>
      </w:r>
      <w:proofErr w:type="spellStart"/>
      <w:r w:rsidRPr="006D5748">
        <w:rPr>
          <w:rFonts w:ascii="Times New Roman" w:hAnsi="Times New Roman"/>
          <w:b/>
          <w:bCs/>
          <w:lang w:val="en-HK"/>
        </w:rPr>
        <w:t>Dassonville</w:t>
      </w:r>
      <w:proofErr w:type="spellEnd"/>
    </w:p>
    <w:p w14:paraId="229923F8"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prevailing view among legal scholars is that the judgment reflects a "hyper-liberal" interpretation of the internal market, breaking away from the principles of international trade law under the General Agreement on Tariffs and Trade (GATT).</w:t>
      </w:r>
    </w:p>
    <w:p w14:paraId="6805B4DD"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Scholars such as Joseph </w:t>
      </w:r>
      <w:proofErr w:type="spellStart"/>
      <w:r w:rsidRPr="006D5748">
        <w:rPr>
          <w:rFonts w:ascii="Times New Roman" w:hAnsi="Times New Roman"/>
          <w:lang w:val="en-HK"/>
        </w:rPr>
        <w:t>Weiler</w:t>
      </w:r>
      <w:proofErr w:type="spellEnd"/>
      <w:r w:rsidRPr="006D5748">
        <w:rPr>
          <w:rFonts w:ascii="Times New Roman" w:hAnsi="Times New Roman"/>
          <w:lang w:val="en-HK"/>
        </w:rPr>
        <w:t xml:space="preserve"> have described the judgment as a radical step, associating it with a "Jacobean conception of the common market" that prioritizes transnational free trade over Member State regulatory autonomy.</w:t>
      </w:r>
    </w:p>
    <w:p w14:paraId="3DF85EF9" w14:textId="77777777" w:rsidR="006D5748" w:rsidRPr="006D5748" w:rsidRDefault="006D5748" w:rsidP="006D5748">
      <w:pPr>
        <w:spacing w:beforeAutospacing="1" w:afterAutospacing="1" w:line="276" w:lineRule="auto"/>
        <w:rPr>
          <w:rFonts w:ascii="Times New Roman" w:hAnsi="Times New Roman"/>
          <w:lang w:val="en-HK"/>
        </w:rPr>
      </w:pPr>
      <w:proofErr w:type="spellStart"/>
      <w:r w:rsidRPr="006D5748">
        <w:rPr>
          <w:rFonts w:ascii="Times New Roman" w:hAnsi="Times New Roman"/>
          <w:lang w:val="en-HK"/>
        </w:rPr>
        <w:t>Weiler</w:t>
      </w:r>
      <w:proofErr w:type="spellEnd"/>
      <w:r w:rsidRPr="006D5748">
        <w:rPr>
          <w:rFonts w:ascii="Times New Roman" w:hAnsi="Times New Roman"/>
          <w:lang w:val="en-HK"/>
        </w:rPr>
        <w:t xml:space="preserve"> critiques this approach as one that “explicitly or implicitly reject[s] the GATT philosophy of trying to find an uneasy balance between transnational free trade and broad choice of national social and economic options.” (</w:t>
      </w:r>
      <w:proofErr w:type="spellStart"/>
      <w:r w:rsidRPr="006D5748">
        <w:rPr>
          <w:rFonts w:ascii="Times New Roman" w:hAnsi="Times New Roman"/>
          <w:i/>
          <w:iCs/>
          <w:lang w:val="en-HK"/>
        </w:rPr>
        <w:t>Weiler</w:t>
      </w:r>
      <w:proofErr w:type="spellEnd"/>
      <w:r w:rsidRPr="006D5748">
        <w:rPr>
          <w:rFonts w:ascii="Times New Roman" w:hAnsi="Times New Roman"/>
          <w:i/>
          <w:iCs/>
          <w:lang w:val="en-HK"/>
        </w:rPr>
        <w:t>, Epilogue: Towards a Common Law of International Trade</w:t>
      </w:r>
      <w:r w:rsidRPr="006D5748">
        <w:rPr>
          <w:rFonts w:ascii="Times New Roman" w:hAnsi="Times New Roman"/>
          <w:lang w:val="en-HK"/>
        </w:rPr>
        <w:t>, 2000, p. 215).</w:t>
      </w:r>
    </w:p>
    <w:p w14:paraId="7C604461"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3. Historical and Doctrinal Misinterpretations</w:t>
      </w:r>
    </w:p>
    <w:p w14:paraId="142C39D9" w14:textId="77777777" w:rsidR="006D5748" w:rsidRPr="006D5748" w:rsidRDefault="006D5748" w:rsidP="006D5748">
      <w:pPr>
        <w:numPr>
          <w:ilvl w:val="0"/>
          <w:numId w:val="9"/>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challenges the orthodox view, arguing that the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formula has been historically misunderstood and doctrinally decontextualized. He contends that:</w:t>
      </w:r>
    </w:p>
    <w:p w14:paraId="7FB3F000" w14:textId="77777777" w:rsidR="006D5748" w:rsidRPr="006D5748" w:rsidRDefault="006D5748" w:rsidP="006D5748">
      <w:pPr>
        <w:numPr>
          <w:ilvl w:val="1"/>
          <w:numId w:val="9"/>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judgment was not intended to dismantle all national regulations but to ensure that national measures did not disproportionately hinder trade.</w:t>
      </w:r>
    </w:p>
    <w:p w14:paraId="350B3CB7" w14:textId="77777777" w:rsidR="006D5748" w:rsidRPr="006D5748" w:rsidRDefault="006D5748" w:rsidP="006D5748">
      <w:pPr>
        <w:numPr>
          <w:ilvl w:val="1"/>
          <w:numId w:val="9"/>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hyper-liberal interpretation overshadows the historical and legal context in which the case was decided.</w:t>
      </w:r>
    </w:p>
    <w:p w14:paraId="0B2516F8"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lastRenderedPageBreak/>
        <w:t xml:space="preserve">4. Purpose of Re-reading </w:t>
      </w:r>
      <w:proofErr w:type="spellStart"/>
      <w:r w:rsidRPr="006D5748">
        <w:rPr>
          <w:rFonts w:ascii="Times New Roman" w:hAnsi="Times New Roman"/>
          <w:b/>
          <w:bCs/>
          <w:lang w:val="en-HK"/>
        </w:rPr>
        <w:t>Dassonville</w:t>
      </w:r>
      <w:proofErr w:type="spellEnd"/>
    </w:p>
    <w:p w14:paraId="28EEDD72"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paper aims to reconstruct the historical and doctrinal context of the judgment, examining:</w:t>
      </w:r>
    </w:p>
    <w:p w14:paraId="6EB21E7A" w14:textId="77777777" w:rsidR="006D5748" w:rsidRPr="006D5748" w:rsidRDefault="006D5748" w:rsidP="006D5748">
      <w:pPr>
        <w:numPr>
          <w:ilvl w:val="1"/>
          <w:numId w:val="10"/>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broader legal environment of the time, including the influence of GATT principles.</w:t>
      </w:r>
    </w:p>
    <w:p w14:paraId="424813C6" w14:textId="77777777" w:rsidR="006D5748" w:rsidRPr="006D5748" w:rsidRDefault="006D5748" w:rsidP="006D5748">
      <w:pPr>
        <w:numPr>
          <w:ilvl w:val="1"/>
          <w:numId w:val="10"/>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specific arguments presented by the parties in the case.</w:t>
      </w:r>
    </w:p>
    <w:p w14:paraId="622B6A85" w14:textId="77777777" w:rsidR="006D5748" w:rsidRPr="006D5748" w:rsidRDefault="006D5748" w:rsidP="006D5748">
      <w:pPr>
        <w:numPr>
          <w:ilvl w:val="1"/>
          <w:numId w:val="10"/>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judicial strategy and intent of the European Court of Justice (ECJ).</w:t>
      </w:r>
    </w:p>
    <w:p w14:paraId="36A2571E"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5. Methodological Framework</w:t>
      </w:r>
    </w:p>
    <w:p w14:paraId="0CF4FBD5" w14:textId="77777777" w:rsidR="006D5748" w:rsidRPr="006D5748" w:rsidRDefault="006D5748" w:rsidP="006D5748">
      <w:pPr>
        <w:numPr>
          <w:ilvl w:val="0"/>
          <w:numId w:val="11"/>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analysis draws on the intellectual history approach of Quentin Skinner, emphasizing the importance of understanding the "illocutionary force" of judicial decisions—what the Court intended to achieve with its ruling.</w:t>
      </w:r>
    </w:p>
    <w:p w14:paraId="2D6DDD5E" w14:textId="77777777" w:rsidR="006D5748" w:rsidRPr="006D5748" w:rsidRDefault="006D5748" w:rsidP="006D5748">
      <w:pPr>
        <w:numPr>
          <w:ilvl w:val="0"/>
          <w:numId w:val="11"/>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argues that a purely textual or ahistorical interpretation of the judgment results in “writing historical non-sense” (</w:t>
      </w:r>
      <w:r w:rsidRPr="006D5748">
        <w:rPr>
          <w:rFonts w:ascii="Times New Roman" w:hAnsi="Times New Roman"/>
          <w:i/>
          <w:iCs/>
          <w:lang w:val="en-HK"/>
        </w:rPr>
        <w:t>Skinner, Meaning and Understanding in the History of Ideas</w:t>
      </w:r>
      <w:r w:rsidRPr="006D5748">
        <w:rPr>
          <w:rFonts w:ascii="Times New Roman" w:hAnsi="Times New Roman"/>
          <w:lang w:val="en-HK"/>
        </w:rPr>
        <w:t>, 1969).</w:t>
      </w:r>
    </w:p>
    <w:p w14:paraId="6AD22175"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1D5AF10B">
          <v:rect id="_x0000_i1049" alt="" style="width:451.3pt;height:.05pt;mso-width-percent:0;mso-height-percent:0;mso-width-percent:0;mso-height-percent:0" o:hralign="center" o:hrstd="t" o:hr="t" fillcolor="#a0a0a0" stroked="f"/>
        </w:pict>
      </w:r>
    </w:p>
    <w:p w14:paraId="1A5A7C31" w14:textId="77777777"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Concluding Thoughts on the Introduction</w:t>
      </w:r>
    </w:p>
    <w:p w14:paraId="1C5B32DA"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introduction establishes a critical foundation for the re-evaluation of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By challenging the conventional understanding, it seeks to highlight the judgment’s nuanced role in balancing trade liberalization with Member State autonomy. The analysis is positioned to explore how the judgment’s original meaning has evolved into its current canonical status, emphasizing the importance of historical and doctrinal context.</w:t>
      </w:r>
    </w:p>
    <w:p w14:paraId="71BAA0DF"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44DDF7B5">
          <v:rect id="_x0000_i1048" alt="" style="width:451.3pt;height:.05pt;mso-width-percent:0;mso-height-percent:0;mso-width-percent:0;mso-height-percent:0" o:hralign="center" o:hrstd="t" o:hr="t" fillcolor="#a0a0a0" stroked="f"/>
        </w:pict>
      </w:r>
    </w:p>
    <w:p w14:paraId="59EE312E" w14:textId="30750253"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 xml:space="preserve">II. </w:t>
      </w:r>
      <w:r w:rsidRPr="006D5748">
        <w:rPr>
          <w:rFonts w:ascii="Times New Roman" w:hAnsi="Times New Roman"/>
          <w:b/>
          <w:bCs/>
          <w:lang w:val="en-HK"/>
        </w:rPr>
        <w:t>Legal Environment</w:t>
      </w:r>
    </w:p>
    <w:p w14:paraId="21E188C8"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“Legal Environment” section of Robert </w:t>
      </w:r>
      <w:proofErr w:type="spellStart"/>
      <w:r w:rsidRPr="006D5748">
        <w:rPr>
          <w:rFonts w:ascii="Times New Roman" w:hAnsi="Times New Roman"/>
          <w:lang w:val="en-HK"/>
        </w:rPr>
        <w:t>Schütze’s</w:t>
      </w:r>
      <w:proofErr w:type="spellEnd"/>
      <w:r w:rsidRPr="006D5748">
        <w:rPr>
          <w:rFonts w:ascii="Times New Roman" w:hAnsi="Times New Roman"/>
          <w:lang w:val="en-HK"/>
        </w:rPr>
        <w:t xml:space="preserve"> analysis of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explores the broader contextual factors—both international and European—that influenced the judgment. This section addresses how the Court's interpretation of free movement of goods evolved in light of the legal and market conditions of the time.</w:t>
      </w:r>
    </w:p>
    <w:p w14:paraId="644916AD"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5F0D1486">
          <v:rect id="_x0000_i1047" alt="" style="width:451.3pt;height:.05pt;mso-width-percent:0;mso-height-percent:0;mso-width-percent:0;mso-height-percent:0" o:hralign="center" o:hrstd="t" o:hr="t" fillcolor="#a0a0a0" stroked="f"/>
        </w:pict>
      </w:r>
    </w:p>
    <w:p w14:paraId="62F7E9A0"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1. The (Inter)National Legal Context</w:t>
      </w:r>
    </w:p>
    <w:p w14:paraId="5BCA85DA"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This sub-section discusses the international treaties and national laws regulating designations of origin for goods like wines and spirits, which formed the backdrop to the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judgment.</w:t>
      </w:r>
    </w:p>
    <w:p w14:paraId="037DD72A" w14:textId="77777777" w:rsidR="006D5748" w:rsidRPr="006D5748" w:rsidRDefault="006D5748" w:rsidP="006D5748">
      <w:pPr>
        <w:numPr>
          <w:ilvl w:val="0"/>
          <w:numId w:val="12"/>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lastRenderedPageBreak/>
        <w:t>International Agreements</w:t>
      </w:r>
      <w:r w:rsidRPr="006D5748">
        <w:rPr>
          <w:rFonts w:ascii="Times New Roman" w:hAnsi="Times New Roman"/>
          <w:lang w:val="en-HK"/>
        </w:rPr>
        <w:t>:</w:t>
      </w:r>
    </w:p>
    <w:p w14:paraId="0DB40701" w14:textId="77777777" w:rsidR="006D5748" w:rsidRPr="006D5748" w:rsidRDefault="006D5748" w:rsidP="006D5748">
      <w:pPr>
        <w:numPr>
          <w:ilvl w:val="1"/>
          <w:numId w:val="12"/>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1883 Paris Convention for the Protection of Industrial Property, particularly Article 1(3), extended protection to appellations of origin, defining them as part of "industrial property." Article 10 of the Convention also treated the use of false indications of source as violations of trademark rights​.</w:t>
      </w:r>
    </w:p>
    <w:p w14:paraId="4E7D734D" w14:textId="77777777" w:rsidR="006D5748" w:rsidRPr="006D5748" w:rsidRDefault="006D5748" w:rsidP="006D5748">
      <w:pPr>
        <w:numPr>
          <w:ilvl w:val="1"/>
          <w:numId w:val="12"/>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Belgium entered into bilateral treaties in the 1920s with France and Portugal to protect foreign designations of origin for wines and spirits, as a commitment under these international frameworks​.</w:t>
      </w:r>
    </w:p>
    <w:p w14:paraId="3DBD24D1" w14:textId="77777777" w:rsidR="006D5748" w:rsidRPr="006D5748" w:rsidRDefault="006D5748" w:rsidP="006D5748">
      <w:pPr>
        <w:numPr>
          <w:ilvl w:val="0"/>
          <w:numId w:val="12"/>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Belgian Law on Designations of Origin</w:t>
      </w:r>
      <w:r w:rsidRPr="006D5748">
        <w:rPr>
          <w:rFonts w:ascii="Times New Roman" w:hAnsi="Times New Roman"/>
          <w:lang w:val="en-HK"/>
        </w:rPr>
        <w:t>:</w:t>
      </w:r>
    </w:p>
    <w:p w14:paraId="1C3A4995" w14:textId="77777777" w:rsidR="006D5748" w:rsidRPr="006D5748" w:rsidRDefault="006D5748" w:rsidP="006D5748">
      <w:pPr>
        <w:numPr>
          <w:ilvl w:val="1"/>
          <w:numId w:val="12"/>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Belgium enacted its "Law on the Protection of Designations of Origin for Wines and Spirits" in 1927. This law prohibited the abusive use of designations of origin, even where terms like “type” or “kind” were added to create distinctions​.</w:t>
      </w:r>
    </w:p>
    <w:p w14:paraId="0325A2F0" w14:textId="77777777" w:rsidR="006D5748" w:rsidRPr="006D5748" w:rsidRDefault="006D5748" w:rsidP="006D5748">
      <w:pPr>
        <w:numPr>
          <w:ilvl w:val="1"/>
          <w:numId w:val="12"/>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This law applied not only to Belgium's treaty obligations but also allowed other states to have their designations of origin recognized, thereby broadening the law’s scope​.</w:t>
      </w:r>
    </w:p>
    <w:p w14:paraId="55E88171"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13D93A04">
          <v:rect id="_x0000_i1046" alt="" style="width:451.3pt;height:.05pt;mso-width-percent:0;mso-height-percent:0;mso-width-percent:0;mso-height-percent:0" o:hralign="center" o:hrstd="t" o:hr="t" fillcolor="#a0a0a0" stroked="f"/>
        </w:pict>
      </w:r>
    </w:p>
    <w:p w14:paraId="53BAA4FE"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2. The European Doctrinal Context</w:t>
      </w:r>
    </w:p>
    <w:p w14:paraId="3A58860E"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section explores the European Community’s (EC) approach to creating the internal market and how it reconciled tensions between national trade barriers and free movement principles.</w:t>
      </w:r>
    </w:p>
    <w:p w14:paraId="711BA27F"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Problem of Parallel Imports</w:t>
      </w:r>
      <w:r w:rsidRPr="006D5748">
        <w:rPr>
          <w:rFonts w:ascii="Times New Roman" w:hAnsi="Times New Roman"/>
          <w:lang w:val="en-HK"/>
        </w:rPr>
        <w:t>:</w:t>
      </w:r>
    </w:p>
    <w:p w14:paraId="4C35D30E" w14:textId="77777777" w:rsidR="006D5748" w:rsidRPr="006D5748" w:rsidRDefault="006D5748" w:rsidP="006D5748">
      <w:pPr>
        <w:numPr>
          <w:ilvl w:val="1"/>
          <w:numId w:val="13"/>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Parallel imports involved goods being traded outside official channels, often exploiting price differentials between countries. While such trade could benefit consumers, it was often restricted by exclusive distribution agreements and intellectual property laws​​.</w:t>
      </w:r>
    </w:p>
    <w:p w14:paraId="47EE8FBC" w14:textId="77777777" w:rsidR="006D5748" w:rsidRPr="006D5748" w:rsidRDefault="006D5748" w:rsidP="006D5748">
      <w:pPr>
        <w:numPr>
          <w:ilvl w:val="1"/>
          <w:numId w:val="13"/>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National laws granting absolute territorial protection to intellectual property rights, such as trademarks, became a focal point of legal challenges in the EC​.</w:t>
      </w:r>
    </w:p>
    <w:p w14:paraId="260CFC5C"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Mixed Situations and Judicial Analysis</w:t>
      </w:r>
      <w:r w:rsidRPr="006D5748">
        <w:rPr>
          <w:rFonts w:ascii="Times New Roman" w:hAnsi="Times New Roman"/>
          <w:lang w:val="en-HK"/>
        </w:rPr>
        <w:t>:</w:t>
      </w:r>
    </w:p>
    <w:p w14:paraId="5B3A1FD3" w14:textId="77777777" w:rsidR="006D5748" w:rsidRPr="006D5748" w:rsidRDefault="006D5748" w:rsidP="006D5748">
      <w:pPr>
        <w:numPr>
          <w:ilvl w:val="1"/>
          <w:numId w:val="13"/>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Court had to decide whether restrictions arising from private agreements (e.g., exclusive distribution agreements) fell under the competition rules of the Treaty of Rome (Articles 101-102) or under Article 34 TFEU governing free movement of goods.</w:t>
      </w:r>
    </w:p>
    <w:p w14:paraId="5FE3C9A7" w14:textId="77777777" w:rsidR="006D5748" w:rsidRPr="006D5748" w:rsidRDefault="006D5748" w:rsidP="006D5748">
      <w:pPr>
        <w:numPr>
          <w:ilvl w:val="1"/>
          <w:numId w:val="13"/>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highlights that during the transitional period of the Treaty, the ECJ used competition law provisions, particularly Article 101, to scrutinize such restrictions, but later shifted this analysis to Article 34 as it became directly effective​​.</w:t>
      </w:r>
    </w:p>
    <w:p w14:paraId="40BBEA01"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0F935D0F">
          <v:rect id="_x0000_i1045" alt="" style="width:451.3pt;height:.05pt;mso-width-percent:0;mso-height-percent:0;mso-width-percent:0;mso-height-percent:0" o:hralign="center" o:hrstd="t" o:hr="t" fillcolor="#a0a0a0" stroked="f"/>
        </w:pict>
      </w:r>
    </w:p>
    <w:p w14:paraId="040CF625"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lastRenderedPageBreak/>
        <w:t>3. Constructing the Common Market</w:t>
      </w:r>
    </w:p>
    <w:p w14:paraId="004B8B63"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This subsection delves into how the European Court of Justice (ECJ) navigated the transitional period of market integration:</w:t>
      </w:r>
    </w:p>
    <w:p w14:paraId="6D2F134E" w14:textId="77777777" w:rsidR="006D5748" w:rsidRPr="006D5748" w:rsidRDefault="006D5748" w:rsidP="006D5748">
      <w:pPr>
        <w:numPr>
          <w:ilvl w:val="0"/>
          <w:numId w:val="14"/>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Competition Law as a Transitional Tool</w:t>
      </w:r>
      <w:r w:rsidRPr="006D5748">
        <w:rPr>
          <w:rFonts w:ascii="Times New Roman" w:hAnsi="Times New Roman"/>
          <w:lang w:val="en-HK"/>
        </w:rPr>
        <w:t>:</w:t>
      </w:r>
    </w:p>
    <w:p w14:paraId="420475F9" w14:textId="77777777" w:rsidR="006D5748" w:rsidRPr="006D5748" w:rsidRDefault="006D5748" w:rsidP="006D5748">
      <w:pPr>
        <w:numPr>
          <w:ilvl w:val="1"/>
          <w:numId w:val="14"/>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Early on, Article 101 was applied to curb agreements that partitioned the market (e.g., through exclusive distribution or trademark-based restrictions). For instance, in </w:t>
      </w:r>
      <w:r w:rsidRPr="006D5748">
        <w:rPr>
          <w:rFonts w:ascii="Times New Roman" w:hAnsi="Times New Roman"/>
          <w:i/>
          <w:iCs/>
          <w:lang w:val="en-HK"/>
        </w:rPr>
        <w:t>Sirena</w:t>
      </w:r>
      <w:r w:rsidRPr="006D5748">
        <w:rPr>
          <w:rFonts w:ascii="Times New Roman" w:hAnsi="Times New Roman"/>
          <w:lang w:val="en-HK"/>
        </w:rPr>
        <w:t xml:space="preserve"> (Case 40/70), the ECJ clarified that competition rules could limit the “exercise” of intellectual property rights where they led to territorial partitioning of the market​​.</w:t>
      </w:r>
    </w:p>
    <w:p w14:paraId="402EA30E" w14:textId="77777777" w:rsidR="006D5748" w:rsidRPr="006D5748" w:rsidRDefault="006D5748" w:rsidP="006D5748">
      <w:pPr>
        <w:numPr>
          <w:ilvl w:val="0"/>
          <w:numId w:val="14"/>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The Shift to Article 34</w:t>
      </w:r>
      <w:r w:rsidRPr="006D5748">
        <w:rPr>
          <w:rFonts w:ascii="Times New Roman" w:hAnsi="Times New Roman"/>
          <w:lang w:val="en-HK"/>
        </w:rPr>
        <w:t>:</w:t>
      </w:r>
    </w:p>
    <w:p w14:paraId="58322282" w14:textId="77777777" w:rsidR="006D5748" w:rsidRPr="006D5748" w:rsidRDefault="006D5748" w:rsidP="006D5748">
      <w:pPr>
        <w:numPr>
          <w:ilvl w:val="1"/>
          <w:numId w:val="14"/>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After Article 34 gained direct effect, the ECJ transferred many principles established under Article 101 to its interpretation of MEQRs, emphasizing the free movement of goods. This marked a doctrinal shift from a market regulation approach to a market-building perspective​.</w:t>
      </w:r>
    </w:p>
    <w:p w14:paraId="1662A793"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2365C55E">
          <v:rect id="_x0000_i1044" alt="" style="width:451.3pt;height:.05pt;mso-width-percent:0;mso-height-percent:0;mso-width-percent:0;mso-height-percent:0" o:hralign="center" o:hrstd="t" o:hr="t" fillcolor="#a0a0a0" stroked="f"/>
        </w:pict>
      </w:r>
    </w:p>
    <w:p w14:paraId="61C37DC7" w14:textId="77777777"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Concluding Observations on the Legal Environment</w:t>
      </w:r>
    </w:p>
    <w:p w14:paraId="23BD3128"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"Legal Environment" section highlights how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emerged from a complex interplay of national, international, and EC legal frameworks. It underscores the ECJ’s strategy of balancing national sovereignty with the supranational goal of market integration. The judgment represented a turning point where Article 34 was redefined as a powerful tool to dismantle barriers to trade, even in cases involving indirect restrictions.</w:t>
      </w:r>
    </w:p>
    <w:p w14:paraId="2C139AA8"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1251747A">
          <v:rect id="_x0000_i1043" alt="" style="width:451.3pt;height:.05pt;mso-width-percent:0;mso-height-percent:0;mso-width-percent:0;mso-height-percent:0" o:hralign="center" o:hrstd="t" o:hr="t" fillcolor="#a0a0a0" stroked="f"/>
        </w:pict>
      </w:r>
    </w:p>
    <w:p w14:paraId="16386318" w14:textId="2771C477"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 xml:space="preserve">III. </w:t>
      </w:r>
      <w:r w:rsidRPr="006D5748">
        <w:rPr>
          <w:rFonts w:ascii="Times New Roman" w:hAnsi="Times New Roman"/>
          <w:b/>
          <w:bCs/>
          <w:lang w:val="en-HK"/>
        </w:rPr>
        <w:t>Arguments Before the Court</w:t>
      </w:r>
    </w:p>
    <w:p w14:paraId="0C3E4200"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This section reconstructs the arguments presented by the parties during the proceedings before the European Court of Justice in the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case. These arguments reflect a significant moment in the development of EU free movement jurisprudence, addressing the scope and applicability of Article 34 TFEU.</w:t>
      </w:r>
    </w:p>
    <w:p w14:paraId="4B76A8E8"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1. Procedural Background</w:t>
      </w:r>
    </w:p>
    <w:p w14:paraId="223A9AE2"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case was registered in Luxembourg on February 8, 1974, as Case 8/74. Judge Alexander Mackenzie Stuart acted as the Reporting Judge, while Advocate-General Alberto </w:t>
      </w:r>
      <w:proofErr w:type="spellStart"/>
      <w:r w:rsidRPr="006D5748">
        <w:rPr>
          <w:rFonts w:ascii="Times New Roman" w:hAnsi="Times New Roman"/>
          <w:lang w:val="en-HK"/>
        </w:rPr>
        <w:t>Trabucchi</w:t>
      </w:r>
      <w:proofErr w:type="spellEnd"/>
      <w:r w:rsidRPr="006D5748">
        <w:rPr>
          <w:rFonts w:ascii="Times New Roman" w:hAnsi="Times New Roman"/>
          <w:lang w:val="en-HK"/>
        </w:rPr>
        <w:t xml:space="preserve"> provided his opinion. The oral procedure occurred on May 29, 1974, with the judgment delivered on July 11, 1974​.</w:t>
      </w:r>
    </w:p>
    <w:p w14:paraId="3D549855"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12AE80E6">
          <v:rect id="_x0000_i1042" alt="" style="width:451.3pt;height:.05pt;mso-width-percent:0;mso-height-percent:0;mso-width-percent:0;mso-height-percent:0" o:hralign="center" o:hrstd="t" o:hr="t" fillcolor="#a0a0a0" stroked="f"/>
        </w:pict>
      </w:r>
    </w:p>
    <w:p w14:paraId="7164D29D"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lastRenderedPageBreak/>
        <w:t>2. The Protagonists’ Arguments</w:t>
      </w:r>
    </w:p>
    <w:p w14:paraId="43F0B3CA" w14:textId="77777777" w:rsidR="006D5748" w:rsidRPr="006D5748" w:rsidRDefault="006D5748" w:rsidP="006D5748">
      <w:pPr>
        <w:spacing w:before="100" w:beforeAutospacing="1" w:after="100" w:afterAutospacing="1" w:line="276" w:lineRule="auto"/>
        <w:outlineLvl w:val="4"/>
        <w:rPr>
          <w:rFonts w:ascii="Times New Roman" w:hAnsi="Times New Roman"/>
          <w:b/>
          <w:bCs/>
          <w:lang w:val="en-HK"/>
        </w:rPr>
      </w:pPr>
      <w:r w:rsidRPr="006D5748">
        <w:rPr>
          <w:rFonts w:ascii="Times New Roman" w:hAnsi="Times New Roman"/>
          <w:b/>
          <w:bCs/>
          <w:lang w:val="en-HK"/>
        </w:rPr>
        <w:t xml:space="preserve">a. Observations by the </w:t>
      </w:r>
      <w:proofErr w:type="spellStart"/>
      <w:r w:rsidRPr="006D5748">
        <w:rPr>
          <w:rFonts w:ascii="Times New Roman" w:hAnsi="Times New Roman"/>
          <w:b/>
          <w:bCs/>
          <w:lang w:val="en-HK"/>
        </w:rPr>
        <w:t>Dassonvilles</w:t>
      </w:r>
      <w:proofErr w:type="spellEnd"/>
    </w:p>
    <w:p w14:paraId="042E35A9"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w:t>
      </w:r>
      <w:proofErr w:type="spellStart"/>
      <w:r w:rsidRPr="006D5748">
        <w:rPr>
          <w:rFonts w:ascii="Times New Roman" w:hAnsi="Times New Roman"/>
          <w:lang w:val="en-HK"/>
        </w:rPr>
        <w:t>Dassonvilles</w:t>
      </w:r>
      <w:proofErr w:type="spellEnd"/>
      <w:r w:rsidRPr="006D5748">
        <w:rPr>
          <w:rFonts w:ascii="Times New Roman" w:hAnsi="Times New Roman"/>
          <w:lang w:val="en-HK"/>
        </w:rPr>
        <w:t>, parallel importers, argued that Belgium's requirement for a certificate of origin violated Article 34. Their core points included:</w:t>
      </w:r>
    </w:p>
    <w:p w14:paraId="7BCD4FBC" w14:textId="77777777" w:rsidR="006D5748" w:rsidRPr="006D5748" w:rsidRDefault="006D5748" w:rsidP="006D5748">
      <w:pPr>
        <w:numPr>
          <w:ilvl w:val="0"/>
          <w:numId w:val="16"/>
        </w:numPr>
        <w:spacing w:before="100" w:beforeAutospacing="1" w:after="100" w:afterAutospacing="1" w:line="276" w:lineRule="auto"/>
        <w:rPr>
          <w:rFonts w:ascii="Times New Roman" w:hAnsi="Times New Roman"/>
          <w:b/>
          <w:bCs/>
          <w:lang w:val="en-HK"/>
        </w:rPr>
      </w:pPr>
      <w:r w:rsidRPr="006D5748">
        <w:rPr>
          <w:rFonts w:ascii="Times New Roman" w:hAnsi="Times New Roman"/>
          <w:b/>
          <w:bCs/>
          <w:lang w:val="en-HK"/>
        </w:rPr>
        <w:t>Violation of Directive 70/50</w:t>
      </w:r>
      <w:r w:rsidRPr="006D5748">
        <w:rPr>
          <w:rFonts w:ascii="Times New Roman" w:hAnsi="Times New Roman"/>
          <w:lang w:val="en-HK"/>
        </w:rPr>
        <w:t xml:space="preserve">: They cited Article 2(2) of Directive 70/50, which excluded import formalities from being </w:t>
      </w:r>
      <w:r w:rsidRPr="006D5748">
        <w:rPr>
          <w:rFonts w:ascii="Times New Roman" w:hAnsi="Times New Roman"/>
          <w:b/>
          <w:bCs/>
          <w:lang w:val="en-HK"/>
        </w:rPr>
        <w:t>considered equivalent to quantitative restrictions (MEQRs) unless they had restrictive effects on intra-EU trade​.</w:t>
      </w:r>
    </w:p>
    <w:p w14:paraId="0E78DA1C" w14:textId="77777777" w:rsidR="006D5748" w:rsidRPr="006D5748" w:rsidRDefault="006D5748" w:rsidP="006D5748">
      <w:pPr>
        <w:numPr>
          <w:ilvl w:val="0"/>
          <w:numId w:val="16"/>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Impact on Parallel Imports</w:t>
      </w:r>
      <w:r w:rsidRPr="006D5748">
        <w:rPr>
          <w:rFonts w:ascii="Times New Roman" w:hAnsi="Times New Roman"/>
          <w:lang w:val="en-HK"/>
        </w:rPr>
        <w:t>: They contended that the Belgian rules disproportionately restricted parallel imports by requiring certificates not readily available to non-official distributors. This created a de facto trade barrier​.</w:t>
      </w:r>
    </w:p>
    <w:p w14:paraId="4D540C8F" w14:textId="77777777" w:rsidR="006D5748" w:rsidRPr="006D5748" w:rsidRDefault="006D5748" w:rsidP="006D5748">
      <w:pPr>
        <w:spacing w:before="100" w:beforeAutospacing="1" w:after="100" w:afterAutospacing="1" w:line="276" w:lineRule="auto"/>
        <w:outlineLvl w:val="4"/>
        <w:rPr>
          <w:rFonts w:ascii="Times New Roman" w:hAnsi="Times New Roman"/>
          <w:b/>
          <w:bCs/>
          <w:lang w:val="en-HK"/>
        </w:rPr>
      </w:pPr>
      <w:r w:rsidRPr="006D5748">
        <w:rPr>
          <w:rFonts w:ascii="Times New Roman" w:hAnsi="Times New Roman"/>
          <w:b/>
          <w:bCs/>
          <w:lang w:val="en-HK"/>
        </w:rPr>
        <w:t>b. Observations by the Exclusive Belgian Distributors</w:t>
      </w:r>
    </w:p>
    <w:p w14:paraId="2C72A01E"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exclusive distributors defended the Belgian rules as necessary to protect the authenticity of Scotch whisky. Their arguments included:</w:t>
      </w:r>
    </w:p>
    <w:p w14:paraId="44757464" w14:textId="77777777" w:rsidR="006D5748" w:rsidRPr="006D5748" w:rsidRDefault="006D5748" w:rsidP="006D5748">
      <w:pPr>
        <w:numPr>
          <w:ilvl w:val="0"/>
          <w:numId w:val="17"/>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Protection of Intellectual Property</w:t>
      </w:r>
      <w:r w:rsidRPr="006D5748">
        <w:rPr>
          <w:rFonts w:ascii="Times New Roman" w:hAnsi="Times New Roman"/>
          <w:lang w:val="en-HK"/>
        </w:rPr>
        <w:t>: The rules ensured the legitimacy of the designation of origin, safeguarding consumers from counterfeit goods.</w:t>
      </w:r>
    </w:p>
    <w:p w14:paraId="68FF03D5" w14:textId="77777777" w:rsidR="006D5748" w:rsidRPr="006D5748" w:rsidRDefault="006D5748" w:rsidP="006D5748">
      <w:pPr>
        <w:numPr>
          <w:ilvl w:val="0"/>
          <w:numId w:val="17"/>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Justification under Article 36 TFEU</w:t>
      </w:r>
      <w:r w:rsidRPr="006D5748">
        <w:rPr>
          <w:rFonts w:ascii="Times New Roman" w:hAnsi="Times New Roman"/>
          <w:lang w:val="en-HK"/>
        </w:rPr>
        <w:t>: They argued that the measure was justified under Article 36, which allows restrictions on the grounds of public policy, public security, or the protection of industrial and commercial property​.</w:t>
      </w:r>
    </w:p>
    <w:p w14:paraId="1A42E49D" w14:textId="77777777" w:rsidR="006D5748" w:rsidRPr="006D5748" w:rsidRDefault="006D5748" w:rsidP="006D5748">
      <w:pPr>
        <w:spacing w:before="100" w:beforeAutospacing="1" w:after="100" w:afterAutospacing="1" w:line="276" w:lineRule="auto"/>
        <w:outlineLvl w:val="4"/>
        <w:rPr>
          <w:rFonts w:ascii="Times New Roman" w:hAnsi="Times New Roman"/>
          <w:b/>
          <w:bCs/>
          <w:lang w:val="en-HK"/>
        </w:rPr>
      </w:pPr>
      <w:r w:rsidRPr="006D5748">
        <w:rPr>
          <w:rFonts w:ascii="Times New Roman" w:hAnsi="Times New Roman"/>
          <w:b/>
          <w:bCs/>
          <w:lang w:val="en-HK"/>
        </w:rPr>
        <w:t>c. Observations by the Intervening Member States</w:t>
      </w:r>
    </w:p>
    <w:p w14:paraId="13491389"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Member States, including Belgium and the United Kingdom, contributed to the debate:</w:t>
      </w:r>
    </w:p>
    <w:p w14:paraId="757F2098" w14:textId="77777777" w:rsidR="006D5748" w:rsidRPr="006D5748" w:rsidRDefault="006D5748" w:rsidP="006D5748">
      <w:pPr>
        <w:numPr>
          <w:ilvl w:val="0"/>
          <w:numId w:val="18"/>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 xml:space="preserve">Belgium’s </w:t>
      </w:r>
      <w:proofErr w:type="spellStart"/>
      <w:r w:rsidRPr="006D5748">
        <w:rPr>
          <w:rFonts w:ascii="Times New Roman" w:hAnsi="Times New Roman"/>
          <w:b/>
          <w:bCs/>
          <w:lang w:val="en-HK"/>
        </w:rPr>
        <w:t>Defense</w:t>
      </w:r>
      <w:proofErr w:type="spellEnd"/>
      <w:r w:rsidRPr="006D5748">
        <w:rPr>
          <w:rFonts w:ascii="Times New Roman" w:hAnsi="Times New Roman"/>
          <w:lang w:val="en-HK"/>
        </w:rPr>
        <w:t>: Belgium argued that the rules were non-discriminatory and applied equally to domestic and imported goods.</w:t>
      </w:r>
    </w:p>
    <w:p w14:paraId="29125F68" w14:textId="77777777" w:rsidR="006D5748" w:rsidRPr="006D5748" w:rsidRDefault="006D5748" w:rsidP="006D5748">
      <w:pPr>
        <w:numPr>
          <w:ilvl w:val="0"/>
          <w:numId w:val="18"/>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The UK’s Position</w:t>
      </w:r>
      <w:r w:rsidRPr="006D5748">
        <w:rPr>
          <w:rFonts w:ascii="Times New Roman" w:hAnsi="Times New Roman"/>
          <w:lang w:val="en-HK"/>
        </w:rPr>
        <w:t xml:space="preserve">: The UK supported the </w:t>
      </w:r>
      <w:proofErr w:type="spellStart"/>
      <w:r w:rsidRPr="006D5748">
        <w:rPr>
          <w:rFonts w:ascii="Times New Roman" w:hAnsi="Times New Roman"/>
          <w:lang w:val="en-HK"/>
        </w:rPr>
        <w:t>Dassonvilles</w:t>
      </w:r>
      <w:proofErr w:type="spellEnd"/>
      <w:r w:rsidRPr="006D5748">
        <w:rPr>
          <w:rFonts w:ascii="Times New Roman" w:hAnsi="Times New Roman"/>
          <w:lang w:val="en-HK"/>
        </w:rPr>
        <w:t>, emphasizing the disproportionate burden on parallel importers and the need for market access to prevail over restrictive measures​.</w:t>
      </w:r>
    </w:p>
    <w:p w14:paraId="40E2D9BF" w14:textId="77777777" w:rsidR="006D5748" w:rsidRPr="006D5748" w:rsidRDefault="006D5748" w:rsidP="006D5748">
      <w:pPr>
        <w:spacing w:before="100" w:beforeAutospacing="1" w:after="100" w:afterAutospacing="1" w:line="276" w:lineRule="auto"/>
        <w:outlineLvl w:val="4"/>
        <w:rPr>
          <w:rFonts w:ascii="Times New Roman" w:hAnsi="Times New Roman"/>
          <w:b/>
          <w:bCs/>
          <w:lang w:val="en-HK"/>
        </w:rPr>
      </w:pPr>
      <w:r w:rsidRPr="006D5748">
        <w:rPr>
          <w:rFonts w:ascii="Times New Roman" w:hAnsi="Times New Roman"/>
          <w:b/>
          <w:bCs/>
          <w:lang w:val="en-HK"/>
        </w:rPr>
        <w:t>d. Observations by the Commission</w:t>
      </w:r>
    </w:p>
    <w:p w14:paraId="59C83A5E"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Commission argued against the Belgian rules, aligning with the </w:t>
      </w:r>
      <w:proofErr w:type="spellStart"/>
      <w:r w:rsidRPr="006D5748">
        <w:rPr>
          <w:rFonts w:ascii="Times New Roman" w:hAnsi="Times New Roman"/>
          <w:lang w:val="en-HK"/>
        </w:rPr>
        <w:t>Dassonvilles</w:t>
      </w:r>
      <w:proofErr w:type="spellEnd"/>
      <w:r w:rsidRPr="006D5748">
        <w:rPr>
          <w:rFonts w:ascii="Times New Roman" w:hAnsi="Times New Roman"/>
          <w:lang w:val="en-HK"/>
        </w:rPr>
        <w:t>’ position:</w:t>
      </w:r>
    </w:p>
    <w:p w14:paraId="71741B03" w14:textId="77777777" w:rsidR="006D5748" w:rsidRPr="006D5748" w:rsidRDefault="006D5748" w:rsidP="006D5748">
      <w:pPr>
        <w:numPr>
          <w:ilvl w:val="0"/>
          <w:numId w:val="19"/>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Broad Interpretation of Article 34</w:t>
      </w:r>
      <w:r w:rsidRPr="006D5748">
        <w:rPr>
          <w:rFonts w:ascii="Times New Roman" w:hAnsi="Times New Roman"/>
          <w:lang w:val="en-HK"/>
        </w:rPr>
        <w:t xml:space="preserve">: The Commission emphasized that Article 34 covers all measures that can “directly or indirectly, actually or potentially” hinder intra-EU trade. This interpretation was based on previous cases like </w:t>
      </w:r>
      <w:r w:rsidRPr="006D5748">
        <w:rPr>
          <w:rFonts w:ascii="Times New Roman" w:hAnsi="Times New Roman"/>
          <w:i/>
          <w:iCs/>
          <w:lang w:val="en-HK"/>
        </w:rPr>
        <w:t>International Fruit</w:t>
      </w:r>
      <w:r w:rsidRPr="006D5748">
        <w:rPr>
          <w:rFonts w:ascii="Times New Roman" w:hAnsi="Times New Roman"/>
          <w:lang w:val="en-HK"/>
        </w:rPr>
        <w:t xml:space="preserve"> and </w:t>
      </w:r>
      <w:proofErr w:type="spellStart"/>
      <w:r w:rsidRPr="006D5748">
        <w:rPr>
          <w:rFonts w:ascii="Times New Roman" w:hAnsi="Times New Roman"/>
          <w:i/>
          <w:iCs/>
          <w:lang w:val="en-HK"/>
        </w:rPr>
        <w:t>Geddo</w:t>
      </w:r>
      <w:proofErr w:type="spellEnd"/>
      <w:r w:rsidRPr="006D5748">
        <w:rPr>
          <w:rFonts w:ascii="Times New Roman" w:hAnsi="Times New Roman"/>
          <w:lang w:val="en-HK"/>
        </w:rPr>
        <w:t>​.</w:t>
      </w:r>
    </w:p>
    <w:p w14:paraId="0E3D2D64" w14:textId="77777777" w:rsidR="006D5748" w:rsidRPr="006D5748" w:rsidRDefault="006D5748" w:rsidP="006D5748">
      <w:pPr>
        <w:numPr>
          <w:ilvl w:val="0"/>
          <w:numId w:val="19"/>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Criticism of Belgian Formalities</w:t>
      </w:r>
      <w:r w:rsidRPr="006D5748">
        <w:rPr>
          <w:rFonts w:ascii="Times New Roman" w:hAnsi="Times New Roman"/>
          <w:lang w:val="en-HK"/>
        </w:rPr>
        <w:t>: The Commission contended that the Belgian rules were a disguised restriction on trade, violating both the spirit and letter of Article 34​.</w:t>
      </w:r>
    </w:p>
    <w:p w14:paraId="5C030D00"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lastRenderedPageBreak/>
        <w:pict w14:anchorId="4B93BCDD">
          <v:rect id="_x0000_i1041" alt="" style="width:451.3pt;height:.05pt;mso-width-percent:0;mso-height-percent:0;mso-width-percent:0;mso-height-percent:0" o:hralign="center" o:hrstd="t" o:hr="t" fillcolor="#a0a0a0" stroked="f"/>
        </w:pict>
      </w:r>
    </w:p>
    <w:p w14:paraId="7C169143" w14:textId="77777777"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3. Advocate-General’s Opinion</w:t>
      </w:r>
    </w:p>
    <w:p w14:paraId="08CFB67F"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Advocate-General </w:t>
      </w:r>
      <w:proofErr w:type="spellStart"/>
      <w:r w:rsidRPr="006D5748">
        <w:rPr>
          <w:rFonts w:ascii="Times New Roman" w:hAnsi="Times New Roman"/>
          <w:lang w:val="en-HK"/>
        </w:rPr>
        <w:t>Trabucchi</w:t>
      </w:r>
      <w:proofErr w:type="spellEnd"/>
      <w:r w:rsidRPr="006D5748">
        <w:rPr>
          <w:rFonts w:ascii="Times New Roman" w:hAnsi="Times New Roman"/>
          <w:lang w:val="en-HK"/>
        </w:rPr>
        <w:t xml:space="preserve"> focused on the practical implications of the Belgian rules:</w:t>
      </w:r>
    </w:p>
    <w:p w14:paraId="2398E30E" w14:textId="77777777" w:rsidR="006D5748" w:rsidRPr="006D5748" w:rsidRDefault="006D5748" w:rsidP="006D5748">
      <w:pPr>
        <w:numPr>
          <w:ilvl w:val="0"/>
          <w:numId w:val="20"/>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Unjustified Trade Barriers</w:t>
      </w:r>
      <w:r w:rsidRPr="006D5748">
        <w:rPr>
          <w:rFonts w:ascii="Times New Roman" w:hAnsi="Times New Roman"/>
          <w:lang w:val="en-HK"/>
        </w:rPr>
        <w:t xml:space="preserve">: </w:t>
      </w:r>
      <w:proofErr w:type="spellStart"/>
      <w:r w:rsidRPr="006D5748">
        <w:rPr>
          <w:rFonts w:ascii="Times New Roman" w:hAnsi="Times New Roman"/>
          <w:lang w:val="en-HK"/>
        </w:rPr>
        <w:t>Trabucchi</w:t>
      </w:r>
      <w:proofErr w:type="spellEnd"/>
      <w:r w:rsidRPr="006D5748">
        <w:rPr>
          <w:rFonts w:ascii="Times New Roman" w:hAnsi="Times New Roman"/>
          <w:lang w:val="en-HK"/>
        </w:rPr>
        <w:t xml:space="preserve"> concluded that the Belgian rules constituted an unjustified and disproportionate barrier to trade. He emphasized that such rules disproportionately </w:t>
      </w:r>
      <w:proofErr w:type="spellStart"/>
      <w:r w:rsidRPr="006D5748">
        <w:rPr>
          <w:rFonts w:ascii="Times New Roman" w:hAnsi="Times New Roman"/>
          <w:lang w:val="en-HK"/>
        </w:rPr>
        <w:t>favored</w:t>
      </w:r>
      <w:proofErr w:type="spellEnd"/>
      <w:r w:rsidRPr="006D5748">
        <w:rPr>
          <w:rFonts w:ascii="Times New Roman" w:hAnsi="Times New Roman"/>
          <w:lang w:val="en-HK"/>
        </w:rPr>
        <w:t xml:space="preserve"> exclusive distributors, effectively isolating the Belgian market​.</w:t>
      </w:r>
    </w:p>
    <w:p w14:paraId="3B4B5D6A" w14:textId="77777777" w:rsidR="006D5748" w:rsidRPr="006D5748" w:rsidRDefault="006D5748" w:rsidP="006D5748">
      <w:pPr>
        <w:numPr>
          <w:ilvl w:val="0"/>
          <w:numId w:val="20"/>
        </w:numPr>
        <w:spacing w:before="100" w:beforeAutospacing="1" w:after="100" w:afterAutospacing="1" w:line="276" w:lineRule="auto"/>
        <w:rPr>
          <w:rFonts w:ascii="Times New Roman" w:hAnsi="Times New Roman"/>
          <w:lang w:val="en-HK"/>
        </w:rPr>
      </w:pPr>
      <w:r w:rsidRPr="006D5748">
        <w:rPr>
          <w:rFonts w:ascii="Times New Roman" w:hAnsi="Times New Roman"/>
          <w:b/>
          <w:bCs/>
          <w:lang w:val="en-HK"/>
        </w:rPr>
        <w:t>Broader Implications</w:t>
      </w:r>
      <w:r w:rsidRPr="006D5748">
        <w:rPr>
          <w:rFonts w:ascii="Times New Roman" w:hAnsi="Times New Roman"/>
          <w:lang w:val="en-HK"/>
        </w:rPr>
        <w:t>: He stressed the importance of ensuring the free movement of goods within the EU, arguing that the Belgian rules undermined this fundamental principle​.</w:t>
      </w:r>
    </w:p>
    <w:p w14:paraId="554B705E"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7DC144CC">
          <v:rect id="_x0000_i1040" alt="" style="width:451.3pt;height:.05pt;mso-width-percent:0;mso-height-percent:0;mso-width-percent:0;mso-height-percent:0" o:hralign="center" o:hrstd="t" o:hr="t" fillcolor="#a0a0a0" stroked="f"/>
        </w:pict>
      </w:r>
    </w:p>
    <w:p w14:paraId="4A229D37" w14:textId="77777777"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Conclusion</w:t>
      </w:r>
    </w:p>
    <w:p w14:paraId="2CF6235E"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section captures the conflicting arguments surrounding the scope of Article 34 TFEU and the interpretation of MEQRs. The </w:t>
      </w:r>
      <w:proofErr w:type="spellStart"/>
      <w:r w:rsidRPr="006D5748">
        <w:rPr>
          <w:rFonts w:ascii="Times New Roman" w:hAnsi="Times New Roman"/>
          <w:lang w:val="en-HK"/>
        </w:rPr>
        <w:t>Dassonvilles</w:t>
      </w:r>
      <w:proofErr w:type="spellEnd"/>
      <w:r w:rsidRPr="006D5748">
        <w:rPr>
          <w:rFonts w:ascii="Times New Roman" w:hAnsi="Times New Roman"/>
          <w:lang w:val="en-HK"/>
        </w:rPr>
        <w:t xml:space="preserve"> and the Commission emphasized market access and trade liberalization, while Belgium and the exclusive distributors sought to justify the measures under Article 36. Advocate-General </w:t>
      </w:r>
      <w:proofErr w:type="spellStart"/>
      <w:r w:rsidRPr="006D5748">
        <w:rPr>
          <w:rFonts w:ascii="Times New Roman" w:hAnsi="Times New Roman"/>
          <w:lang w:val="en-HK"/>
        </w:rPr>
        <w:t>Trabucchi’s</w:t>
      </w:r>
      <w:proofErr w:type="spellEnd"/>
      <w:r w:rsidRPr="006D5748">
        <w:rPr>
          <w:rFonts w:ascii="Times New Roman" w:hAnsi="Times New Roman"/>
          <w:lang w:val="en-HK"/>
        </w:rPr>
        <w:t xml:space="preserve"> opinion provided a decisive critique of the Belgian rules, shaping the Court’s eventual ruling.</w:t>
      </w:r>
    </w:p>
    <w:p w14:paraId="79B7A590"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7A793021">
          <v:rect id="_x0000_i1039" alt="" style="width:451.3pt;height:.05pt;mso-width-percent:0;mso-height-percent:0;mso-width-percent:0;mso-height-percent:0" o:hralign="center" o:hrstd="t" o:hr="t" fillcolor="#a0a0a0" stroked="f"/>
        </w:pict>
      </w:r>
    </w:p>
    <w:p w14:paraId="0FBD511E" w14:textId="494435FF"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 xml:space="preserve">IV. </w:t>
      </w:r>
      <w:r w:rsidRPr="006D5748">
        <w:rPr>
          <w:rFonts w:ascii="Times New Roman" w:hAnsi="Times New Roman"/>
          <w:b/>
          <w:bCs/>
          <w:lang w:val="en-HK"/>
        </w:rPr>
        <w:t xml:space="preserve">Re-reading </w:t>
      </w:r>
      <w:proofErr w:type="spellStart"/>
      <w:r w:rsidRPr="006D5748">
        <w:rPr>
          <w:rFonts w:ascii="Times New Roman" w:hAnsi="Times New Roman"/>
          <w:b/>
          <w:bCs/>
          <w:lang w:val="en-HK"/>
        </w:rPr>
        <w:t>Dassonville</w:t>
      </w:r>
      <w:proofErr w:type="spellEnd"/>
    </w:p>
    <w:p w14:paraId="6CDD9B7A" w14:textId="77777777" w:rsidR="006D5748" w:rsidRPr="006D5748" w:rsidRDefault="006D5748" w:rsidP="006D5748">
      <w:p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This section critically examines the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judgment beyond its conventional interpretation, aiming to contextualize its historical and doctrinal impact on European Union law.</w:t>
      </w:r>
    </w:p>
    <w:p w14:paraId="0CA27E46"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5AAA2F31">
          <v:rect id="_x0000_i1038" alt="" style="width:451.3pt;height:.05pt;mso-width-percent:0;mso-height-percent:0;mso-width-percent:0;mso-height-percent:0" o:hralign="center" o:hrstd="t" o:hr="t" fillcolor="#a0a0a0" stroked="f"/>
        </w:pict>
      </w:r>
    </w:p>
    <w:p w14:paraId="50D30CEF"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1. Context and Misinterpretation</w:t>
      </w:r>
    </w:p>
    <w:p w14:paraId="4BA40DEE" w14:textId="77777777" w:rsidR="006D5748" w:rsidRPr="006D5748" w:rsidRDefault="006D5748" w:rsidP="006D5748">
      <w:pPr>
        <w:numPr>
          <w:ilvl w:val="0"/>
          <w:numId w:val="21"/>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orthodox view of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portrays it as a radical ruling that introduced an expansive, neoliberal interpretation of Article 34 TFEU. According to this perspective, the judgment dramatically dissociated itself from classical international trade law and became a foundational element of the European internal market.</w:t>
      </w:r>
    </w:p>
    <w:p w14:paraId="6FB74CE2" w14:textId="77777777" w:rsidR="006D5748" w:rsidRPr="006D5748" w:rsidRDefault="006D5748" w:rsidP="006D5748">
      <w:pPr>
        <w:numPr>
          <w:ilvl w:val="0"/>
          <w:numId w:val="21"/>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challenges this narrative, arguing that such an interpretation ignores the historical and doctrinal context in which the decision was made. The judgment was not a "radical revolution" but a logical step shaped by the prevailing legal and political environment​​.</w:t>
      </w:r>
    </w:p>
    <w:p w14:paraId="660D69BE"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lastRenderedPageBreak/>
        <w:pict w14:anchorId="4DE14EC1">
          <v:rect id="_x0000_i1037" alt="" style="width:451.3pt;height:.05pt;mso-width-percent:0;mso-height-percent:0;mso-width-percent:0;mso-height-percent:0" o:hralign="center" o:hrstd="t" o:hr="t" fillcolor="#a0a0a0" stroked="f"/>
        </w:pict>
      </w:r>
    </w:p>
    <w:p w14:paraId="2B9E9097"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2. The Famous Formula</w:t>
      </w:r>
    </w:p>
    <w:p w14:paraId="7D1DC047" w14:textId="77777777" w:rsidR="006D5748" w:rsidRPr="006D5748" w:rsidRDefault="006D5748" w:rsidP="006D5748">
      <w:pPr>
        <w:numPr>
          <w:ilvl w:val="0"/>
          <w:numId w:val="22"/>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key element of the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judgment is its definition of "measures having equivalent effect to quantitative restrictions" (MEQRs) under Article 34 TFEU. The Court stated that:</w:t>
      </w:r>
    </w:p>
    <w:p w14:paraId="7966524F" w14:textId="77777777" w:rsidR="006D5748" w:rsidRPr="006D5748" w:rsidRDefault="006D5748" w:rsidP="006D5748">
      <w:pPr>
        <w:numPr>
          <w:ilvl w:val="1"/>
          <w:numId w:val="22"/>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“All trading rules enacted by Member States which are capable of hindering, directly or indirectly, actually or potentially, intra-Union trade are to be considered as measures having an effect equivalent to quantitative restrictions.”</w:t>
      </w:r>
    </w:p>
    <w:p w14:paraId="65709DE7" w14:textId="77777777" w:rsidR="006D5748" w:rsidRPr="006D5748" w:rsidRDefault="006D5748" w:rsidP="006D5748">
      <w:pPr>
        <w:numPr>
          <w:ilvl w:val="0"/>
          <w:numId w:val="22"/>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This formula is widely celebrated for its breadth but criticized for its lack of clarity in distinguishing legitimate trade rules from unjustified restrictions​​.</w:t>
      </w:r>
    </w:p>
    <w:p w14:paraId="2C6694D7"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579727CA">
          <v:rect id="_x0000_i1036" alt="" style="width:451.3pt;height:.05pt;mso-width-percent:0;mso-height-percent:0;mso-width-percent:0;mso-height-percent:0" o:hralign="center" o:hrstd="t" o:hr="t" fillcolor="#a0a0a0" stroked="f"/>
        </w:pict>
      </w:r>
    </w:p>
    <w:p w14:paraId="7668C17C"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3. Doctrinal Context</w:t>
      </w:r>
    </w:p>
    <w:p w14:paraId="2BD3B9E5" w14:textId="77777777" w:rsidR="006D5748" w:rsidRPr="006D5748" w:rsidRDefault="006D5748" w:rsidP="006D5748">
      <w:pPr>
        <w:numPr>
          <w:ilvl w:val="0"/>
          <w:numId w:val="23"/>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situates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within the broader evolution of EU law on free movement of goods. The judgment must be understood as part of a continuum that began with earlier cases like </w:t>
      </w:r>
      <w:r w:rsidRPr="006D5748">
        <w:rPr>
          <w:rFonts w:ascii="Times New Roman" w:hAnsi="Times New Roman"/>
          <w:i/>
          <w:iCs/>
          <w:lang w:val="en-HK"/>
        </w:rPr>
        <w:t>International Fruit</w:t>
      </w:r>
      <w:r w:rsidRPr="006D5748">
        <w:rPr>
          <w:rFonts w:ascii="Times New Roman" w:hAnsi="Times New Roman"/>
          <w:lang w:val="en-HK"/>
        </w:rPr>
        <w:t xml:space="preserve"> and </w:t>
      </w:r>
      <w:proofErr w:type="spellStart"/>
      <w:r w:rsidRPr="006D5748">
        <w:rPr>
          <w:rFonts w:ascii="Times New Roman" w:hAnsi="Times New Roman"/>
          <w:i/>
          <w:iCs/>
          <w:lang w:val="en-HK"/>
        </w:rPr>
        <w:t>Consten</w:t>
      </w:r>
      <w:proofErr w:type="spellEnd"/>
      <w:r w:rsidRPr="006D5748">
        <w:rPr>
          <w:rFonts w:ascii="Times New Roman" w:hAnsi="Times New Roman"/>
          <w:i/>
          <w:iCs/>
          <w:lang w:val="en-HK"/>
        </w:rPr>
        <w:t xml:space="preserve"> &amp; Grundig</w:t>
      </w:r>
      <w:r w:rsidRPr="006D5748">
        <w:rPr>
          <w:rFonts w:ascii="Times New Roman" w:hAnsi="Times New Roman"/>
          <w:lang w:val="en-HK"/>
        </w:rPr>
        <w:t>.</w:t>
      </w:r>
    </w:p>
    <w:p w14:paraId="748F45CD" w14:textId="77777777" w:rsidR="006D5748" w:rsidRPr="006D5748" w:rsidRDefault="006D5748" w:rsidP="006D5748">
      <w:pPr>
        <w:numPr>
          <w:ilvl w:val="0"/>
          <w:numId w:val="23"/>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adoption of a competition law formula for Article 34 demonstrates the Court's attempt to address "mixed situations" where national legislation interacts with private agreements to hinder trade. This approach highlights the symbiotic relationship between competition law and free movement provisions​​.</w:t>
      </w:r>
    </w:p>
    <w:p w14:paraId="3775D1D8"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5CDE5CE1">
          <v:rect id="_x0000_i1035" alt="" style="width:451.3pt;height:.05pt;mso-width-percent:0;mso-height-percent:0;mso-width-percent:0;mso-height-percent:0" o:hralign="center" o:hrstd="t" o:hr="t" fillcolor="#a0a0a0" stroked="f"/>
        </w:pict>
      </w:r>
    </w:p>
    <w:p w14:paraId="3E00156C"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4. Limited Ratio Decidendi</w:t>
      </w:r>
    </w:p>
    <w:p w14:paraId="2442B4CA" w14:textId="77777777" w:rsidR="006D5748" w:rsidRPr="006D5748" w:rsidRDefault="006D5748" w:rsidP="006D5748">
      <w:pPr>
        <w:numPr>
          <w:ilvl w:val="0"/>
          <w:numId w:val="24"/>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emphasizes the narrow scope of the judgment's ratio decidendi. The case focused specifically on whether the Belgian requirement for certificates of authenticity created unreasonable barriers for parallel importers.</w:t>
      </w:r>
    </w:p>
    <w:p w14:paraId="2E1E7A15" w14:textId="77777777" w:rsidR="006D5748" w:rsidRPr="006D5748" w:rsidRDefault="006D5748" w:rsidP="006D5748">
      <w:pPr>
        <w:numPr>
          <w:ilvl w:val="0"/>
          <w:numId w:val="24"/>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Court's reasoning was not aimed at dismantling all non-tariff barriers but at addressing a specific imbalance caused by Belgium's rules. This interpretation counters claims of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as a radical decision​​.</w:t>
      </w:r>
    </w:p>
    <w:p w14:paraId="623E4328"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599DFE2D">
          <v:rect id="_x0000_i1034" alt="" style="width:451.3pt;height:.05pt;mso-width-percent:0;mso-height-percent:0;mso-width-percent:0;mso-height-percent:0" o:hralign="center" o:hrstd="t" o:hr="t" fillcolor="#a0a0a0" stroked="f"/>
        </w:pict>
      </w:r>
    </w:p>
    <w:p w14:paraId="09A332F8"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5. Subsequent Developments</w:t>
      </w:r>
    </w:p>
    <w:p w14:paraId="54E71AFA" w14:textId="77777777" w:rsidR="006D5748" w:rsidRPr="006D5748" w:rsidRDefault="006D5748" w:rsidP="006D5748">
      <w:pPr>
        <w:numPr>
          <w:ilvl w:val="0"/>
          <w:numId w:val="25"/>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examines the follow-up case, </w:t>
      </w:r>
      <w:proofErr w:type="spellStart"/>
      <w:r w:rsidRPr="006D5748">
        <w:rPr>
          <w:rFonts w:ascii="Times New Roman" w:hAnsi="Times New Roman"/>
          <w:i/>
          <w:iCs/>
          <w:lang w:val="en-HK"/>
        </w:rPr>
        <w:t>Dassonville</w:t>
      </w:r>
      <w:proofErr w:type="spellEnd"/>
      <w:r w:rsidRPr="006D5748">
        <w:rPr>
          <w:rFonts w:ascii="Times New Roman" w:hAnsi="Times New Roman"/>
          <w:i/>
          <w:iCs/>
          <w:lang w:val="en-HK"/>
        </w:rPr>
        <w:t xml:space="preserve"> II</w:t>
      </w:r>
      <w:r w:rsidRPr="006D5748">
        <w:rPr>
          <w:rFonts w:ascii="Times New Roman" w:hAnsi="Times New Roman"/>
          <w:lang w:val="en-HK"/>
        </w:rPr>
        <w:t>, which revisited the Belgian rules after administrative changes. This case further clarified that not all national measures fall within the scope of Article 34—only those that impose unreasonable burdens on trade.</w:t>
      </w:r>
    </w:p>
    <w:p w14:paraId="4102BC37" w14:textId="77777777" w:rsidR="006D5748" w:rsidRPr="006D5748" w:rsidRDefault="006D5748" w:rsidP="006D5748">
      <w:pPr>
        <w:numPr>
          <w:ilvl w:val="0"/>
          <w:numId w:val="25"/>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lastRenderedPageBreak/>
        <w:t xml:space="preserve">The transition from </w:t>
      </w:r>
      <w:proofErr w:type="spellStart"/>
      <w:r w:rsidRPr="006D5748">
        <w:rPr>
          <w:rFonts w:ascii="Times New Roman" w:hAnsi="Times New Roman"/>
          <w:i/>
          <w:iCs/>
          <w:lang w:val="en-HK"/>
        </w:rPr>
        <w:t>Dassonville</w:t>
      </w:r>
      <w:proofErr w:type="spellEnd"/>
      <w:r w:rsidRPr="006D5748">
        <w:rPr>
          <w:rFonts w:ascii="Times New Roman" w:hAnsi="Times New Roman"/>
          <w:i/>
          <w:iCs/>
          <w:lang w:val="en-HK"/>
        </w:rPr>
        <w:t xml:space="preserve"> I</w:t>
      </w:r>
      <w:r w:rsidRPr="006D5748">
        <w:rPr>
          <w:rFonts w:ascii="Times New Roman" w:hAnsi="Times New Roman"/>
          <w:lang w:val="en-HK"/>
        </w:rPr>
        <w:t xml:space="preserve"> to </w:t>
      </w:r>
      <w:proofErr w:type="spellStart"/>
      <w:r w:rsidRPr="006D5748">
        <w:rPr>
          <w:rFonts w:ascii="Times New Roman" w:hAnsi="Times New Roman"/>
          <w:i/>
          <w:iCs/>
          <w:lang w:val="en-HK"/>
        </w:rPr>
        <w:t>Dassonville</w:t>
      </w:r>
      <w:proofErr w:type="spellEnd"/>
      <w:r w:rsidRPr="006D5748">
        <w:rPr>
          <w:rFonts w:ascii="Times New Roman" w:hAnsi="Times New Roman"/>
          <w:i/>
          <w:iCs/>
          <w:lang w:val="en-HK"/>
        </w:rPr>
        <w:t xml:space="preserve"> II</w:t>
      </w:r>
      <w:r w:rsidRPr="006D5748">
        <w:rPr>
          <w:rFonts w:ascii="Times New Roman" w:hAnsi="Times New Roman"/>
          <w:lang w:val="en-HK"/>
        </w:rPr>
        <w:t xml:space="preserve"> demonstrates a more measured and incremental approach by the Court, contrary to the "revolutionary" narrative​​.</w:t>
      </w:r>
    </w:p>
    <w:p w14:paraId="20FB6A31"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1D2CE768">
          <v:rect id="_x0000_i1033" alt="" style="width:451.3pt;height:.05pt;mso-width-percent:0;mso-height-percent:0;mso-width-percent:0;mso-height-percent:0" o:hralign="center" o:hrstd="t" o:hr="t" fillcolor="#a0a0a0" stroked="f"/>
        </w:pict>
      </w:r>
    </w:p>
    <w:p w14:paraId="682595F7" w14:textId="77777777"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Conclusion</w:t>
      </w:r>
    </w:p>
    <w:p w14:paraId="04F71F78" w14:textId="77777777" w:rsidR="006D5748" w:rsidRPr="006D5748" w:rsidRDefault="006D5748" w:rsidP="006D5748">
      <w:p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Schütze’s</w:t>
      </w:r>
      <w:proofErr w:type="spellEnd"/>
      <w:r w:rsidRPr="006D5748">
        <w:rPr>
          <w:rFonts w:ascii="Times New Roman" w:hAnsi="Times New Roman"/>
          <w:lang w:val="en-HK"/>
        </w:rPr>
        <w:t xml:space="preserve"> "Re-reading </w:t>
      </w:r>
      <w:proofErr w:type="spellStart"/>
      <w:r w:rsidRPr="006D5748">
        <w:rPr>
          <w:rFonts w:ascii="Times New Roman" w:hAnsi="Times New Roman"/>
          <w:lang w:val="en-HK"/>
        </w:rPr>
        <w:t>Dassonville</w:t>
      </w:r>
      <w:proofErr w:type="spellEnd"/>
      <w:r w:rsidRPr="006D5748">
        <w:rPr>
          <w:rFonts w:ascii="Times New Roman" w:hAnsi="Times New Roman"/>
          <w:lang w:val="en-HK"/>
        </w:rPr>
        <w:t xml:space="preserve">" deconstructs the myth of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as a radical judgment. By situating the decision in its historical and doctrinal context, he argues that it represents an evolution, not a revolution, in EU law. The judgment's significance lies in its doctrinal innovation and its role in shaping the future trajectory of internal market law, rather than in any sweeping dismantling of national regulations.</w:t>
      </w:r>
    </w:p>
    <w:p w14:paraId="177EDFF1"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5EB63933">
          <v:rect id="_x0000_i1032" alt="" style="width:451.3pt;height:.05pt;mso-width-percent:0;mso-height-percent:0;mso-width-percent:0;mso-height-percent:0" o:hralign="center" o:hrstd="t" o:hr="t" fillcolor="#a0a0a0" stroked="f"/>
        </w:pict>
      </w:r>
    </w:p>
    <w:p w14:paraId="42CA4E64" w14:textId="1D33A7F3"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 xml:space="preserve">V. </w:t>
      </w:r>
      <w:r w:rsidRPr="006D5748">
        <w:rPr>
          <w:rFonts w:ascii="Times New Roman" w:hAnsi="Times New Roman"/>
          <w:b/>
          <w:bCs/>
          <w:lang w:val="en-HK"/>
        </w:rPr>
        <w:t>Conclusion</w:t>
      </w:r>
    </w:p>
    <w:p w14:paraId="662E2C8A" w14:textId="076EC5C5"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1. Overarching Observations</w:t>
      </w:r>
      <w:r w:rsidRPr="006D5748">
        <w:rPr>
          <w:rFonts w:ascii="Times New Roman" w:hAnsi="Times New Roman"/>
          <w:b/>
          <w:bCs/>
          <w:lang w:val="en-HK"/>
        </w:rPr>
        <w:t xml:space="preserve"> </w:t>
      </w:r>
      <w:r w:rsidRPr="006D5748">
        <w:rPr>
          <w:rFonts w:ascii="Microsoft Jhenghei" w:eastAsia="Microsoft Jhenghei" w:hAnsi="Microsoft Jhenghei" w:hint="eastAsia"/>
          <w:color w:val="000000"/>
          <w:shd w:val="clear" w:color="auto" w:fill="EFF6FF"/>
        </w:rPr>
        <w:t>總體觀察</w:t>
      </w:r>
    </w:p>
    <w:p w14:paraId="146F9EA6" w14:textId="77777777" w:rsidR="006D5748" w:rsidRPr="006D5748" w:rsidRDefault="006D5748" w:rsidP="006D5748">
      <w:pPr>
        <w:numPr>
          <w:ilvl w:val="0"/>
          <w:numId w:val="26"/>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judgment remains one of the foundational rulings in EU internal market law, with its formula defining measures having equivalent effect to quantitative restrictions (MEEQRs) under Article 34 TFEU.</w:t>
      </w:r>
    </w:p>
    <w:p w14:paraId="19260B17" w14:textId="77777777" w:rsidR="006D5748" w:rsidRPr="006D5748" w:rsidRDefault="006D5748" w:rsidP="006D5748">
      <w:pPr>
        <w:numPr>
          <w:ilvl w:val="0"/>
          <w:numId w:val="26"/>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emphasizes that while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is widely interpreted as offering a liberal definition of the internal market, its historical and doctrinal context reveals a more nuanced judicial intent.</w:t>
      </w:r>
    </w:p>
    <w:p w14:paraId="63844174"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65432947">
          <v:rect id="_x0000_i1031" alt="" style="width:451.3pt;height:.05pt;mso-width-percent:0;mso-height-percent:0;mso-width-percent:0;mso-height-percent:0" o:hralign="center" o:hrstd="t" o:hr="t" fillcolor="#a0a0a0" stroked="f"/>
        </w:pict>
      </w:r>
    </w:p>
    <w:p w14:paraId="63CFDFA5"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2. Historical and Contextual Understanding</w:t>
      </w:r>
    </w:p>
    <w:p w14:paraId="38C3BB59" w14:textId="77777777" w:rsidR="006D5748" w:rsidRPr="006D5748" w:rsidRDefault="006D5748" w:rsidP="006D5748">
      <w:pPr>
        <w:numPr>
          <w:ilvl w:val="0"/>
          <w:numId w:val="27"/>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judgment must be read against the backdrop of the European Union’s broader legal and economic integration goals during the transitional and early post-transitional periods of the Rome Treaty.</w:t>
      </w:r>
    </w:p>
    <w:p w14:paraId="47F70938" w14:textId="77777777" w:rsidR="006D5748" w:rsidRPr="006D5748" w:rsidRDefault="006D5748" w:rsidP="006D5748">
      <w:pPr>
        <w:numPr>
          <w:ilvl w:val="0"/>
          <w:numId w:val="27"/>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notes that, rather than representing a radical break,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aligned with the Court’s prior rulings, such as those addressing customs union provisions and third-country goods within the EU’s common market framework.</w:t>
      </w:r>
    </w:p>
    <w:p w14:paraId="6B29728C"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5C9364BB">
          <v:rect id="_x0000_i1030" alt="" style="width:451.3pt;height:.05pt;mso-width-percent:0;mso-height-percent:0;mso-width-percent:0;mso-height-percent:0" o:hralign="center" o:hrstd="t" o:hr="t" fillcolor="#a0a0a0" stroked="f"/>
        </w:pict>
      </w:r>
    </w:p>
    <w:p w14:paraId="301C5075"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3. Judicial Innovations</w:t>
      </w:r>
    </w:p>
    <w:p w14:paraId="49476C0C" w14:textId="77777777" w:rsidR="006D5748" w:rsidRPr="006D5748" w:rsidRDefault="006D5748" w:rsidP="006D5748">
      <w:pPr>
        <w:numPr>
          <w:ilvl w:val="0"/>
          <w:numId w:val="28"/>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formula’s emphasis on measures that "directly or indirectly, actually or potentially" hinder intra-EU trade established a broad interpretive standard.</w:t>
      </w:r>
    </w:p>
    <w:p w14:paraId="5408F681" w14:textId="77777777" w:rsidR="006D5748" w:rsidRPr="006D5748" w:rsidRDefault="006D5748" w:rsidP="006D5748">
      <w:pPr>
        <w:numPr>
          <w:ilvl w:val="0"/>
          <w:numId w:val="28"/>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lastRenderedPageBreak/>
        <w:t>This innovation provided the Court with a flexible tool to assess national rules, allowing for both quantitative and qualitative restrictions to be scrutinized under Article 34 TFEU​​.</w:t>
      </w:r>
    </w:p>
    <w:p w14:paraId="76E58D26"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1D8C2EE8">
          <v:rect id="_x0000_i1029" alt="" style="width:451.3pt;height:.05pt;mso-width-percent:0;mso-height-percent:0;mso-width-percent:0;mso-height-percent:0" o:hralign="center" o:hrstd="t" o:hr="t" fillcolor="#a0a0a0" stroked="f"/>
        </w:pict>
      </w:r>
    </w:p>
    <w:p w14:paraId="5F64E649"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4. Bridging Free Movement and Competition Law</w:t>
      </w:r>
    </w:p>
    <w:p w14:paraId="3CE3658C" w14:textId="77777777" w:rsidR="006D5748" w:rsidRPr="006D5748" w:rsidRDefault="006D5748" w:rsidP="006D5748">
      <w:pPr>
        <w:numPr>
          <w:ilvl w:val="0"/>
          <w:numId w:val="29"/>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highlights the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formula’s role as a "doctrinal bridge" between free movement provisions and competition law.</w:t>
      </w:r>
    </w:p>
    <w:p w14:paraId="7ABB7C54" w14:textId="77777777" w:rsidR="006D5748" w:rsidRPr="006D5748" w:rsidRDefault="006D5748" w:rsidP="006D5748">
      <w:pPr>
        <w:numPr>
          <w:ilvl w:val="1"/>
          <w:numId w:val="29"/>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formula enabled the Court to address situations where private agreements leveraged national laws to restrict parallel trade.</w:t>
      </w:r>
    </w:p>
    <w:p w14:paraId="059DA5DE" w14:textId="77777777" w:rsidR="006D5748" w:rsidRPr="006D5748" w:rsidRDefault="006D5748" w:rsidP="006D5748">
      <w:pPr>
        <w:numPr>
          <w:ilvl w:val="1"/>
          <w:numId w:val="29"/>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It introduced a "pattern of trade" test that extended judicial review to both public and private barriers to intra-EU trade​​.</w:t>
      </w:r>
    </w:p>
    <w:p w14:paraId="0BF0F92A"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25F02D02">
          <v:rect id="_x0000_i1028" alt="" style="width:451.3pt;height:.05pt;mso-width-percent:0;mso-height-percent:0;mso-width-percent:0;mso-height-percent:0" o:hralign="center" o:hrstd="t" o:hr="t" fillcolor="#a0a0a0" stroked="f"/>
        </w:pict>
      </w:r>
    </w:p>
    <w:p w14:paraId="3693669F"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5. Rejection of Revisionist Readings</w:t>
      </w:r>
    </w:p>
    <w:p w14:paraId="4FD4BB9A" w14:textId="77777777" w:rsidR="006D5748" w:rsidRPr="006D5748" w:rsidRDefault="006D5748" w:rsidP="006D5748">
      <w:pPr>
        <w:numPr>
          <w:ilvl w:val="0"/>
          <w:numId w:val="30"/>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critiques the revisionist interpretation of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xml:space="preserve"> as a hyper-liberal judgment that undermined Member State regulatory autonomy:</w:t>
      </w:r>
    </w:p>
    <w:p w14:paraId="2F2DD49E" w14:textId="77777777" w:rsidR="006D5748" w:rsidRPr="006D5748" w:rsidRDefault="006D5748" w:rsidP="006D5748">
      <w:pPr>
        <w:numPr>
          <w:ilvl w:val="1"/>
          <w:numId w:val="30"/>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Such views, which portray the judgment as promoting a transnational marketplace identical to a national one, are dismissed as historically and legally unfounded.</w:t>
      </w:r>
    </w:p>
    <w:p w14:paraId="0C428ACB" w14:textId="77777777" w:rsidR="006D5748" w:rsidRPr="006D5748" w:rsidRDefault="006D5748" w:rsidP="006D5748">
      <w:pPr>
        <w:numPr>
          <w:ilvl w:val="1"/>
          <w:numId w:val="30"/>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The judgment’s actual intent was to balance market integration with respect for Member State sovereignty, as evidenced by subsequent case law​​.</w:t>
      </w:r>
    </w:p>
    <w:p w14:paraId="6FD3359B"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09FB7E72">
          <v:rect id="_x0000_i1027" alt="" style="width:451.3pt;height:.05pt;mso-width-percent:0;mso-height-percent:0;mso-width-percent:0;mso-height-percent:0" o:hralign="center" o:hrstd="t" o:hr="t" fillcolor="#a0a0a0" stroked="f"/>
        </w:pict>
      </w:r>
    </w:p>
    <w:p w14:paraId="14BC6D6D" w14:textId="77777777" w:rsidR="006D5748" w:rsidRPr="006D5748" w:rsidRDefault="006D5748" w:rsidP="006D5748">
      <w:pPr>
        <w:spacing w:before="100" w:beforeAutospacing="1" w:after="100" w:afterAutospacing="1" w:line="276" w:lineRule="auto"/>
        <w:outlineLvl w:val="3"/>
        <w:rPr>
          <w:rFonts w:ascii="Times New Roman" w:hAnsi="Times New Roman"/>
          <w:b/>
          <w:bCs/>
          <w:lang w:val="en-HK"/>
        </w:rPr>
      </w:pPr>
      <w:r w:rsidRPr="006D5748">
        <w:rPr>
          <w:rFonts w:ascii="Times New Roman" w:hAnsi="Times New Roman"/>
          <w:b/>
          <w:bCs/>
          <w:lang w:val="en-HK"/>
        </w:rPr>
        <w:t>6. Methodological Reflections</w:t>
      </w:r>
    </w:p>
    <w:p w14:paraId="1BBEBAA7" w14:textId="77777777" w:rsidR="006D5748" w:rsidRPr="006D5748" w:rsidRDefault="006D5748" w:rsidP="006D5748">
      <w:pPr>
        <w:numPr>
          <w:ilvl w:val="0"/>
          <w:numId w:val="31"/>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 xml:space="preserve">The author calls for a re-reading of "classic" EU judgments like </w:t>
      </w:r>
      <w:proofErr w:type="spellStart"/>
      <w:r w:rsidRPr="006D5748">
        <w:rPr>
          <w:rFonts w:ascii="Times New Roman" w:hAnsi="Times New Roman"/>
          <w:i/>
          <w:iCs/>
          <w:lang w:val="en-HK"/>
        </w:rPr>
        <w:t>Dassonville</w:t>
      </w:r>
      <w:proofErr w:type="spellEnd"/>
      <w:r w:rsidRPr="006D5748">
        <w:rPr>
          <w:rFonts w:ascii="Times New Roman" w:hAnsi="Times New Roman"/>
          <w:lang w:val="en-HK"/>
        </w:rPr>
        <w:t>, advocating for:</w:t>
      </w:r>
    </w:p>
    <w:p w14:paraId="7F0B5A27" w14:textId="77777777" w:rsidR="006D5748" w:rsidRPr="006D5748" w:rsidRDefault="006D5748" w:rsidP="006D5748">
      <w:pPr>
        <w:numPr>
          <w:ilvl w:val="1"/>
          <w:numId w:val="31"/>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A contextualized understanding that integrates doctrinal, historical, and sociological perspectives.</w:t>
      </w:r>
    </w:p>
    <w:p w14:paraId="718E80ED" w14:textId="77777777" w:rsidR="006D5748" w:rsidRPr="006D5748" w:rsidRDefault="006D5748" w:rsidP="006D5748">
      <w:pPr>
        <w:numPr>
          <w:ilvl w:val="1"/>
          <w:numId w:val="31"/>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t>A rejection of static, "positivist" interpretations that fail to consider the evolving nature of legal norms and judicial reasoning​​.</w:t>
      </w:r>
    </w:p>
    <w:p w14:paraId="02F5008F"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102E914A">
          <v:rect id="_x0000_i1026" alt="" style="width:451.3pt;height:.05pt;mso-width-percent:0;mso-height-percent:0;mso-width-percent:0;mso-height-percent:0" o:hralign="center" o:hrstd="t" o:hr="t" fillcolor="#a0a0a0" stroked="f"/>
        </w:pict>
      </w:r>
    </w:p>
    <w:p w14:paraId="0C231630" w14:textId="77777777" w:rsidR="006D5748" w:rsidRPr="006D5748" w:rsidRDefault="006D5748" w:rsidP="006D5748">
      <w:pPr>
        <w:spacing w:before="100" w:beforeAutospacing="1" w:after="100" w:afterAutospacing="1" w:line="276" w:lineRule="auto"/>
        <w:outlineLvl w:val="2"/>
        <w:rPr>
          <w:rFonts w:ascii="Times New Roman" w:hAnsi="Times New Roman"/>
          <w:b/>
          <w:bCs/>
          <w:lang w:val="en-HK"/>
        </w:rPr>
      </w:pPr>
      <w:r w:rsidRPr="006D5748">
        <w:rPr>
          <w:rFonts w:ascii="Times New Roman" w:hAnsi="Times New Roman"/>
          <w:b/>
          <w:bCs/>
          <w:lang w:val="en-HK"/>
        </w:rPr>
        <w:t>Final Thoughts</w:t>
      </w:r>
    </w:p>
    <w:p w14:paraId="3916F7AC" w14:textId="77777777" w:rsidR="006D5748" w:rsidRPr="006D5748" w:rsidRDefault="006D5748" w:rsidP="006D5748">
      <w:pPr>
        <w:numPr>
          <w:ilvl w:val="0"/>
          <w:numId w:val="32"/>
        </w:numPr>
        <w:spacing w:before="100" w:beforeAutospacing="1" w:after="100" w:afterAutospacing="1" w:line="276" w:lineRule="auto"/>
        <w:rPr>
          <w:rFonts w:ascii="Times New Roman" w:hAnsi="Times New Roman"/>
          <w:lang w:val="en-HK"/>
        </w:rPr>
      </w:pPr>
      <w:proofErr w:type="spellStart"/>
      <w:r w:rsidRPr="006D5748">
        <w:rPr>
          <w:rFonts w:ascii="Times New Roman" w:hAnsi="Times New Roman"/>
          <w:lang w:val="en-HK"/>
        </w:rPr>
        <w:t>Schütze</w:t>
      </w:r>
      <w:proofErr w:type="spellEnd"/>
      <w:r w:rsidRPr="006D5748">
        <w:rPr>
          <w:rFonts w:ascii="Times New Roman" w:hAnsi="Times New Roman"/>
          <w:lang w:val="en-HK"/>
        </w:rPr>
        <w:t xml:space="preserve"> concludes that </w:t>
      </w:r>
      <w:proofErr w:type="spellStart"/>
      <w:r w:rsidRPr="006D5748">
        <w:rPr>
          <w:rFonts w:ascii="Times New Roman" w:hAnsi="Times New Roman"/>
          <w:i/>
          <w:iCs/>
          <w:lang w:val="en-HK"/>
        </w:rPr>
        <w:t>Dassonville</w:t>
      </w:r>
      <w:r w:rsidRPr="006D5748">
        <w:rPr>
          <w:rFonts w:ascii="Times New Roman" w:hAnsi="Times New Roman"/>
          <w:lang w:val="en-HK"/>
        </w:rPr>
        <w:t>’s</w:t>
      </w:r>
      <w:proofErr w:type="spellEnd"/>
      <w:r w:rsidRPr="006D5748">
        <w:rPr>
          <w:rFonts w:ascii="Times New Roman" w:hAnsi="Times New Roman"/>
          <w:lang w:val="en-HK"/>
        </w:rPr>
        <w:t xml:space="preserve"> legacy lies not in its perceived radicalism but in its doctrinal clarity and its enduring influence on EU internal market law.</w:t>
      </w:r>
    </w:p>
    <w:p w14:paraId="41284FDA" w14:textId="77777777" w:rsidR="006D5748" w:rsidRPr="006D5748" w:rsidRDefault="006D5748" w:rsidP="006D5748">
      <w:pPr>
        <w:numPr>
          <w:ilvl w:val="0"/>
          <w:numId w:val="32"/>
        </w:numPr>
        <w:spacing w:before="100" w:beforeAutospacing="1" w:after="100" w:afterAutospacing="1" w:line="276" w:lineRule="auto"/>
        <w:rPr>
          <w:rFonts w:ascii="Times New Roman" w:hAnsi="Times New Roman"/>
          <w:lang w:val="en-HK"/>
        </w:rPr>
      </w:pPr>
      <w:r w:rsidRPr="006D5748">
        <w:rPr>
          <w:rFonts w:ascii="Times New Roman" w:hAnsi="Times New Roman"/>
          <w:lang w:val="en-HK"/>
        </w:rPr>
        <w:lastRenderedPageBreak/>
        <w:t>The judgment exemplifies the Court’s role in shaping European integration, blending legal principles with pragmatic considerations to advance the Union’s objectives​​.</w:t>
      </w:r>
    </w:p>
    <w:p w14:paraId="428C2899" w14:textId="77777777" w:rsidR="006D5748" w:rsidRPr="006D5748" w:rsidRDefault="009D6197" w:rsidP="006D5748">
      <w:pPr>
        <w:spacing w:line="276" w:lineRule="auto"/>
        <w:rPr>
          <w:rFonts w:ascii="Times New Roman" w:hAnsi="Times New Roman"/>
          <w:lang w:val="en-HK"/>
        </w:rPr>
      </w:pPr>
      <w:r w:rsidRPr="009D6197">
        <w:rPr>
          <w:rFonts w:ascii="Times New Roman" w:hAnsi="Times New Roman"/>
          <w:noProof/>
          <w:lang w:val="en-HK"/>
          <w14:ligatures w14:val="standardContextual"/>
        </w:rPr>
        <w:pict w14:anchorId="65888E5C">
          <v:rect id="_x0000_i1025" alt="" style="width:451.3pt;height:.05pt;mso-width-percent:0;mso-height-percent:0;mso-width-percent:0;mso-height-percent:0" o:hralign="center" o:hrstd="t" o:hr="t" fillcolor="#a0a0a0" stroked="f"/>
        </w:pict>
      </w:r>
    </w:p>
    <w:p w14:paraId="3E3B7BAC" w14:textId="77777777" w:rsidR="00CD39F1" w:rsidRPr="006D5748" w:rsidRDefault="00CD39F1" w:rsidP="006D5748">
      <w:pPr>
        <w:spacing w:line="276" w:lineRule="auto"/>
      </w:pPr>
    </w:p>
    <w:sectPr w:rsidR="00CD39F1" w:rsidRPr="006D5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2B15"/>
    <w:multiLevelType w:val="multilevel"/>
    <w:tmpl w:val="0D3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4E84"/>
    <w:multiLevelType w:val="multilevel"/>
    <w:tmpl w:val="A554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D32D9"/>
    <w:multiLevelType w:val="multilevel"/>
    <w:tmpl w:val="C10A1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432C1"/>
    <w:multiLevelType w:val="multilevel"/>
    <w:tmpl w:val="B0BE1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15750"/>
    <w:multiLevelType w:val="multilevel"/>
    <w:tmpl w:val="A1026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030FC"/>
    <w:multiLevelType w:val="multilevel"/>
    <w:tmpl w:val="C710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24CA6"/>
    <w:multiLevelType w:val="multilevel"/>
    <w:tmpl w:val="722A2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D70B2"/>
    <w:multiLevelType w:val="multilevel"/>
    <w:tmpl w:val="3B5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2833"/>
    <w:multiLevelType w:val="multilevel"/>
    <w:tmpl w:val="D100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16AC3"/>
    <w:multiLevelType w:val="multilevel"/>
    <w:tmpl w:val="ED7E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B79F1"/>
    <w:multiLevelType w:val="multilevel"/>
    <w:tmpl w:val="E2D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32670"/>
    <w:multiLevelType w:val="multilevel"/>
    <w:tmpl w:val="B7584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21951"/>
    <w:multiLevelType w:val="multilevel"/>
    <w:tmpl w:val="CED0A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F5BCF"/>
    <w:multiLevelType w:val="multilevel"/>
    <w:tmpl w:val="A6AEF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E5C6F"/>
    <w:multiLevelType w:val="multilevel"/>
    <w:tmpl w:val="8A3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2130D"/>
    <w:multiLevelType w:val="multilevel"/>
    <w:tmpl w:val="18DE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014D7"/>
    <w:multiLevelType w:val="multilevel"/>
    <w:tmpl w:val="50C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41E84"/>
    <w:multiLevelType w:val="multilevel"/>
    <w:tmpl w:val="B9D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237EE"/>
    <w:multiLevelType w:val="multilevel"/>
    <w:tmpl w:val="3CDA00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34F59"/>
    <w:multiLevelType w:val="multilevel"/>
    <w:tmpl w:val="B3F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6462F"/>
    <w:multiLevelType w:val="multilevel"/>
    <w:tmpl w:val="63AE7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37DDC"/>
    <w:multiLevelType w:val="multilevel"/>
    <w:tmpl w:val="6554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B2706"/>
    <w:multiLevelType w:val="multilevel"/>
    <w:tmpl w:val="B97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87341"/>
    <w:multiLevelType w:val="multilevel"/>
    <w:tmpl w:val="C13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80639"/>
    <w:multiLevelType w:val="multilevel"/>
    <w:tmpl w:val="B5589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037C6"/>
    <w:multiLevelType w:val="multilevel"/>
    <w:tmpl w:val="C7B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40867"/>
    <w:multiLevelType w:val="multilevel"/>
    <w:tmpl w:val="1D7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53FFF"/>
    <w:multiLevelType w:val="multilevel"/>
    <w:tmpl w:val="CCF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D7C33"/>
    <w:multiLevelType w:val="multilevel"/>
    <w:tmpl w:val="0096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D4569"/>
    <w:multiLevelType w:val="multilevel"/>
    <w:tmpl w:val="12B2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B3999"/>
    <w:multiLevelType w:val="multilevel"/>
    <w:tmpl w:val="B01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A0BC8"/>
    <w:multiLevelType w:val="multilevel"/>
    <w:tmpl w:val="404E5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648681">
    <w:abstractNumId w:val="2"/>
  </w:num>
  <w:num w:numId="2" w16cid:durableId="874850439">
    <w:abstractNumId w:val="17"/>
  </w:num>
  <w:num w:numId="3" w16cid:durableId="669873957">
    <w:abstractNumId w:val="31"/>
  </w:num>
  <w:num w:numId="4" w16cid:durableId="455488680">
    <w:abstractNumId w:val="5"/>
  </w:num>
  <w:num w:numId="5" w16cid:durableId="566959392">
    <w:abstractNumId w:val="20"/>
  </w:num>
  <w:num w:numId="6" w16cid:durableId="332997338">
    <w:abstractNumId w:val="13"/>
  </w:num>
  <w:num w:numId="7" w16cid:durableId="960764347">
    <w:abstractNumId w:val="22"/>
  </w:num>
  <w:num w:numId="8" w16cid:durableId="1083842807">
    <w:abstractNumId w:val="27"/>
  </w:num>
  <w:num w:numId="9" w16cid:durableId="353849074">
    <w:abstractNumId w:val="6"/>
  </w:num>
  <w:num w:numId="10" w16cid:durableId="836531557">
    <w:abstractNumId w:val="24"/>
  </w:num>
  <w:num w:numId="11" w16cid:durableId="961813381">
    <w:abstractNumId w:val="25"/>
  </w:num>
  <w:num w:numId="12" w16cid:durableId="1583222655">
    <w:abstractNumId w:val="4"/>
  </w:num>
  <w:num w:numId="13" w16cid:durableId="1366368805">
    <w:abstractNumId w:val="18"/>
  </w:num>
  <w:num w:numId="14" w16cid:durableId="128134779">
    <w:abstractNumId w:val="11"/>
  </w:num>
  <w:num w:numId="15" w16cid:durableId="1038511982">
    <w:abstractNumId w:val="23"/>
  </w:num>
  <w:num w:numId="16" w16cid:durableId="1666084350">
    <w:abstractNumId w:val="8"/>
  </w:num>
  <w:num w:numId="17" w16cid:durableId="1990017504">
    <w:abstractNumId w:val="29"/>
  </w:num>
  <w:num w:numId="18" w16cid:durableId="1212575313">
    <w:abstractNumId w:val="28"/>
  </w:num>
  <w:num w:numId="19" w16cid:durableId="1862552255">
    <w:abstractNumId w:val="30"/>
  </w:num>
  <w:num w:numId="20" w16cid:durableId="648558256">
    <w:abstractNumId w:val="19"/>
  </w:num>
  <w:num w:numId="21" w16cid:durableId="78988306">
    <w:abstractNumId w:val="26"/>
  </w:num>
  <w:num w:numId="22" w16cid:durableId="1178035491">
    <w:abstractNumId w:val="9"/>
  </w:num>
  <w:num w:numId="23" w16cid:durableId="629625768">
    <w:abstractNumId w:val="16"/>
  </w:num>
  <w:num w:numId="24" w16cid:durableId="794449936">
    <w:abstractNumId w:val="15"/>
  </w:num>
  <w:num w:numId="25" w16cid:durableId="2038119919">
    <w:abstractNumId w:val="14"/>
  </w:num>
  <w:num w:numId="26" w16cid:durableId="505828514">
    <w:abstractNumId w:val="7"/>
  </w:num>
  <w:num w:numId="27" w16cid:durableId="834609607">
    <w:abstractNumId w:val="0"/>
  </w:num>
  <w:num w:numId="28" w16cid:durableId="1659310056">
    <w:abstractNumId w:val="10"/>
  </w:num>
  <w:num w:numId="29" w16cid:durableId="75127837">
    <w:abstractNumId w:val="21"/>
  </w:num>
  <w:num w:numId="30" w16cid:durableId="1721249985">
    <w:abstractNumId w:val="12"/>
  </w:num>
  <w:num w:numId="31" w16cid:durableId="1193693806">
    <w:abstractNumId w:val="3"/>
  </w:num>
  <w:num w:numId="32" w16cid:durableId="56779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EE"/>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09EE"/>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6D5748"/>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D6197"/>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45F9"/>
  <w15:chartTrackingRefBased/>
  <w15:docId w15:val="{30A2342C-D6BC-F24E-94AA-9B88B536D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E0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09E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E09E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3E09E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E09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09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09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09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EE"/>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E09EE"/>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E09EE"/>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3E09EE"/>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3E09EE"/>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3E09EE"/>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E09EE"/>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E09EE"/>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E09EE"/>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E09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9EE"/>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E09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9EE"/>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E09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09EE"/>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E09EE"/>
    <w:pPr>
      <w:ind w:left="720"/>
      <w:contextualSpacing/>
    </w:pPr>
  </w:style>
  <w:style w:type="character" w:styleId="IntenseEmphasis">
    <w:name w:val="Intense Emphasis"/>
    <w:basedOn w:val="DefaultParagraphFont"/>
    <w:uiPriority w:val="21"/>
    <w:qFormat/>
    <w:rsid w:val="003E09EE"/>
    <w:rPr>
      <w:i/>
      <w:iCs/>
      <w:color w:val="2F5496" w:themeColor="accent1" w:themeShade="BF"/>
    </w:rPr>
  </w:style>
  <w:style w:type="paragraph" w:styleId="IntenseQuote">
    <w:name w:val="Intense Quote"/>
    <w:basedOn w:val="Normal"/>
    <w:next w:val="Normal"/>
    <w:link w:val="IntenseQuoteChar"/>
    <w:uiPriority w:val="30"/>
    <w:qFormat/>
    <w:rsid w:val="003E0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9EE"/>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E09EE"/>
    <w:rPr>
      <w:b/>
      <w:bCs/>
      <w:smallCaps/>
      <w:color w:val="2F5496" w:themeColor="accent1" w:themeShade="BF"/>
      <w:spacing w:val="5"/>
    </w:rPr>
  </w:style>
  <w:style w:type="character" w:styleId="Strong">
    <w:name w:val="Strong"/>
    <w:basedOn w:val="DefaultParagraphFont"/>
    <w:uiPriority w:val="22"/>
    <w:qFormat/>
    <w:rsid w:val="006D5748"/>
    <w:rPr>
      <w:b/>
      <w:bCs/>
    </w:rPr>
  </w:style>
  <w:style w:type="paragraph" w:styleId="NormalWeb">
    <w:name w:val="Normal (Web)"/>
    <w:basedOn w:val="Normal"/>
    <w:uiPriority w:val="99"/>
    <w:semiHidden/>
    <w:unhideWhenUsed/>
    <w:rsid w:val="006D5748"/>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6D57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090402">
      <w:bodyDiv w:val="1"/>
      <w:marLeft w:val="0"/>
      <w:marRight w:val="0"/>
      <w:marTop w:val="0"/>
      <w:marBottom w:val="0"/>
      <w:divBdr>
        <w:top w:val="none" w:sz="0" w:space="0" w:color="auto"/>
        <w:left w:val="none" w:sz="0" w:space="0" w:color="auto"/>
        <w:bottom w:val="none" w:sz="0" w:space="0" w:color="auto"/>
        <w:right w:val="none" w:sz="0" w:space="0" w:color="auto"/>
      </w:divBdr>
    </w:div>
    <w:div w:id="777987642">
      <w:bodyDiv w:val="1"/>
      <w:marLeft w:val="0"/>
      <w:marRight w:val="0"/>
      <w:marTop w:val="0"/>
      <w:marBottom w:val="0"/>
      <w:divBdr>
        <w:top w:val="none" w:sz="0" w:space="0" w:color="auto"/>
        <w:left w:val="none" w:sz="0" w:space="0" w:color="auto"/>
        <w:bottom w:val="none" w:sz="0" w:space="0" w:color="auto"/>
        <w:right w:val="none" w:sz="0" w:space="0" w:color="auto"/>
      </w:divBdr>
    </w:div>
    <w:div w:id="1038700873">
      <w:bodyDiv w:val="1"/>
      <w:marLeft w:val="0"/>
      <w:marRight w:val="0"/>
      <w:marTop w:val="0"/>
      <w:marBottom w:val="0"/>
      <w:divBdr>
        <w:top w:val="none" w:sz="0" w:space="0" w:color="auto"/>
        <w:left w:val="none" w:sz="0" w:space="0" w:color="auto"/>
        <w:bottom w:val="none" w:sz="0" w:space="0" w:color="auto"/>
        <w:right w:val="none" w:sz="0" w:space="0" w:color="auto"/>
      </w:divBdr>
    </w:div>
    <w:div w:id="1210070810">
      <w:bodyDiv w:val="1"/>
      <w:marLeft w:val="0"/>
      <w:marRight w:val="0"/>
      <w:marTop w:val="0"/>
      <w:marBottom w:val="0"/>
      <w:divBdr>
        <w:top w:val="none" w:sz="0" w:space="0" w:color="auto"/>
        <w:left w:val="none" w:sz="0" w:space="0" w:color="auto"/>
        <w:bottom w:val="none" w:sz="0" w:space="0" w:color="auto"/>
        <w:right w:val="none" w:sz="0" w:space="0" w:color="auto"/>
      </w:divBdr>
    </w:div>
    <w:div w:id="1687101196">
      <w:bodyDiv w:val="1"/>
      <w:marLeft w:val="0"/>
      <w:marRight w:val="0"/>
      <w:marTop w:val="0"/>
      <w:marBottom w:val="0"/>
      <w:divBdr>
        <w:top w:val="none" w:sz="0" w:space="0" w:color="auto"/>
        <w:left w:val="none" w:sz="0" w:space="0" w:color="auto"/>
        <w:bottom w:val="none" w:sz="0" w:space="0" w:color="auto"/>
        <w:right w:val="none" w:sz="0" w:space="0" w:color="auto"/>
      </w:divBdr>
      <w:divsChild>
        <w:div w:id="1193498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348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47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2676</Words>
  <Characters>15257</Characters>
  <Application>Microsoft Office Word</Application>
  <DocSecurity>0</DocSecurity>
  <Lines>127</Lines>
  <Paragraphs>35</Paragraphs>
  <ScaleCrop>false</ScaleCrop>
  <Company/>
  <LinksUpToDate>false</LinksUpToDate>
  <CharactersWithSpaces>17898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2025-01-23T22:49:00Z</dcterms:created>
  <dcterms:modified xsi:type="dcterms:W3CDTF">2025-01-23T23:00:00Z</dcterms:modified>
</cp:coreProperties>
</file>