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34025C" w14:textId="77777777" w:rsidR="00D0269B" w:rsidRPr="00D0269B" w:rsidRDefault="00D0269B" w:rsidP="00D0269B">
      <w:pPr>
        <w:spacing w:before="100" w:beforeAutospacing="1" w:after="100" w:afterAutospacing="1" w:line="276" w:lineRule="auto"/>
        <w:outlineLvl w:val="2"/>
        <w:rPr>
          <w:rFonts w:ascii="Times New Roman" w:hAnsi="Times New Roman"/>
          <w:b/>
          <w:bCs/>
          <w:lang w:val="en-HK"/>
        </w:rPr>
      </w:pPr>
      <w:r w:rsidRPr="00D0269B">
        <w:rPr>
          <w:rFonts w:ascii="Times New Roman" w:hAnsi="Times New Roman"/>
          <w:b/>
          <w:bCs/>
          <w:lang w:val="en-HK"/>
        </w:rPr>
        <w:t>1. The Litigation</w:t>
      </w:r>
    </w:p>
    <w:p w14:paraId="1A4B6D86" w14:textId="77777777" w:rsidR="00D0269B" w:rsidRPr="00D0269B" w:rsidRDefault="00D0269B" w:rsidP="00D0269B">
      <w:pPr>
        <w:numPr>
          <w:ilvl w:val="0"/>
          <w:numId w:val="1"/>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Case Summary</w:t>
      </w:r>
      <w:r w:rsidRPr="00D0269B">
        <w:rPr>
          <w:rFonts w:ascii="Times New Roman" w:hAnsi="Times New Roman"/>
          <w:lang w:val="en-HK"/>
        </w:rPr>
        <w:t>:</w:t>
      </w:r>
      <w:r w:rsidRPr="00D0269B">
        <w:rPr>
          <w:rFonts w:ascii="Times New Roman" w:hAnsi="Times New Roman"/>
          <w:lang w:val="en-HK"/>
        </w:rPr>
        <w:br/>
        <w:t xml:space="preserve">The case, </w:t>
      </w:r>
      <w:r w:rsidRPr="00D0269B">
        <w:rPr>
          <w:rFonts w:ascii="Times New Roman" w:hAnsi="Times New Roman"/>
          <w:i/>
          <w:iCs/>
          <w:lang w:val="en-HK"/>
        </w:rPr>
        <w:t xml:space="preserve">Criminal Proceedings against Noria Distribution </w:t>
      </w:r>
      <w:proofErr w:type="spellStart"/>
      <w:r w:rsidRPr="00D0269B">
        <w:rPr>
          <w:rFonts w:ascii="Times New Roman" w:hAnsi="Times New Roman"/>
          <w:i/>
          <w:iCs/>
          <w:lang w:val="en-HK"/>
        </w:rPr>
        <w:t>Sàrl</w:t>
      </w:r>
      <w:proofErr w:type="spellEnd"/>
      <w:r w:rsidRPr="00D0269B">
        <w:rPr>
          <w:rFonts w:ascii="Times New Roman" w:hAnsi="Times New Roman"/>
          <w:lang w:val="en-HK"/>
        </w:rPr>
        <w:t xml:space="preserve"> (C-672/15), involved a French company prosecuted for supplying food supplements that were lawfully marketed in other EU Member States but exceeded France's nutrient content limits. The Court of Justice of the European Union (CJEU) was asked to rule on whether these national restrictions violated EU free movement law.</w:t>
      </w:r>
    </w:p>
    <w:p w14:paraId="5AB568F2" w14:textId="77777777" w:rsidR="00D0269B" w:rsidRPr="00D0269B" w:rsidRDefault="00D0269B" w:rsidP="00D0269B">
      <w:pPr>
        <w:numPr>
          <w:ilvl w:val="0"/>
          <w:numId w:val="1"/>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Legal Framework</w:t>
      </w:r>
      <w:r w:rsidRPr="00D0269B">
        <w:rPr>
          <w:rFonts w:ascii="Times New Roman" w:hAnsi="Times New Roman"/>
          <w:lang w:val="en-HK"/>
        </w:rPr>
        <w:t>:</w:t>
      </w:r>
    </w:p>
    <w:p w14:paraId="7C87FFC0"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Article 34 TFEU</w:t>
      </w:r>
      <w:r w:rsidRPr="00D0269B">
        <w:rPr>
          <w:rFonts w:ascii="Times New Roman" w:hAnsi="Times New Roman"/>
          <w:lang w:val="en-HK"/>
        </w:rPr>
        <w:t>: Prohibits quantitative restrictions on imports and measures with equivalent effects between Member States.</w:t>
      </w:r>
    </w:p>
    <w:p w14:paraId="086B61EA"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Article 36 TFEU</w:t>
      </w:r>
      <w:r w:rsidRPr="00D0269B">
        <w:rPr>
          <w:rFonts w:ascii="Times New Roman" w:hAnsi="Times New Roman"/>
          <w:lang w:val="en-HK"/>
        </w:rPr>
        <w:t>: Allows Member States to justify restrictions if necessary to protect public health, provided they comply with proportionality and procedural safeguards.</w:t>
      </w:r>
    </w:p>
    <w:p w14:paraId="1A97F68C"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Directive 2002/46</w:t>
      </w:r>
      <w:r w:rsidRPr="00D0269B">
        <w:rPr>
          <w:rFonts w:ascii="Times New Roman" w:hAnsi="Times New Roman"/>
          <w:lang w:val="en-HK"/>
        </w:rPr>
        <w:t>: Establishes harmonized EU rules for marketing food supplements, replacing divergent national standards.</w:t>
      </w:r>
    </w:p>
    <w:p w14:paraId="52DA1699" w14:textId="77777777" w:rsidR="00D0269B" w:rsidRPr="00D0269B" w:rsidRDefault="00D0269B" w:rsidP="00D0269B">
      <w:pPr>
        <w:numPr>
          <w:ilvl w:val="0"/>
          <w:numId w:val="1"/>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Court’s Decision</w:t>
      </w:r>
      <w:r w:rsidRPr="00D0269B">
        <w:rPr>
          <w:rFonts w:ascii="Times New Roman" w:hAnsi="Times New Roman"/>
          <w:lang w:val="en-HK"/>
        </w:rPr>
        <w:t>:</w:t>
      </w:r>
    </w:p>
    <w:p w14:paraId="13A1DF33"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The French restrictions constituted a measure equivalent to a quantitative restriction under Article 34 TFEU. The rules impeded the marketing of food supplements lawfully sold in other Member States.</w:t>
      </w:r>
    </w:p>
    <w:p w14:paraId="43FC656B"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The French government argued justification under Article 36 (public health). However, the Court found that:</w:t>
      </w:r>
    </w:p>
    <w:p w14:paraId="44CB950F" w14:textId="77777777" w:rsidR="00D0269B" w:rsidRPr="00D0269B" w:rsidRDefault="00D0269B" w:rsidP="00D0269B">
      <w:pPr>
        <w:numPr>
          <w:ilvl w:val="2"/>
          <w:numId w:val="1"/>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France lacked procedural mechanisms for traders to challenge or appeal regulatory decisions effectively.</w:t>
      </w:r>
    </w:p>
    <w:p w14:paraId="51223C76" w14:textId="77777777" w:rsidR="00D0269B" w:rsidRPr="00D0269B" w:rsidRDefault="00D0269B" w:rsidP="00D0269B">
      <w:pPr>
        <w:numPr>
          <w:ilvl w:val="2"/>
          <w:numId w:val="1"/>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Refusal of market access is only permissible if there is scientific evidence of a "genuine risk" to public health. France failed to meet this threshold.</w:t>
      </w:r>
    </w:p>
    <w:p w14:paraId="297656CE" w14:textId="77777777" w:rsidR="00D0269B" w:rsidRPr="00D0269B" w:rsidRDefault="00D0269B" w:rsidP="00D0269B">
      <w:pPr>
        <w:numPr>
          <w:ilvl w:val="0"/>
          <w:numId w:val="1"/>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Significance of Procedural Requirements</w:t>
      </w:r>
      <w:r w:rsidRPr="00D0269B">
        <w:rPr>
          <w:rFonts w:ascii="Times New Roman" w:hAnsi="Times New Roman"/>
          <w:lang w:val="en-HK"/>
        </w:rPr>
        <w:t>:</w:t>
      </w:r>
    </w:p>
    <w:p w14:paraId="3BECF1CE"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The CJEU emphasized that national systems imposing prior authorization schemes must comply with transparency, non-discrimination, and proportionality. Refusals must:</w:t>
      </w:r>
    </w:p>
    <w:p w14:paraId="0C0544EE" w14:textId="77777777" w:rsidR="00D0269B" w:rsidRPr="00D0269B" w:rsidRDefault="00D0269B" w:rsidP="00D0269B">
      <w:pPr>
        <w:numPr>
          <w:ilvl w:val="2"/>
          <w:numId w:val="1"/>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Be supported by evidence of necessity.</w:t>
      </w:r>
    </w:p>
    <w:p w14:paraId="413210D0" w14:textId="77777777" w:rsidR="00D0269B" w:rsidRPr="00D0269B" w:rsidRDefault="00D0269B" w:rsidP="00D0269B">
      <w:pPr>
        <w:numPr>
          <w:ilvl w:val="2"/>
          <w:numId w:val="1"/>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Allow traders to apply for authorization with the possibility of judicial review.</w:t>
      </w:r>
    </w:p>
    <w:p w14:paraId="38BBD7CD"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Cases cited:</w:t>
      </w:r>
    </w:p>
    <w:p w14:paraId="19529DF4" w14:textId="77777777" w:rsidR="00D0269B" w:rsidRPr="00D0269B" w:rsidRDefault="00D0269B" w:rsidP="00D0269B">
      <w:pPr>
        <w:numPr>
          <w:ilvl w:val="2"/>
          <w:numId w:val="1"/>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Commission v France (C-24/00)</w:t>
      </w:r>
      <w:r w:rsidRPr="00D0269B">
        <w:rPr>
          <w:rFonts w:ascii="Times New Roman" w:hAnsi="Times New Roman"/>
          <w:lang w:val="en-HK"/>
        </w:rPr>
        <w:t>: Established that procedural safeguards are essential when public health justifications are invoked.</w:t>
      </w:r>
    </w:p>
    <w:p w14:paraId="11826240" w14:textId="77777777" w:rsidR="00D0269B" w:rsidRPr="00D0269B" w:rsidRDefault="00D0269B" w:rsidP="00D0269B">
      <w:pPr>
        <w:numPr>
          <w:ilvl w:val="2"/>
          <w:numId w:val="1"/>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lastRenderedPageBreak/>
        <w:t>Ince (C-336/14)</w:t>
      </w:r>
      <w:r w:rsidRPr="00D0269B">
        <w:rPr>
          <w:rFonts w:ascii="Times New Roman" w:hAnsi="Times New Roman"/>
          <w:lang w:val="en-HK"/>
        </w:rPr>
        <w:t>: Clarified that obstacles to free movement are permissible only when justified and proportionate to the regulatory objective.</w:t>
      </w:r>
    </w:p>
    <w:p w14:paraId="51FFE51A" w14:textId="77777777" w:rsidR="00D0269B" w:rsidRPr="00D0269B" w:rsidRDefault="00D0269B" w:rsidP="00D0269B">
      <w:pPr>
        <w:numPr>
          <w:ilvl w:val="2"/>
          <w:numId w:val="1"/>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 xml:space="preserve">Nationale </w:t>
      </w:r>
      <w:proofErr w:type="spellStart"/>
      <w:r w:rsidRPr="00D0269B">
        <w:rPr>
          <w:rFonts w:ascii="Times New Roman" w:hAnsi="Times New Roman"/>
          <w:b/>
          <w:bCs/>
          <w:lang w:val="en-HK"/>
        </w:rPr>
        <w:t>Raad</w:t>
      </w:r>
      <w:proofErr w:type="spellEnd"/>
      <w:r w:rsidRPr="00D0269B">
        <w:rPr>
          <w:rFonts w:ascii="Times New Roman" w:hAnsi="Times New Roman"/>
          <w:b/>
          <w:bCs/>
          <w:lang w:val="en-HK"/>
        </w:rPr>
        <w:t xml:space="preserve"> van </w:t>
      </w:r>
      <w:proofErr w:type="spellStart"/>
      <w:r w:rsidRPr="00D0269B">
        <w:rPr>
          <w:rFonts w:ascii="Times New Roman" w:hAnsi="Times New Roman"/>
          <w:b/>
          <w:bCs/>
          <w:lang w:val="en-HK"/>
        </w:rPr>
        <w:t>Dierenkwekers</w:t>
      </w:r>
      <w:proofErr w:type="spellEnd"/>
      <w:r w:rsidRPr="00D0269B">
        <w:rPr>
          <w:rFonts w:ascii="Times New Roman" w:hAnsi="Times New Roman"/>
          <w:b/>
          <w:bCs/>
          <w:lang w:val="en-HK"/>
        </w:rPr>
        <w:t xml:space="preserve"> </w:t>
      </w:r>
      <w:proofErr w:type="spellStart"/>
      <w:r w:rsidRPr="00D0269B">
        <w:rPr>
          <w:rFonts w:ascii="Times New Roman" w:hAnsi="Times New Roman"/>
          <w:b/>
          <w:bCs/>
          <w:lang w:val="en-HK"/>
        </w:rPr>
        <w:t>en</w:t>
      </w:r>
      <w:proofErr w:type="spellEnd"/>
      <w:r w:rsidRPr="00D0269B">
        <w:rPr>
          <w:rFonts w:ascii="Times New Roman" w:hAnsi="Times New Roman"/>
          <w:b/>
          <w:bCs/>
          <w:lang w:val="en-HK"/>
        </w:rPr>
        <w:t xml:space="preserve"> </w:t>
      </w:r>
      <w:proofErr w:type="spellStart"/>
      <w:r w:rsidRPr="00D0269B">
        <w:rPr>
          <w:rFonts w:ascii="Times New Roman" w:hAnsi="Times New Roman"/>
          <w:b/>
          <w:bCs/>
          <w:lang w:val="en-HK"/>
        </w:rPr>
        <w:t>Liefhebbers</w:t>
      </w:r>
      <w:proofErr w:type="spellEnd"/>
      <w:r w:rsidRPr="00D0269B">
        <w:rPr>
          <w:rFonts w:ascii="Times New Roman" w:hAnsi="Times New Roman"/>
          <w:b/>
          <w:bCs/>
          <w:lang w:val="en-HK"/>
        </w:rPr>
        <w:t xml:space="preserve"> v Belgium (C-219/07)</w:t>
      </w:r>
      <w:r w:rsidRPr="00D0269B">
        <w:rPr>
          <w:rFonts w:ascii="Times New Roman" w:hAnsi="Times New Roman"/>
          <w:lang w:val="en-HK"/>
        </w:rPr>
        <w:t>: Highlighted similar principles in cases concerning animal welfare.</w:t>
      </w:r>
    </w:p>
    <w:p w14:paraId="6104E498" w14:textId="77777777" w:rsidR="00D0269B" w:rsidRPr="00D0269B" w:rsidRDefault="00D0269B" w:rsidP="00D0269B">
      <w:pPr>
        <w:numPr>
          <w:ilvl w:val="0"/>
          <w:numId w:val="1"/>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 xml:space="preserve">Commentary by </w:t>
      </w:r>
      <w:proofErr w:type="spellStart"/>
      <w:r w:rsidRPr="00D0269B">
        <w:rPr>
          <w:rFonts w:ascii="Times New Roman" w:hAnsi="Times New Roman"/>
          <w:b/>
          <w:bCs/>
          <w:lang w:val="en-HK"/>
        </w:rPr>
        <w:t>Weatherill</w:t>
      </w:r>
      <w:proofErr w:type="spellEnd"/>
      <w:r w:rsidRPr="00D0269B">
        <w:rPr>
          <w:rFonts w:ascii="Times New Roman" w:hAnsi="Times New Roman"/>
          <w:lang w:val="en-HK"/>
        </w:rPr>
        <w:t>:</w:t>
      </w:r>
    </w:p>
    <w:p w14:paraId="13C2865F" w14:textId="77777777" w:rsidR="00D0269B" w:rsidRPr="00D0269B" w:rsidRDefault="00D0269B" w:rsidP="00D0269B">
      <w:p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described the case as a "mundanely incomplete" example of the EU’s internal market, where bureaucratic inefficiencies impede free trade. He criticized the failure of French authorities to provide clear procedural pathways for compliance, which undermined the free movement principles.</w:t>
      </w:r>
    </w:p>
    <w:p w14:paraId="28A99440" w14:textId="77777777" w:rsidR="00D0269B" w:rsidRPr="00D0269B" w:rsidRDefault="00077C01" w:rsidP="00D0269B">
      <w:pPr>
        <w:spacing w:line="276" w:lineRule="auto"/>
        <w:rPr>
          <w:rFonts w:ascii="Times New Roman" w:hAnsi="Times New Roman"/>
          <w:lang w:val="en-HK"/>
        </w:rPr>
      </w:pPr>
      <w:r w:rsidRPr="00077C01">
        <w:rPr>
          <w:rFonts w:ascii="Times New Roman" w:hAnsi="Times New Roman"/>
          <w:noProof/>
          <w:lang w:val="en-HK"/>
          <w14:ligatures w14:val="standardContextual"/>
        </w:rPr>
        <w:pict w14:anchorId="6EAE676B">
          <v:rect id="_x0000_i1030" alt="" style="width:451.3pt;height:.05pt;mso-width-percent:0;mso-height-percent:0;mso-width-percent:0;mso-height-percent:0" o:hralign="center" o:hrstd="t" o:hr="t" fillcolor="#a0a0a0" stroked="f"/>
        </w:pict>
      </w:r>
    </w:p>
    <w:p w14:paraId="0CA91566" w14:textId="77777777" w:rsidR="00D0269B" w:rsidRPr="00D0269B" w:rsidRDefault="00D0269B" w:rsidP="00D0269B">
      <w:pPr>
        <w:spacing w:before="100" w:beforeAutospacing="1" w:after="100" w:afterAutospacing="1" w:line="276" w:lineRule="auto"/>
        <w:outlineLvl w:val="2"/>
        <w:rPr>
          <w:rFonts w:ascii="Times New Roman" w:hAnsi="Times New Roman"/>
          <w:b/>
          <w:bCs/>
          <w:color w:val="FF0000"/>
          <w:lang w:val="en-HK"/>
        </w:rPr>
      </w:pPr>
      <w:r w:rsidRPr="00D0269B">
        <w:rPr>
          <w:rFonts w:ascii="Times New Roman" w:hAnsi="Times New Roman"/>
          <w:b/>
          <w:bCs/>
          <w:color w:val="FF0000"/>
          <w:lang w:val="en-HK"/>
        </w:rPr>
        <w:t>2. The Principle of Mutual Recognition Does Not Exist</w:t>
      </w:r>
    </w:p>
    <w:p w14:paraId="4DA69BBB" w14:textId="77777777" w:rsidR="00D0269B" w:rsidRPr="00D0269B" w:rsidRDefault="00D0269B" w:rsidP="00D0269B">
      <w:pPr>
        <w:numPr>
          <w:ilvl w:val="0"/>
          <w:numId w:val="2"/>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Central Argument</w:t>
      </w:r>
      <w:r w:rsidRPr="00D0269B">
        <w:rPr>
          <w:rFonts w:ascii="Times New Roman" w:hAnsi="Times New Roman"/>
          <w:lang w:val="en-HK"/>
        </w:rPr>
        <w:t>:</w:t>
      </w:r>
    </w:p>
    <w:p w14:paraId="0BB13F2F" w14:textId="77777777" w:rsidR="00D0269B" w:rsidRPr="00D0269B" w:rsidRDefault="00D0269B" w:rsidP="00D0269B">
      <w:p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challenges the characterization of mutual recognition as a "principle" in EU law. He argues it is more accurately described as a "conditional framework" that balances market integration with regulatory diversity among Member States.</w:t>
      </w:r>
    </w:p>
    <w:p w14:paraId="29D1B748"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Key Elements</w:t>
      </w:r>
      <w:r w:rsidRPr="00D0269B">
        <w:rPr>
          <w:rFonts w:ascii="Times New Roman" w:hAnsi="Times New Roman"/>
          <w:lang w:val="en-HK"/>
        </w:rPr>
        <w:t>:</w:t>
      </w:r>
    </w:p>
    <w:p w14:paraId="6D710A63"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No Automatic Recognition</w:t>
      </w:r>
      <w:r w:rsidRPr="00D0269B">
        <w:rPr>
          <w:rFonts w:ascii="Times New Roman" w:hAnsi="Times New Roman"/>
          <w:lang w:val="en-HK"/>
        </w:rPr>
        <w:t>:</w:t>
      </w:r>
    </w:p>
    <w:p w14:paraId="24A871E0" w14:textId="77777777" w:rsidR="00D0269B" w:rsidRPr="00D0269B" w:rsidRDefault="00D0269B" w:rsidP="00D0269B">
      <w:pPr>
        <w:numPr>
          <w:ilvl w:val="2"/>
          <w:numId w:val="2"/>
        </w:numPr>
        <w:spacing w:before="100" w:beforeAutospacing="1" w:after="100" w:afterAutospacing="1" w:line="276" w:lineRule="auto"/>
        <w:rPr>
          <w:rFonts w:ascii="Times New Roman" w:hAnsi="Times New Roman"/>
          <w:b/>
          <w:bCs/>
          <w:lang w:val="en-HK"/>
        </w:rPr>
      </w:pPr>
      <w:r w:rsidRPr="00D0269B">
        <w:rPr>
          <w:rFonts w:ascii="Times New Roman" w:hAnsi="Times New Roman"/>
          <w:lang w:val="en-HK"/>
        </w:rPr>
        <w:t xml:space="preserve">EU law </w:t>
      </w:r>
      <w:r w:rsidRPr="00D0269B">
        <w:rPr>
          <w:rFonts w:ascii="Times New Roman" w:hAnsi="Times New Roman"/>
          <w:b/>
          <w:bCs/>
          <w:lang w:val="en-HK"/>
        </w:rPr>
        <w:t>does not dictate that products lawfully marketed in one Member State must automatically be accepted in all others.</w:t>
      </w:r>
    </w:p>
    <w:p w14:paraId="6D25663B" w14:textId="77777777" w:rsidR="00D0269B" w:rsidRPr="00D0269B" w:rsidRDefault="00D0269B" w:rsidP="00D0269B">
      <w:pPr>
        <w:numPr>
          <w:ilvl w:val="2"/>
          <w:numId w:val="2"/>
        </w:numPr>
        <w:spacing w:before="100" w:beforeAutospacing="1" w:after="100" w:afterAutospacing="1" w:line="276" w:lineRule="auto"/>
        <w:rPr>
          <w:rFonts w:ascii="Times New Roman" w:hAnsi="Times New Roman"/>
          <w:b/>
          <w:bCs/>
          <w:color w:val="FF0000"/>
          <w:lang w:val="en-HK"/>
        </w:rPr>
      </w:pPr>
      <w:r w:rsidRPr="00D0269B">
        <w:rPr>
          <w:rFonts w:ascii="Times New Roman" w:hAnsi="Times New Roman"/>
          <w:lang w:val="en-HK"/>
        </w:rPr>
        <w:t xml:space="preserve">Instead, Member States </w:t>
      </w:r>
      <w:r w:rsidRPr="00D0269B">
        <w:rPr>
          <w:rFonts w:ascii="Times New Roman" w:hAnsi="Times New Roman"/>
          <w:b/>
          <w:bCs/>
          <w:color w:val="FF0000"/>
          <w:lang w:val="en-HK"/>
        </w:rPr>
        <w:t>retain the right to regulate their markets</w:t>
      </w:r>
      <w:r w:rsidRPr="00D0269B">
        <w:rPr>
          <w:rFonts w:ascii="Times New Roman" w:hAnsi="Times New Roman"/>
          <w:lang w:val="en-HK"/>
        </w:rPr>
        <w:t xml:space="preserve">, provided they justify trade restrictions using the framework established by EU law. This aligns with the </w:t>
      </w:r>
      <w:r w:rsidRPr="00D0269B">
        <w:rPr>
          <w:rFonts w:ascii="Times New Roman" w:hAnsi="Times New Roman"/>
          <w:b/>
          <w:bCs/>
          <w:color w:val="FF0000"/>
          <w:lang w:val="en-HK"/>
        </w:rPr>
        <w:t>principle of proportionality.</w:t>
      </w:r>
    </w:p>
    <w:p w14:paraId="4ECFC6B1"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Conditional Nature</w:t>
      </w:r>
      <w:r w:rsidRPr="00D0269B">
        <w:rPr>
          <w:rFonts w:ascii="Times New Roman" w:hAnsi="Times New Roman"/>
          <w:lang w:val="en-HK"/>
        </w:rPr>
        <w:t>:</w:t>
      </w:r>
    </w:p>
    <w:p w14:paraId="1406454D" w14:textId="77777777" w:rsidR="00D0269B" w:rsidRPr="00D0269B" w:rsidRDefault="00D0269B" w:rsidP="00D0269B">
      <w:pPr>
        <w:numPr>
          <w:ilvl w:val="2"/>
          <w:numId w:val="2"/>
        </w:numPr>
        <w:spacing w:before="100" w:beforeAutospacing="1" w:after="100" w:afterAutospacing="1" w:line="276" w:lineRule="auto"/>
        <w:rPr>
          <w:rFonts w:ascii="Times New Roman" w:hAnsi="Times New Roman"/>
          <w:b/>
          <w:bCs/>
          <w:lang w:val="en-HK"/>
        </w:rPr>
      </w:pPr>
      <w:r w:rsidRPr="00D0269B">
        <w:rPr>
          <w:rFonts w:ascii="Times New Roman" w:hAnsi="Times New Roman"/>
          <w:lang w:val="en-HK"/>
        </w:rPr>
        <w:t xml:space="preserve">Member States must </w:t>
      </w:r>
      <w:r w:rsidRPr="00D0269B">
        <w:rPr>
          <w:rFonts w:ascii="Times New Roman" w:hAnsi="Times New Roman"/>
          <w:b/>
          <w:bCs/>
          <w:lang w:val="en-HK"/>
        </w:rPr>
        <w:t>demonstrate why a product is unsuitable for their market and provide procedural safeguards for traders.</w:t>
      </w:r>
    </w:p>
    <w:p w14:paraId="4F9D5C03" w14:textId="77777777" w:rsidR="00D0269B" w:rsidRPr="00D0269B" w:rsidRDefault="00D0269B" w:rsidP="00D0269B">
      <w:pPr>
        <w:numPr>
          <w:ilvl w:val="2"/>
          <w:numId w:val="2"/>
        </w:num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notes that this system respects national regulatory diversity while avoiding "remorseless deregulation."</w:t>
      </w:r>
    </w:p>
    <w:p w14:paraId="62DFAC0A" w14:textId="77777777" w:rsidR="00D0269B" w:rsidRPr="00D0269B" w:rsidRDefault="00D0269B" w:rsidP="00D0269B">
      <w:pPr>
        <w:numPr>
          <w:ilvl w:val="0"/>
          <w:numId w:val="2"/>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CJEU Case Law Supporting Conditionality</w:t>
      </w:r>
      <w:r w:rsidRPr="00D0269B">
        <w:rPr>
          <w:rFonts w:ascii="Times New Roman" w:hAnsi="Times New Roman"/>
          <w:lang w:val="en-HK"/>
        </w:rPr>
        <w:t>:</w:t>
      </w:r>
    </w:p>
    <w:p w14:paraId="39D7EA61"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Cassis de Dijon (120/78)</w:t>
      </w:r>
      <w:r w:rsidRPr="00D0269B">
        <w:rPr>
          <w:rFonts w:ascii="Times New Roman" w:hAnsi="Times New Roman"/>
          <w:lang w:val="en-HK"/>
        </w:rPr>
        <w:t>: Established that products lawfully marketed in one Member State can be restricted by another only if the restrictions are justified by overriding public interest and meet proportionality requirements.</w:t>
      </w:r>
    </w:p>
    <w:p w14:paraId="2B47508C"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Commission v France (C-333/08)</w:t>
      </w:r>
      <w:r w:rsidRPr="00D0269B">
        <w:rPr>
          <w:rFonts w:ascii="Times New Roman" w:hAnsi="Times New Roman"/>
          <w:lang w:val="en-HK"/>
        </w:rPr>
        <w:t>: Reaffirmed that procedural transparency is essential for trade restrictions to be lawful.</w:t>
      </w:r>
    </w:p>
    <w:p w14:paraId="69E9E55F"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lastRenderedPageBreak/>
        <w:t>Greenham and Abel (C-95/01)</w:t>
      </w:r>
      <w:r w:rsidRPr="00D0269B">
        <w:rPr>
          <w:rFonts w:ascii="Times New Roman" w:hAnsi="Times New Roman"/>
          <w:lang w:val="en-HK"/>
        </w:rPr>
        <w:t>: Emphasized that prior authorization schemes should not create disproportionate barriers to trade.</w:t>
      </w:r>
    </w:p>
    <w:p w14:paraId="4D115789" w14:textId="77777777" w:rsidR="00D0269B" w:rsidRPr="00D0269B" w:rsidRDefault="00D0269B" w:rsidP="00D0269B">
      <w:pPr>
        <w:numPr>
          <w:ilvl w:val="0"/>
          <w:numId w:val="2"/>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Criticism of "</w:t>
      </w:r>
      <w:r w:rsidRPr="00D0269B">
        <w:rPr>
          <w:rFonts w:ascii="Times New Roman" w:hAnsi="Times New Roman"/>
          <w:b/>
          <w:bCs/>
          <w:u w:val="single"/>
          <w:lang w:val="en-HK"/>
        </w:rPr>
        <w:t>Mutual Recognition" Terminology</w:t>
      </w:r>
      <w:r w:rsidRPr="00D0269B">
        <w:rPr>
          <w:rFonts w:ascii="Times New Roman" w:hAnsi="Times New Roman"/>
          <w:u w:val="single"/>
          <w:lang w:val="en-HK"/>
        </w:rPr>
        <w:t>:</w:t>
      </w:r>
    </w:p>
    <w:p w14:paraId="2D57FD6F" w14:textId="77777777" w:rsidR="00D0269B" w:rsidRPr="00D0269B" w:rsidRDefault="00D0269B" w:rsidP="00D0269B">
      <w:p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criticizes the term "mutual recognition" for implying an absolute principle. He explains that the EU operates on a </w:t>
      </w:r>
      <w:r w:rsidRPr="00D0269B">
        <w:rPr>
          <w:rFonts w:ascii="Times New Roman" w:hAnsi="Times New Roman"/>
          <w:b/>
          <w:bCs/>
          <w:lang w:val="en-HK"/>
        </w:rPr>
        <w:t>conditional mutual recognition model</w:t>
      </w:r>
      <w:r w:rsidRPr="00D0269B">
        <w:rPr>
          <w:rFonts w:ascii="Times New Roman" w:hAnsi="Times New Roman"/>
          <w:lang w:val="en-HK"/>
        </w:rPr>
        <w:t>, where trade restrictions are tolerated if:</w:t>
      </w:r>
    </w:p>
    <w:p w14:paraId="23A25CEC" w14:textId="77777777" w:rsidR="00D0269B" w:rsidRPr="00D0269B" w:rsidRDefault="00D0269B" w:rsidP="00D0269B">
      <w:pPr>
        <w:numPr>
          <w:ilvl w:val="2"/>
          <w:numId w:val="2"/>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The regulating state provides justification.</w:t>
      </w:r>
    </w:p>
    <w:p w14:paraId="26D39C28" w14:textId="77777777" w:rsidR="00D0269B" w:rsidRPr="00D0269B" w:rsidRDefault="00D0269B" w:rsidP="00D0269B">
      <w:pPr>
        <w:numPr>
          <w:ilvl w:val="2"/>
          <w:numId w:val="2"/>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The measure complies with proportionality and procedural safeguards.</w:t>
      </w:r>
    </w:p>
    <w:p w14:paraId="1F1A7CE1"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He supports expunging references to "mutual recognition" from legal discourse, as it creates unrealistic expectations about automatic market access.</w:t>
      </w:r>
    </w:p>
    <w:p w14:paraId="56358F1D" w14:textId="77777777" w:rsidR="00D0269B" w:rsidRPr="00D0269B" w:rsidRDefault="00D0269B" w:rsidP="00D0269B">
      <w:pPr>
        <w:numPr>
          <w:ilvl w:val="0"/>
          <w:numId w:val="2"/>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Scholarly Views</w:t>
      </w:r>
      <w:r w:rsidRPr="00D0269B">
        <w:rPr>
          <w:rFonts w:ascii="Times New Roman" w:hAnsi="Times New Roman"/>
          <w:lang w:val="en-HK"/>
        </w:rPr>
        <w:t>:</w:t>
      </w:r>
    </w:p>
    <w:p w14:paraId="5FC04165" w14:textId="77777777" w:rsidR="00D0269B" w:rsidRPr="00D0269B" w:rsidRDefault="00D0269B" w:rsidP="00D0269B">
      <w:pPr>
        <w:spacing w:before="100" w:beforeAutospacing="1" w:after="100" w:afterAutospacing="1" w:line="276" w:lineRule="auto"/>
        <w:rPr>
          <w:rFonts w:ascii="Times New Roman" w:hAnsi="Times New Roman"/>
          <w:b/>
          <w:bCs/>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(2014): "There is </w:t>
      </w:r>
      <w:r w:rsidRPr="00D0269B">
        <w:rPr>
          <w:rFonts w:ascii="Times New Roman" w:hAnsi="Times New Roman"/>
          <w:b/>
          <w:bCs/>
          <w:lang w:val="en-HK"/>
        </w:rPr>
        <w:t>no ‘principle’ of mutual recognition in EU law. Instead, there exists a managed framework for conditional trade liberalization."</w:t>
      </w:r>
    </w:p>
    <w:p w14:paraId="6D99B52D"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Barnard and O’Connor (2017): Argue that mutual recognition reflects a balance between deregulation and legitimate regulatory diversity.</w:t>
      </w:r>
    </w:p>
    <w:p w14:paraId="3CC8785B" w14:textId="77777777" w:rsidR="00D0269B" w:rsidRPr="00D0269B" w:rsidRDefault="00D0269B" w:rsidP="00D0269B">
      <w:pPr>
        <w:numPr>
          <w:ilvl w:val="0"/>
          <w:numId w:val="2"/>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Practical Implications</w:t>
      </w:r>
      <w:r w:rsidRPr="00D0269B">
        <w:rPr>
          <w:rFonts w:ascii="Times New Roman" w:hAnsi="Times New Roman"/>
          <w:lang w:val="en-HK"/>
        </w:rPr>
        <w:t>:</w:t>
      </w:r>
    </w:p>
    <w:p w14:paraId="71BE2262"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While the framework theoretically balances integration and sovereignty, its application is often burdensome for businesses.</w:t>
      </w:r>
    </w:p>
    <w:p w14:paraId="2639F5F3"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Small and medium enterprises (SMEs), in particular, struggle to navigate litigation-driven processes, undermining the benefits of the internal market.</w:t>
      </w:r>
    </w:p>
    <w:p w14:paraId="189D37C8" w14:textId="77777777" w:rsidR="00D0269B" w:rsidRPr="00D0269B" w:rsidRDefault="00D0269B" w:rsidP="00D0269B">
      <w:pPr>
        <w:numPr>
          <w:ilvl w:val="0"/>
          <w:numId w:val="2"/>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Conclusion of Section</w:t>
      </w:r>
      <w:r w:rsidRPr="00D0269B">
        <w:rPr>
          <w:rFonts w:ascii="Times New Roman" w:hAnsi="Times New Roman"/>
          <w:lang w:val="en-HK"/>
        </w:rPr>
        <w:t>:</w:t>
      </w:r>
    </w:p>
    <w:p w14:paraId="6271B897" w14:textId="77777777" w:rsidR="00D0269B" w:rsidRPr="00D0269B" w:rsidRDefault="00D0269B" w:rsidP="00D0269B">
      <w:p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underscores that the EU’s model of "conditional mutual recognition" secures national regulatory diversity but creates obstacles for cross-border traders. He argues for a more precise and institutionally sensitive understanding of this framework to avoid misinterpretation and litigation burdens.</w:t>
      </w:r>
    </w:p>
    <w:p w14:paraId="3FC356E4" w14:textId="77777777" w:rsidR="00D0269B" w:rsidRPr="00D0269B" w:rsidRDefault="00077C01" w:rsidP="00D0269B">
      <w:pPr>
        <w:spacing w:line="276" w:lineRule="auto"/>
        <w:rPr>
          <w:rFonts w:ascii="Times New Roman" w:hAnsi="Times New Roman"/>
          <w:lang w:val="en-HK"/>
        </w:rPr>
      </w:pPr>
      <w:r w:rsidRPr="00077C01">
        <w:rPr>
          <w:rFonts w:ascii="Times New Roman" w:hAnsi="Times New Roman"/>
          <w:noProof/>
          <w:lang w:val="en-HK"/>
          <w14:ligatures w14:val="standardContextual"/>
        </w:rPr>
        <w:pict w14:anchorId="33C2689C">
          <v:rect id="_x0000_i1029" alt="" style="width:451.3pt;height:.05pt;mso-width-percent:0;mso-height-percent:0;mso-width-percent:0;mso-height-percent:0" o:hralign="center" o:hrstd="t" o:hr="t" fillcolor="#a0a0a0" stroked="f"/>
        </w:pict>
      </w:r>
    </w:p>
    <w:p w14:paraId="5EB3BEC8" w14:textId="77777777" w:rsidR="00D0269B" w:rsidRPr="00D0269B" w:rsidRDefault="00D0269B" w:rsidP="00D0269B">
      <w:pPr>
        <w:spacing w:before="100" w:beforeAutospacing="1" w:after="100" w:afterAutospacing="1" w:line="276" w:lineRule="auto"/>
        <w:outlineLvl w:val="2"/>
        <w:rPr>
          <w:rFonts w:ascii="Times New Roman" w:hAnsi="Times New Roman"/>
          <w:b/>
          <w:bCs/>
          <w:lang w:val="en-HK"/>
        </w:rPr>
      </w:pPr>
      <w:r w:rsidRPr="00D0269B">
        <w:rPr>
          <w:rFonts w:ascii="Times New Roman" w:hAnsi="Times New Roman"/>
          <w:b/>
          <w:bCs/>
          <w:lang w:val="en-HK"/>
        </w:rPr>
        <w:t>3. The Costs and Benefits of Non-Absolute or Conditional Managed Mutual Recognition</w:t>
      </w:r>
    </w:p>
    <w:p w14:paraId="30AAD8A5" w14:textId="77777777" w:rsidR="00D0269B" w:rsidRPr="00D0269B" w:rsidRDefault="00D0269B" w:rsidP="00D0269B">
      <w:pPr>
        <w:spacing w:before="100" w:beforeAutospacing="1" w:after="100" w:afterAutospacing="1" w:line="276" w:lineRule="auto"/>
        <w:outlineLvl w:val="3"/>
        <w:rPr>
          <w:rFonts w:ascii="Times New Roman" w:hAnsi="Times New Roman"/>
          <w:b/>
          <w:bCs/>
          <w:lang w:val="en-HK"/>
        </w:rPr>
      </w:pPr>
      <w:r w:rsidRPr="00D0269B">
        <w:rPr>
          <w:rFonts w:ascii="Times New Roman" w:hAnsi="Times New Roman"/>
          <w:b/>
          <w:bCs/>
          <w:lang w:val="en-HK"/>
        </w:rPr>
        <w:t>Benefits of Conditional Managed Mutual Recognition</w:t>
      </w:r>
    </w:p>
    <w:p w14:paraId="2546118D" w14:textId="77777777" w:rsidR="00D0269B" w:rsidRPr="00D0269B" w:rsidRDefault="00D0269B" w:rsidP="00D0269B">
      <w:pPr>
        <w:numPr>
          <w:ilvl w:val="0"/>
          <w:numId w:val="3"/>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Market Liberalization Without Harmonization</w:t>
      </w:r>
      <w:r w:rsidRPr="00D0269B">
        <w:rPr>
          <w:rFonts w:ascii="Times New Roman" w:hAnsi="Times New Roman"/>
          <w:lang w:val="en-HK"/>
        </w:rPr>
        <w:t>:</w:t>
      </w:r>
    </w:p>
    <w:p w14:paraId="0C1C1F60" w14:textId="77777777" w:rsidR="00D0269B" w:rsidRPr="00D0269B" w:rsidRDefault="00D0269B" w:rsidP="00D0269B">
      <w:pPr>
        <w:numPr>
          <w:ilvl w:val="1"/>
          <w:numId w:val="3"/>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lastRenderedPageBreak/>
        <w:t>The system allows markets to integrate without the need for comprehensive harmonized EU standards. This is achieved through the removal of unjustified national measures while retaining diversity in regulatory approaches.</w:t>
      </w:r>
    </w:p>
    <w:p w14:paraId="2DEC4E7D" w14:textId="77777777" w:rsidR="00D0269B" w:rsidRPr="00D0269B" w:rsidRDefault="00D0269B" w:rsidP="00D0269B">
      <w:pPr>
        <w:numPr>
          <w:ilvl w:val="1"/>
          <w:numId w:val="3"/>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This conditional framework ensures that regulation is only applied when justified, leaving other areas free for market forces to operate.</w:t>
      </w:r>
    </w:p>
    <w:p w14:paraId="5D8BD61E" w14:textId="77777777" w:rsidR="00D0269B" w:rsidRPr="00D0269B" w:rsidRDefault="00D0269B" w:rsidP="00D0269B">
      <w:pPr>
        <w:numPr>
          <w:ilvl w:val="1"/>
          <w:numId w:val="3"/>
        </w:num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states, “Harmonization can be targeted at those areas where national measures have adequate worth to survive inspection conducted in the name of free movement.”</w:t>
      </w:r>
    </w:p>
    <w:p w14:paraId="58A22C64" w14:textId="77777777" w:rsidR="00D0269B" w:rsidRPr="00D0269B" w:rsidRDefault="00D0269B" w:rsidP="00D0269B">
      <w:pPr>
        <w:numPr>
          <w:ilvl w:val="0"/>
          <w:numId w:val="3"/>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Empowerment of Consumers</w:t>
      </w:r>
      <w:r w:rsidRPr="00D0269B">
        <w:rPr>
          <w:rFonts w:ascii="Times New Roman" w:hAnsi="Times New Roman"/>
          <w:lang w:val="en-HK"/>
        </w:rPr>
        <w:t>:</w:t>
      </w:r>
    </w:p>
    <w:p w14:paraId="608DDCF5"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Conditional mutual recognition shifts power from regulators to consumers, enabling them to choose between diverse products that are lawfully marketed elsewhere in the EU.</w:t>
      </w:r>
    </w:p>
    <w:p w14:paraId="3D627AAC" w14:textId="77777777" w:rsidR="00D0269B" w:rsidRPr="00D0269B" w:rsidRDefault="00D0269B" w:rsidP="00D0269B">
      <w:pPr>
        <w:spacing w:before="100" w:beforeAutospacing="1" w:after="100" w:afterAutospacing="1" w:line="276" w:lineRule="auto"/>
        <w:outlineLvl w:val="3"/>
        <w:rPr>
          <w:rFonts w:ascii="Times New Roman" w:hAnsi="Times New Roman"/>
          <w:b/>
          <w:bCs/>
          <w:lang w:val="en-HK"/>
        </w:rPr>
      </w:pPr>
      <w:r w:rsidRPr="00D0269B">
        <w:rPr>
          <w:rFonts w:ascii="Times New Roman" w:hAnsi="Times New Roman"/>
          <w:b/>
          <w:bCs/>
          <w:lang w:val="en-HK"/>
        </w:rPr>
        <w:t>Costs of the Current Framework</w:t>
      </w:r>
    </w:p>
    <w:p w14:paraId="0608DFE5"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Litigation-Driven Model</w:t>
      </w:r>
      <w:r w:rsidRPr="00D0269B">
        <w:rPr>
          <w:rFonts w:ascii="Times New Roman" w:hAnsi="Times New Roman"/>
          <w:lang w:val="en-HK"/>
        </w:rPr>
        <w:t>:</w:t>
      </w:r>
    </w:p>
    <w:p w14:paraId="1D820BA4" w14:textId="77777777" w:rsidR="00D0269B" w:rsidRPr="00D0269B" w:rsidRDefault="00D0269B" w:rsidP="00D0269B">
      <w:pPr>
        <w:numPr>
          <w:ilvl w:val="1"/>
          <w:numId w:val="4"/>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Traders must actively challenge obstructive national rules through litigation, a process that is costly, time-consuming, and uncertain.</w:t>
      </w:r>
    </w:p>
    <w:p w14:paraId="210555F1" w14:textId="77777777" w:rsidR="00D0269B" w:rsidRPr="00D0269B" w:rsidRDefault="00D0269B" w:rsidP="00D0269B">
      <w:pPr>
        <w:numPr>
          <w:ilvl w:val="1"/>
          <w:numId w:val="4"/>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The reliance on litigation creates a "trading environment of inter-State regulatory diversity" that is unstable compared to a market based on harmonized rules.</w:t>
      </w:r>
    </w:p>
    <w:p w14:paraId="64BEBD57" w14:textId="77777777" w:rsidR="00D0269B" w:rsidRPr="00D0269B" w:rsidRDefault="00D0269B" w:rsidP="00D0269B">
      <w:pPr>
        <w:numPr>
          <w:ilvl w:val="1"/>
          <w:numId w:val="4"/>
        </w:num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notes, “Traders are expected to press the public authorities in their target market to set aside obstructive rules and, if they do not, to commit time and money to litigation.”</w:t>
      </w:r>
    </w:p>
    <w:p w14:paraId="047294B1"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SMEs Disadvantaged</w:t>
      </w:r>
      <w:r w:rsidRPr="00D0269B">
        <w:rPr>
          <w:rFonts w:ascii="Times New Roman" w:hAnsi="Times New Roman"/>
          <w:lang w:val="en-HK"/>
        </w:rPr>
        <w:t>:</w:t>
      </w:r>
    </w:p>
    <w:p w14:paraId="3ABEF4DC" w14:textId="77777777" w:rsidR="00D0269B" w:rsidRPr="00D0269B" w:rsidRDefault="00D0269B" w:rsidP="00D0269B">
      <w:pPr>
        <w:numPr>
          <w:ilvl w:val="1"/>
          <w:numId w:val="4"/>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Small and medium enterprises (SMEs) often lack the resources to challenge restrictive national measures, which deters them from accessing cross-border markets.</w:t>
      </w:r>
    </w:p>
    <w:p w14:paraId="4AC47C5B" w14:textId="77777777" w:rsidR="00D0269B" w:rsidRPr="00D0269B" w:rsidRDefault="00D0269B" w:rsidP="00D0269B">
      <w:pPr>
        <w:numPr>
          <w:ilvl w:val="1"/>
          <w:numId w:val="4"/>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 xml:space="preserve">The </w:t>
      </w:r>
      <w:r w:rsidRPr="00D0269B">
        <w:rPr>
          <w:rFonts w:ascii="Times New Roman" w:hAnsi="Times New Roman"/>
          <w:b/>
          <w:bCs/>
          <w:lang w:val="en-HK"/>
        </w:rPr>
        <w:t xml:space="preserve">Noria Distribution </w:t>
      </w:r>
      <w:proofErr w:type="spellStart"/>
      <w:r w:rsidRPr="00D0269B">
        <w:rPr>
          <w:rFonts w:ascii="Times New Roman" w:hAnsi="Times New Roman"/>
          <w:b/>
          <w:bCs/>
          <w:lang w:val="en-HK"/>
        </w:rPr>
        <w:t>Sàrl</w:t>
      </w:r>
      <w:proofErr w:type="spellEnd"/>
      <w:r w:rsidRPr="00D0269B">
        <w:rPr>
          <w:rFonts w:ascii="Times New Roman" w:hAnsi="Times New Roman"/>
          <w:lang w:val="en-HK"/>
        </w:rPr>
        <w:t xml:space="preserve"> case (C-672/15) exemplifies this issue: despite being a straightforward dispute, it required adjudication by the Court of Justice, revealing the inefficiency of the current system.</w:t>
      </w:r>
    </w:p>
    <w:p w14:paraId="6EE38021" w14:textId="77777777" w:rsidR="00D0269B" w:rsidRPr="00D0269B" w:rsidRDefault="00D0269B" w:rsidP="00D0269B">
      <w:pPr>
        <w:spacing w:before="100" w:beforeAutospacing="1" w:after="100" w:afterAutospacing="1" w:line="276" w:lineRule="auto"/>
        <w:outlineLvl w:val="3"/>
        <w:rPr>
          <w:rFonts w:ascii="Times New Roman" w:hAnsi="Times New Roman"/>
          <w:b/>
          <w:bCs/>
          <w:lang w:val="en-HK"/>
        </w:rPr>
      </w:pPr>
      <w:r w:rsidRPr="00D0269B">
        <w:rPr>
          <w:rFonts w:ascii="Times New Roman" w:hAnsi="Times New Roman"/>
          <w:b/>
          <w:bCs/>
          <w:lang w:val="en-HK"/>
        </w:rPr>
        <w:t>Historical Context and Policy Evolution</w:t>
      </w:r>
    </w:p>
    <w:p w14:paraId="28B7605C"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1985 White Paper on Completing the Internal Market</w:t>
      </w:r>
      <w:r w:rsidRPr="00D0269B">
        <w:rPr>
          <w:rFonts w:ascii="Times New Roman" w:hAnsi="Times New Roman"/>
          <w:lang w:val="en-HK"/>
        </w:rPr>
        <w:t>:</w:t>
      </w:r>
    </w:p>
    <w:p w14:paraId="1DF87254" w14:textId="77777777" w:rsidR="00D0269B" w:rsidRPr="00D0269B" w:rsidRDefault="00D0269B" w:rsidP="00D0269B">
      <w:pPr>
        <w:numPr>
          <w:ilvl w:val="1"/>
          <w:numId w:val="5"/>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The White Paper optimistically embraced the "principle of mutual recognition," asserting that goods lawfully marketed in one Member State “must be allowed free entry into other Member States.”</w:t>
      </w:r>
    </w:p>
    <w:p w14:paraId="5F46D03D" w14:textId="77777777" w:rsidR="00D0269B" w:rsidRPr="00D0269B" w:rsidRDefault="00D0269B" w:rsidP="00D0269B">
      <w:pPr>
        <w:numPr>
          <w:ilvl w:val="1"/>
          <w:numId w:val="5"/>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 xml:space="preserve">However, </w:t>
      </w: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critiques this view as overly simplistic and failing to acknowledge the real-world barriers that traders face.</w:t>
      </w:r>
    </w:p>
    <w:p w14:paraId="3AAF9831" w14:textId="77777777" w:rsidR="00D0269B" w:rsidRPr="00D0269B" w:rsidRDefault="00D0269B" w:rsidP="00D0269B">
      <w:pPr>
        <w:numPr>
          <w:ilvl w:val="1"/>
          <w:numId w:val="5"/>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lastRenderedPageBreak/>
        <w:t>He observes, “The phrase ‘mutual recognition’ is unhelpful… it overlooks the practical obstacles that confront traders wishing to rely on EU law to crack open jealously regulated national markets.”</w:t>
      </w:r>
    </w:p>
    <w:p w14:paraId="7D6E5615"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Practical Failures</w:t>
      </w:r>
      <w:r w:rsidRPr="00D0269B">
        <w:rPr>
          <w:rFonts w:ascii="Times New Roman" w:hAnsi="Times New Roman"/>
          <w:lang w:val="en-HK"/>
        </w:rPr>
        <w:t>:</w:t>
      </w:r>
    </w:p>
    <w:p w14:paraId="0CE94C02"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Despite its theoretical elegance, conditional mutual recognition often fails in practice because:</w:t>
      </w:r>
    </w:p>
    <w:p w14:paraId="6D159D40" w14:textId="77777777" w:rsidR="00D0269B" w:rsidRPr="00D0269B" w:rsidRDefault="00D0269B" w:rsidP="00D0269B">
      <w:pPr>
        <w:numPr>
          <w:ilvl w:val="2"/>
          <w:numId w:val="5"/>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Traders must navigate opaque and burdensome national regulatory frameworks.</w:t>
      </w:r>
    </w:p>
    <w:p w14:paraId="713E86C0" w14:textId="77777777" w:rsidR="00D0269B" w:rsidRPr="00D0269B" w:rsidRDefault="00D0269B" w:rsidP="00D0269B">
      <w:pPr>
        <w:numPr>
          <w:ilvl w:val="2"/>
          <w:numId w:val="5"/>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National authorities sometimes exploit the conditionality of mutual recognition to maintain protectionist policies under the guise of legitimate public interest concerns.</w:t>
      </w:r>
    </w:p>
    <w:p w14:paraId="06C4602D"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Empirical Observations</w:t>
      </w:r>
      <w:r w:rsidRPr="00D0269B">
        <w:rPr>
          <w:rFonts w:ascii="Times New Roman" w:hAnsi="Times New Roman"/>
          <w:lang w:val="en-HK"/>
        </w:rPr>
        <w:t>:</w:t>
      </w:r>
    </w:p>
    <w:p w14:paraId="36AA4B88" w14:textId="77777777" w:rsidR="00D0269B" w:rsidRPr="00D0269B" w:rsidRDefault="00D0269B" w:rsidP="00D0269B">
      <w:p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points to the European Commission’s admission (2003 Internal Market Strategy) that mutual recognition lacks transparency and procedural clarity, leading to many businesses abandoning efforts to enter foreign markets.</w:t>
      </w:r>
    </w:p>
    <w:p w14:paraId="3E206830" w14:textId="77777777" w:rsidR="00D0269B" w:rsidRPr="00D0269B" w:rsidRDefault="00D0269B" w:rsidP="00D0269B">
      <w:pPr>
        <w:spacing w:before="100" w:beforeAutospacing="1" w:after="100" w:afterAutospacing="1" w:line="276" w:lineRule="auto"/>
        <w:outlineLvl w:val="3"/>
        <w:rPr>
          <w:rFonts w:ascii="Times New Roman" w:hAnsi="Times New Roman"/>
          <w:b/>
          <w:bCs/>
          <w:lang w:val="en-HK"/>
        </w:rPr>
      </w:pPr>
      <w:r w:rsidRPr="00D0269B">
        <w:rPr>
          <w:rFonts w:ascii="Times New Roman" w:hAnsi="Times New Roman"/>
          <w:b/>
          <w:bCs/>
          <w:lang w:val="en-HK"/>
        </w:rPr>
        <w:t>Scholarly Support</w:t>
      </w:r>
    </w:p>
    <w:p w14:paraId="7C49D3B9" w14:textId="77777777" w:rsidR="00D0269B" w:rsidRPr="00D0269B" w:rsidRDefault="00D0269B" w:rsidP="00D0269B">
      <w:p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(2017) describes the framework as “elegant on paper but flawed in practice,” particularly due to its litigation-driven nature and uneven application across Member States.</w:t>
      </w:r>
    </w:p>
    <w:p w14:paraId="374C5BB1"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 xml:space="preserve">Egan and </w:t>
      </w:r>
      <w:proofErr w:type="spellStart"/>
      <w:r w:rsidRPr="00D0269B">
        <w:rPr>
          <w:rFonts w:ascii="Times New Roman" w:hAnsi="Times New Roman"/>
          <w:lang w:val="en-HK"/>
        </w:rPr>
        <w:t>Guimarães</w:t>
      </w:r>
      <w:proofErr w:type="spellEnd"/>
      <w:r w:rsidRPr="00D0269B">
        <w:rPr>
          <w:rFonts w:ascii="Times New Roman" w:hAnsi="Times New Roman"/>
          <w:lang w:val="en-HK"/>
        </w:rPr>
        <w:t xml:space="preserve"> (2017) argue that the framework fails to address systemic barriers in inter-State trade, particularly in regulated sectors like food and consumer safety.</w:t>
      </w:r>
    </w:p>
    <w:p w14:paraId="076655F8" w14:textId="77777777" w:rsidR="00D0269B" w:rsidRPr="00D0269B" w:rsidRDefault="00077C01" w:rsidP="00D0269B">
      <w:pPr>
        <w:spacing w:line="276" w:lineRule="auto"/>
        <w:rPr>
          <w:rFonts w:ascii="Times New Roman" w:hAnsi="Times New Roman"/>
          <w:lang w:val="en-HK"/>
        </w:rPr>
      </w:pPr>
      <w:r w:rsidRPr="00077C01">
        <w:rPr>
          <w:rFonts w:ascii="Times New Roman" w:hAnsi="Times New Roman"/>
          <w:noProof/>
          <w:lang w:val="en-HK"/>
          <w14:ligatures w14:val="standardContextual"/>
        </w:rPr>
        <w:pict w14:anchorId="521E382B">
          <v:rect id="_x0000_i1028" alt="" style="width:451.3pt;height:.05pt;mso-width-percent:0;mso-height-percent:0;mso-width-percent:0;mso-height-percent:0" o:hralign="center" o:hrstd="t" o:hr="t" fillcolor="#a0a0a0" stroked="f"/>
        </w:pict>
      </w:r>
    </w:p>
    <w:p w14:paraId="7BFCB533" w14:textId="77777777" w:rsidR="00D0269B" w:rsidRPr="00D0269B" w:rsidRDefault="00D0269B" w:rsidP="00D0269B">
      <w:pPr>
        <w:spacing w:before="100" w:beforeAutospacing="1" w:after="100" w:afterAutospacing="1" w:line="276" w:lineRule="auto"/>
        <w:outlineLvl w:val="2"/>
        <w:rPr>
          <w:rFonts w:ascii="Times New Roman" w:hAnsi="Times New Roman"/>
          <w:b/>
          <w:bCs/>
          <w:lang w:val="en-HK"/>
        </w:rPr>
      </w:pPr>
      <w:r w:rsidRPr="00D0269B">
        <w:rPr>
          <w:rFonts w:ascii="Times New Roman" w:hAnsi="Times New Roman"/>
          <w:b/>
          <w:bCs/>
          <w:lang w:val="en-HK"/>
        </w:rPr>
        <w:t>4. Regulation 764/2008</w:t>
      </w:r>
    </w:p>
    <w:p w14:paraId="28C068E1" w14:textId="77777777" w:rsidR="00D0269B" w:rsidRPr="00D0269B" w:rsidRDefault="00D0269B" w:rsidP="00D0269B">
      <w:pPr>
        <w:spacing w:before="100" w:beforeAutospacing="1" w:after="100" w:afterAutospacing="1" w:line="276" w:lineRule="auto"/>
        <w:outlineLvl w:val="3"/>
        <w:rPr>
          <w:rFonts w:ascii="Times New Roman" w:hAnsi="Times New Roman"/>
          <w:b/>
          <w:bCs/>
          <w:lang w:val="en-HK"/>
        </w:rPr>
      </w:pPr>
      <w:r w:rsidRPr="00D0269B">
        <w:rPr>
          <w:rFonts w:ascii="Times New Roman" w:hAnsi="Times New Roman"/>
          <w:b/>
          <w:bCs/>
          <w:lang w:val="en-HK"/>
        </w:rPr>
        <w:t>Purpose and Scope</w:t>
      </w:r>
    </w:p>
    <w:p w14:paraId="7884433F"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Regulation’s Aim</w:t>
      </w:r>
      <w:r w:rsidRPr="00D0269B">
        <w:rPr>
          <w:rFonts w:ascii="Times New Roman" w:hAnsi="Times New Roman"/>
          <w:lang w:val="en-HK"/>
        </w:rPr>
        <w:t>:</w:t>
      </w:r>
    </w:p>
    <w:p w14:paraId="0514BAFB"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Article 1 of Regulation 764/2008 declares its purpose as “</w:t>
      </w:r>
      <w:r w:rsidRPr="00D0269B">
        <w:rPr>
          <w:rFonts w:ascii="Times New Roman" w:hAnsi="Times New Roman"/>
          <w:b/>
          <w:bCs/>
          <w:lang w:val="en-HK"/>
        </w:rPr>
        <w:t>strengthening the functioning of the internal market by improving the free movement of goods.</w:t>
      </w:r>
      <w:r w:rsidRPr="00D0269B">
        <w:rPr>
          <w:rFonts w:ascii="Times New Roman" w:hAnsi="Times New Roman"/>
          <w:lang w:val="en-HK"/>
        </w:rPr>
        <w:t>” It sets out rules and procedures to address national measures that hinder products lawfully marketed in other Member States.</w:t>
      </w:r>
    </w:p>
    <w:p w14:paraId="0755E2AA"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Key Provisions</w:t>
      </w:r>
      <w:r w:rsidRPr="00D0269B">
        <w:rPr>
          <w:rFonts w:ascii="Times New Roman" w:hAnsi="Times New Roman"/>
          <w:lang w:val="en-HK"/>
        </w:rPr>
        <w:t>:</w:t>
      </w:r>
    </w:p>
    <w:p w14:paraId="04E53F12" w14:textId="7E44D20A"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A</w:t>
      </w:r>
      <w:r w:rsidRPr="00D0269B">
        <w:rPr>
          <w:rFonts w:ascii="Times New Roman" w:hAnsi="Times New Roman"/>
          <w:b/>
          <w:bCs/>
          <w:lang w:val="en-HK"/>
        </w:rPr>
        <w:t>rticle 6</w:t>
      </w:r>
      <w:r w:rsidRPr="00D0269B">
        <w:rPr>
          <w:rFonts w:ascii="Times New Roman" w:hAnsi="Times New Roman"/>
          <w:lang w:val="en-HK"/>
        </w:rPr>
        <w:t>:</w:t>
      </w:r>
    </w:p>
    <w:p w14:paraId="69B14890" w14:textId="77777777" w:rsidR="00D0269B" w:rsidRPr="00D0269B" w:rsidRDefault="00D0269B" w:rsidP="00D0269B">
      <w:pPr>
        <w:numPr>
          <w:ilvl w:val="2"/>
          <w:numId w:val="7"/>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lastRenderedPageBreak/>
        <w:t>Public authorities intending to impose restrictions must provide written notice to traders, including the reasons for the decision.</w:t>
      </w:r>
    </w:p>
    <w:p w14:paraId="5139B0E6" w14:textId="77777777" w:rsidR="00D0269B" w:rsidRPr="00D0269B" w:rsidRDefault="00D0269B" w:rsidP="00D0269B">
      <w:pPr>
        <w:numPr>
          <w:ilvl w:val="2"/>
          <w:numId w:val="7"/>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Traders are given at least 20 working days to respond.</w:t>
      </w:r>
    </w:p>
    <w:p w14:paraId="2D4459AC" w14:textId="77777777" w:rsidR="00D0269B" w:rsidRPr="00D0269B" w:rsidRDefault="00D0269B" w:rsidP="00D0269B">
      <w:pPr>
        <w:numPr>
          <w:ilvl w:val="2"/>
          <w:numId w:val="7"/>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If no decision is communicated within 20 working days of the deadline, the product is “deemed to be lawfully marketed” under Article 6(4).</w:t>
      </w:r>
    </w:p>
    <w:p w14:paraId="3230E776"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Notification Requirements</w:t>
      </w:r>
      <w:r w:rsidRPr="00D0269B">
        <w:rPr>
          <w:rFonts w:ascii="Times New Roman" w:hAnsi="Times New Roman"/>
          <w:lang w:val="en-HK"/>
        </w:rPr>
        <w:t>:</w:t>
      </w:r>
    </w:p>
    <w:p w14:paraId="192C7AC1"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National authorities must notify both the trader and the European Commission of any restrictive decision.</w:t>
      </w:r>
    </w:p>
    <w:p w14:paraId="5A6DEC45"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Temporary Suspension Provisions</w:t>
      </w:r>
      <w:r w:rsidRPr="00D0269B">
        <w:rPr>
          <w:rFonts w:ascii="Times New Roman" w:hAnsi="Times New Roman"/>
          <w:lang w:val="en-HK"/>
        </w:rPr>
        <w:t>:</w:t>
      </w:r>
    </w:p>
    <w:p w14:paraId="460DE8B6"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The Regulation includes mechanisms for temporarily suspending product marketing while disputes are resolved.</w:t>
      </w:r>
    </w:p>
    <w:p w14:paraId="1EA55933" w14:textId="77777777" w:rsidR="00D0269B" w:rsidRPr="00D0269B" w:rsidRDefault="00D0269B" w:rsidP="00D0269B">
      <w:pPr>
        <w:spacing w:before="100" w:beforeAutospacing="1" w:after="100" w:afterAutospacing="1" w:line="276" w:lineRule="auto"/>
        <w:outlineLvl w:val="3"/>
        <w:rPr>
          <w:rFonts w:ascii="Times New Roman" w:hAnsi="Times New Roman"/>
          <w:b/>
          <w:bCs/>
          <w:lang w:val="en-HK"/>
        </w:rPr>
      </w:pPr>
      <w:r w:rsidRPr="00D0269B">
        <w:rPr>
          <w:rFonts w:ascii="Times New Roman" w:hAnsi="Times New Roman"/>
          <w:b/>
          <w:bCs/>
          <w:lang w:val="en-HK"/>
        </w:rPr>
        <w:t>Historical Background</w:t>
      </w:r>
    </w:p>
    <w:p w14:paraId="485BAD27"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The Regulation replaced Decision 3052/95, which had been criticized as “largely unsuccessful” (Recital 36). The European Commission’s 2012 Report highlighted that the Decision failed to promote transparency or reduce trade barriers effectively.</w:t>
      </w:r>
    </w:p>
    <w:p w14:paraId="000E90C8" w14:textId="77777777" w:rsidR="00D0269B" w:rsidRPr="00D0269B" w:rsidRDefault="00D0269B" w:rsidP="00D0269B">
      <w:pPr>
        <w:spacing w:before="100" w:beforeAutospacing="1" w:after="100" w:afterAutospacing="1" w:line="276" w:lineRule="auto"/>
        <w:outlineLvl w:val="3"/>
        <w:rPr>
          <w:rFonts w:ascii="Times New Roman" w:hAnsi="Times New Roman"/>
          <w:b/>
          <w:bCs/>
          <w:lang w:val="en-HK"/>
        </w:rPr>
      </w:pPr>
      <w:r w:rsidRPr="00D0269B">
        <w:rPr>
          <w:rFonts w:ascii="Times New Roman" w:hAnsi="Times New Roman"/>
          <w:b/>
          <w:bCs/>
          <w:lang w:val="en-HK"/>
        </w:rPr>
        <w:t>Criticisms of Regulation 764/2008</w:t>
      </w:r>
    </w:p>
    <w:p w14:paraId="49D4F371" w14:textId="77777777" w:rsidR="00D0269B" w:rsidRPr="00D0269B" w:rsidRDefault="00D0269B" w:rsidP="00D0269B">
      <w:pPr>
        <w:numPr>
          <w:ilvl w:val="0"/>
          <w:numId w:val="9"/>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Underutilization</w:t>
      </w:r>
      <w:r w:rsidRPr="00D0269B">
        <w:rPr>
          <w:rFonts w:ascii="Times New Roman" w:hAnsi="Times New Roman"/>
          <w:lang w:val="en-HK"/>
        </w:rPr>
        <w:t>:</w:t>
      </w:r>
    </w:p>
    <w:p w14:paraId="098C0508" w14:textId="77777777" w:rsidR="00D0269B" w:rsidRPr="00D0269B" w:rsidRDefault="00D0269B" w:rsidP="00D0269B">
      <w:pPr>
        <w:numPr>
          <w:ilvl w:val="1"/>
          <w:numId w:val="9"/>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Evidence suggests that Member States frequently ignore the Regulation. The 2012 Commission Report revealed that 90% of notifications under Article 6 related to precious metals, with one Member State (France) responsible for most submissions.</w:t>
      </w:r>
    </w:p>
    <w:p w14:paraId="5BA9AFE3" w14:textId="77777777" w:rsidR="00D0269B" w:rsidRPr="00D0269B" w:rsidRDefault="00D0269B" w:rsidP="00D0269B">
      <w:pPr>
        <w:numPr>
          <w:ilvl w:val="1"/>
          <w:numId w:val="9"/>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Other economic sectors show negligible engagement, indicating the Regulation’s limited impact beyond niche markets.</w:t>
      </w:r>
    </w:p>
    <w:p w14:paraId="17CD8935" w14:textId="77777777" w:rsidR="00D0269B" w:rsidRPr="00D0269B" w:rsidRDefault="00D0269B" w:rsidP="00D0269B">
      <w:pPr>
        <w:numPr>
          <w:ilvl w:val="0"/>
          <w:numId w:val="9"/>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Lack of Transparency</w:t>
      </w:r>
      <w:r w:rsidRPr="00D0269B">
        <w:rPr>
          <w:rFonts w:ascii="Times New Roman" w:hAnsi="Times New Roman"/>
          <w:lang w:val="en-HK"/>
        </w:rPr>
        <w:t>:</w:t>
      </w:r>
    </w:p>
    <w:p w14:paraId="431585C1"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Unlike Directive 2015/1535 (Notification Directive), which provides detailed public records of notifications, Regulation 764/2008 operates behind closed doors. This lack of visibility undermines accountability and enforcement.</w:t>
      </w:r>
    </w:p>
    <w:p w14:paraId="2BB90C3D" w14:textId="77777777" w:rsidR="00D0269B" w:rsidRPr="00D0269B" w:rsidRDefault="00D0269B" w:rsidP="00D0269B">
      <w:pPr>
        <w:numPr>
          <w:ilvl w:val="0"/>
          <w:numId w:val="9"/>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Noria Case and Regulatory Failure</w:t>
      </w:r>
      <w:r w:rsidRPr="00D0269B">
        <w:rPr>
          <w:rFonts w:ascii="Times New Roman" w:hAnsi="Times New Roman"/>
          <w:lang w:val="en-HK"/>
        </w:rPr>
        <w:t>:</w:t>
      </w:r>
    </w:p>
    <w:p w14:paraId="751752CE" w14:textId="77777777" w:rsidR="00D0269B" w:rsidRPr="00D0269B" w:rsidRDefault="00D0269B" w:rsidP="00D0269B">
      <w:pPr>
        <w:numPr>
          <w:ilvl w:val="1"/>
          <w:numId w:val="9"/>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 xml:space="preserve">In </w:t>
      </w:r>
      <w:r w:rsidRPr="00D0269B">
        <w:rPr>
          <w:rFonts w:ascii="Times New Roman" w:hAnsi="Times New Roman"/>
          <w:i/>
          <w:iCs/>
          <w:lang w:val="en-HK"/>
        </w:rPr>
        <w:t xml:space="preserve">Noria Distribution </w:t>
      </w:r>
      <w:proofErr w:type="spellStart"/>
      <w:r w:rsidRPr="00D0269B">
        <w:rPr>
          <w:rFonts w:ascii="Times New Roman" w:hAnsi="Times New Roman"/>
          <w:i/>
          <w:iCs/>
          <w:lang w:val="en-HK"/>
        </w:rPr>
        <w:t>Sàrl</w:t>
      </w:r>
      <w:proofErr w:type="spellEnd"/>
      <w:r w:rsidRPr="00D0269B">
        <w:rPr>
          <w:rFonts w:ascii="Times New Roman" w:hAnsi="Times New Roman"/>
          <w:lang w:val="en-HK"/>
        </w:rPr>
        <w:t xml:space="preserve">, neither the referring French court nor the CJEU referenced Regulation 764/2008. Advocate General </w:t>
      </w:r>
      <w:proofErr w:type="spellStart"/>
      <w:r w:rsidRPr="00D0269B">
        <w:rPr>
          <w:rFonts w:ascii="Times New Roman" w:hAnsi="Times New Roman"/>
          <w:lang w:val="en-HK"/>
        </w:rPr>
        <w:t>Bobek</w:t>
      </w:r>
      <w:proofErr w:type="spellEnd"/>
      <w:r w:rsidRPr="00D0269B">
        <w:rPr>
          <w:rFonts w:ascii="Times New Roman" w:hAnsi="Times New Roman"/>
          <w:lang w:val="en-HK"/>
        </w:rPr>
        <w:t xml:space="preserve"> expressed mild perplexity at this omission, noting that the Regulation provides a procedural framework for resolving disputes like this one.</w:t>
      </w:r>
    </w:p>
    <w:p w14:paraId="1AD09017" w14:textId="77777777" w:rsidR="00D0269B" w:rsidRPr="00D0269B" w:rsidRDefault="00D0269B" w:rsidP="00D0269B">
      <w:pPr>
        <w:numPr>
          <w:ilvl w:val="1"/>
          <w:numId w:val="9"/>
        </w:num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concludes that the Regulation “doesn’t bark, and it doesn’t bite,” questioning its relevance and effectiveness.</w:t>
      </w:r>
    </w:p>
    <w:p w14:paraId="4E34815F" w14:textId="77777777" w:rsidR="00D0269B" w:rsidRPr="00D0269B" w:rsidRDefault="00D0269B" w:rsidP="00D0269B">
      <w:pPr>
        <w:spacing w:before="100" w:beforeAutospacing="1" w:after="100" w:afterAutospacing="1" w:line="276" w:lineRule="auto"/>
        <w:outlineLvl w:val="3"/>
        <w:rPr>
          <w:rFonts w:ascii="Times New Roman" w:hAnsi="Times New Roman"/>
          <w:b/>
          <w:bCs/>
          <w:lang w:val="en-HK"/>
        </w:rPr>
      </w:pPr>
      <w:r w:rsidRPr="00D0269B">
        <w:rPr>
          <w:rFonts w:ascii="Times New Roman" w:hAnsi="Times New Roman"/>
          <w:b/>
          <w:bCs/>
          <w:lang w:val="en-HK"/>
        </w:rPr>
        <w:lastRenderedPageBreak/>
        <w:t>Comparison with Directive 2015/1535</w:t>
      </w:r>
    </w:p>
    <w:p w14:paraId="4F53EA22"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Directive 2015/1535 (Notification Directive) applies ex-ante, requiring Member States to notify the Commission of proposed technical rules before their adoption. This proactive approach contrasts with Regulation 764/2008’s ex-post focus, which addresses barriers only after they arise.</w:t>
      </w:r>
    </w:p>
    <w:p w14:paraId="614A0546"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 xml:space="preserve">CIA Security International SA v </w:t>
      </w:r>
      <w:proofErr w:type="spellStart"/>
      <w:r w:rsidRPr="00D0269B">
        <w:rPr>
          <w:rFonts w:ascii="Times New Roman" w:hAnsi="Times New Roman"/>
          <w:b/>
          <w:bCs/>
          <w:lang w:val="en-HK"/>
        </w:rPr>
        <w:t>Signalson</w:t>
      </w:r>
      <w:proofErr w:type="spellEnd"/>
      <w:r w:rsidRPr="00D0269B">
        <w:rPr>
          <w:rFonts w:ascii="Times New Roman" w:hAnsi="Times New Roman"/>
          <w:b/>
          <w:bCs/>
          <w:lang w:val="en-HK"/>
        </w:rPr>
        <w:t xml:space="preserve"> SA (C-194/94)</w:t>
      </w:r>
      <w:r w:rsidRPr="00D0269B">
        <w:rPr>
          <w:rFonts w:ascii="Times New Roman" w:hAnsi="Times New Roman"/>
          <w:lang w:val="en-HK"/>
        </w:rPr>
        <w:t>:</w:t>
      </w:r>
    </w:p>
    <w:p w14:paraId="6FB92FFC"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 xml:space="preserve">The Notification Directive gained prominence after this case, where the CJEU ruled that failure to notify under the Directive rendered national measures unenforceable. </w:t>
      </w: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suggests that extending this principle to Regulation 764/2008 could incentivize compliance and improve its impact.</w:t>
      </w:r>
    </w:p>
    <w:p w14:paraId="2E72C36B" w14:textId="77777777" w:rsidR="00D0269B" w:rsidRPr="00D0269B" w:rsidRDefault="00D0269B" w:rsidP="00D0269B">
      <w:pPr>
        <w:spacing w:before="100" w:beforeAutospacing="1" w:after="100" w:afterAutospacing="1" w:line="276" w:lineRule="auto"/>
        <w:outlineLvl w:val="3"/>
        <w:rPr>
          <w:rFonts w:ascii="Times New Roman" w:hAnsi="Times New Roman"/>
          <w:b/>
          <w:bCs/>
          <w:lang w:val="en-HK"/>
        </w:rPr>
      </w:pPr>
      <w:r w:rsidRPr="00D0269B">
        <w:rPr>
          <w:rFonts w:ascii="Times New Roman" w:hAnsi="Times New Roman"/>
          <w:b/>
          <w:bCs/>
          <w:lang w:val="en-HK"/>
        </w:rPr>
        <w:t>Reform Proposals</w:t>
      </w:r>
    </w:p>
    <w:p w14:paraId="03BFB6DE" w14:textId="77777777" w:rsidR="00D0269B" w:rsidRPr="00D0269B" w:rsidRDefault="00D0269B" w:rsidP="00D0269B">
      <w:pPr>
        <w:numPr>
          <w:ilvl w:val="0"/>
          <w:numId w:val="11"/>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Increased Transparency</w:t>
      </w:r>
      <w:r w:rsidRPr="00D0269B">
        <w:rPr>
          <w:rFonts w:ascii="Times New Roman" w:hAnsi="Times New Roman"/>
          <w:lang w:val="en-HK"/>
        </w:rPr>
        <w:t>:</w:t>
      </w:r>
    </w:p>
    <w:p w14:paraId="6CD711B3" w14:textId="77777777" w:rsidR="00D0269B" w:rsidRPr="00D0269B" w:rsidRDefault="00D0269B" w:rsidP="00D0269B">
      <w:pPr>
        <w:spacing w:before="100" w:beforeAutospacing="1" w:after="100" w:afterAutospacing="1" w:line="276" w:lineRule="auto"/>
        <w:rPr>
          <w:rFonts w:ascii="Times New Roman" w:hAnsi="Times New Roman"/>
          <w:b/>
          <w:bCs/>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advocates replicating the Notification Directive’s public </w:t>
      </w:r>
      <w:r w:rsidRPr="00D0269B">
        <w:rPr>
          <w:rFonts w:ascii="Times New Roman" w:hAnsi="Times New Roman"/>
          <w:b/>
          <w:bCs/>
          <w:lang w:val="en-HK"/>
        </w:rPr>
        <w:t>disclosure mechanisms to enhance visibility and accountability under Regulation 764/2008.</w:t>
      </w:r>
    </w:p>
    <w:p w14:paraId="11CF02EE" w14:textId="77777777" w:rsidR="00D0269B" w:rsidRPr="00D0269B" w:rsidRDefault="00D0269B" w:rsidP="00D0269B">
      <w:pPr>
        <w:numPr>
          <w:ilvl w:val="0"/>
          <w:numId w:val="11"/>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Judicial Interpretation</w:t>
      </w:r>
      <w:r w:rsidRPr="00D0269B">
        <w:rPr>
          <w:rFonts w:ascii="Times New Roman" w:hAnsi="Times New Roman"/>
          <w:lang w:val="en-HK"/>
        </w:rPr>
        <w:t>:</w:t>
      </w:r>
    </w:p>
    <w:p w14:paraId="4DB02486"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He calls for the CJEU to rule that national measures violating the Regulation’s procedural requirements are unenforceable, drawing parallels with CIA Security.</w:t>
      </w:r>
    </w:p>
    <w:p w14:paraId="79760E21" w14:textId="77777777" w:rsidR="00D0269B" w:rsidRPr="00D0269B" w:rsidRDefault="00077C01" w:rsidP="00D0269B">
      <w:pPr>
        <w:spacing w:line="276" w:lineRule="auto"/>
        <w:rPr>
          <w:rFonts w:ascii="Times New Roman" w:hAnsi="Times New Roman"/>
          <w:lang w:val="en-HK"/>
        </w:rPr>
      </w:pPr>
      <w:r w:rsidRPr="00077C01">
        <w:rPr>
          <w:rFonts w:ascii="Times New Roman" w:hAnsi="Times New Roman"/>
          <w:noProof/>
          <w:lang w:val="en-HK"/>
          <w14:ligatures w14:val="standardContextual"/>
        </w:rPr>
        <w:pict w14:anchorId="6C5D9F43">
          <v:rect id="_x0000_i1027" alt="" style="width:451.3pt;height:.05pt;mso-width-percent:0;mso-height-percent:0;mso-width-percent:0;mso-height-percent:0" o:hralign="center" o:hrstd="t" o:hr="t" fillcolor="#a0a0a0" stroked="f"/>
        </w:pict>
      </w:r>
    </w:p>
    <w:p w14:paraId="34202158" w14:textId="77777777" w:rsidR="00D0269B" w:rsidRPr="00D0269B" w:rsidRDefault="00D0269B" w:rsidP="00D0269B">
      <w:pPr>
        <w:spacing w:before="100" w:beforeAutospacing="1" w:after="100" w:afterAutospacing="1" w:line="276" w:lineRule="auto"/>
        <w:outlineLvl w:val="2"/>
        <w:rPr>
          <w:rFonts w:ascii="Times New Roman" w:hAnsi="Times New Roman"/>
          <w:b/>
          <w:bCs/>
          <w:lang w:val="en-HK"/>
        </w:rPr>
      </w:pPr>
      <w:r w:rsidRPr="00D0269B">
        <w:rPr>
          <w:rFonts w:ascii="Times New Roman" w:hAnsi="Times New Roman"/>
          <w:b/>
          <w:bCs/>
          <w:lang w:val="en-HK"/>
        </w:rPr>
        <w:t>5. Improving Incentives to Participate in Market Management</w:t>
      </w:r>
    </w:p>
    <w:p w14:paraId="4FAC07C8" w14:textId="77777777" w:rsidR="00D0269B" w:rsidRPr="00D0269B" w:rsidRDefault="00D0269B" w:rsidP="00D0269B">
      <w:pPr>
        <w:spacing w:before="100" w:beforeAutospacing="1" w:after="100" w:afterAutospacing="1" w:line="276" w:lineRule="auto"/>
        <w:outlineLvl w:val="3"/>
        <w:rPr>
          <w:rFonts w:ascii="Times New Roman" w:hAnsi="Times New Roman"/>
          <w:b/>
          <w:bCs/>
          <w:lang w:val="en-HK"/>
        </w:rPr>
      </w:pPr>
      <w:r w:rsidRPr="00D0269B">
        <w:rPr>
          <w:rFonts w:ascii="Times New Roman" w:hAnsi="Times New Roman"/>
          <w:b/>
          <w:bCs/>
          <w:lang w:val="en-HK"/>
        </w:rPr>
        <w:t>Key Problem: Lack of Incentives</w:t>
      </w:r>
    </w:p>
    <w:p w14:paraId="15B36331" w14:textId="77777777" w:rsidR="00D0269B" w:rsidRPr="00D0269B" w:rsidRDefault="00D0269B" w:rsidP="00D0269B">
      <w:pPr>
        <w:numPr>
          <w:ilvl w:val="0"/>
          <w:numId w:val="12"/>
        </w:num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emphasizes that the current framework under Regulation 764/2008 fails to incentivize Member States or traders to actively participate in market management processes.</w:t>
      </w:r>
    </w:p>
    <w:p w14:paraId="1DF118FB" w14:textId="77777777" w:rsidR="00D0269B" w:rsidRPr="00D0269B" w:rsidRDefault="00D0269B" w:rsidP="00D0269B">
      <w:pPr>
        <w:numPr>
          <w:ilvl w:val="0"/>
          <w:numId w:val="12"/>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The opaque nature of the Regulation and the absence of strong consequences for non-compliance lead to widespread underutilization of its provisions.</w:t>
      </w:r>
    </w:p>
    <w:p w14:paraId="45582847" w14:textId="77777777" w:rsidR="00D0269B" w:rsidRPr="00D0269B" w:rsidRDefault="00D0269B" w:rsidP="00D0269B">
      <w:pPr>
        <w:spacing w:before="100" w:beforeAutospacing="1" w:after="100" w:afterAutospacing="1" w:line="276" w:lineRule="auto"/>
        <w:outlineLvl w:val="3"/>
        <w:rPr>
          <w:rFonts w:ascii="Times New Roman" w:hAnsi="Times New Roman"/>
          <w:b/>
          <w:bCs/>
          <w:lang w:val="en-HK"/>
        </w:rPr>
      </w:pPr>
      <w:r w:rsidRPr="00D0269B">
        <w:rPr>
          <w:rFonts w:ascii="Times New Roman" w:hAnsi="Times New Roman"/>
          <w:b/>
          <w:bCs/>
          <w:lang w:val="en-HK"/>
        </w:rPr>
        <w:t>Proposed Improvements</w:t>
      </w:r>
    </w:p>
    <w:p w14:paraId="620E167D" w14:textId="77777777" w:rsidR="00D0269B" w:rsidRPr="00D0269B" w:rsidRDefault="00D0269B" w:rsidP="00D0269B">
      <w:pPr>
        <w:numPr>
          <w:ilvl w:val="0"/>
          <w:numId w:val="13"/>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Transparency and Publication</w:t>
      </w:r>
      <w:r w:rsidRPr="00D0269B">
        <w:rPr>
          <w:rFonts w:ascii="Times New Roman" w:hAnsi="Times New Roman"/>
          <w:lang w:val="en-HK"/>
        </w:rPr>
        <w:t>:</w:t>
      </w:r>
    </w:p>
    <w:p w14:paraId="5181AC6D" w14:textId="77777777" w:rsidR="00D0269B" w:rsidRPr="00D0269B" w:rsidRDefault="00D0269B" w:rsidP="00D0269B">
      <w:p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suggests replicating the </w:t>
      </w:r>
      <w:r w:rsidRPr="00D0269B">
        <w:rPr>
          <w:rFonts w:ascii="Times New Roman" w:hAnsi="Times New Roman"/>
          <w:b/>
          <w:bCs/>
          <w:lang w:val="en-HK"/>
        </w:rPr>
        <w:t>Notification Directive (Directive 2015/1535)</w:t>
      </w:r>
      <w:r w:rsidRPr="00D0269B">
        <w:rPr>
          <w:rFonts w:ascii="Times New Roman" w:hAnsi="Times New Roman"/>
          <w:lang w:val="en-HK"/>
        </w:rPr>
        <w:t xml:space="preserve"> model. This directive requires public disclosure of notifications and provides detailed reports on the use of its mechanisms.</w:t>
      </w:r>
    </w:p>
    <w:p w14:paraId="76C0A477"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lastRenderedPageBreak/>
        <w:t xml:space="preserve">Transparency under the Notification Directive has fostered compliance and improved the functioning of the internal market. </w:t>
      </w: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argues that applying similar practices to Regulation 764/2008 would enhance accountability.</w:t>
      </w:r>
    </w:p>
    <w:p w14:paraId="57726563" w14:textId="77777777" w:rsidR="00D0269B" w:rsidRPr="00D0269B" w:rsidRDefault="00D0269B" w:rsidP="00D0269B">
      <w:pPr>
        <w:numPr>
          <w:ilvl w:val="0"/>
          <w:numId w:val="13"/>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Judicial Incentives: Extending the CIA Security Principle</w:t>
      </w:r>
      <w:r w:rsidRPr="00D0269B">
        <w:rPr>
          <w:rFonts w:ascii="Times New Roman" w:hAnsi="Times New Roman"/>
          <w:lang w:val="en-HK"/>
        </w:rPr>
        <w:t>:</w:t>
      </w:r>
    </w:p>
    <w:p w14:paraId="5AA8600E"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 xml:space="preserve">In </w:t>
      </w:r>
      <w:r w:rsidRPr="00D0269B">
        <w:rPr>
          <w:rFonts w:ascii="Times New Roman" w:hAnsi="Times New Roman"/>
          <w:b/>
          <w:bCs/>
          <w:lang w:val="en-HK"/>
        </w:rPr>
        <w:t xml:space="preserve">CIA Security International SA v </w:t>
      </w:r>
      <w:proofErr w:type="spellStart"/>
      <w:r w:rsidRPr="00D0269B">
        <w:rPr>
          <w:rFonts w:ascii="Times New Roman" w:hAnsi="Times New Roman"/>
          <w:b/>
          <w:bCs/>
          <w:lang w:val="en-HK"/>
        </w:rPr>
        <w:t>Signalson</w:t>
      </w:r>
      <w:proofErr w:type="spellEnd"/>
      <w:r w:rsidRPr="00D0269B">
        <w:rPr>
          <w:rFonts w:ascii="Times New Roman" w:hAnsi="Times New Roman"/>
          <w:b/>
          <w:bCs/>
          <w:lang w:val="en-HK"/>
        </w:rPr>
        <w:t xml:space="preserve"> SA (C-194/94)</w:t>
      </w:r>
      <w:r w:rsidRPr="00D0269B">
        <w:rPr>
          <w:rFonts w:ascii="Times New Roman" w:hAnsi="Times New Roman"/>
          <w:lang w:val="en-HK"/>
        </w:rPr>
        <w:t>, the CJEU ruled that failure to notify under the Notification Directive rendered national measures unenforceable. This principle incentivized compliance by empowering traders to challenge non-notified measures in court.</w:t>
      </w:r>
    </w:p>
    <w:p w14:paraId="0879D1CE" w14:textId="77777777" w:rsidR="00D0269B" w:rsidRPr="00D0269B" w:rsidRDefault="00D0269B" w:rsidP="00D0269B">
      <w:p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proposes extending this principle to Regulation 764/2008. If non-compliance with the Regulation’s procedural requirements rendered obstructive national measures unenforceable, Member States would be more likely to adhere to its provisions.</w:t>
      </w:r>
    </w:p>
    <w:p w14:paraId="447281B6"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 xml:space="preserve">Quote: </w:t>
      </w: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argues, “Compliance with EU law would be improved, with no corresponding damage to legal certainty, were the Court to rule that mishandling of the obligations imposed by Regulation 764/2008 leads to a national court treating the intervention as unenforceable.”</w:t>
      </w:r>
    </w:p>
    <w:p w14:paraId="77E6ED98" w14:textId="77777777" w:rsidR="00D0269B" w:rsidRPr="00D0269B" w:rsidRDefault="00D0269B" w:rsidP="00D0269B">
      <w:pPr>
        <w:spacing w:before="100" w:beforeAutospacing="1" w:after="100" w:afterAutospacing="1" w:line="276" w:lineRule="auto"/>
        <w:outlineLvl w:val="3"/>
        <w:rPr>
          <w:rFonts w:ascii="Times New Roman" w:hAnsi="Times New Roman"/>
          <w:b/>
          <w:bCs/>
          <w:lang w:val="en-HK"/>
        </w:rPr>
      </w:pPr>
      <w:r w:rsidRPr="00D0269B">
        <w:rPr>
          <w:rFonts w:ascii="Times New Roman" w:hAnsi="Times New Roman"/>
          <w:b/>
          <w:bCs/>
          <w:lang w:val="en-HK"/>
        </w:rPr>
        <w:t>Will the CJEU Adopt This Approach?</w:t>
      </w:r>
    </w:p>
    <w:p w14:paraId="7135CF2F"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Precedents</w:t>
      </w:r>
      <w:r w:rsidRPr="00D0269B">
        <w:rPr>
          <w:rFonts w:ascii="Times New Roman" w:hAnsi="Times New Roman"/>
          <w:lang w:val="en-HK"/>
        </w:rPr>
        <w:t>:</w:t>
      </w:r>
    </w:p>
    <w:p w14:paraId="385A3EBA"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The CJEU has demonstrated its willingness to extend the principle of effectiveness to promote the internal market. For example:</w:t>
      </w:r>
    </w:p>
    <w:p w14:paraId="79253AC3" w14:textId="77777777" w:rsidR="00D0269B" w:rsidRPr="00D0269B" w:rsidRDefault="00D0269B" w:rsidP="00D0269B">
      <w:pPr>
        <w:numPr>
          <w:ilvl w:val="2"/>
          <w:numId w:val="14"/>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 xml:space="preserve">In </w:t>
      </w:r>
      <w:r w:rsidRPr="00D0269B">
        <w:rPr>
          <w:rFonts w:ascii="Times New Roman" w:hAnsi="Times New Roman"/>
          <w:b/>
          <w:bCs/>
          <w:lang w:val="en-HK"/>
        </w:rPr>
        <w:t xml:space="preserve">Unilever Italia </w:t>
      </w:r>
      <w:proofErr w:type="spellStart"/>
      <w:r w:rsidRPr="00D0269B">
        <w:rPr>
          <w:rFonts w:ascii="Times New Roman" w:hAnsi="Times New Roman"/>
          <w:b/>
          <w:bCs/>
          <w:lang w:val="en-HK"/>
        </w:rPr>
        <w:t>SpA</w:t>
      </w:r>
      <w:proofErr w:type="spellEnd"/>
      <w:r w:rsidRPr="00D0269B">
        <w:rPr>
          <w:rFonts w:ascii="Times New Roman" w:hAnsi="Times New Roman"/>
          <w:b/>
          <w:bCs/>
          <w:lang w:val="en-HK"/>
        </w:rPr>
        <w:t xml:space="preserve"> v Central Food </w:t>
      </w:r>
      <w:proofErr w:type="spellStart"/>
      <w:r w:rsidRPr="00D0269B">
        <w:rPr>
          <w:rFonts w:ascii="Times New Roman" w:hAnsi="Times New Roman"/>
          <w:b/>
          <w:bCs/>
          <w:lang w:val="en-HK"/>
        </w:rPr>
        <w:t>SpA</w:t>
      </w:r>
      <w:proofErr w:type="spellEnd"/>
      <w:r w:rsidRPr="00D0269B">
        <w:rPr>
          <w:rFonts w:ascii="Times New Roman" w:hAnsi="Times New Roman"/>
          <w:b/>
          <w:bCs/>
          <w:lang w:val="en-HK"/>
        </w:rPr>
        <w:t xml:space="preserve"> (C-443/98)</w:t>
      </w:r>
      <w:r w:rsidRPr="00D0269B">
        <w:rPr>
          <w:rFonts w:ascii="Times New Roman" w:hAnsi="Times New Roman"/>
          <w:lang w:val="en-HK"/>
        </w:rPr>
        <w:t>, the Court ruled that non-notified national labelling requirements could not be enforced in private contractual disputes.</w:t>
      </w:r>
    </w:p>
    <w:p w14:paraId="244C38D6" w14:textId="77777777" w:rsidR="00D0269B" w:rsidRPr="00D0269B" w:rsidRDefault="00D0269B" w:rsidP="00D0269B">
      <w:pPr>
        <w:numPr>
          <w:ilvl w:val="2"/>
          <w:numId w:val="14"/>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 xml:space="preserve">In </w:t>
      </w:r>
      <w:proofErr w:type="spellStart"/>
      <w:r w:rsidRPr="00D0269B">
        <w:rPr>
          <w:rFonts w:ascii="Times New Roman" w:hAnsi="Times New Roman"/>
          <w:b/>
          <w:bCs/>
          <w:lang w:val="en-HK"/>
        </w:rPr>
        <w:t>Lemmens</w:t>
      </w:r>
      <w:proofErr w:type="spellEnd"/>
      <w:r w:rsidRPr="00D0269B">
        <w:rPr>
          <w:rFonts w:ascii="Times New Roman" w:hAnsi="Times New Roman"/>
          <w:b/>
          <w:bCs/>
          <w:lang w:val="en-HK"/>
        </w:rPr>
        <w:t xml:space="preserve"> (C-226/97)</w:t>
      </w:r>
      <w:r w:rsidRPr="00D0269B">
        <w:rPr>
          <w:rFonts w:ascii="Times New Roman" w:hAnsi="Times New Roman"/>
          <w:lang w:val="en-HK"/>
        </w:rPr>
        <w:t>, the Court restricted the application of procedural failures but reinforced its commitment to protecting inter-State trade.</w:t>
      </w:r>
    </w:p>
    <w:p w14:paraId="1B2D3619" w14:textId="77777777" w:rsidR="00D0269B" w:rsidRPr="00D0269B" w:rsidRDefault="00D0269B" w:rsidP="00D0269B">
      <w:pPr>
        <w:numPr>
          <w:ilvl w:val="1"/>
          <w:numId w:val="14"/>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However, the Court has also shown caution to avoid "notification creep" or overburdening Member States with procedural obligations.</w:t>
      </w:r>
    </w:p>
    <w:p w14:paraId="30811415" w14:textId="77777777" w:rsidR="00D0269B" w:rsidRPr="00D0269B" w:rsidRDefault="00D0269B" w:rsidP="00D0269B">
      <w:p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b/>
          <w:bCs/>
          <w:lang w:val="en-HK"/>
        </w:rPr>
        <w:t>Weatherill’s</w:t>
      </w:r>
      <w:proofErr w:type="spellEnd"/>
      <w:r w:rsidRPr="00D0269B">
        <w:rPr>
          <w:rFonts w:ascii="Times New Roman" w:hAnsi="Times New Roman"/>
          <w:b/>
          <w:bCs/>
          <w:lang w:val="en-HK"/>
        </w:rPr>
        <w:t xml:space="preserve"> Argument</w:t>
      </w:r>
      <w:r w:rsidRPr="00D0269B">
        <w:rPr>
          <w:rFonts w:ascii="Times New Roman" w:hAnsi="Times New Roman"/>
          <w:lang w:val="en-HK"/>
        </w:rPr>
        <w:t>:</w:t>
      </w:r>
    </w:p>
    <w:p w14:paraId="62EC298A" w14:textId="77777777" w:rsidR="00D0269B" w:rsidRPr="00D0269B" w:rsidRDefault="00D0269B" w:rsidP="00D0269B">
      <w:p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contends that the Court </w:t>
      </w:r>
      <w:r w:rsidRPr="00D0269B">
        <w:rPr>
          <w:rFonts w:ascii="Times New Roman" w:hAnsi="Times New Roman"/>
          <w:b/>
          <w:bCs/>
          <w:lang w:val="en-HK"/>
        </w:rPr>
        <w:t>should adopt a similar approach to Regulation 764/2008, treating non-compliant national measures as legally ineffective</w:t>
      </w:r>
      <w:r w:rsidRPr="00D0269B">
        <w:rPr>
          <w:rFonts w:ascii="Times New Roman" w:hAnsi="Times New Roman"/>
          <w:lang w:val="en-HK"/>
        </w:rPr>
        <w:t>. This would align with the principle of effectiveness and bolster Regulation 764/2008's impact on market management.</w:t>
      </w:r>
    </w:p>
    <w:p w14:paraId="19029104" w14:textId="77777777" w:rsidR="00D0269B" w:rsidRPr="00D0269B" w:rsidRDefault="00D0269B" w:rsidP="00D0269B">
      <w:pPr>
        <w:spacing w:before="100" w:beforeAutospacing="1" w:after="100" w:afterAutospacing="1" w:line="276" w:lineRule="auto"/>
        <w:outlineLvl w:val="3"/>
        <w:rPr>
          <w:rFonts w:ascii="Times New Roman" w:hAnsi="Times New Roman"/>
          <w:b/>
          <w:bCs/>
          <w:lang w:val="en-HK"/>
        </w:rPr>
      </w:pPr>
      <w:r w:rsidRPr="00D0269B">
        <w:rPr>
          <w:rFonts w:ascii="Times New Roman" w:hAnsi="Times New Roman"/>
          <w:b/>
          <w:bCs/>
          <w:lang w:val="en-HK"/>
        </w:rPr>
        <w:t>Challenges to Reform</w:t>
      </w:r>
    </w:p>
    <w:p w14:paraId="1281FFED"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Legal Certainty</w:t>
      </w:r>
      <w:r w:rsidRPr="00D0269B">
        <w:rPr>
          <w:rFonts w:ascii="Times New Roman" w:hAnsi="Times New Roman"/>
          <w:lang w:val="en-HK"/>
        </w:rPr>
        <w:t>:</w:t>
      </w:r>
    </w:p>
    <w:p w14:paraId="2043E6CA" w14:textId="77777777" w:rsidR="00D0269B" w:rsidRPr="00D0269B" w:rsidRDefault="00D0269B" w:rsidP="00D0269B">
      <w:pPr>
        <w:spacing w:before="100" w:beforeAutospacing="1" w:after="100" w:afterAutospacing="1" w:line="276" w:lineRule="auto"/>
        <w:rPr>
          <w:rFonts w:ascii="Times New Roman" w:hAnsi="Times New Roman"/>
          <w:b/>
          <w:bCs/>
          <w:lang w:val="en-HK"/>
        </w:rPr>
      </w:pPr>
      <w:r w:rsidRPr="00D0269B">
        <w:rPr>
          <w:rFonts w:ascii="Times New Roman" w:hAnsi="Times New Roman"/>
          <w:lang w:val="en-HK"/>
        </w:rPr>
        <w:lastRenderedPageBreak/>
        <w:t xml:space="preserve">Critics may argue that </w:t>
      </w:r>
      <w:r w:rsidRPr="00D0269B">
        <w:rPr>
          <w:rFonts w:ascii="Times New Roman" w:hAnsi="Times New Roman"/>
          <w:b/>
          <w:bCs/>
          <w:lang w:val="en-HK"/>
        </w:rPr>
        <w:t>invalidating national measures for procedural non-compliance could undermine legal certainty, particularly in private contractual disputes.</w:t>
      </w:r>
    </w:p>
    <w:p w14:paraId="67F995FE" w14:textId="77777777" w:rsidR="00D0269B" w:rsidRPr="00D0269B" w:rsidRDefault="00D0269B" w:rsidP="00D0269B">
      <w:p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counters this concern by emphasizing that Regulation 764/2008 already prescribes clear procedural requirements, and enforcing these would improve transparency and accountability without creating undue uncertainty.</w:t>
      </w:r>
    </w:p>
    <w:p w14:paraId="6CFC1D78" w14:textId="77777777" w:rsidR="00D0269B" w:rsidRPr="00D0269B" w:rsidRDefault="00077C01" w:rsidP="00D0269B">
      <w:pPr>
        <w:spacing w:line="276" w:lineRule="auto"/>
        <w:rPr>
          <w:rFonts w:ascii="Times New Roman" w:hAnsi="Times New Roman"/>
          <w:lang w:val="en-HK"/>
        </w:rPr>
      </w:pPr>
      <w:r w:rsidRPr="00077C01">
        <w:rPr>
          <w:rFonts w:ascii="Times New Roman" w:hAnsi="Times New Roman"/>
          <w:noProof/>
          <w:lang w:val="en-HK"/>
          <w14:ligatures w14:val="standardContextual"/>
        </w:rPr>
        <w:pict w14:anchorId="78F2B160">
          <v:rect id="_x0000_i1026" alt="" style="width:451.3pt;height:.05pt;mso-width-percent:0;mso-height-percent:0;mso-width-percent:0;mso-height-percent:0" o:hralign="center" o:hrstd="t" o:hr="t" fillcolor="#a0a0a0" stroked="f"/>
        </w:pict>
      </w:r>
    </w:p>
    <w:p w14:paraId="1F036986" w14:textId="77777777" w:rsidR="00D0269B" w:rsidRPr="00D0269B" w:rsidRDefault="00D0269B" w:rsidP="00D0269B">
      <w:pPr>
        <w:spacing w:before="100" w:beforeAutospacing="1" w:after="100" w:afterAutospacing="1" w:line="276" w:lineRule="auto"/>
        <w:outlineLvl w:val="2"/>
        <w:rPr>
          <w:rFonts w:ascii="Times New Roman" w:hAnsi="Times New Roman"/>
          <w:b/>
          <w:bCs/>
          <w:lang w:val="en-HK"/>
        </w:rPr>
      </w:pPr>
      <w:r w:rsidRPr="00D0269B">
        <w:rPr>
          <w:rFonts w:ascii="Times New Roman" w:hAnsi="Times New Roman"/>
          <w:b/>
          <w:bCs/>
          <w:lang w:val="en-HK"/>
        </w:rPr>
        <w:t>6. Conclusion</w:t>
      </w:r>
    </w:p>
    <w:p w14:paraId="60F406EE" w14:textId="77777777" w:rsidR="00D0269B" w:rsidRPr="00D0269B" w:rsidRDefault="00D0269B" w:rsidP="00D0269B">
      <w:pPr>
        <w:spacing w:before="100" w:beforeAutospacing="1" w:after="100" w:afterAutospacing="1" w:line="276" w:lineRule="auto"/>
        <w:outlineLvl w:val="3"/>
        <w:rPr>
          <w:rFonts w:ascii="Times New Roman" w:hAnsi="Times New Roman"/>
          <w:b/>
          <w:bCs/>
          <w:lang w:val="en-HK"/>
        </w:rPr>
      </w:pPr>
      <w:r w:rsidRPr="00D0269B">
        <w:rPr>
          <w:rFonts w:ascii="Times New Roman" w:hAnsi="Times New Roman"/>
          <w:b/>
          <w:bCs/>
          <w:lang w:val="en-HK"/>
        </w:rPr>
        <w:t>The Incomplete Internal Market</w:t>
      </w:r>
    </w:p>
    <w:p w14:paraId="0CBABCB8"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 xml:space="preserve">Noria Distribution </w:t>
      </w:r>
      <w:proofErr w:type="spellStart"/>
      <w:r w:rsidRPr="00D0269B">
        <w:rPr>
          <w:rFonts w:ascii="Times New Roman" w:hAnsi="Times New Roman"/>
          <w:b/>
          <w:bCs/>
          <w:lang w:val="en-HK"/>
        </w:rPr>
        <w:t>Sàrl</w:t>
      </w:r>
      <w:proofErr w:type="spellEnd"/>
      <w:r w:rsidRPr="00D0269B">
        <w:rPr>
          <w:rFonts w:ascii="Times New Roman" w:hAnsi="Times New Roman"/>
          <w:b/>
          <w:bCs/>
          <w:lang w:val="en-HK"/>
        </w:rPr>
        <w:t xml:space="preserve"> as a Case Study</w:t>
      </w:r>
      <w:r w:rsidRPr="00D0269B">
        <w:rPr>
          <w:rFonts w:ascii="Times New Roman" w:hAnsi="Times New Roman"/>
          <w:lang w:val="en-HK"/>
        </w:rPr>
        <w:t>:</w:t>
      </w:r>
    </w:p>
    <w:p w14:paraId="72E693AA" w14:textId="77777777" w:rsidR="00D0269B" w:rsidRPr="00D0269B" w:rsidRDefault="00D0269B" w:rsidP="00D0269B">
      <w:pPr>
        <w:numPr>
          <w:ilvl w:val="1"/>
          <w:numId w:val="16"/>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 xml:space="preserve">The </w:t>
      </w:r>
      <w:r w:rsidRPr="00D0269B">
        <w:rPr>
          <w:rFonts w:ascii="Times New Roman" w:hAnsi="Times New Roman"/>
          <w:i/>
          <w:iCs/>
          <w:lang w:val="en-HK"/>
        </w:rPr>
        <w:t>Noria</w:t>
      </w:r>
      <w:r w:rsidRPr="00D0269B">
        <w:rPr>
          <w:rFonts w:ascii="Times New Roman" w:hAnsi="Times New Roman"/>
          <w:lang w:val="en-HK"/>
        </w:rPr>
        <w:t xml:space="preserve"> case underscores the ongoing deficiencies in the EU’s internal market. Despite the theoretical elegance of the EU’s framework for mutual recognition, practical barriers such as bureaucratic inertia and national protectionism remain pervasive.</w:t>
      </w:r>
    </w:p>
    <w:p w14:paraId="12BBE323" w14:textId="77777777" w:rsidR="00D0269B" w:rsidRPr="00D0269B" w:rsidRDefault="00D0269B" w:rsidP="00D0269B">
      <w:pPr>
        <w:numPr>
          <w:ilvl w:val="1"/>
          <w:numId w:val="16"/>
        </w:num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describes the market as “mundanely incomplete,” highlighting how traders face daily obstacles that undermine the goals of free movement.</w:t>
      </w:r>
    </w:p>
    <w:p w14:paraId="4D056B4A" w14:textId="77777777" w:rsidR="00D0269B" w:rsidRPr="00D0269B" w:rsidRDefault="00D0269B" w:rsidP="00D0269B">
      <w:pPr>
        <w:spacing w:before="100" w:beforeAutospacing="1" w:after="100" w:afterAutospacing="1" w:line="276" w:lineRule="auto"/>
        <w:outlineLvl w:val="3"/>
        <w:rPr>
          <w:rFonts w:ascii="Times New Roman" w:hAnsi="Times New Roman"/>
          <w:b/>
          <w:bCs/>
          <w:lang w:val="en-HK"/>
        </w:rPr>
      </w:pPr>
      <w:r w:rsidRPr="00D0269B">
        <w:rPr>
          <w:rFonts w:ascii="Times New Roman" w:hAnsi="Times New Roman"/>
          <w:b/>
          <w:bCs/>
          <w:lang w:val="en-HK"/>
        </w:rPr>
        <w:t>Balancing Integration and Sovereignty</w:t>
      </w:r>
    </w:p>
    <w:p w14:paraId="63F1CADA"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No Principle of Mutual Recognition</w:t>
      </w:r>
      <w:r w:rsidRPr="00D0269B">
        <w:rPr>
          <w:rFonts w:ascii="Times New Roman" w:hAnsi="Times New Roman"/>
          <w:lang w:val="en-HK"/>
        </w:rPr>
        <w:t>:</w:t>
      </w:r>
    </w:p>
    <w:p w14:paraId="4DFFE649" w14:textId="77777777" w:rsidR="00D0269B" w:rsidRPr="00D0269B" w:rsidRDefault="00D0269B" w:rsidP="00D0269B">
      <w:p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reiterates that mutual recognition is not a principle but a framework of managed conditionality. This framework respects national regulatory diversity but simultaneously imposes obligations to justify trade restrictions and ensure procedural fairness.</w:t>
      </w:r>
    </w:p>
    <w:p w14:paraId="6D32573B"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While this approach preserves Member State sovereignty, it creates significant challenges for businesses seeking to navigate inter-State regulatory differences.</w:t>
      </w:r>
    </w:p>
    <w:p w14:paraId="3F497509"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Reforming Regulation 764/2008</w:t>
      </w:r>
      <w:r w:rsidRPr="00D0269B">
        <w:rPr>
          <w:rFonts w:ascii="Times New Roman" w:hAnsi="Times New Roman"/>
          <w:lang w:val="en-HK"/>
        </w:rPr>
        <w:t>:</w:t>
      </w:r>
    </w:p>
    <w:p w14:paraId="001BA4D4" w14:textId="77777777" w:rsidR="00D0269B" w:rsidRPr="00D0269B" w:rsidRDefault="00D0269B" w:rsidP="00D0269B">
      <w:p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calls for substantial reforms to enhance the Regulation’s effectiveness. He identifies the following key areas for improvement:</w:t>
      </w:r>
    </w:p>
    <w:p w14:paraId="3F8F023A" w14:textId="77777777" w:rsidR="00D0269B" w:rsidRPr="00D0269B" w:rsidRDefault="00D0269B" w:rsidP="00D0269B">
      <w:pPr>
        <w:numPr>
          <w:ilvl w:val="2"/>
          <w:numId w:val="17"/>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Expanding Transparency</w:t>
      </w:r>
      <w:r w:rsidRPr="00D0269B">
        <w:rPr>
          <w:rFonts w:ascii="Times New Roman" w:hAnsi="Times New Roman"/>
          <w:lang w:val="en-HK"/>
        </w:rPr>
        <w:t>:</w:t>
      </w:r>
    </w:p>
    <w:p w14:paraId="6C554129"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Publicizing notifications and procedural outcomes, similar to the Notification Directive, would promote accountability and encourage compliance by Member States.</w:t>
      </w:r>
    </w:p>
    <w:p w14:paraId="1DB1C52C" w14:textId="77777777" w:rsidR="00D0269B" w:rsidRPr="00D0269B" w:rsidRDefault="00D0269B" w:rsidP="00D0269B">
      <w:pPr>
        <w:numPr>
          <w:ilvl w:val="2"/>
          <w:numId w:val="17"/>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Strengthening Procedural Safeguards</w:t>
      </w:r>
      <w:r w:rsidRPr="00D0269B">
        <w:rPr>
          <w:rFonts w:ascii="Times New Roman" w:hAnsi="Times New Roman"/>
          <w:lang w:val="en-HK"/>
        </w:rPr>
        <w:t>:</w:t>
      </w:r>
    </w:p>
    <w:p w14:paraId="47E5E574"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lastRenderedPageBreak/>
        <w:t>Ensuring that traders have robust avenues to challenge restrictive national measures and that these challenges are resolved quickly and transparently.</w:t>
      </w:r>
    </w:p>
    <w:p w14:paraId="59A05D05" w14:textId="77777777" w:rsidR="00D0269B" w:rsidRPr="00D0269B" w:rsidRDefault="00D0269B" w:rsidP="00D0269B">
      <w:pPr>
        <w:numPr>
          <w:ilvl w:val="2"/>
          <w:numId w:val="17"/>
        </w:num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Judicial Incentives</w:t>
      </w:r>
      <w:r w:rsidRPr="00D0269B">
        <w:rPr>
          <w:rFonts w:ascii="Times New Roman" w:hAnsi="Times New Roman"/>
          <w:lang w:val="en-HK"/>
        </w:rPr>
        <w:t>:</w:t>
      </w:r>
    </w:p>
    <w:p w14:paraId="781D6666"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 xml:space="preserve">Adopting the </w:t>
      </w:r>
      <w:r w:rsidRPr="00D0269B">
        <w:rPr>
          <w:rFonts w:ascii="Times New Roman" w:hAnsi="Times New Roman"/>
          <w:b/>
          <w:bCs/>
          <w:lang w:val="en-HK"/>
        </w:rPr>
        <w:t>CIA Security principle</w:t>
      </w:r>
      <w:r w:rsidRPr="00D0269B">
        <w:rPr>
          <w:rFonts w:ascii="Times New Roman" w:hAnsi="Times New Roman"/>
          <w:lang w:val="en-HK"/>
        </w:rPr>
        <w:t xml:space="preserve"> for Regulation 764/2008 would strengthen enforcement and provide traders with effective remedies against non-compliant national measures.</w:t>
      </w:r>
    </w:p>
    <w:p w14:paraId="1AEE523D" w14:textId="77777777" w:rsidR="00D0269B" w:rsidRPr="00D0269B" w:rsidRDefault="00D0269B" w:rsidP="00D0269B">
      <w:pPr>
        <w:spacing w:before="100" w:beforeAutospacing="1" w:after="100" w:afterAutospacing="1" w:line="276" w:lineRule="auto"/>
        <w:outlineLvl w:val="3"/>
        <w:rPr>
          <w:rFonts w:ascii="Times New Roman" w:hAnsi="Times New Roman"/>
          <w:b/>
          <w:bCs/>
          <w:lang w:val="en-HK"/>
        </w:rPr>
      </w:pPr>
      <w:r w:rsidRPr="00D0269B">
        <w:rPr>
          <w:rFonts w:ascii="Times New Roman" w:hAnsi="Times New Roman"/>
          <w:b/>
          <w:bCs/>
          <w:lang w:val="en-HK"/>
        </w:rPr>
        <w:t>The Role of Administrative Cooperation</w:t>
      </w:r>
    </w:p>
    <w:p w14:paraId="43D5B950" w14:textId="77777777" w:rsidR="00D0269B" w:rsidRPr="00D0269B" w:rsidRDefault="00D0269B" w:rsidP="00D0269B">
      <w:p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argues that strategies beyond litigation and legislation are necessary to manage the internal market effectively. He cites the European Commission’s 2010 Monti Report, which emphasized the importance of “transparency, peer pressure, and administrative cooperation” in achieving market integration.</w:t>
      </w:r>
    </w:p>
    <w:p w14:paraId="79331304"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lang w:val="en-HK"/>
        </w:rPr>
        <w:t xml:space="preserve">The </w:t>
      </w:r>
      <w:r w:rsidRPr="00D0269B">
        <w:rPr>
          <w:rFonts w:ascii="Times New Roman" w:hAnsi="Times New Roman"/>
          <w:b/>
          <w:bCs/>
          <w:u w:val="single"/>
          <w:lang w:val="en-HK"/>
        </w:rPr>
        <w:t>SOLVIT platform is highlighted as a positive example of non-judicial dispute resolution mechanisms</w:t>
      </w:r>
      <w:r w:rsidRPr="00D0269B">
        <w:rPr>
          <w:rFonts w:ascii="Times New Roman" w:hAnsi="Times New Roman"/>
          <w:lang w:val="en-HK"/>
        </w:rPr>
        <w:t>. SOLVIT allows traders to resolve cross-border trade issues through administrative coordination without resorting to formal litigation.</w:t>
      </w:r>
    </w:p>
    <w:p w14:paraId="376D824E" w14:textId="77777777" w:rsidR="00D0269B" w:rsidRPr="00D0269B" w:rsidRDefault="00D0269B" w:rsidP="00D0269B">
      <w:pPr>
        <w:spacing w:before="100" w:beforeAutospacing="1" w:after="100" w:afterAutospacing="1" w:line="276" w:lineRule="auto"/>
        <w:outlineLvl w:val="3"/>
        <w:rPr>
          <w:rFonts w:ascii="Times New Roman" w:hAnsi="Times New Roman"/>
          <w:b/>
          <w:bCs/>
          <w:lang w:val="en-HK"/>
        </w:rPr>
      </w:pPr>
      <w:r w:rsidRPr="00D0269B">
        <w:rPr>
          <w:rFonts w:ascii="Times New Roman" w:hAnsi="Times New Roman"/>
          <w:b/>
          <w:bCs/>
          <w:lang w:val="en-HK"/>
        </w:rPr>
        <w:t>Realistic Expectations for the Internal Market</w:t>
      </w:r>
    </w:p>
    <w:p w14:paraId="7F2CBBEE"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Dynamic Nature of the Market</w:t>
      </w:r>
      <w:r w:rsidRPr="00D0269B">
        <w:rPr>
          <w:rFonts w:ascii="Times New Roman" w:hAnsi="Times New Roman"/>
          <w:lang w:val="en-HK"/>
        </w:rPr>
        <w:t>:</w:t>
      </w:r>
    </w:p>
    <w:p w14:paraId="7232923E" w14:textId="77777777" w:rsidR="00D0269B" w:rsidRPr="00D0269B" w:rsidRDefault="00D0269B" w:rsidP="00D0269B">
      <w:pPr>
        <w:numPr>
          <w:ilvl w:val="1"/>
          <w:numId w:val="19"/>
        </w:num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acknowledges that the internal market will never be as seamless as purely local trade due to the decentralized implementation of EU rules across diverse national administrations.</w:t>
      </w:r>
    </w:p>
    <w:p w14:paraId="19214D3C" w14:textId="77777777" w:rsidR="00D0269B" w:rsidRPr="00D0269B" w:rsidRDefault="00D0269B" w:rsidP="00D0269B">
      <w:pPr>
        <w:numPr>
          <w:ilvl w:val="1"/>
          <w:numId w:val="19"/>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He quotes the European Commission’s reflection that “the internal market is evolving, it will never be finalized,” highlighting the inherent complexity of balancing integration with sovereignty.</w:t>
      </w:r>
    </w:p>
    <w:p w14:paraId="2D9CC240" w14:textId="77777777" w:rsidR="00D0269B" w:rsidRPr="00D0269B" w:rsidRDefault="00D0269B" w:rsidP="00D0269B">
      <w:pPr>
        <w:spacing w:before="100" w:beforeAutospacing="1" w:after="100" w:afterAutospacing="1" w:line="276" w:lineRule="auto"/>
        <w:rPr>
          <w:rFonts w:ascii="Times New Roman" w:hAnsi="Times New Roman"/>
          <w:lang w:val="en-HK"/>
        </w:rPr>
      </w:pPr>
      <w:r w:rsidRPr="00D0269B">
        <w:rPr>
          <w:rFonts w:ascii="Times New Roman" w:hAnsi="Times New Roman"/>
          <w:b/>
          <w:bCs/>
          <w:lang w:val="en-HK"/>
        </w:rPr>
        <w:t>Final Call to Action</w:t>
      </w:r>
      <w:r w:rsidRPr="00D0269B">
        <w:rPr>
          <w:rFonts w:ascii="Times New Roman" w:hAnsi="Times New Roman"/>
          <w:lang w:val="en-HK"/>
        </w:rPr>
        <w:t>:</w:t>
      </w:r>
    </w:p>
    <w:p w14:paraId="71D4E7B7" w14:textId="77777777" w:rsidR="00D0269B" w:rsidRPr="00D0269B" w:rsidRDefault="00D0269B" w:rsidP="00D0269B">
      <w:pPr>
        <w:numPr>
          <w:ilvl w:val="1"/>
          <w:numId w:val="19"/>
        </w:numPr>
        <w:spacing w:before="100" w:beforeAutospacing="1" w:after="100" w:afterAutospacing="1" w:line="276" w:lineRule="auto"/>
        <w:rPr>
          <w:rFonts w:ascii="Times New Roman" w:hAnsi="Times New Roman"/>
          <w:lang w:val="en-HK"/>
        </w:rPr>
      </w:pPr>
      <w:proofErr w:type="spellStart"/>
      <w:r w:rsidRPr="00D0269B">
        <w:rPr>
          <w:rFonts w:ascii="Times New Roman" w:hAnsi="Times New Roman"/>
          <w:lang w:val="en-HK"/>
        </w:rPr>
        <w:t>Weatherill</w:t>
      </w:r>
      <w:proofErr w:type="spellEnd"/>
      <w:r w:rsidRPr="00D0269B">
        <w:rPr>
          <w:rFonts w:ascii="Times New Roman" w:hAnsi="Times New Roman"/>
          <w:lang w:val="en-HK"/>
        </w:rPr>
        <w:t xml:space="preserve"> concludes with a call for proactive reform of Regulation 764/2008, emphasizing the need for more precise rules, enhanced transparency, and stronger enforcement mechanisms.</w:t>
      </w:r>
    </w:p>
    <w:p w14:paraId="0FCA48DA" w14:textId="77777777" w:rsidR="00D0269B" w:rsidRPr="00D0269B" w:rsidRDefault="00D0269B" w:rsidP="00D0269B">
      <w:pPr>
        <w:numPr>
          <w:ilvl w:val="1"/>
          <w:numId w:val="19"/>
        </w:numPr>
        <w:spacing w:before="100" w:beforeAutospacing="1" w:after="100" w:afterAutospacing="1" w:line="276" w:lineRule="auto"/>
        <w:rPr>
          <w:rFonts w:ascii="Times New Roman" w:hAnsi="Times New Roman"/>
          <w:lang w:val="en-HK"/>
        </w:rPr>
      </w:pPr>
      <w:r w:rsidRPr="00D0269B">
        <w:rPr>
          <w:rFonts w:ascii="Times New Roman" w:hAnsi="Times New Roman"/>
          <w:lang w:val="en-HK"/>
        </w:rPr>
        <w:t>He urges traders to push for these changes through litigation, administrative complaints, and advocacy, describing such efforts as essential to the ongoing evolution of the internal market.</w:t>
      </w:r>
    </w:p>
    <w:p w14:paraId="5E597FED" w14:textId="77777777" w:rsidR="00D0269B" w:rsidRPr="00D0269B" w:rsidRDefault="00077C01" w:rsidP="00D0269B">
      <w:pPr>
        <w:spacing w:line="276" w:lineRule="auto"/>
        <w:rPr>
          <w:rFonts w:ascii="Times New Roman" w:hAnsi="Times New Roman"/>
          <w:lang w:val="en-HK"/>
        </w:rPr>
      </w:pPr>
      <w:r w:rsidRPr="00077C01">
        <w:rPr>
          <w:rFonts w:ascii="Times New Roman" w:hAnsi="Times New Roman"/>
          <w:noProof/>
          <w:lang w:val="en-HK"/>
          <w14:ligatures w14:val="standardContextual"/>
        </w:rPr>
        <w:pict w14:anchorId="118B9D59">
          <v:rect id="_x0000_i1025" alt="" style="width:451.3pt;height:.05pt;mso-width-percent:0;mso-height-percent:0;mso-width-percent:0;mso-height-percent:0" o:hralign="center" o:hrstd="t" o:hr="t" fillcolor="#a0a0a0" stroked="f"/>
        </w:pict>
      </w:r>
    </w:p>
    <w:p w14:paraId="2D59C67D" w14:textId="77777777" w:rsidR="00CD39F1" w:rsidRPr="00D0269B" w:rsidRDefault="00CD39F1" w:rsidP="00D0269B">
      <w:pPr>
        <w:spacing w:line="276" w:lineRule="auto"/>
      </w:pPr>
    </w:p>
    <w:sectPr w:rsidR="00CD39F1" w:rsidRPr="00D026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E2AB3"/>
    <w:multiLevelType w:val="multilevel"/>
    <w:tmpl w:val="7E086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C2099"/>
    <w:multiLevelType w:val="multilevel"/>
    <w:tmpl w:val="6FA0E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F2666"/>
    <w:multiLevelType w:val="multilevel"/>
    <w:tmpl w:val="9DF0A7A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069"/>
        </w:tabs>
        <w:ind w:left="1069"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3F261F1"/>
    <w:multiLevelType w:val="multilevel"/>
    <w:tmpl w:val="BD1EB79A"/>
    <w:lvl w:ilvl="0">
      <w:start w:val="1"/>
      <w:numFmt w:val="decimal"/>
      <w:lvlText w:val="%1."/>
      <w:lvlJc w:val="left"/>
      <w:pPr>
        <w:ind w:left="360" w:hanging="360"/>
      </w:pPr>
      <w:rPr>
        <w:rFonts w:hint="default"/>
        <w:sz w:val="24"/>
        <w:szCs w:val="24"/>
      </w:rPr>
    </w:lvl>
    <w:lvl w:ilvl="1">
      <w:start w:val="1"/>
      <w:numFmt w:val="bullet"/>
      <w:lvlText w:val=""/>
      <w:lvlJc w:val="left"/>
      <w:pPr>
        <w:ind w:left="108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7AD5A07"/>
    <w:multiLevelType w:val="multilevel"/>
    <w:tmpl w:val="F43C3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069"/>
        </w:tabs>
        <w:ind w:left="1069"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453A4"/>
    <w:multiLevelType w:val="multilevel"/>
    <w:tmpl w:val="BD1EB79A"/>
    <w:lvl w:ilvl="0">
      <w:start w:val="1"/>
      <w:numFmt w:val="decimal"/>
      <w:lvlText w:val="%1."/>
      <w:lvlJc w:val="left"/>
      <w:pPr>
        <w:ind w:left="360" w:hanging="360"/>
      </w:pPr>
      <w:rPr>
        <w:rFonts w:hint="default"/>
        <w:sz w:val="24"/>
        <w:szCs w:val="24"/>
      </w:rPr>
    </w:lvl>
    <w:lvl w:ilvl="1">
      <w:start w:val="1"/>
      <w:numFmt w:val="bullet"/>
      <w:lvlText w:val=""/>
      <w:lvlJc w:val="left"/>
      <w:pPr>
        <w:ind w:left="1080" w:hanging="360"/>
      </w:pPr>
      <w:rPr>
        <w:rFonts w:ascii="Symbol" w:hAnsi="Symbol" w:hint="default"/>
        <w:color w:val="auto"/>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DB35BFD"/>
    <w:multiLevelType w:val="multilevel"/>
    <w:tmpl w:val="BD1EB79A"/>
    <w:lvl w:ilvl="0">
      <w:start w:val="1"/>
      <w:numFmt w:val="decimal"/>
      <w:lvlText w:val="%1."/>
      <w:lvlJc w:val="left"/>
      <w:pPr>
        <w:ind w:left="360" w:hanging="360"/>
      </w:pPr>
      <w:rPr>
        <w:rFonts w:hint="default"/>
        <w:sz w:val="24"/>
        <w:szCs w:val="24"/>
      </w:rPr>
    </w:lvl>
    <w:lvl w:ilvl="1">
      <w:start w:val="1"/>
      <w:numFmt w:val="bullet"/>
      <w:lvlText w:val=""/>
      <w:lvlJc w:val="left"/>
      <w:pPr>
        <w:ind w:left="1080" w:hanging="360"/>
      </w:pPr>
      <w:rPr>
        <w:rFonts w:ascii="Symbol" w:hAnsi="Symbol" w:hint="default"/>
        <w:color w:val="auto"/>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DE86733"/>
    <w:multiLevelType w:val="multilevel"/>
    <w:tmpl w:val="A322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50D2A"/>
    <w:multiLevelType w:val="multilevel"/>
    <w:tmpl w:val="551C8CC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FE16DDC"/>
    <w:multiLevelType w:val="multilevel"/>
    <w:tmpl w:val="A3660A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1687177"/>
    <w:multiLevelType w:val="multilevel"/>
    <w:tmpl w:val="5CE639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7B5D7F"/>
    <w:multiLevelType w:val="multilevel"/>
    <w:tmpl w:val="220A5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E66290"/>
    <w:multiLevelType w:val="multilevel"/>
    <w:tmpl w:val="0376375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5112A47"/>
    <w:multiLevelType w:val="multilevel"/>
    <w:tmpl w:val="BD1EB79A"/>
    <w:lvl w:ilvl="0">
      <w:start w:val="1"/>
      <w:numFmt w:val="decimal"/>
      <w:lvlText w:val="%1."/>
      <w:lvlJc w:val="left"/>
      <w:pPr>
        <w:ind w:left="360" w:hanging="360"/>
      </w:pPr>
      <w:rPr>
        <w:rFonts w:hint="default"/>
        <w:sz w:val="24"/>
        <w:szCs w:val="24"/>
      </w:rPr>
    </w:lvl>
    <w:lvl w:ilvl="1">
      <w:start w:val="1"/>
      <w:numFmt w:val="bullet"/>
      <w:lvlText w:val=""/>
      <w:lvlJc w:val="left"/>
      <w:pPr>
        <w:ind w:left="1080" w:hanging="360"/>
      </w:pPr>
      <w:rPr>
        <w:rFonts w:ascii="Symbol" w:hAnsi="Symbol" w:hint="default"/>
        <w:color w:val="auto"/>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8173069"/>
    <w:multiLevelType w:val="multilevel"/>
    <w:tmpl w:val="C2780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786"/>
        </w:tabs>
        <w:ind w:left="786"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FA4832"/>
    <w:multiLevelType w:val="multilevel"/>
    <w:tmpl w:val="A9886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tabs>
          <w:tab w:val="num" w:pos="927"/>
        </w:tabs>
        <w:ind w:left="927"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0E28B4"/>
    <w:multiLevelType w:val="multilevel"/>
    <w:tmpl w:val="7B0E39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6D2C7E"/>
    <w:multiLevelType w:val="multilevel"/>
    <w:tmpl w:val="35D6D8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6D5E723C"/>
    <w:multiLevelType w:val="multilevel"/>
    <w:tmpl w:val="5072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192964">
    <w:abstractNumId w:val="2"/>
  </w:num>
  <w:num w:numId="2" w16cid:durableId="574167719">
    <w:abstractNumId w:val="12"/>
  </w:num>
  <w:num w:numId="3" w16cid:durableId="655229422">
    <w:abstractNumId w:val="3"/>
  </w:num>
  <w:num w:numId="4" w16cid:durableId="532809713">
    <w:abstractNumId w:val="8"/>
  </w:num>
  <w:num w:numId="5" w16cid:durableId="634259578">
    <w:abstractNumId w:val="15"/>
  </w:num>
  <w:num w:numId="6" w16cid:durableId="668607125">
    <w:abstractNumId w:val="18"/>
  </w:num>
  <w:num w:numId="7" w16cid:durableId="1882400721">
    <w:abstractNumId w:val="14"/>
  </w:num>
  <w:num w:numId="8" w16cid:durableId="12458837">
    <w:abstractNumId w:val="7"/>
  </w:num>
  <w:num w:numId="9" w16cid:durableId="731197556">
    <w:abstractNumId w:val="13"/>
  </w:num>
  <w:num w:numId="10" w16cid:durableId="1625497993">
    <w:abstractNumId w:val="0"/>
  </w:num>
  <w:num w:numId="11" w16cid:durableId="1354259254">
    <w:abstractNumId w:val="6"/>
  </w:num>
  <w:num w:numId="12" w16cid:durableId="1487667514">
    <w:abstractNumId w:val="17"/>
  </w:num>
  <w:num w:numId="13" w16cid:durableId="1160653627">
    <w:abstractNumId w:val="5"/>
  </w:num>
  <w:num w:numId="14" w16cid:durableId="423650891">
    <w:abstractNumId w:val="4"/>
  </w:num>
  <w:num w:numId="15" w16cid:durableId="1383208402">
    <w:abstractNumId w:val="1"/>
  </w:num>
  <w:num w:numId="16" w16cid:durableId="1999111643">
    <w:abstractNumId w:val="16"/>
  </w:num>
  <w:num w:numId="17" w16cid:durableId="572281842">
    <w:abstractNumId w:val="11"/>
  </w:num>
  <w:num w:numId="18" w16cid:durableId="1508211551">
    <w:abstractNumId w:val="9"/>
  </w:num>
  <w:num w:numId="19" w16cid:durableId="7369717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749"/>
    <w:rsid w:val="00012117"/>
    <w:rsid w:val="000147A9"/>
    <w:rsid w:val="00042755"/>
    <w:rsid w:val="0006107D"/>
    <w:rsid w:val="000623A3"/>
    <w:rsid w:val="00066D1D"/>
    <w:rsid w:val="000719DA"/>
    <w:rsid w:val="00077C01"/>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B3377"/>
    <w:rsid w:val="002D715D"/>
    <w:rsid w:val="002E3864"/>
    <w:rsid w:val="002E46F2"/>
    <w:rsid w:val="002F1DB1"/>
    <w:rsid w:val="002F20B2"/>
    <w:rsid w:val="002F53C9"/>
    <w:rsid w:val="003048A0"/>
    <w:rsid w:val="0031138E"/>
    <w:rsid w:val="0031474F"/>
    <w:rsid w:val="00315815"/>
    <w:rsid w:val="003278F5"/>
    <w:rsid w:val="00330665"/>
    <w:rsid w:val="00342A18"/>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45CE"/>
    <w:rsid w:val="004A553E"/>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C231D"/>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1E71"/>
    <w:rsid w:val="00D0269B"/>
    <w:rsid w:val="00D02AC8"/>
    <w:rsid w:val="00D0623C"/>
    <w:rsid w:val="00D07271"/>
    <w:rsid w:val="00D16917"/>
    <w:rsid w:val="00D65735"/>
    <w:rsid w:val="00D73E2C"/>
    <w:rsid w:val="00D76D14"/>
    <w:rsid w:val="00D86749"/>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4D1FB"/>
  <w15:chartTrackingRefBased/>
  <w15:docId w15:val="{8445A705-27EF-974F-8CCF-C0593D7B5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D867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7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8674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8674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8674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8674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674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674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674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749"/>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D86749"/>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D86749"/>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D86749"/>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D86749"/>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D86749"/>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D86749"/>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D86749"/>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D86749"/>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D867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749"/>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D8674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749"/>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D867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6749"/>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D86749"/>
    <w:pPr>
      <w:ind w:left="720"/>
      <w:contextualSpacing/>
    </w:pPr>
  </w:style>
  <w:style w:type="character" w:styleId="IntenseEmphasis">
    <w:name w:val="Intense Emphasis"/>
    <w:basedOn w:val="DefaultParagraphFont"/>
    <w:uiPriority w:val="21"/>
    <w:qFormat/>
    <w:rsid w:val="00D86749"/>
    <w:rPr>
      <w:i/>
      <w:iCs/>
      <w:color w:val="2F5496" w:themeColor="accent1" w:themeShade="BF"/>
    </w:rPr>
  </w:style>
  <w:style w:type="paragraph" w:styleId="IntenseQuote">
    <w:name w:val="Intense Quote"/>
    <w:basedOn w:val="Normal"/>
    <w:next w:val="Normal"/>
    <w:link w:val="IntenseQuoteChar"/>
    <w:uiPriority w:val="30"/>
    <w:qFormat/>
    <w:rsid w:val="00D867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749"/>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D86749"/>
    <w:rPr>
      <w:b/>
      <w:bCs/>
      <w:smallCaps/>
      <w:color w:val="2F5496" w:themeColor="accent1" w:themeShade="BF"/>
      <w:spacing w:val="5"/>
    </w:rPr>
  </w:style>
  <w:style w:type="character" w:styleId="Strong">
    <w:name w:val="Strong"/>
    <w:basedOn w:val="DefaultParagraphFont"/>
    <w:uiPriority w:val="22"/>
    <w:qFormat/>
    <w:rsid w:val="00D0269B"/>
    <w:rPr>
      <w:b/>
      <w:bCs/>
    </w:rPr>
  </w:style>
  <w:style w:type="paragraph" w:styleId="NormalWeb">
    <w:name w:val="Normal (Web)"/>
    <w:basedOn w:val="Normal"/>
    <w:uiPriority w:val="99"/>
    <w:semiHidden/>
    <w:unhideWhenUsed/>
    <w:rsid w:val="00D0269B"/>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D026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1244440">
      <w:bodyDiv w:val="1"/>
      <w:marLeft w:val="0"/>
      <w:marRight w:val="0"/>
      <w:marTop w:val="0"/>
      <w:marBottom w:val="0"/>
      <w:divBdr>
        <w:top w:val="none" w:sz="0" w:space="0" w:color="auto"/>
        <w:left w:val="none" w:sz="0" w:space="0" w:color="auto"/>
        <w:bottom w:val="none" w:sz="0" w:space="0" w:color="auto"/>
        <w:right w:val="none" w:sz="0" w:space="0" w:color="auto"/>
      </w:divBdr>
    </w:div>
    <w:div w:id="864296193">
      <w:bodyDiv w:val="1"/>
      <w:marLeft w:val="0"/>
      <w:marRight w:val="0"/>
      <w:marTop w:val="0"/>
      <w:marBottom w:val="0"/>
      <w:divBdr>
        <w:top w:val="none" w:sz="0" w:space="0" w:color="auto"/>
        <w:left w:val="none" w:sz="0" w:space="0" w:color="auto"/>
        <w:bottom w:val="none" w:sz="0" w:space="0" w:color="auto"/>
        <w:right w:val="none" w:sz="0" w:space="0" w:color="auto"/>
      </w:divBdr>
    </w:div>
    <w:div w:id="191943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2767</Words>
  <Characters>15772</Characters>
  <Application>Microsoft Office Word</Application>
  <DocSecurity>0</DocSecurity>
  <Lines>131</Lines>
  <Paragraphs>37</Paragraphs>
  <ScaleCrop>false</ScaleCrop>
  <Company/>
  <LinksUpToDate>false</LinksUpToDate>
  <CharactersWithSpaces>18502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2025-01-23T22:37:00Z</dcterms:created>
  <dcterms:modified xsi:type="dcterms:W3CDTF">2025-01-24T09:07:00Z</dcterms:modified>
</cp:coreProperties>
</file>