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475F14" w14:textId="77777777" w:rsidR="008D417B" w:rsidRPr="009F3468" w:rsidRDefault="008D417B" w:rsidP="009F3468">
      <w:pPr>
        <w:spacing w:before="100" w:beforeAutospacing="1" w:after="100" w:afterAutospacing="1" w:line="276" w:lineRule="auto"/>
        <w:outlineLvl w:val="2"/>
        <w:rPr>
          <w:rFonts w:ascii="Times New Roman" w:hAnsi="Times New Roman"/>
          <w:b/>
          <w:bCs/>
          <w:lang w:val="en-HK"/>
        </w:rPr>
      </w:pPr>
      <w:r w:rsidRPr="009F3468">
        <w:rPr>
          <w:rFonts w:ascii="Times New Roman" w:hAnsi="Times New Roman"/>
          <w:b/>
          <w:bCs/>
          <w:lang w:val="en-HK"/>
        </w:rPr>
        <w:t>I. INTRODUCTION</w:t>
      </w:r>
    </w:p>
    <w:p w14:paraId="17175510" w14:textId="77777777" w:rsidR="008D417B" w:rsidRPr="009F3468" w:rsidRDefault="008D417B"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Context of Free Movement Law</w:t>
      </w:r>
    </w:p>
    <w:p w14:paraId="752715A2" w14:textId="77777777" w:rsidR="008D417B" w:rsidRPr="009F3468" w:rsidRDefault="008D417B" w:rsidP="009F3468">
      <w:pPr>
        <w:numPr>
          <w:ilvl w:val="0"/>
          <w:numId w:val="1"/>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 xml:space="preserve">Van Leeuwen sets the stage by describing the foundational structure of </w:t>
      </w:r>
      <w:r w:rsidRPr="009F3468">
        <w:rPr>
          <w:rFonts w:ascii="Times New Roman" w:hAnsi="Times New Roman"/>
          <w:b/>
          <w:bCs/>
          <w:lang w:val="en-HK"/>
        </w:rPr>
        <w:t>free movement law</w:t>
      </w:r>
      <w:r w:rsidRPr="009F3468">
        <w:rPr>
          <w:rFonts w:ascii="Times New Roman" w:hAnsi="Times New Roman"/>
          <w:lang w:val="en-HK"/>
        </w:rPr>
        <w:t>, which has been shaped by the Court of Justice of the European Union (CJEU).</w:t>
      </w:r>
    </w:p>
    <w:p w14:paraId="7775EB59" w14:textId="77777777" w:rsidR="008D417B" w:rsidRPr="009F3468" w:rsidRDefault="008D417B" w:rsidP="009F3468">
      <w:pPr>
        <w:numPr>
          <w:ilvl w:val="0"/>
          <w:numId w:val="1"/>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Traditional Framework</w:t>
      </w:r>
      <w:r w:rsidRPr="009F3468">
        <w:rPr>
          <w:rFonts w:ascii="Times New Roman" w:hAnsi="Times New Roman"/>
          <w:lang w:val="en-HK"/>
        </w:rPr>
        <w:t>:</w:t>
      </w:r>
    </w:p>
    <w:p w14:paraId="01D2AD26" w14:textId="77777777" w:rsidR="008D417B" w:rsidRPr="009F3468" w:rsidRDefault="008D417B" w:rsidP="009F3468">
      <w:pPr>
        <w:numPr>
          <w:ilvl w:val="1"/>
          <w:numId w:val="1"/>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Free movement law traditionally operates through four sequential analytical pillars:</w:t>
      </w:r>
    </w:p>
    <w:p w14:paraId="0A492901" w14:textId="77777777" w:rsidR="008D417B" w:rsidRPr="009F3468" w:rsidRDefault="008D417B" w:rsidP="009F3468">
      <w:pPr>
        <w:numPr>
          <w:ilvl w:val="2"/>
          <w:numId w:val="1"/>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Scope</w:t>
      </w:r>
      <w:r w:rsidRPr="009F3468">
        <w:rPr>
          <w:rFonts w:ascii="Times New Roman" w:hAnsi="Times New Roman"/>
          <w:lang w:val="en-HK"/>
        </w:rPr>
        <w:t>: Determining whether the situation falls within the scope of EU law, usually by establishing a cross-border element.</w:t>
      </w:r>
    </w:p>
    <w:p w14:paraId="33B6C68F" w14:textId="77777777" w:rsidR="008D417B" w:rsidRPr="009F3468" w:rsidRDefault="008D417B" w:rsidP="009F3468">
      <w:pPr>
        <w:numPr>
          <w:ilvl w:val="2"/>
          <w:numId w:val="1"/>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Direct Effect</w:t>
      </w:r>
      <w:r w:rsidRPr="009F3468">
        <w:rPr>
          <w:rFonts w:ascii="Times New Roman" w:hAnsi="Times New Roman"/>
          <w:lang w:val="en-HK"/>
        </w:rPr>
        <w:t>: Verifying whether the claimant can invoke free movement provisions against the measure or party at issue.</w:t>
      </w:r>
    </w:p>
    <w:p w14:paraId="05EC3974" w14:textId="77777777" w:rsidR="008D417B" w:rsidRPr="009F3468" w:rsidRDefault="008D417B" w:rsidP="009F3468">
      <w:pPr>
        <w:numPr>
          <w:ilvl w:val="2"/>
          <w:numId w:val="1"/>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Restriction</w:t>
      </w:r>
      <w:r w:rsidRPr="009F3468">
        <w:rPr>
          <w:rFonts w:ascii="Times New Roman" w:hAnsi="Times New Roman"/>
          <w:lang w:val="en-HK"/>
        </w:rPr>
        <w:t>: Evaluating whether the national measure restricts free movement rights.</w:t>
      </w:r>
    </w:p>
    <w:p w14:paraId="5264D5BE" w14:textId="77777777" w:rsidR="008D417B" w:rsidRPr="009F3468" w:rsidRDefault="008D417B" w:rsidP="009F3468">
      <w:pPr>
        <w:numPr>
          <w:ilvl w:val="2"/>
          <w:numId w:val="1"/>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Justification</w:t>
      </w:r>
      <w:r w:rsidRPr="009F3468">
        <w:rPr>
          <w:rFonts w:ascii="Times New Roman" w:hAnsi="Times New Roman"/>
          <w:lang w:val="en-HK"/>
        </w:rPr>
        <w:t>: Examining whether the restriction can be justified under public interest grounds and, if so, whether it is proportionate.</w:t>
      </w:r>
    </w:p>
    <w:p w14:paraId="0168BDDF" w14:textId="77777777" w:rsidR="008D417B" w:rsidRPr="009F3468" w:rsidRDefault="008D417B" w:rsidP="009F3468">
      <w:pPr>
        <w:numPr>
          <w:ilvl w:val="1"/>
          <w:numId w:val="1"/>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 xml:space="preserve">This structure creates a </w:t>
      </w:r>
      <w:r w:rsidRPr="009F3468">
        <w:rPr>
          <w:rFonts w:ascii="Times New Roman" w:hAnsi="Times New Roman"/>
          <w:b/>
          <w:bCs/>
          <w:lang w:val="en-HK"/>
        </w:rPr>
        <w:t>step-by-step progression</w:t>
      </w:r>
      <w:r w:rsidRPr="009F3468">
        <w:rPr>
          <w:rFonts w:ascii="Times New Roman" w:hAnsi="Times New Roman"/>
          <w:lang w:val="en-HK"/>
        </w:rPr>
        <w:t>, ensuring clarity and predictability in decision-making.</w:t>
      </w:r>
    </w:p>
    <w:p w14:paraId="2A48B5BB" w14:textId="77777777" w:rsidR="008D417B" w:rsidRPr="009F3468" w:rsidRDefault="008D417B"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Key Developments</w:t>
      </w:r>
    </w:p>
    <w:p w14:paraId="427096BC" w14:textId="77777777" w:rsidR="008D417B" w:rsidRPr="009F3468" w:rsidRDefault="008D417B" w:rsidP="009F3468">
      <w:pPr>
        <w:numPr>
          <w:ilvl w:val="0"/>
          <w:numId w:val="2"/>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Van Leeuwen identifies significant shifts in the application of free movement law:</w:t>
      </w:r>
    </w:p>
    <w:p w14:paraId="74537A6E" w14:textId="77777777" w:rsidR="008D417B" w:rsidRPr="009F3468" w:rsidRDefault="008D417B" w:rsidP="009F3468">
      <w:pPr>
        <w:numPr>
          <w:ilvl w:val="1"/>
          <w:numId w:val="2"/>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Blurring Boundaries Between Pillars</w:t>
      </w:r>
      <w:r w:rsidRPr="009F3468">
        <w:rPr>
          <w:rFonts w:ascii="Times New Roman" w:hAnsi="Times New Roman"/>
          <w:lang w:val="en-HK"/>
        </w:rPr>
        <w:t>:</w:t>
      </w:r>
    </w:p>
    <w:p w14:paraId="418CC52C" w14:textId="77777777" w:rsidR="008D417B" w:rsidRPr="009F3468" w:rsidRDefault="008D417B" w:rsidP="009F3468">
      <w:pPr>
        <w:numPr>
          <w:ilvl w:val="2"/>
          <w:numId w:val="2"/>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The Court increasingly merges the distinct stages of analysis, particularly between:</w:t>
      </w:r>
    </w:p>
    <w:p w14:paraId="50750286" w14:textId="77777777" w:rsidR="008D417B" w:rsidRPr="009F3468" w:rsidRDefault="008D417B" w:rsidP="009F3468">
      <w:pPr>
        <w:numPr>
          <w:ilvl w:val="3"/>
          <w:numId w:val="2"/>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Scope and restriction</w:t>
      </w:r>
      <w:r w:rsidRPr="009F3468">
        <w:rPr>
          <w:rFonts w:ascii="Times New Roman" w:hAnsi="Times New Roman"/>
          <w:lang w:val="en-HK"/>
        </w:rPr>
        <w:t>: Market access considerations sometimes determine whether a case falls within Article 34.</w:t>
      </w:r>
    </w:p>
    <w:p w14:paraId="33EEAAD8" w14:textId="77777777" w:rsidR="008D417B" w:rsidRPr="009F3468" w:rsidRDefault="008D417B" w:rsidP="009F3468">
      <w:pPr>
        <w:numPr>
          <w:ilvl w:val="3"/>
          <w:numId w:val="2"/>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Restriction and justification</w:t>
      </w:r>
      <w:r w:rsidRPr="009F3468">
        <w:rPr>
          <w:rFonts w:ascii="Times New Roman" w:hAnsi="Times New Roman"/>
          <w:lang w:val="en-HK"/>
        </w:rPr>
        <w:t>: Justifications are often invoked without a clear analysis of whether a restriction exists.</w:t>
      </w:r>
    </w:p>
    <w:p w14:paraId="661CE3FA" w14:textId="77777777" w:rsidR="008D417B" w:rsidRPr="009F3468" w:rsidRDefault="008D417B" w:rsidP="009F3468">
      <w:pPr>
        <w:numPr>
          <w:ilvl w:val="1"/>
          <w:numId w:val="2"/>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Centralisation of Proportionality</w:t>
      </w:r>
      <w:r w:rsidRPr="009F3468">
        <w:rPr>
          <w:rFonts w:ascii="Times New Roman" w:hAnsi="Times New Roman"/>
          <w:lang w:val="en-HK"/>
        </w:rPr>
        <w:t>:</w:t>
      </w:r>
    </w:p>
    <w:p w14:paraId="7D62E0E8" w14:textId="77777777" w:rsidR="008D417B" w:rsidRPr="009F3468" w:rsidRDefault="008D417B" w:rsidP="009F3468">
      <w:pPr>
        <w:numPr>
          <w:ilvl w:val="2"/>
          <w:numId w:val="2"/>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 xml:space="preserve">The </w:t>
      </w:r>
      <w:r w:rsidRPr="009F3468">
        <w:rPr>
          <w:rFonts w:ascii="Times New Roman" w:hAnsi="Times New Roman"/>
          <w:b/>
          <w:bCs/>
          <w:lang w:val="en-HK"/>
        </w:rPr>
        <w:t>proportionality test</w:t>
      </w:r>
      <w:r w:rsidRPr="009F3468">
        <w:rPr>
          <w:rFonts w:ascii="Times New Roman" w:hAnsi="Times New Roman"/>
          <w:lang w:val="en-HK"/>
        </w:rPr>
        <w:t xml:space="preserve"> has become the dominant analytical tool, overtaking other stages of free movement law.</w:t>
      </w:r>
    </w:p>
    <w:p w14:paraId="555B247C" w14:textId="77777777" w:rsidR="008D417B" w:rsidRPr="009F3468" w:rsidRDefault="008D417B" w:rsidP="009F3468">
      <w:pPr>
        <w:numPr>
          <w:ilvl w:val="2"/>
          <w:numId w:val="2"/>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Proportionality serves as the ultimate balancing mechanism, assessing the legitimacy and necessity of national measures.</w:t>
      </w:r>
    </w:p>
    <w:p w14:paraId="24937ACC" w14:textId="77777777" w:rsidR="008D417B" w:rsidRPr="009F3468" w:rsidRDefault="008D417B" w:rsidP="009F3468">
      <w:pPr>
        <w:numPr>
          <w:ilvl w:val="1"/>
          <w:numId w:val="3"/>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 xml:space="preserve">This shift has led to a </w:t>
      </w:r>
      <w:r w:rsidRPr="009F3468">
        <w:rPr>
          <w:rFonts w:ascii="Times New Roman" w:hAnsi="Times New Roman"/>
          <w:b/>
          <w:bCs/>
          <w:lang w:val="en-HK"/>
        </w:rPr>
        <w:t>more flexible but less predictable framework</w:t>
      </w:r>
      <w:r w:rsidRPr="009F3468">
        <w:rPr>
          <w:rFonts w:ascii="Times New Roman" w:hAnsi="Times New Roman"/>
          <w:lang w:val="en-HK"/>
        </w:rPr>
        <w:t>.</w:t>
      </w:r>
    </w:p>
    <w:p w14:paraId="48DA9E1B" w14:textId="77777777" w:rsidR="008D417B" w:rsidRPr="009F3468"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58313BE7">
          <v:rect id="_x0000_i1059" alt="" style="width:451.3pt;height:.05pt;mso-width-percent:0;mso-height-percent:0;mso-width-percent:0;mso-height-percent:0" o:hralign="center" o:hrstd="t" o:hr="t" fillcolor="#a0a0a0" stroked="f"/>
        </w:pict>
      </w:r>
    </w:p>
    <w:p w14:paraId="05F03BEB" w14:textId="77777777" w:rsidR="008D417B" w:rsidRPr="009F3468" w:rsidRDefault="008D417B"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Problems with the Current Framework</w:t>
      </w:r>
    </w:p>
    <w:p w14:paraId="6C374C22" w14:textId="77777777" w:rsidR="008D417B" w:rsidRPr="009F3468" w:rsidRDefault="008D417B" w:rsidP="009F3468">
      <w:pPr>
        <w:numPr>
          <w:ilvl w:val="0"/>
          <w:numId w:val="4"/>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Legal Uncertainty</w:t>
      </w:r>
      <w:r w:rsidRPr="009F3468">
        <w:rPr>
          <w:rFonts w:ascii="Times New Roman" w:hAnsi="Times New Roman"/>
          <w:lang w:val="en-HK"/>
        </w:rPr>
        <w:t>:</w:t>
      </w:r>
    </w:p>
    <w:p w14:paraId="2070A32C" w14:textId="77777777" w:rsidR="008D417B" w:rsidRPr="009F3468" w:rsidRDefault="008D417B" w:rsidP="009F3468">
      <w:pPr>
        <w:numPr>
          <w:ilvl w:val="1"/>
          <w:numId w:val="4"/>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lastRenderedPageBreak/>
        <w:t>The merging of pillars undermines the clarity of free movement law, making it harder for national courts, governments, and individuals to anticipate outcomes.</w:t>
      </w:r>
    </w:p>
    <w:p w14:paraId="1C309B57" w14:textId="77777777" w:rsidR="008D417B" w:rsidRPr="009F3468" w:rsidRDefault="008D417B" w:rsidP="009F3468">
      <w:pPr>
        <w:numPr>
          <w:ilvl w:val="1"/>
          <w:numId w:val="4"/>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Example: Cases involving selling arrangements (</w:t>
      </w:r>
      <w:r w:rsidRPr="009F3468">
        <w:rPr>
          <w:rFonts w:ascii="Times New Roman" w:hAnsi="Times New Roman"/>
          <w:i/>
          <w:iCs/>
          <w:lang w:val="en-HK"/>
        </w:rPr>
        <w:t xml:space="preserve">Keck and </w:t>
      </w:r>
      <w:proofErr w:type="spellStart"/>
      <w:r w:rsidRPr="009F3468">
        <w:rPr>
          <w:rFonts w:ascii="Times New Roman" w:hAnsi="Times New Roman"/>
          <w:i/>
          <w:iCs/>
          <w:lang w:val="en-HK"/>
        </w:rPr>
        <w:t>Mithouard</w:t>
      </w:r>
      <w:proofErr w:type="spellEnd"/>
      <w:r w:rsidRPr="009F3468">
        <w:rPr>
          <w:rFonts w:ascii="Times New Roman" w:hAnsi="Times New Roman"/>
          <w:i/>
          <w:iCs/>
          <w:lang w:val="en-HK"/>
        </w:rPr>
        <w:t>, Joined Cases C-267/91 and C-268/91</w:t>
      </w:r>
      <w:r w:rsidRPr="009F3468">
        <w:rPr>
          <w:rFonts w:ascii="Times New Roman" w:hAnsi="Times New Roman"/>
          <w:lang w:val="en-HK"/>
        </w:rPr>
        <w:t>) sometimes blur into market access analyses (</w:t>
      </w:r>
      <w:r w:rsidRPr="009F3468">
        <w:rPr>
          <w:rFonts w:ascii="Times New Roman" w:hAnsi="Times New Roman"/>
          <w:i/>
          <w:iCs/>
          <w:lang w:val="en-HK"/>
        </w:rPr>
        <w:t>Commission v Italy, Italian Trailers, Case C-110/05</w:t>
      </w:r>
      <w:r w:rsidRPr="009F3468">
        <w:rPr>
          <w:rFonts w:ascii="Times New Roman" w:hAnsi="Times New Roman"/>
          <w:lang w:val="en-HK"/>
        </w:rPr>
        <w:t>).</w:t>
      </w:r>
    </w:p>
    <w:p w14:paraId="0FC40F9B" w14:textId="77777777" w:rsidR="008D417B" w:rsidRPr="009F3468" w:rsidRDefault="008D417B" w:rsidP="009F3468">
      <w:pPr>
        <w:numPr>
          <w:ilvl w:val="0"/>
          <w:numId w:val="4"/>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‘Backwards Reasoning’</w:t>
      </w:r>
      <w:r w:rsidRPr="009F3468">
        <w:rPr>
          <w:rFonts w:ascii="Times New Roman" w:hAnsi="Times New Roman"/>
          <w:lang w:val="en-HK"/>
        </w:rPr>
        <w:t>:</w:t>
      </w:r>
    </w:p>
    <w:p w14:paraId="6F976D38" w14:textId="77777777" w:rsidR="008D417B" w:rsidRPr="009F3468" w:rsidRDefault="008D417B" w:rsidP="009F3468">
      <w:pPr>
        <w:numPr>
          <w:ilvl w:val="1"/>
          <w:numId w:val="4"/>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Van Leeuwen criticises the CJEU for engaging in reasoning that starts from the proportionality stage (justifications) and works backward to determine restriction or scope.</w:t>
      </w:r>
    </w:p>
    <w:p w14:paraId="1F45FB3A" w14:textId="77777777" w:rsidR="008D417B" w:rsidRPr="009F3468" w:rsidRDefault="008D417B" w:rsidP="009F3468">
      <w:pPr>
        <w:numPr>
          <w:ilvl w:val="1"/>
          <w:numId w:val="4"/>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 xml:space="preserve">Example: In </w:t>
      </w:r>
      <w:proofErr w:type="spellStart"/>
      <w:r w:rsidRPr="009F3468">
        <w:rPr>
          <w:rFonts w:ascii="Times New Roman" w:hAnsi="Times New Roman"/>
          <w:b/>
          <w:bCs/>
          <w:lang w:val="en-HK"/>
        </w:rPr>
        <w:t>PreussenElektra</w:t>
      </w:r>
      <w:proofErr w:type="spellEnd"/>
      <w:r w:rsidRPr="009F3468">
        <w:rPr>
          <w:rFonts w:ascii="Times New Roman" w:hAnsi="Times New Roman"/>
          <w:b/>
          <w:bCs/>
          <w:lang w:val="en-HK"/>
        </w:rPr>
        <w:t xml:space="preserve"> (Case C-379/98)</w:t>
      </w:r>
      <w:r w:rsidRPr="009F3468">
        <w:rPr>
          <w:rFonts w:ascii="Times New Roman" w:hAnsi="Times New Roman"/>
          <w:lang w:val="en-HK"/>
        </w:rPr>
        <w:t>, the Court justified a measure on environmental grounds without fully addressing whether a restriction existed.</w:t>
      </w:r>
    </w:p>
    <w:p w14:paraId="5AC3998A" w14:textId="77777777" w:rsidR="008D417B" w:rsidRPr="009F3468" w:rsidRDefault="008D417B" w:rsidP="009F3468">
      <w:pPr>
        <w:numPr>
          <w:ilvl w:val="0"/>
          <w:numId w:val="4"/>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Doctrinal Fragmentation</w:t>
      </w:r>
      <w:r w:rsidRPr="009F3468">
        <w:rPr>
          <w:rFonts w:ascii="Times New Roman" w:hAnsi="Times New Roman"/>
          <w:lang w:val="en-HK"/>
        </w:rPr>
        <w:t>:</w:t>
      </w:r>
    </w:p>
    <w:p w14:paraId="1CE62930" w14:textId="77777777" w:rsidR="008D417B" w:rsidRPr="009F3468" w:rsidRDefault="008D417B" w:rsidP="009F3468">
      <w:pPr>
        <w:numPr>
          <w:ilvl w:val="1"/>
          <w:numId w:val="4"/>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By focusing heavily on proportionality, the Court risks destabilising the structural coherence of free movement law.</w:t>
      </w:r>
    </w:p>
    <w:p w14:paraId="44C6D90C" w14:textId="77777777" w:rsidR="008D417B" w:rsidRPr="009F3468"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7B59711B">
          <v:rect id="_x0000_i1058" alt="" style="width:451.3pt;height:.05pt;mso-width-percent:0;mso-height-percent:0;mso-width-percent:0;mso-height-percent:0" o:hralign="center" o:hrstd="t" o:hr="t" fillcolor="#a0a0a0" stroked="f"/>
        </w:pict>
      </w:r>
    </w:p>
    <w:p w14:paraId="1B818D8F" w14:textId="77777777" w:rsidR="008D417B" w:rsidRPr="009F3468" w:rsidRDefault="008D417B"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The Role of Proportionality</w:t>
      </w:r>
    </w:p>
    <w:p w14:paraId="54206583" w14:textId="77777777" w:rsidR="008D417B" w:rsidRPr="009F3468" w:rsidRDefault="008D417B" w:rsidP="009F3468">
      <w:pPr>
        <w:numPr>
          <w:ilvl w:val="0"/>
          <w:numId w:val="5"/>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Evolution of Proportionality</w:t>
      </w:r>
      <w:r w:rsidRPr="009F3468">
        <w:rPr>
          <w:rFonts w:ascii="Times New Roman" w:hAnsi="Times New Roman"/>
          <w:lang w:val="en-HK"/>
        </w:rPr>
        <w:t>:</w:t>
      </w:r>
    </w:p>
    <w:p w14:paraId="79E34620" w14:textId="77777777" w:rsidR="008D417B" w:rsidRPr="009F3468" w:rsidRDefault="008D417B" w:rsidP="009F3468">
      <w:pPr>
        <w:numPr>
          <w:ilvl w:val="1"/>
          <w:numId w:val="5"/>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Historically, proportionality was applied at the justification stage to assess whether a restriction could be justified under public interest grounds.</w:t>
      </w:r>
    </w:p>
    <w:p w14:paraId="1F063D47" w14:textId="77777777" w:rsidR="008D417B" w:rsidRPr="009F3468" w:rsidRDefault="008D417B" w:rsidP="009F3468">
      <w:pPr>
        <w:numPr>
          <w:ilvl w:val="1"/>
          <w:numId w:val="5"/>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Over time, proportionality has expanded into other stages, influencing the analysis of restriction and scope.</w:t>
      </w:r>
    </w:p>
    <w:p w14:paraId="4D6985D0" w14:textId="77777777" w:rsidR="008D417B" w:rsidRPr="009F3468" w:rsidRDefault="008D417B" w:rsidP="009F3468">
      <w:pPr>
        <w:numPr>
          <w:ilvl w:val="0"/>
          <w:numId w:val="5"/>
        </w:numPr>
        <w:spacing w:before="100" w:beforeAutospacing="1" w:after="100" w:afterAutospacing="1" w:line="276" w:lineRule="auto"/>
        <w:rPr>
          <w:rFonts w:ascii="Times New Roman" w:hAnsi="Times New Roman"/>
          <w:lang w:val="en-HK"/>
        </w:rPr>
      </w:pPr>
      <w:proofErr w:type="spellStart"/>
      <w:r w:rsidRPr="009F3468">
        <w:rPr>
          <w:rFonts w:ascii="Times New Roman" w:hAnsi="Times New Roman"/>
          <w:b/>
          <w:bCs/>
          <w:lang w:val="en-HK"/>
        </w:rPr>
        <w:t>Effet</w:t>
      </w:r>
      <w:proofErr w:type="spellEnd"/>
      <w:r w:rsidRPr="009F3468">
        <w:rPr>
          <w:rFonts w:ascii="Times New Roman" w:hAnsi="Times New Roman"/>
          <w:b/>
          <w:bCs/>
          <w:lang w:val="en-HK"/>
        </w:rPr>
        <w:t xml:space="preserve"> Utile</w:t>
      </w:r>
      <w:r w:rsidRPr="009F3468">
        <w:rPr>
          <w:rFonts w:ascii="Times New Roman" w:hAnsi="Times New Roman"/>
          <w:lang w:val="en-HK"/>
        </w:rPr>
        <w:t>:</w:t>
      </w:r>
    </w:p>
    <w:p w14:paraId="643F5F2B" w14:textId="77777777" w:rsidR="008D417B" w:rsidRPr="009F3468" w:rsidRDefault="008D417B" w:rsidP="009F3468">
      <w:pPr>
        <w:numPr>
          <w:ilvl w:val="1"/>
          <w:numId w:val="5"/>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 xml:space="preserve">The Court’s emphasis on proportionality reflects its commitment to the </w:t>
      </w:r>
      <w:proofErr w:type="spellStart"/>
      <w:r w:rsidRPr="009F3468">
        <w:rPr>
          <w:rFonts w:ascii="Times New Roman" w:hAnsi="Times New Roman"/>
          <w:b/>
          <w:bCs/>
          <w:lang w:val="en-HK"/>
        </w:rPr>
        <w:t>effet</w:t>
      </w:r>
      <w:proofErr w:type="spellEnd"/>
      <w:r w:rsidRPr="009F3468">
        <w:rPr>
          <w:rFonts w:ascii="Times New Roman" w:hAnsi="Times New Roman"/>
          <w:b/>
          <w:bCs/>
          <w:lang w:val="en-HK"/>
        </w:rPr>
        <w:t xml:space="preserve"> utile</w:t>
      </w:r>
      <w:r w:rsidRPr="009F3468">
        <w:rPr>
          <w:rFonts w:ascii="Times New Roman" w:hAnsi="Times New Roman"/>
          <w:lang w:val="en-HK"/>
        </w:rPr>
        <w:t xml:space="preserve"> (effective application) of free movement law, ensuring that EU rights are not undermined by national measures.</w:t>
      </w:r>
    </w:p>
    <w:p w14:paraId="6E32CFF5" w14:textId="77777777" w:rsidR="008D417B" w:rsidRPr="009F3468" w:rsidRDefault="008D417B" w:rsidP="009F3468">
      <w:pPr>
        <w:numPr>
          <w:ilvl w:val="1"/>
          <w:numId w:val="5"/>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However, Van Leeuwen warns that this centralisation has come at the expense of legal certainty and predictability.</w:t>
      </w:r>
    </w:p>
    <w:p w14:paraId="2E60D3F4" w14:textId="77777777" w:rsidR="008D417B" w:rsidRPr="009F3468"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76B4DA2B">
          <v:rect id="_x0000_i1057" alt="" style="width:451.3pt;height:.05pt;mso-width-percent:0;mso-height-percent:0;mso-width-percent:0;mso-height-percent:0" o:hralign="center" o:hrstd="t" o:hr="t" fillcolor="#a0a0a0" stroked="f"/>
        </w:pict>
      </w:r>
    </w:p>
    <w:p w14:paraId="53B00B56" w14:textId="77777777" w:rsidR="008D417B" w:rsidRPr="009F3468" w:rsidRDefault="008D417B"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Purpose and Structure of the Article</w:t>
      </w:r>
    </w:p>
    <w:p w14:paraId="23AFB7F6" w14:textId="77777777" w:rsidR="008D417B" w:rsidRPr="009F3468" w:rsidRDefault="008D417B" w:rsidP="009F3468">
      <w:pPr>
        <w:numPr>
          <w:ilvl w:val="0"/>
          <w:numId w:val="6"/>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Van Leeuwen’s central aim is to critically examine the impact of these developments on the structure of free movement law, particularly the consequences of proportionality’s centralisation.</w:t>
      </w:r>
    </w:p>
    <w:p w14:paraId="27312A6A" w14:textId="77777777" w:rsidR="008D417B" w:rsidRPr="009F3468" w:rsidRDefault="008D417B" w:rsidP="009F3468">
      <w:pPr>
        <w:numPr>
          <w:ilvl w:val="0"/>
          <w:numId w:val="6"/>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The article is divided into four main sections:</w:t>
      </w:r>
    </w:p>
    <w:p w14:paraId="2434FA61" w14:textId="77777777" w:rsidR="008D417B" w:rsidRPr="009F3468" w:rsidRDefault="008D417B" w:rsidP="009F3468">
      <w:pPr>
        <w:numPr>
          <w:ilvl w:val="1"/>
          <w:numId w:val="6"/>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The Structure of Free Movement Law</w:t>
      </w:r>
      <w:r w:rsidRPr="009F3468">
        <w:rPr>
          <w:rFonts w:ascii="Times New Roman" w:hAnsi="Times New Roman"/>
          <w:lang w:val="en-HK"/>
        </w:rPr>
        <w:t>:</w:t>
      </w:r>
    </w:p>
    <w:p w14:paraId="1F7614DC" w14:textId="77777777" w:rsidR="008D417B" w:rsidRPr="009F3468" w:rsidRDefault="008D417B" w:rsidP="009F3468">
      <w:pPr>
        <w:numPr>
          <w:ilvl w:val="2"/>
          <w:numId w:val="6"/>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An analysis of the traditional framework and its doctrinal underpinnings.</w:t>
      </w:r>
    </w:p>
    <w:p w14:paraId="100B098D" w14:textId="77777777" w:rsidR="008D417B" w:rsidRPr="009F3468" w:rsidRDefault="008D417B" w:rsidP="009F3468">
      <w:pPr>
        <w:numPr>
          <w:ilvl w:val="1"/>
          <w:numId w:val="6"/>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lastRenderedPageBreak/>
        <w:t>Three Key Developments</w:t>
      </w:r>
      <w:r w:rsidRPr="009F3468">
        <w:rPr>
          <w:rFonts w:ascii="Times New Roman" w:hAnsi="Times New Roman"/>
          <w:lang w:val="en-HK"/>
        </w:rPr>
        <w:t>:</w:t>
      </w:r>
    </w:p>
    <w:p w14:paraId="127A2098" w14:textId="77777777" w:rsidR="008D417B" w:rsidRPr="009F3468" w:rsidRDefault="008D417B" w:rsidP="009F3468">
      <w:pPr>
        <w:numPr>
          <w:ilvl w:val="2"/>
          <w:numId w:val="6"/>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Exploration of how the interaction between pillars (scope, restriction, justification) has evolved.</w:t>
      </w:r>
    </w:p>
    <w:p w14:paraId="72412DCC" w14:textId="77777777" w:rsidR="008D417B" w:rsidRPr="009F3468" w:rsidRDefault="008D417B" w:rsidP="009F3468">
      <w:pPr>
        <w:numPr>
          <w:ilvl w:val="1"/>
          <w:numId w:val="6"/>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Centralisation of Proportionality</w:t>
      </w:r>
      <w:r w:rsidRPr="009F3468">
        <w:rPr>
          <w:rFonts w:ascii="Times New Roman" w:hAnsi="Times New Roman"/>
          <w:lang w:val="en-HK"/>
        </w:rPr>
        <w:t>:</w:t>
      </w:r>
    </w:p>
    <w:p w14:paraId="4986EF5C" w14:textId="77777777" w:rsidR="008D417B" w:rsidRPr="009F3468" w:rsidRDefault="008D417B" w:rsidP="009F3468">
      <w:pPr>
        <w:numPr>
          <w:ilvl w:val="2"/>
          <w:numId w:val="6"/>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A detailed critique of proportionality’s dominant role in free movement cases.</w:t>
      </w:r>
    </w:p>
    <w:p w14:paraId="589966D3" w14:textId="77777777" w:rsidR="008D417B" w:rsidRPr="009F3468" w:rsidRDefault="008D417B" w:rsidP="009F3468">
      <w:pPr>
        <w:numPr>
          <w:ilvl w:val="1"/>
          <w:numId w:val="6"/>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Conclusion</w:t>
      </w:r>
      <w:r w:rsidRPr="009F3468">
        <w:rPr>
          <w:rFonts w:ascii="Times New Roman" w:hAnsi="Times New Roman"/>
          <w:lang w:val="en-HK"/>
        </w:rPr>
        <w:t>:</w:t>
      </w:r>
    </w:p>
    <w:p w14:paraId="100A94A8" w14:textId="77777777" w:rsidR="008D417B" w:rsidRPr="009F3468" w:rsidRDefault="008D417B" w:rsidP="009F3468">
      <w:pPr>
        <w:numPr>
          <w:ilvl w:val="2"/>
          <w:numId w:val="6"/>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Recommendations for restoring clarity and coherence to free movement law.</w:t>
      </w:r>
    </w:p>
    <w:p w14:paraId="00F5A902" w14:textId="77777777" w:rsidR="008D417B" w:rsidRPr="009F3468"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551CA23B">
          <v:rect id="_x0000_i1056" alt="" style="width:451.3pt;height:.05pt;mso-width-percent:0;mso-height-percent:0;mso-width-percent:0;mso-height-percent:0" o:hralign="center" o:hrstd="t" o:hr="t" fillcolor="#a0a0a0" stroked="f"/>
        </w:pict>
      </w:r>
    </w:p>
    <w:p w14:paraId="6B615923" w14:textId="77777777" w:rsidR="008D417B" w:rsidRPr="009F3468" w:rsidRDefault="008D417B"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Key Arguments</w:t>
      </w:r>
    </w:p>
    <w:p w14:paraId="10A58263" w14:textId="77777777" w:rsidR="008D417B" w:rsidRPr="009F3468" w:rsidRDefault="008D417B" w:rsidP="009F3468">
      <w:pPr>
        <w:numPr>
          <w:ilvl w:val="0"/>
          <w:numId w:val="7"/>
        </w:numPr>
        <w:spacing w:before="100" w:beforeAutospacing="1" w:after="100" w:afterAutospacing="1" w:line="276" w:lineRule="auto"/>
        <w:rPr>
          <w:rFonts w:ascii="Times New Roman" w:hAnsi="Times New Roman"/>
          <w:highlight w:val="yellow"/>
          <w:lang w:val="en-HK"/>
        </w:rPr>
      </w:pPr>
      <w:r w:rsidRPr="009F3468">
        <w:rPr>
          <w:rFonts w:ascii="Times New Roman" w:hAnsi="Times New Roman"/>
          <w:highlight w:val="yellow"/>
          <w:lang w:val="en-HK"/>
        </w:rPr>
        <w:t>Proportionality as a Double-Edged Sword:</w:t>
      </w:r>
    </w:p>
    <w:p w14:paraId="3887D9C5" w14:textId="77777777" w:rsidR="008D417B" w:rsidRPr="009F3468" w:rsidRDefault="008D417B" w:rsidP="009F3468">
      <w:pPr>
        <w:numPr>
          <w:ilvl w:val="1"/>
          <w:numId w:val="7"/>
        </w:numPr>
        <w:spacing w:before="100" w:beforeAutospacing="1" w:after="100" w:afterAutospacing="1" w:line="276" w:lineRule="auto"/>
        <w:rPr>
          <w:rFonts w:ascii="Times New Roman" w:hAnsi="Times New Roman"/>
          <w:highlight w:val="yellow"/>
          <w:lang w:val="en-HK"/>
        </w:rPr>
      </w:pPr>
      <w:r w:rsidRPr="009F3468">
        <w:rPr>
          <w:rFonts w:ascii="Times New Roman" w:hAnsi="Times New Roman"/>
          <w:highlight w:val="yellow"/>
          <w:lang w:val="en-HK"/>
        </w:rPr>
        <w:t>While proportionality enables a flexible, context-sensitive approach to free movement disputes, its overuse undermines the structural integrity of free movement law.</w:t>
      </w:r>
    </w:p>
    <w:p w14:paraId="4EBA312F" w14:textId="77777777" w:rsidR="008D417B" w:rsidRPr="009F3468" w:rsidRDefault="008D417B" w:rsidP="009F3468">
      <w:pPr>
        <w:numPr>
          <w:ilvl w:val="0"/>
          <w:numId w:val="7"/>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Judicial Activism and Centralisation</w:t>
      </w:r>
      <w:r w:rsidRPr="009F3468">
        <w:rPr>
          <w:rFonts w:ascii="Times New Roman" w:hAnsi="Times New Roman"/>
          <w:lang w:val="en-HK"/>
        </w:rPr>
        <w:t>:</w:t>
      </w:r>
    </w:p>
    <w:p w14:paraId="57FDB103" w14:textId="77777777" w:rsidR="008D417B" w:rsidRPr="009F3468" w:rsidRDefault="008D417B" w:rsidP="009F3468">
      <w:pPr>
        <w:numPr>
          <w:ilvl w:val="1"/>
          <w:numId w:val="7"/>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The Court’s reliance on proportionality reflects its broader role in shaping the internal market but raises concerns about judicial overreach and erosion of Member State autonomy.</w:t>
      </w:r>
    </w:p>
    <w:p w14:paraId="3A7CB13B" w14:textId="77777777" w:rsidR="008D417B" w:rsidRPr="009F3468" w:rsidRDefault="008D417B" w:rsidP="009F3468">
      <w:pPr>
        <w:numPr>
          <w:ilvl w:val="0"/>
          <w:numId w:val="7"/>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Restoring Balance</w:t>
      </w:r>
      <w:r w:rsidRPr="009F3468">
        <w:rPr>
          <w:rFonts w:ascii="Times New Roman" w:hAnsi="Times New Roman"/>
          <w:lang w:val="en-HK"/>
        </w:rPr>
        <w:t>:</w:t>
      </w:r>
    </w:p>
    <w:p w14:paraId="5CA808E9" w14:textId="77777777" w:rsidR="008D417B" w:rsidRPr="009F3468" w:rsidRDefault="008D417B" w:rsidP="009F3468">
      <w:pPr>
        <w:numPr>
          <w:ilvl w:val="1"/>
          <w:numId w:val="7"/>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Van Leeuwen advocates for a return to the traditional step-by-step approach, ensuring that each pillar (scope, restriction, justification) is independently and consistently addressed.</w:t>
      </w:r>
    </w:p>
    <w:p w14:paraId="356AC2BD" w14:textId="77777777" w:rsidR="008D417B" w:rsidRPr="009F3468"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3A99BCF6">
          <v:rect id="_x0000_i1055" alt="" style="width:451.3pt;height:.05pt;mso-width-percent:0;mso-height-percent:0;mso-width-percent:0;mso-height-percent:0" o:hralign="center" o:hrstd="t" o:hr="t" fillcolor="#a0a0a0" stroked="f"/>
        </w:pict>
      </w:r>
    </w:p>
    <w:p w14:paraId="5BBD9C4F" w14:textId="77777777" w:rsidR="008D417B" w:rsidRPr="009F3468" w:rsidRDefault="008D417B" w:rsidP="009F3468">
      <w:pPr>
        <w:spacing w:before="100" w:beforeAutospacing="1" w:after="100" w:afterAutospacing="1" w:line="276" w:lineRule="auto"/>
        <w:outlineLvl w:val="2"/>
        <w:rPr>
          <w:rFonts w:ascii="Times New Roman" w:hAnsi="Times New Roman"/>
          <w:b/>
          <w:bCs/>
          <w:lang w:val="en-HK"/>
        </w:rPr>
      </w:pPr>
      <w:r w:rsidRPr="009F3468">
        <w:rPr>
          <w:rFonts w:ascii="Times New Roman" w:hAnsi="Times New Roman"/>
          <w:b/>
          <w:bCs/>
          <w:lang w:val="en-HK"/>
        </w:rPr>
        <w:t>Conclusion of the Introduction</w:t>
      </w:r>
    </w:p>
    <w:p w14:paraId="14225FC3" w14:textId="77777777" w:rsidR="008D417B" w:rsidRPr="009F3468" w:rsidRDefault="008D417B" w:rsidP="009F3468">
      <w:pPr>
        <w:numPr>
          <w:ilvl w:val="0"/>
          <w:numId w:val="8"/>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Van Leeuwen introduces the reader to a critical examination of the evolving structure of free movement law, focusing on the centralisation of proportionality and its impact on legal certainty and doctrinal coherence.</w:t>
      </w:r>
    </w:p>
    <w:p w14:paraId="05C0863F" w14:textId="77777777" w:rsidR="008D417B" w:rsidRPr="009F3468" w:rsidRDefault="008D417B" w:rsidP="009F3468">
      <w:pPr>
        <w:numPr>
          <w:ilvl w:val="0"/>
          <w:numId w:val="8"/>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The introduction sets the stage for the article’s broader argument: that the CJEU must strike a balance between the effective application of free movement law and the structural integrity of its analytical framework.</w:t>
      </w:r>
    </w:p>
    <w:p w14:paraId="45EAE086" w14:textId="77777777" w:rsidR="008D417B" w:rsidRPr="009F3468"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6DE36AB3">
          <v:rect id="_x0000_i1054" alt="" style="width:451.3pt;height:.05pt;mso-width-percent:0;mso-height-percent:0;mso-width-percent:0;mso-height-percent:0" o:hralign="center" o:hrstd="t" o:hr="t" fillcolor="#a0a0a0" stroked="f"/>
        </w:pict>
      </w:r>
    </w:p>
    <w:p w14:paraId="3FF4D17D" w14:textId="77777777" w:rsidR="000A092E" w:rsidRPr="009F3468" w:rsidRDefault="000A092E" w:rsidP="009F3468">
      <w:pPr>
        <w:spacing w:before="100" w:beforeAutospacing="1" w:after="100" w:afterAutospacing="1" w:line="276" w:lineRule="auto"/>
        <w:outlineLvl w:val="2"/>
        <w:rPr>
          <w:rFonts w:ascii="Times New Roman" w:hAnsi="Times New Roman"/>
          <w:b/>
          <w:bCs/>
          <w:lang w:val="en-HK"/>
        </w:rPr>
      </w:pPr>
      <w:r w:rsidRPr="009F3468">
        <w:rPr>
          <w:rFonts w:ascii="Times New Roman" w:hAnsi="Times New Roman"/>
          <w:b/>
          <w:bCs/>
          <w:lang w:val="en-HK"/>
        </w:rPr>
        <w:t>II. The Structure of Free Movement Law</w:t>
      </w:r>
    </w:p>
    <w:p w14:paraId="2E158732" w14:textId="77777777" w:rsidR="000A092E" w:rsidRPr="009F3468" w:rsidRDefault="000A092E"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Traditional Analytical Framework</w:t>
      </w:r>
    </w:p>
    <w:p w14:paraId="0AF05A64"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Four-Step Structure</w:t>
      </w:r>
      <w:r w:rsidRPr="009F3468">
        <w:rPr>
          <w:rFonts w:ascii="Times New Roman" w:hAnsi="Times New Roman"/>
          <w:lang w:val="en-HK"/>
        </w:rPr>
        <w:t>:</w:t>
      </w:r>
    </w:p>
    <w:p w14:paraId="41C85DE8" w14:textId="77777777" w:rsidR="000A092E" w:rsidRPr="009F3468" w:rsidRDefault="000A092E" w:rsidP="009F3468">
      <w:pPr>
        <w:spacing w:before="100" w:beforeAutospacing="1" w:after="100" w:afterAutospacing="1" w:line="276" w:lineRule="auto"/>
        <w:rPr>
          <w:rFonts w:ascii="Times New Roman" w:hAnsi="Times New Roman"/>
          <w:b/>
          <w:bCs/>
          <w:highlight w:val="yellow"/>
          <w:lang w:val="en-HK"/>
        </w:rPr>
      </w:pPr>
      <w:r w:rsidRPr="009F3468">
        <w:rPr>
          <w:rFonts w:ascii="Times New Roman" w:hAnsi="Times New Roman"/>
          <w:b/>
          <w:bCs/>
          <w:highlight w:val="yellow"/>
          <w:lang w:val="en-HK"/>
        </w:rPr>
        <w:lastRenderedPageBreak/>
        <w:t>Free movement law traditionally follows a clear, step-by-step process to determine whether a national measure violates EU free movement provisions. These steps are:</w:t>
      </w:r>
    </w:p>
    <w:p w14:paraId="3EC7743C" w14:textId="77777777" w:rsidR="000A092E" w:rsidRPr="009F3468" w:rsidRDefault="000A092E" w:rsidP="009F3468">
      <w:pPr>
        <w:numPr>
          <w:ilvl w:val="2"/>
          <w:numId w:val="9"/>
        </w:numPr>
        <w:spacing w:before="100" w:beforeAutospacing="1" w:after="100" w:afterAutospacing="1" w:line="276" w:lineRule="auto"/>
        <w:rPr>
          <w:rFonts w:ascii="Times New Roman" w:hAnsi="Times New Roman"/>
          <w:b/>
          <w:bCs/>
          <w:highlight w:val="yellow"/>
          <w:lang w:val="en-HK"/>
        </w:rPr>
      </w:pPr>
      <w:r w:rsidRPr="009F3468">
        <w:rPr>
          <w:rFonts w:ascii="Times New Roman" w:hAnsi="Times New Roman"/>
          <w:b/>
          <w:bCs/>
          <w:highlight w:val="yellow"/>
          <w:lang w:val="en-HK"/>
        </w:rPr>
        <w:t>Scope: Determining whether the situation falls within the ambit of EU law (e.g., involving cross-border trade).</w:t>
      </w:r>
    </w:p>
    <w:p w14:paraId="04C2EB4E" w14:textId="77777777" w:rsidR="000A092E" w:rsidRPr="009F3468" w:rsidRDefault="000A092E" w:rsidP="009F3468">
      <w:pPr>
        <w:numPr>
          <w:ilvl w:val="2"/>
          <w:numId w:val="9"/>
        </w:numPr>
        <w:spacing w:before="100" w:beforeAutospacing="1" w:after="100" w:afterAutospacing="1" w:line="276" w:lineRule="auto"/>
        <w:rPr>
          <w:rFonts w:ascii="Times New Roman" w:hAnsi="Times New Roman"/>
          <w:b/>
          <w:bCs/>
          <w:highlight w:val="yellow"/>
          <w:lang w:val="en-HK"/>
        </w:rPr>
      </w:pPr>
      <w:r w:rsidRPr="009F3468">
        <w:rPr>
          <w:rFonts w:ascii="Times New Roman" w:hAnsi="Times New Roman"/>
          <w:b/>
          <w:bCs/>
          <w:highlight w:val="yellow"/>
          <w:lang w:val="en-HK"/>
        </w:rPr>
        <w:t>Direct Effect: Establishing whether the provision is directly effective and can be invoked by the claimant.</w:t>
      </w:r>
    </w:p>
    <w:p w14:paraId="44C9CA14" w14:textId="77777777" w:rsidR="000A092E" w:rsidRPr="009F3468" w:rsidRDefault="000A092E" w:rsidP="009F3468">
      <w:pPr>
        <w:numPr>
          <w:ilvl w:val="2"/>
          <w:numId w:val="9"/>
        </w:numPr>
        <w:spacing w:before="100" w:beforeAutospacing="1" w:after="100" w:afterAutospacing="1" w:line="276" w:lineRule="auto"/>
        <w:rPr>
          <w:rFonts w:ascii="Times New Roman" w:hAnsi="Times New Roman"/>
          <w:b/>
          <w:bCs/>
          <w:highlight w:val="yellow"/>
          <w:lang w:val="en-HK"/>
        </w:rPr>
      </w:pPr>
      <w:r w:rsidRPr="009F3468">
        <w:rPr>
          <w:rFonts w:ascii="Times New Roman" w:hAnsi="Times New Roman"/>
          <w:b/>
          <w:bCs/>
          <w:highlight w:val="yellow"/>
          <w:lang w:val="en-HK"/>
        </w:rPr>
        <w:t>Restriction: Evaluating whether the national measure imposes a restriction on free movement rights.</w:t>
      </w:r>
    </w:p>
    <w:p w14:paraId="0C5A4AB1" w14:textId="77777777" w:rsidR="000A092E" w:rsidRPr="009F3468" w:rsidRDefault="000A092E" w:rsidP="009F3468">
      <w:pPr>
        <w:numPr>
          <w:ilvl w:val="2"/>
          <w:numId w:val="9"/>
        </w:numPr>
        <w:spacing w:before="100" w:beforeAutospacing="1" w:after="100" w:afterAutospacing="1" w:line="276" w:lineRule="auto"/>
        <w:rPr>
          <w:rFonts w:ascii="Times New Roman" w:hAnsi="Times New Roman"/>
          <w:b/>
          <w:bCs/>
          <w:highlight w:val="yellow"/>
          <w:lang w:val="en-HK"/>
        </w:rPr>
      </w:pPr>
      <w:r w:rsidRPr="009F3468">
        <w:rPr>
          <w:rFonts w:ascii="Times New Roman" w:hAnsi="Times New Roman"/>
          <w:b/>
          <w:bCs/>
          <w:highlight w:val="yellow"/>
          <w:lang w:val="en-HK"/>
        </w:rPr>
        <w:t>Justification: Assessing whether the restriction is justified under public interest grounds and proportionate.</w:t>
      </w:r>
    </w:p>
    <w:p w14:paraId="7EF03194"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Purpose of the Framework</w:t>
      </w:r>
      <w:r w:rsidRPr="009F3468">
        <w:rPr>
          <w:rFonts w:ascii="Times New Roman" w:hAnsi="Times New Roman"/>
          <w:lang w:val="en-HK"/>
        </w:rPr>
        <w:t>:</w:t>
      </w:r>
    </w:p>
    <w:p w14:paraId="5FAAED54" w14:textId="77777777" w:rsidR="000A092E" w:rsidRPr="009F3468" w:rsidRDefault="000A092E" w:rsidP="009F3468">
      <w:pPr>
        <w:numPr>
          <w:ilvl w:val="1"/>
          <w:numId w:val="9"/>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This structure ensures logical reasoning and predictable outcomes by addressing each element in sequence.</w:t>
      </w:r>
    </w:p>
    <w:p w14:paraId="3B5FA561" w14:textId="77777777" w:rsidR="000A092E" w:rsidRPr="009F3468" w:rsidRDefault="000A092E" w:rsidP="009F3468">
      <w:pPr>
        <w:numPr>
          <w:ilvl w:val="1"/>
          <w:numId w:val="9"/>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It provides clarity for both national courts and Member States.</w:t>
      </w:r>
    </w:p>
    <w:p w14:paraId="5F58495C" w14:textId="77777777" w:rsidR="000A092E" w:rsidRPr="009F3468"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2881443D">
          <v:rect id="_x0000_i1053" alt="" style="width:451.3pt;height:.05pt;mso-width-percent:0;mso-height-percent:0;mso-width-percent:0;mso-height-percent:0" o:hralign="center" o:hrstd="t" o:hr="t" fillcolor="#a0a0a0" stroked="f"/>
        </w:pict>
      </w:r>
    </w:p>
    <w:p w14:paraId="5903476E" w14:textId="77777777" w:rsidR="000A092E" w:rsidRPr="009F3468" w:rsidRDefault="000A092E"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I. Scope</w:t>
      </w:r>
    </w:p>
    <w:p w14:paraId="6DD82E36" w14:textId="77777777" w:rsidR="000A092E" w:rsidRPr="009F3468" w:rsidRDefault="000A092E" w:rsidP="009F3468">
      <w:pPr>
        <w:numPr>
          <w:ilvl w:val="0"/>
          <w:numId w:val="10"/>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Definition</w:t>
      </w:r>
      <w:r w:rsidRPr="009F3468">
        <w:rPr>
          <w:rFonts w:ascii="Times New Roman" w:hAnsi="Times New Roman"/>
          <w:lang w:val="en-HK"/>
        </w:rPr>
        <w:t>:</w:t>
      </w:r>
    </w:p>
    <w:p w14:paraId="1971B2FF" w14:textId="77777777" w:rsidR="000A092E" w:rsidRPr="009F3468" w:rsidRDefault="000A092E" w:rsidP="009F3468">
      <w:pPr>
        <w:numPr>
          <w:ilvl w:val="1"/>
          <w:numId w:val="10"/>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A measure falls within the scope of EU free movement law if it involves a cross-border element and affects intra-EU trade.</w:t>
      </w:r>
    </w:p>
    <w:p w14:paraId="39ECB156" w14:textId="77777777" w:rsidR="000A092E" w:rsidRPr="009F3468" w:rsidRDefault="000A092E" w:rsidP="009F3468">
      <w:pPr>
        <w:numPr>
          <w:ilvl w:val="1"/>
          <w:numId w:val="10"/>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Article 34 TFEU applies only to measures that have an impact on trade between Member States.</w:t>
      </w:r>
    </w:p>
    <w:p w14:paraId="485BFBC5" w14:textId="77777777" w:rsidR="000A092E" w:rsidRPr="009F3468" w:rsidRDefault="000A092E" w:rsidP="009F3468">
      <w:pPr>
        <w:numPr>
          <w:ilvl w:val="0"/>
          <w:numId w:val="10"/>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Key Case</w:t>
      </w:r>
      <w:r w:rsidRPr="009F3468">
        <w:rPr>
          <w:rFonts w:ascii="Times New Roman" w:hAnsi="Times New Roman"/>
          <w:lang w:val="en-HK"/>
        </w:rPr>
        <w:t>:</w:t>
      </w:r>
    </w:p>
    <w:p w14:paraId="0BD69201" w14:textId="77777777" w:rsidR="000A092E" w:rsidRPr="009F3468" w:rsidRDefault="000A092E" w:rsidP="009F3468">
      <w:pPr>
        <w:numPr>
          <w:ilvl w:val="1"/>
          <w:numId w:val="10"/>
        </w:numPr>
        <w:spacing w:before="100" w:beforeAutospacing="1" w:after="100" w:afterAutospacing="1" w:line="276" w:lineRule="auto"/>
        <w:rPr>
          <w:rFonts w:ascii="Times New Roman" w:hAnsi="Times New Roman"/>
          <w:lang w:val="en-HK"/>
        </w:rPr>
      </w:pPr>
      <w:proofErr w:type="spellStart"/>
      <w:r w:rsidRPr="009F3468">
        <w:rPr>
          <w:rFonts w:ascii="Times New Roman" w:hAnsi="Times New Roman"/>
          <w:b/>
          <w:bCs/>
          <w:lang w:val="en-HK"/>
        </w:rPr>
        <w:t>Geddo</w:t>
      </w:r>
      <w:proofErr w:type="spellEnd"/>
      <w:r w:rsidRPr="009F3468">
        <w:rPr>
          <w:rFonts w:ascii="Times New Roman" w:hAnsi="Times New Roman"/>
          <w:b/>
          <w:bCs/>
          <w:lang w:val="en-HK"/>
        </w:rPr>
        <w:t xml:space="preserve"> v </w:t>
      </w:r>
      <w:proofErr w:type="spellStart"/>
      <w:r w:rsidRPr="009F3468">
        <w:rPr>
          <w:rFonts w:ascii="Times New Roman" w:hAnsi="Times New Roman"/>
          <w:b/>
          <w:bCs/>
          <w:lang w:val="en-HK"/>
        </w:rPr>
        <w:t>Ente</w:t>
      </w:r>
      <w:proofErr w:type="spellEnd"/>
      <w:r w:rsidRPr="009F3468">
        <w:rPr>
          <w:rFonts w:ascii="Times New Roman" w:hAnsi="Times New Roman"/>
          <w:b/>
          <w:bCs/>
          <w:lang w:val="en-HK"/>
        </w:rPr>
        <w:t xml:space="preserve"> Nazionale </w:t>
      </w:r>
      <w:proofErr w:type="spellStart"/>
      <w:r w:rsidRPr="009F3468">
        <w:rPr>
          <w:rFonts w:ascii="Times New Roman" w:hAnsi="Times New Roman"/>
          <w:b/>
          <w:bCs/>
          <w:lang w:val="en-HK"/>
        </w:rPr>
        <w:t>Risi</w:t>
      </w:r>
      <w:proofErr w:type="spellEnd"/>
      <w:r w:rsidRPr="009F3468">
        <w:rPr>
          <w:rFonts w:ascii="Times New Roman" w:hAnsi="Times New Roman"/>
          <w:b/>
          <w:bCs/>
          <w:lang w:val="en-HK"/>
        </w:rPr>
        <w:t xml:space="preserve"> (Case 2/73)</w:t>
      </w:r>
      <w:r w:rsidRPr="009F3468">
        <w:rPr>
          <w:rFonts w:ascii="Times New Roman" w:hAnsi="Times New Roman"/>
          <w:lang w:val="en-HK"/>
        </w:rPr>
        <w:t>: Defined quantitative restrictions as measures that “totally or partially restrain” imports, exports, or goods in transit.</w:t>
      </w:r>
    </w:p>
    <w:p w14:paraId="41ABF73F" w14:textId="77777777" w:rsidR="000A092E" w:rsidRPr="009F3468" w:rsidRDefault="000A092E" w:rsidP="009F3468">
      <w:pPr>
        <w:numPr>
          <w:ilvl w:val="0"/>
          <w:numId w:val="10"/>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CJEU’s Flexible Approach</w:t>
      </w:r>
      <w:r w:rsidRPr="009F3468">
        <w:rPr>
          <w:rFonts w:ascii="Times New Roman" w:hAnsi="Times New Roman"/>
          <w:lang w:val="en-HK"/>
        </w:rPr>
        <w:t>:</w:t>
      </w:r>
    </w:p>
    <w:p w14:paraId="7D38FF47" w14:textId="77777777" w:rsidR="000A092E" w:rsidRPr="009F3468" w:rsidRDefault="000A092E" w:rsidP="009F3468">
      <w:pPr>
        <w:numPr>
          <w:ilvl w:val="1"/>
          <w:numId w:val="10"/>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The Court has adopted a broad interpretation of scope, often subsuming elements of restriction into the scope analysis.</w:t>
      </w:r>
    </w:p>
    <w:p w14:paraId="0EA64D5E" w14:textId="77777777" w:rsidR="000A092E" w:rsidRPr="009F3468" w:rsidRDefault="000A092E" w:rsidP="009F3468">
      <w:pPr>
        <w:numPr>
          <w:ilvl w:val="1"/>
          <w:numId w:val="10"/>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Example:</w:t>
      </w:r>
    </w:p>
    <w:p w14:paraId="1CF2CB51" w14:textId="77777777" w:rsidR="000A092E" w:rsidRPr="009F3468" w:rsidRDefault="000A092E" w:rsidP="009F3468">
      <w:pPr>
        <w:numPr>
          <w:ilvl w:val="2"/>
          <w:numId w:val="10"/>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Commission v Italy (Italian Trailers, Case C-110/05)</w:t>
      </w:r>
      <w:r w:rsidRPr="009F3468">
        <w:rPr>
          <w:rFonts w:ascii="Times New Roman" w:hAnsi="Times New Roman"/>
          <w:lang w:val="en-HK"/>
        </w:rPr>
        <w:t>: The measure was included within Article 34’s scope because it had the potential to hinder market access for trailers, blending the scope and restriction stages.</w:t>
      </w:r>
    </w:p>
    <w:p w14:paraId="296EB6CC" w14:textId="77777777" w:rsidR="000A092E" w:rsidRPr="009F3468"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0C0B6C82">
          <v:rect id="_x0000_i1052" alt="" style="width:451.3pt;height:.05pt;mso-width-percent:0;mso-height-percent:0;mso-width-percent:0;mso-height-percent:0" o:hralign="center" o:hrstd="t" o:hr="t" fillcolor="#a0a0a0" stroked="f"/>
        </w:pict>
      </w:r>
    </w:p>
    <w:p w14:paraId="176777D2" w14:textId="77777777" w:rsidR="000A092E" w:rsidRPr="009F3468" w:rsidRDefault="000A092E"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II. Direct Effect</w:t>
      </w:r>
    </w:p>
    <w:p w14:paraId="776C603E" w14:textId="77777777" w:rsidR="000A092E" w:rsidRPr="009F3468" w:rsidRDefault="000A092E" w:rsidP="009F3468">
      <w:pPr>
        <w:numPr>
          <w:ilvl w:val="0"/>
          <w:numId w:val="11"/>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Definition</w:t>
      </w:r>
      <w:r w:rsidRPr="009F3468">
        <w:rPr>
          <w:rFonts w:ascii="Times New Roman" w:hAnsi="Times New Roman"/>
          <w:lang w:val="en-HK"/>
        </w:rPr>
        <w:t>:</w:t>
      </w:r>
    </w:p>
    <w:p w14:paraId="13B52A21" w14:textId="77777777" w:rsidR="000A092E" w:rsidRPr="009F3468" w:rsidRDefault="000A092E" w:rsidP="009F3468">
      <w:pPr>
        <w:numPr>
          <w:ilvl w:val="1"/>
          <w:numId w:val="11"/>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lastRenderedPageBreak/>
        <w:t>Direct effect enables individuals to invoke EU law provisions before national courts.</w:t>
      </w:r>
    </w:p>
    <w:p w14:paraId="281DF45A" w14:textId="77777777" w:rsidR="000A092E" w:rsidRPr="009F3468" w:rsidRDefault="000A092E" w:rsidP="009F3468">
      <w:pPr>
        <w:numPr>
          <w:ilvl w:val="1"/>
          <w:numId w:val="11"/>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Free movement provisions are directly effective if they are clear, precise, and unconditional.</w:t>
      </w:r>
    </w:p>
    <w:p w14:paraId="2033FBA9" w14:textId="77777777" w:rsidR="000A092E" w:rsidRPr="009F3468" w:rsidRDefault="000A092E" w:rsidP="009F3468">
      <w:pPr>
        <w:numPr>
          <w:ilvl w:val="0"/>
          <w:numId w:val="11"/>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Key Case</w:t>
      </w:r>
      <w:r w:rsidRPr="009F3468">
        <w:rPr>
          <w:rFonts w:ascii="Times New Roman" w:hAnsi="Times New Roman"/>
          <w:lang w:val="en-HK"/>
        </w:rPr>
        <w:t>:</w:t>
      </w:r>
    </w:p>
    <w:p w14:paraId="054A4981" w14:textId="77777777" w:rsidR="000A092E" w:rsidRPr="009F3468" w:rsidRDefault="000A092E" w:rsidP="009F3468">
      <w:pPr>
        <w:numPr>
          <w:ilvl w:val="1"/>
          <w:numId w:val="11"/>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 xml:space="preserve">Van </w:t>
      </w:r>
      <w:proofErr w:type="spellStart"/>
      <w:r w:rsidRPr="009F3468">
        <w:rPr>
          <w:rFonts w:ascii="Times New Roman" w:hAnsi="Times New Roman"/>
          <w:b/>
          <w:bCs/>
          <w:lang w:val="en-HK"/>
        </w:rPr>
        <w:t>Gend</w:t>
      </w:r>
      <w:proofErr w:type="spellEnd"/>
      <w:r w:rsidRPr="009F3468">
        <w:rPr>
          <w:rFonts w:ascii="Times New Roman" w:hAnsi="Times New Roman"/>
          <w:b/>
          <w:bCs/>
          <w:lang w:val="en-HK"/>
        </w:rPr>
        <w:t xml:space="preserve"> </w:t>
      </w:r>
      <w:proofErr w:type="spellStart"/>
      <w:r w:rsidRPr="009F3468">
        <w:rPr>
          <w:rFonts w:ascii="Times New Roman" w:hAnsi="Times New Roman"/>
          <w:b/>
          <w:bCs/>
          <w:lang w:val="en-HK"/>
        </w:rPr>
        <w:t>en</w:t>
      </w:r>
      <w:proofErr w:type="spellEnd"/>
      <w:r w:rsidRPr="009F3468">
        <w:rPr>
          <w:rFonts w:ascii="Times New Roman" w:hAnsi="Times New Roman"/>
          <w:b/>
          <w:bCs/>
          <w:lang w:val="en-HK"/>
        </w:rPr>
        <w:t xml:space="preserve"> Loos (Case 26/62)</w:t>
      </w:r>
      <w:r w:rsidRPr="009F3468">
        <w:rPr>
          <w:rFonts w:ascii="Times New Roman" w:hAnsi="Times New Roman"/>
          <w:lang w:val="en-HK"/>
        </w:rPr>
        <w:t>: Established the principle of direct effect for Treaty provisions, including free movement.</w:t>
      </w:r>
    </w:p>
    <w:p w14:paraId="0DF29BCE" w14:textId="77777777" w:rsidR="000A092E" w:rsidRPr="009F3468" w:rsidRDefault="000A092E" w:rsidP="009F3468">
      <w:pPr>
        <w:numPr>
          <w:ilvl w:val="0"/>
          <w:numId w:val="11"/>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Horizontal Direct Effect</w:t>
      </w:r>
      <w:r w:rsidRPr="009F3468">
        <w:rPr>
          <w:rFonts w:ascii="Times New Roman" w:hAnsi="Times New Roman"/>
          <w:lang w:val="en-HK"/>
        </w:rPr>
        <w:t>:</w:t>
      </w:r>
    </w:p>
    <w:p w14:paraId="2F4FDB52" w14:textId="77777777" w:rsidR="000A092E" w:rsidRPr="009F3468" w:rsidRDefault="000A092E" w:rsidP="009F3468">
      <w:pPr>
        <w:numPr>
          <w:ilvl w:val="1"/>
          <w:numId w:val="11"/>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Free movement provisions traditionally bind Member States, but the CJEU has extended their applicability to private parties in certain contexts.</w:t>
      </w:r>
    </w:p>
    <w:p w14:paraId="259D9615" w14:textId="77777777" w:rsidR="000A092E" w:rsidRPr="009F3468" w:rsidRDefault="000A092E" w:rsidP="009F3468">
      <w:pPr>
        <w:numPr>
          <w:ilvl w:val="1"/>
          <w:numId w:val="11"/>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Example:</w:t>
      </w:r>
    </w:p>
    <w:p w14:paraId="29936D6F" w14:textId="77777777" w:rsidR="000A092E" w:rsidRPr="009F3468" w:rsidRDefault="000A092E" w:rsidP="009F3468">
      <w:pPr>
        <w:numPr>
          <w:ilvl w:val="2"/>
          <w:numId w:val="11"/>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 xml:space="preserve">Fra.bo </w:t>
      </w:r>
      <w:proofErr w:type="spellStart"/>
      <w:r w:rsidRPr="009F3468">
        <w:rPr>
          <w:rFonts w:ascii="Times New Roman" w:hAnsi="Times New Roman"/>
          <w:b/>
          <w:bCs/>
          <w:lang w:val="en-HK"/>
        </w:rPr>
        <w:t>SpA</w:t>
      </w:r>
      <w:proofErr w:type="spellEnd"/>
      <w:r w:rsidRPr="009F3468">
        <w:rPr>
          <w:rFonts w:ascii="Times New Roman" w:hAnsi="Times New Roman"/>
          <w:b/>
          <w:bCs/>
          <w:lang w:val="en-HK"/>
        </w:rPr>
        <w:t xml:space="preserve"> v Deutsche </w:t>
      </w:r>
      <w:proofErr w:type="spellStart"/>
      <w:r w:rsidRPr="009F3468">
        <w:rPr>
          <w:rFonts w:ascii="Times New Roman" w:hAnsi="Times New Roman"/>
          <w:b/>
          <w:bCs/>
          <w:lang w:val="en-HK"/>
        </w:rPr>
        <w:t>Vereinigung</w:t>
      </w:r>
      <w:proofErr w:type="spellEnd"/>
      <w:r w:rsidRPr="009F3468">
        <w:rPr>
          <w:rFonts w:ascii="Times New Roman" w:hAnsi="Times New Roman"/>
          <w:b/>
          <w:bCs/>
          <w:lang w:val="en-HK"/>
        </w:rPr>
        <w:t xml:space="preserve"> (Case C-171/11)</w:t>
      </w:r>
      <w:r w:rsidRPr="009F3468">
        <w:rPr>
          <w:rFonts w:ascii="Times New Roman" w:hAnsi="Times New Roman"/>
          <w:lang w:val="en-HK"/>
        </w:rPr>
        <w:t>: A private certification body was held accountable under Article 34 for restricting the market access of an Italian manufacturer.</w:t>
      </w:r>
    </w:p>
    <w:p w14:paraId="17DA11F2" w14:textId="77777777" w:rsidR="000A092E" w:rsidRPr="009F3468" w:rsidRDefault="000A092E" w:rsidP="009F3468">
      <w:pPr>
        <w:numPr>
          <w:ilvl w:val="0"/>
          <w:numId w:val="11"/>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Criticism</w:t>
      </w:r>
      <w:r w:rsidRPr="009F3468">
        <w:rPr>
          <w:rFonts w:ascii="Times New Roman" w:hAnsi="Times New Roman"/>
          <w:lang w:val="en-HK"/>
        </w:rPr>
        <w:t>:</w:t>
      </w:r>
    </w:p>
    <w:p w14:paraId="23EF237E" w14:textId="77777777" w:rsidR="000A092E" w:rsidRPr="009F3468" w:rsidRDefault="000A092E" w:rsidP="009F3468">
      <w:pPr>
        <w:numPr>
          <w:ilvl w:val="1"/>
          <w:numId w:val="11"/>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The extension of horizontal direct effect merges this pillar with the analysis of restriction, as the Court justifies direct effect based on the existence of a restriction.</w:t>
      </w:r>
    </w:p>
    <w:p w14:paraId="2831638E" w14:textId="77777777" w:rsidR="000A092E" w:rsidRPr="009F3468"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16C7FE26">
          <v:rect id="_x0000_i1051" alt="" style="width:451.3pt;height:.05pt;mso-width-percent:0;mso-height-percent:0;mso-width-percent:0;mso-height-percent:0" o:hralign="center" o:hrstd="t" o:hr="t" fillcolor="#a0a0a0" stroked="f"/>
        </w:pict>
      </w:r>
    </w:p>
    <w:p w14:paraId="09C4FCB5" w14:textId="77777777" w:rsidR="000A092E" w:rsidRPr="009F3468" w:rsidRDefault="000A092E"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III. Restriction</w:t>
      </w:r>
    </w:p>
    <w:p w14:paraId="651F4F1E"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Definition</w:t>
      </w:r>
      <w:r w:rsidRPr="009F3468">
        <w:rPr>
          <w:rFonts w:ascii="Times New Roman" w:hAnsi="Times New Roman"/>
          <w:lang w:val="en-HK"/>
        </w:rPr>
        <w:t>:</w:t>
      </w:r>
    </w:p>
    <w:p w14:paraId="7D2B27E8"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lang w:val="en-HK"/>
        </w:rPr>
        <w:t>A national measure constitutes a restriction if it hinders or limits the exercise of free movement rights.</w:t>
      </w:r>
    </w:p>
    <w:p w14:paraId="7BA6F2B4"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Evolution of Restriction Analysis</w:t>
      </w:r>
      <w:r w:rsidRPr="009F3468">
        <w:rPr>
          <w:rFonts w:ascii="Times New Roman" w:hAnsi="Times New Roman"/>
          <w:lang w:val="en-HK"/>
        </w:rPr>
        <w:t>:</w:t>
      </w:r>
    </w:p>
    <w:p w14:paraId="4EB9D428" w14:textId="76772943"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1. Discrimination Test</w:t>
      </w:r>
      <w:r w:rsidRPr="009F3468">
        <w:rPr>
          <w:rFonts w:ascii="Times New Roman" w:hAnsi="Times New Roman"/>
          <w:lang w:val="en-HK"/>
        </w:rPr>
        <w:t>:</w:t>
      </w:r>
    </w:p>
    <w:p w14:paraId="4A0CEA9B"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lang w:val="en-HK"/>
        </w:rPr>
        <w:t>Early cases focused on discriminatory measures, either directly or indirectly targeting imported goods.</w:t>
      </w:r>
    </w:p>
    <w:p w14:paraId="6C91219C"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lang w:val="en-HK"/>
        </w:rPr>
        <w:t>Example:</w:t>
      </w:r>
    </w:p>
    <w:p w14:paraId="16C34DB1" w14:textId="77777777" w:rsidR="000A092E" w:rsidRPr="009F3468" w:rsidRDefault="000A092E" w:rsidP="009F3468">
      <w:pPr>
        <w:spacing w:before="100" w:beforeAutospacing="1" w:after="100" w:afterAutospacing="1" w:line="276" w:lineRule="auto"/>
        <w:rPr>
          <w:rFonts w:ascii="Times New Roman" w:hAnsi="Times New Roman"/>
          <w:lang w:val="en-HK"/>
        </w:rPr>
      </w:pPr>
      <w:proofErr w:type="spellStart"/>
      <w:r w:rsidRPr="009F3468">
        <w:rPr>
          <w:rFonts w:ascii="Times New Roman" w:hAnsi="Times New Roman"/>
          <w:b/>
          <w:bCs/>
          <w:lang w:val="en-HK"/>
        </w:rPr>
        <w:t>Dassonville</w:t>
      </w:r>
      <w:proofErr w:type="spellEnd"/>
      <w:r w:rsidRPr="009F3468">
        <w:rPr>
          <w:rFonts w:ascii="Times New Roman" w:hAnsi="Times New Roman"/>
          <w:b/>
          <w:bCs/>
          <w:lang w:val="en-HK"/>
        </w:rPr>
        <w:t xml:space="preserve"> (Case 8/74)</w:t>
      </w:r>
      <w:r w:rsidRPr="009F3468">
        <w:rPr>
          <w:rFonts w:ascii="Times New Roman" w:hAnsi="Times New Roman"/>
          <w:lang w:val="en-HK"/>
        </w:rPr>
        <w:t>: Established the broad principle that all measures capable of hindering intra-EU trade, directly or indirectly, are considered restrictions.</w:t>
      </w:r>
    </w:p>
    <w:p w14:paraId="5D88480E" w14:textId="56AD3C9B"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2. Obstacles to Trade</w:t>
      </w:r>
      <w:r w:rsidRPr="009F3468">
        <w:rPr>
          <w:rFonts w:ascii="Times New Roman" w:hAnsi="Times New Roman"/>
          <w:lang w:val="en-HK"/>
        </w:rPr>
        <w:t>:</w:t>
      </w:r>
    </w:p>
    <w:p w14:paraId="5041293C"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lang w:val="en-HK"/>
        </w:rPr>
        <w:t>Later cases moved beyond discrimination, encompassing any measure that creates obstacles to the free movement of goods, even if non-discriminatory.</w:t>
      </w:r>
    </w:p>
    <w:p w14:paraId="6ED7CF11"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lang w:val="en-HK"/>
        </w:rPr>
        <w:lastRenderedPageBreak/>
        <w:t>Example:</w:t>
      </w:r>
    </w:p>
    <w:p w14:paraId="682FAB12"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Cassis de Dijon (Case 120/78)</w:t>
      </w:r>
      <w:r w:rsidRPr="009F3468">
        <w:rPr>
          <w:rFonts w:ascii="Times New Roman" w:hAnsi="Times New Roman"/>
          <w:lang w:val="en-HK"/>
        </w:rPr>
        <w:t>: Indistinctly applicable product requirements, such as minimum alcohol content rules, were held to restrict trade.</w:t>
      </w:r>
    </w:p>
    <w:p w14:paraId="07C2C0F6" w14:textId="6BBEABFF"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3. Market Access Test</w:t>
      </w:r>
      <w:r w:rsidRPr="009F3468">
        <w:rPr>
          <w:rFonts w:ascii="Times New Roman" w:hAnsi="Times New Roman"/>
          <w:lang w:val="en-HK"/>
        </w:rPr>
        <w:t>:</w:t>
      </w:r>
    </w:p>
    <w:p w14:paraId="557154AA"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lang w:val="en-HK"/>
        </w:rPr>
        <w:t>Recent jurisprudence focuses on whether a measure hinders market access for imported goods.</w:t>
      </w:r>
    </w:p>
    <w:p w14:paraId="77C9D98B"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lang w:val="en-HK"/>
        </w:rPr>
        <w:t>Example:</w:t>
      </w:r>
    </w:p>
    <w:p w14:paraId="15AB96E5" w14:textId="77777777" w:rsidR="000A092E" w:rsidRPr="009F3468" w:rsidRDefault="000A092E" w:rsidP="009F3468">
      <w:pPr>
        <w:spacing w:before="100" w:beforeAutospacing="1" w:after="100" w:afterAutospacing="1" w:line="276" w:lineRule="auto"/>
        <w:rPr>
          <w:rFonts w:ascii="Times New Roman" w:hAnsi="Times New Roman"/>
          <w:lang w:val="en-HK"/>
        </w:rPr>
      </w:pPr>
      <w:proofErr w:type="spellStart"/>
      <w:r w:rsidRPr="009F3468">
        <w:rPr>
          <w:rFonts w:ascii="Times New Roman" w:hAnsi="Times New Roman"/>
          <w:b/>
          <w:bCs/>
          <w:lang w:val="en-HK"/>
        </w:rPr>
        <w:t>Mickelsson</w:t>
      </w:r>
      <w:proofErr w:type="spellEnd"/>
      <w:r w:rsidRPr="009F3468">
        <w:rPr>
          <w:rFonts w:ascii="Times New Roman" w:hAnsi="Times New Roman"/>
          <w:b/>
          <w:bCs/>
          <w:lang w:val="en-HK"/>
        </w:rPr>
        <w:t xml:space="preserve"> &amp; </w:t>
      </w:r>
      <w:proofErr w:type="spellStart"/>
      <w:r w:rsidRPr="009F3468">
        <w:rPr>
          <w:rFonts w:ascii="Times New Roman" w:hAnsi="Times New Roman"/>
          <w:b/>
          <w:bCs/>
          <w:lang w:val="en-HK"/>
        </w:rPr>
        <w:t>Roos</w:t>
      </w:r>
      <w:proofErr w:type="spellEnd"/>
      <w:r w:rsidRPr="009F3468">
        <w:rPr>
          <w:rFonts w:ascii="Times New Roman" w:hAnsi="Times New Roman"/>
          <w:b/>
          <w:bCs/>
          <w:lang w:val="en-HK"/>
        </w:rPr>
        <w:t xml:space="preserve"> (Case C-142/05)</w:t>
      </w:r>
      <w:r w:rsidRPr="009F3468">
        <w:rPr>
          <w:rFonts w:ascii="Times New Roman" w:hAnsi="Times New Roman"/>
          <w:lang w:val="en-HK"/>
        </w:rPr>
        <w:t>: Restrictions on jet ski use in Sweden were found to restrict market access, even though they applied equally to domestic and imported goods.</w:t>
      </w:r>
    </w:p>
    <w:p w14:paraId="72C88A28" w14:textId="77777777" w:rsidR="000A092E" w:rsidRPr="009F3468"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71C92EF1">
          <v:rect id="_x0000_i1050" alt="" style="width:451.3pt;height:.05pt;mso-width-percent:0;mso-height-percent:0;mso-width-percent:0;mso-height-percent:0" o:hralign="center" o:hrstd="t" o:hr="t" fillcolor="#a0a0a0" stroked="f"/>
        </w:pict>
      </w:r>
    </w:p>
    <w:p w14:paraId="12691EDD" w14:textId="77777777" w:rsidR="000A092E" w:rsidRPr="009F3468" w:rsidRDefault="000A092E"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IV. Justification</w:t>
      </w:r>
    </w:p>
    <w:p w14:paraId="65D1C133" w14:textId="77777777" w:rsidR="000A092E" w:rsidRPr="009F3468" w:rsidRDefault="000A092E" w:rsidP="009F3468">
      <w:pPr>
        <w:numPr>
          <w:ilvl w:val="0"/>
          <w:numId w:val="14"/>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Role of Justifications</w:t>
      </w:r>
      <w:r w:rsidRPr="009F3468">
        <w:rPr>
          <w:rFonts w:ascii="Times New Roman" w:hAnsi="Times New Roman"/>
          <w:lang w:val="en-HK"/>
        </w:rPr>
        <w:t>:</w:t>
      </w:r>
    </w:p>
    <w:p w14:paraId="3AEDB538" w14:textId="77777777" w:rsidR="000A092E" w:rsidRPr="009F3468" w:rsidRDefault="000A092E" w:rsidP="009F3468">
      <w:pPr>
        <w:numPr>
          <w:ilvl w:val="1"/>
          <w:numId w:val="14"/>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National measures that restrict free movement can be justified if they pursue legitimate objectives and comply with the principle of proportionality.</w:t>
      </w:r>
    </w:p>
    <w:p w14:paraId="4C4DEA34" w14:textId="77777777" w:rsidR="000A092E" w:rsidRPr="009F3468" w:rsidRDefault="000A092E" w:rsidP="009F3468">
      <w:pPr>
        <w:numPr>
          <w:ilvl w:val="1"/>
          <w:numId w:val="14"/>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Justifications fall into two categories:</w:t>
      </w:r>
    </w:p>
    <w:p w14:paraId="641EA3F5" w14:textId="77777777" w:rsidR="000A092E" w:rsidRPr="009F3468" w:rsidRDefault="000A092E" w:rsidP="009F3468">
      <w:pPr>
        <w:numPr>
          <w:ilvl w:val="2"/>
          <w:numId w:val="14"/>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Treaty-Based Justifications (Article 36 TFEU)</w:t>
      </w:r>
      <w:r w:rsidRPr="009F3468">
        <w:rPr>
          <w:rFonts w:ascii="Times New Roman" w:hAnsi="Times New Roman"/>
          <w:lang w:val="en-HK"/>
        </w:rPr>
        <w:t>:</w:t>
      </w:r>
    </w:p>
    <w:p w14:paraId="0684CA65"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lang w:val="en-HK"/>
        </w:rPr>
        <w:t>Includes public morality, public policy, public security, protection of health, etc.</w:t>
      </w:r>
    </w:p>
    <w:p w14:paraId="2F5536BF"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lang w:val="en-HK"/>
        </w:rPr>
        <w:t>Example:</w:t>
      </w:r>
    </w:p>
    <w:p w14:paraId="7321FDBF"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Henn and Darby (Case 34/79)</w:t>
      </w:r>
      <w:r w:rsidRPr="009F3468">
        <w:rPr>
          <w:rFonts w:ascii="Times New Roman" w:hAnsi="Times New Roman"/>
          <w:lang w:val="en-HK"/>
        </w:rPr>
        <w:t>: A UK ban on pornographic materials was justified on grounds of public morality.</w:t>
      </w:r>
    </w:p>
    <w:p w14:paraId="7A1089B6" w14:textId="77777777" w:rsidR="000A092E" w:rsidRPr="009F3468" w:rsidRDefault="000A092E" w:rsidP="009F3468">
      <w:pPr>
        <w:numPr>
          <w:ilvl w:val="2"/>
          <w:numId w:val="14"/>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Mandatory Requirements</w:t>
      </w:r>
      <w:r w:rsidRPr="009F3468">
        <w:rPr>
          <w:rFonts w:ascii="Times New Roman" w:hAnsi="Times New Roman"/>
          <w:lang w:val="en-HK"/>
        </w:rPr>
        <w:t>:</w:t>
      </w:r>
    </w:p>
    <w:p w14:paraId="677FF896"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lang w:val="en-HK"/>
        </w:rPr>
        <w:t xml:space="preserve">Introduced in </w:t>
      </w:r>
      <w:r w:rsidRPr="009F3468">
        <w:rPr>
          <w:rFonts w:ascii="Times New Roman" w:hAnsi="Times New Roman"/>
          <w:b/>
          <w:bCs/>
          <w:lang w:val="en-HK"/>
        </w:rPr>
        <w:t>Cassis de Dijon</w:t>
      </w:r>
      <w:r w:rsidRPr="009F3468">
        <w:rPr>
          <w:rFonts w:ascii="Times New Roman" w:hAnsi="Times New Roman"/>
          <w:lang w:val="en-HK"/>
        </w:rPr>
        <w:t>, mandatory requirements allow for additional justifications, such as consumer protection, environmental protection, and cultural preservation.</w:t>
      </w:r>
    </w:p>
    <w:p w14:paraId="33707ADE"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lang w:val="en-HK"/>
        </w:rPr>
        <w:t>Example:</w:t>
      </w:r>
    </w:p>
    <w:p w14:paraId="7D267175" w14:textId="77777777" w:rsidR="000A092E" w:rsidRPr="009F3468" w:rsidRDefault="000A092E" w:rsidP="009F3468">
      <w:pPr>
        <w:spacing w:before="100" w:beforeAutospacing="1" w:after="100" w:afterAutospacing="1" w:line="276" w:lineRule="auto"/>
        <w:rPr>
          <w:rFonts w:ascii="Times New Roman" w:hAnsi="Times New Roman"/>
          <w:lang w:val="en-HK"/>
        </w:rPr>
      </w:pPr>
      <w:proofErr w:type="spellStart"/>
      <w:r w:rsidRPr="009F3468">
        <w:rPr>
          <w:rFonts w:ascii="Times New Roman" w:hAnsi="Times New Roman"/>
          <w:b/>
          <w:bCs/>
          <w:lang w:val="en-HK"/>
        </w:rPr>
        <w:t>PreussenElektra</w:t>
      </w:r>
      <w:proofErr w:type="spellEnd"/>
      <w:r w:rsidRPr="009F3468">
        <w:rPr>
          <w:rFonts w:ascii="Times New Roman" w:hAnsi="Times New Roman"/>
          <w:b/>
          <w:bCs/>
          <w:lang w:val="en-HK"/>
        </w:rPr>
        <w:t xml:space="preserve"> (Case C-379/98)</w:t>
      </w:r>
      <w:r w:rsidRPr="009F3468">
        <w:rPr>
          <w:rFonts w:ascii="Times New Roman" w:hAnsi="Times New Roman"/>
          <w:lang w:val="en-HK"/>
        </w:rPr>
        <w:t>: A German renewable energy policy was justified on environmental protection grounds, even though it discriminated against imports.</w:t>
      </w:r>
    </w:p>
    <w:p w14:paraId="46DB9B67" w14:textId="77777777" w:rsidR="000A092E" w:rsidRPr="009F3468"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0239B882">
          <v:rect id="_x0000_i1049" alt="" style="width:451.3pt;height:.05pt;mso-width-percent:0;mso-height-percent:0;mso-width-percent:0;mso-height-percent:0" o:hralign="center" o:hrstd="t" o:hr="t" fillcolor="#a0a0a0" stroked="f"/>
        </w:pict>
      </w:r>
    </w:p>
    <w:p w14:paraId="71E588AB" w14:textId="77777777" w:rsidR="000A092E" w:rsidRPr="009F3468" w:rsidRDefault="000A092E"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Challenges to the Four-Pillar Framework</w:t>
      </w:r>
    </w:p>
    <w:p w14:paraId="0DB9088D" w14:textId="77777777" w:rsidR="000A092E" w:rsidRPr="009F3468" w:rsidRDefault="000A092E" w:rsidP="009F3468">
      <w:pPr>
        <w:numPr>
          <w:ilvl w:val="0"/>
          <w:numId w:val="15"/>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lastRenderedPageBreak/>
        <w:t>Doctrinal Blurring</w:t>
      </w:r>
      <w:r w:rsidRPr="009F3468">
        <w:rPr>
          <w:rFonts w:ascii="Times New Roman" w:hAnsi="Times New Roman"/>
          <w:lang w:val="en-HK"/>
        </w:rPr>
        <w:t>:</w:t>
      </w:r>
    </w:p>
    <w:p w14:paraId="0E89C971" w14:textId="77777777" w:rsidR="000A092E" w:rsidRPr="009F3468" w:rsidRDefault="000A092E" w:rsidP="009F3468">
      <w:pPr>
        <w:numPr>
          <w:ilvl w:val="1"/>
          <w:numId w:val="15"/>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The CJEU often merges distinct stages, such as scope and restriction or restriction and justification.</w:t>
      </w:r>
    </w:p>
    <w:p w14:paraId="57019AB6" w14:textId="77777777" w:rsidR="000A092E" w:rsidRPr="009F3468" w:rsidRDefault="000A092E" w:rsidP="009F3468">
      <w:pPr>
        <w:numPr>
          <w:ilvl w:val="1"/>
          <w:numId w:val="15"/>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Example:</w:t>
      </w:r>
    </w:p>
    <w:p w14:paraId="73992DD4" w14:textId="77777777" w:rsidR="000A092E" w:rsidRPr="009F3468" w:rsidRDefault="000A092E" w:rsidP="009F3468">
      <w:pPr>
        <w:numPr>
          <w:ilvl w:val="2"/>
          <w:numId w:val="15"/>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 xml:space="preserve">In </w:t>
      </w:r>
      <w:r w:rsidRPr="009F3468">
        <w:rPr>
          <w:rFonts w:ascii="Times New Roman" w:hAnsi="Times New Roman"/>
          <w:b/>
          <w:bCs/>
          <w:lang w:val="en-HK"/>
        </w:rPr>
        <w:t>Italian Trailers</w:t>
      </w:r>
      <w:r w:rsidRPr="009F3468">
        <w:rPr>
          <w:rFonts w:ascii="Times New Roman" w:hAnsi="Times New Roman"/>
          <w:lang w:val="en-HK"/>
        </w:rPr>
        <w:t>, the scope analysis was based on the existence of a market restriction, effectively combining these two steps.</w:t>
      </w:r>
    </w:p>
    <w:p w14:paraId="56800591" w14:textId="77777777" w:rsidR="000A092E" w:rsidRPr="009F3468" w:rsidRDefault="000A092E" w:rsidP="009F3468">
      <w:pPr>
        <w:numPr>
          <w:ilvl w:val="0"/>
          <w:numId w:val="15"/>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Overemphasis on Proportionality</w:t>
      </w:r>
      <w:r w:rsidRPr="009F3468">
        <w:rPr>
          <w:rFonts w:ascii="Times New Roman" w:hAnsi="Times New Roman"/>
          <w:lang w:val="en-HK"/>
        </w:rPr>
        <w:t>:</w:t>
      </w:r>
    </w:p>
    <w:p w14:paraId="08626691" w14:textId="77777777" w:rsidR="000A092E" w:rsidRPr="009F3468" w:rsidRDefault="000A092E" w:rsidP="009F3468">
      <w:pPr>
        <w:numPr>
          <w:ilvl w:val="1"/>
          <w:numId w:val="15"/>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Justifications and proportionality have become central to the Court’s reasoning, overshadowing the earlier pillars.</w:t>
      </w:r>
    </w:p>
    <w:p w14:paraId="420588D1" w14:textId="77777777" w:rsidR="000A092E" w:rsidRPr="009F3468" w:rsidRDefault="000A092E" w:rsidP="009F3468">
      <w:pPr>
        <w:numPr>
          <w:ilvl w:val="1"/>
          <w:numId w:val="15"/>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Example:</w:t>
      </w:r>
    </w:p>
    <w:p w14:paraId="695E7FFB" w14:textId="77777777" w:rsidR="000A092E" w:rsidRPr="009F3468" w:rsidRDefault="000A092E" w:rsidP="009F3468">
      <w:pPr>
        <w:numPr>
          <w:ilvl w:val="2"/>
          <w:numId w:val="15"/>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 xml:space="preserve">In </w:t>
      </w:r>
      <w:r w:rsidRPr="009F3468">
        <w:rPr>
          <w:rFonts w:ascii="Times New Roman" w:hAnsi="Times New Roman"/>
          <w:b/>
          <w:bCs/>
          <w:lang w:val="en-HK"/>
        </w:rPr>
        <w:t>Scotch Whisky Association v Lord Advocate (Case C-333/14)</w:t>
      </w:r>
      <w:r w:rsidRPr="009F3468">
        <w:rPr>
          <w:rFonts w:ascii="Times New Roman" w:hAnsi="Times New Roman"/>
          <w:lang w:val="en-HK"/>
        </w:rPr>
        <w:t>, the Court focused heavily on proportionality to determine whether minimum alcohol pricing could be justified under public health grounds.</w:t>
      </w:r>
    </w:p>
    <w:p w14:paraId="6960BA04" w14:textId="77777777" w:rsidR="000A092E" w:rsidRPr="009F3468" w:rsidRDefault="000A092E" w:rsidP="009F3468">
      <w:pPr>
        <w:numPr>
          <w:ilvl w:val="0"/>
          <w:numId w:val="15"/>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Erosion of Legal Certainty</w:t>
      </w:r>
      <w:r w:rsidRPr="009F3468">
        <w:rPr>
          <w:rFonts w:ascii="Times New Roman" w:hAnsi="Times New Roman"/>
          <w:lang w:val="en-HK"/>
        </w:rPr>
        <w:t>:</w:t>
      </w:r>
    </w:p>
    <w:p w14:paraId="3ECD12A1" w14:textId="77777777" w:rsidR="000A092E" w:rsidRPr="009F3468" w:rsidRDefault="000A092E" w:rsidP="009F3468">
      <w:pPr>
        <w:numPr>
          <w:ilvl w:val="1"/>
          <w:numId w:val="15"/>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By departing from a step-by-step approach, the CJEU has introduced unpredictability into free movement law, making it harder for Member States to design compliant measures.</w:t>
      </w:r>
    </w:p>
    <w:p w14:paraId="5C5088E6" w14:textId="77777777" w:rsidR="000A092E" w:rsidRPr="009F3468"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23415A30">
          <v:rect id="_x0000_i1048" alt="" style="width:451.3pt;height:.05pt;mso-width-percent:0;mso-height-percent:0;mso-width-percent:0;mso-height-percent:0" o:hralign="center" o:hrstd="t" o:hr="t" fillcolor="#a0a0a0" stroked="f"/>
        </w:pict>
      </w:r>
    </w:p>
    <w:p w14:paraId="18A0B44D" w14:textId="77777777" w:rsidR="000A092E" w:rsidRPr="009F3468" w:rsidRDefault="000A092E" w:rsidP="009F3468">
      <w:pPr>
        <w:spacing w:before="100" w:beforeAutospacing="1" w:after="100" w:afterAutospacing="1" w:line="276" w:lineRule="auto"/>
        <w:outlineLvl w:val="2"/>
        <w:rPr>
          <w:rFonts w:ascii="Times New Roman" w:hAnsi="Times New Roman"/>
          <w:b/>
          <w:bCs/>
          <w:lang w:val="en-HK"/>
        </w:rPr>
      </w:pPr>
      <w:r w:rsidRPr="009F3468">
        <w:rPr>
          <w:rFonts w:ascii="Times New Roman" w:hAnsi="Times New Roman"/>
          <w:b/>
          <w:bCs/>
          <w:lang w:val="en-HK"/>
        </w:rPr>
        <w:t>Conclusion of Section II</w:t>
      </w:r>
    </w:p>
    <w:p w14:paraId="6831B228" w14:textId="77777777" w:rsidR="000A092E" w:rsidRPr="009F3468" w:rsidRDefault="000A092E" w:rsidP="009F3468">
      <w:pPr>
        <w:numPr>
          <w:ilvl w:val="0"/>
          <w:numId w:val="16"/>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Van Leeuwen argues that the traditional four-pillar framework of free movement law provided clarity and predictability by addressing each stage independently.</w:t>
      </w:r>
    </w:p>
    <w:p w14:paraId="558C8D9C" w14:textId="77777777" w:rsidR="000A092E" w:rsidRPr="009F3468" w:rsidRDefault="000A092E" w:rsidP="009F3468">
      <w:pPr>
        <w:numPr>
          <w:ilvl w:val="0"/>
          <w:numId w:val="16"/>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However, the CJEU’s tendency to merge these stages—particularly through the centralisation of proportionality—has led to doctrinal confusion and legal uncertainty.</w:t>
      </w:r>
    </w:p>
    <w:p w14:paraId="0C2174CA" w14:textId="77777777" w:rsidR="000A092E" w:rsidRPr="009F3468" w:rsidRDefault="000A092E" w:rsidP="009F3468">
      <w:pPr>
        <w:numPr>
          <w:ilvl w:val="0"/>
          <w:numId w:val="16"/>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He calls for a return to a clearer structure that preserves the distinct analytical steps while balancing market integration with Member State autonomy.</w:t>
      </w:r>
    </w:p>
    <w:p w14:paraId="1627E634" w14:textId="13B71A4E" w:rsidR="00864E69" w:rsidRPr="009F3468" w:rsidRDefault="00612735" w:rsidP="009F3468">
      <w:pPr>
        <w:spacing w:before="100" w:beforeAutospacing="1" w:after="100" w:afterAutospacing="1" w:line="276" w:lineRule="auto"/>
        <w:outlineLvl w:val="2"/>
        <w:rPr>
          <w:rFonts w:ascii="Times New Roman" w:hAnsi="Times New Roman"/>
          <w:b/>
          <w:bCs/>
          <w:lang w:val="en-HK"/>
        </w:rPr>
      </w:pPr>
      <w:r w:rsidRPr="00612735">
        <w:rPr>
          <w:rFonts w:ascii="Times New Roman" w:hAnsi="Times New Roman"/>
          <w:noProof/>
          <w:lang w:val="en-HK"/>
          <w14:ligatures w14:val="standardContextual"/>
        </w:rPr>
        <w:pict w14:anchorId="3A4F05E0">
          <v:rect id="_x0000_i1047" alt="" style="width:451.3pt;height:.05pt;mso-width-percent:0;mso-height-percent:0;mso-width-percent:0;mso-height-percent:0" o:hralign="center" o:hrstd="t" o:hr="t" fillcolor="#a0a0a0" stroked="f"/>
        </w:pict>
      </w:r>
    </w:p>
    <w:p w14:paraId="26D8D4E0" w14:textId="60BEE36E" w:rsidR="000A092E" w:rsidRPr="009F3468" w:rsidRDefault="000A092E" w:rsidP="009F3468">
      <w:pPr>
        <w:spacing w:before="100" w:beforeAutospacing="1" w:after="100" w:afterAutospacing="1" w:line="276" w:lineRule="auto"/>
        <w:outlineLvl w:val="2"/>
        <w:rPr>
          <w:rFonts w:ascii="Times New Roman" w:hAnsi="Times New Roman"/>
          <w:b/>
          <w:bCs/>
          <w:lang w:val="en-HK"/>
        </w:rPr>
      </w:pPr>
      <w:r w:rsidRPr="009F3468">
        <w:rPr>
          <w:rFonts w:ascii="Times New Roman" w:hAnsi="Times New Roman"/>
          <w:b/>
          <w:bCs/>
          <w:lang w:val="en-HK"/>
        </w:rPr>
        <w:t>III. Three Developments in Free Movement Law</w:t>
      </w:r>
    </w:p>
    <w:p w14:paraId="676B59EF"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lang w:val="en-HK"/>
        </w:rPr>
        <w:t>This section explores how the Court of Justice of the European Union (CJEU) has reshaped free movement law through three key doctrinal developments:</w:t>
      </w:r>
    </w:p>
    <w:p w14:paraId="1C660762" w14:textId="77777777" w:rsidR="000A092E" w:rsidRPr="009F3468" w:rsidRDefault="000A092E" w:rsidP="009F3468">
      <w:pPr>
        <w:numPr>
          <w:ilvl w:val="0"/>
          <w:numId w:val="17"/>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Market Access: Interaction Between Scope and Restriction</w:t>
      </w:r>
    </w:p>
    <w:p w14:paraId="1136011D" w14:textId="77777777" w:rsidR="000A092E" w:rsidRPr="009F3468" w:rsidRDefault="000A092E" w:rsidP="009F3468">
      <w:pPr>
        <w:numPr>
          <w:ilvl w:val="0"/>
          <w:numId w:val="17"/>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Horizontal Direct Effect: Interaction Between Direct Effect and Restriction</w:t>
      </w:r>
    </w:p>
    <w:p w14:paraId="18BA4ECF" w14:textId="275E8BE0" w:rsidR="000A092E" w:rsidRPr="009F3468" w:rsidRDefault="000A092E" w:rsidP="009F3468">
      <w:pPr>
        <w:numPr>
          <w:ilvl w:val="0"/>
          <w:numId w:val="17"/>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Assimilation of Justifications: Interaction Between Restriction and Justification</w:t>
      </w:r>
    </w:p>
    <w:p w14:paraId="3E6E157E" w14:textId="77777777" w:rsidR="000A092E" w:rsidRPr="009F3468" w:rsidRDefault="000A092E" w:rsidP="009F3468">
      <w:pPr>
        <w:spacing w:before="100" w:beforeAutospacing="1" w:after="100" w:afterAutospacing="1" w:line="276" w:lineRule="auto"/>
        <w:outlineLvl w:val="2"/>
        <w:rPr>
          <w:rFonts w:ascii="Times New Roman" w:hAnsi="Times New Roman"/>
          <w:b/>
          <w:bCs/>
          <w:lang w:val="en-HK"/>
        </w:rPr>
      </w:pPr>
      <w:r w:rsidRPr="009F3468">
        <w:rPr>
          <w:rFonts w:ascii="Times New Roman" w:hAnsi="Times New Roman"/>
          <w:b/>
          <w:bCs/>
          <w:lang w:val="en-HK"/>
        </w:rPr>
        <w:t>1. Market Access: Interaction Between Scope and Restriction</w:t>
      </w:r>
    </w:p>
    <w:p w14:paraId="203B68C1" w14:textId="77777777" w:rsidR="000A092E" w:rsidRPr="009F3468" w:rsidRDefault="000A092E"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Traditional Distinction</w:t>
      </w:r>
    </w:p>
    <w:p w14:paraId="222E6FC2" w14:textId="77777777" w:rsidR="000A092E" w:rsidRPr="009F3468" w:rsidRDefault="000A092E" w:rsidP="009F3468">
      <w:pPr>
        <w:numPr>
          <w:ilvl w:val="0"/>
          <w:numId w:val="18"/>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lastRenderedPageBreak/>
        <w:t xml:space="preserve">Traditionally, the </w:t>
      </w:r>
      <w:r w:rsidRPr="009F3468">
        <w:rPr>
          <w:rFonts w:ascii="Times New Roman" w:hAnsi="Times New Roman"/>
          <w:b/>
          <w:bCs/>
          <w:lang w:val="en-HK"/>
        </w:rPr>
        <w:t>scope</w:t>
      </w:r>
      <w:r w:rsidRPr="009F3468">
        <w:rPr>
          <w:rFonts w:ascii="Times New Roman" w:hAnsi="Times New Roman"/>
          <w:lang w:val="en-HK"/>
        </w:rPr>
        <w:t xml:space="preserve"> of EU free movement law was determined by whether the measure affected intra-EU trade, while the </w:t>
      </w:r>
      <w:r w:rsidRPr="009F3468">
        <w:rPr>
          <w:rFonts w:ascii="Times New Roman" w:hAnsi="Times New Roman"/>
          <w:b/>
          <w:bCs/>
          <w:lang w:val="en-HK"/>
        </w:rPr>
        <w:t>restriction</w:t>
      </w:r>
      <w:r w:rsidRPr="009F3468">
        <w:rPr>
          <w:rFonts w:ascii="Times New Roman" w:hAnsi="Times New Roman"/>
          <w:lang w:val="en-HK"/>
        </w:rPr>
        <w:t xml:space="preserve"> analysis assessed the substantive impact of the measure.</w:t>
      </w:r>
    </w:p>
    <w:p w14:paraId="6A822F6E" w14:textId="77777777" w:rsidR="000A092E" w:rsidRPr="009F3468" w:rsidRDefault="000A092E" w:rsidP="009F3468">
      <w:pPr>
        <w:numPr>
          <w:ilvl w:val="0"/>
          <w:numId w:val="18"/>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 xml:space="preserve">Van Leeuwen argues that the </w:t>
      </w:r>
      <w:r w:rsidRPr="009F3468">
        <w:rPr>
          <w:rFonts w:ascii="Times New Roman" w:hAnsi="Times New Roman"/>
          <w:b/>
          <w:bCs/>
          <w:lang w:val="en-HK"/>
        </w:rPr>
        <w:t>market access test</w:t>
      </w:r>
      <w:r w:rsidRPr="009F3468">
        <w:rPr>
          <w:rFonts w:ascii="Times New Roman" w:hAnsi="Times New Roman"/>
          <w:lang w:val="en-HK"/>
        </w:rPr>
        <w:t xml:space="preserve"> has blurred these stages, as measures are often deemed to fall within the scope of Article 34 TFEU because they restrict market access.</w:t>
      </w:r>
    </w:p>
    <w:p w14:paraId="1F627384" w14:textId="77777777" w:rsidR="000A092E" w:rsidRPr="009F3468" w:rsidRDefault="000A092E"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Keck and the Exclusion of Selling Arrangements</w:t>
      </w:r>
    </w:p>
    <w:p w14:paraId="1EF65FA7" w14:textId="77777777" w:rsidR="000A092E" w:rsidRPr="009F3468" w:rsidRDefault="000A092E" w:rsidP="009F3468">
      <w:pPr>
        <w:numPr>
          <w:ilvl w:val="0"/>
          <w:numId w:val="19"/>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 xml:space="preserve">In </w:t>
      </w:r>
      <w:r w:rsidRPr="009F3468">
        <w:rPr>
          <w:rFonts w:ascii="Times New Roman" w:hAnsi="Times New Roman"/>
          <w:b/>
          <w:bCs/>
          <w:lang w:val="en-HK"/>
        </w:rPr>
        <w:t xml:space="preserve">Keck and </w:t>
      </w:r>
      <w:proofErr w:type="spellStart"/>
      <w:r w:rsidRPr="009F3468">
        <w:rPr>
          <w:rFonts w:ascii="Times New Roman" w:hAnsi="Times New Roman"/>
          <w:b/>
          <w:bCs/>
          <w:lang w:val="en-HK"/>
        </w:rPr>
        <w:t>Mithouard</w:t>
      </w:r>
      <w:proofErr w:type="spellEnd"/>
      <w:r w:rsidRPr="009F3468">
        <w:rPr>
          <w:rFonts w:ascii="Times New Roman" w:hAnsi="Times New Roman"/>
          <w:b/>
          <w:bCs/>
          <w:lang w:val="en-HK"/>
        </w:rPr>
        <w:t xml:space="preserve"> (Joined Cases C-267/91 and C-268/91)</w:t>
      </w:r>
      <w:r w:rsidRPr="009F3468">
        <w:rPr>
          <w:rFonts w:ascii="Times New Roman" w:hAnsi="Times New Roman"/>
          <w:lang w:val="en-HK"/>
        </w:rPr>
        <w:t>, the CJEU introduced the distinction between:</w:t>
      </w:r>
    </w:p>
    <w:p w14:paraId="6CC05531" w14:textId="77777777" w:rsidR="000A092E" w:rsidRPr="009F3468" w:rsidRDefault="000A092E" w:rsidP="009F3468">
      <w:pPr>
        <w:numPr>
          <w:ilvl w:val="1"/>
          <w:numId w:val="19"/>
        </w:numPr>
        <w:spacing w:before="100" w:beforeAutospacing="1" w:after="100" w:afterAutospacing="1" w:line="276" w:lineRule="auto"/>
        <w:rPr>
          <w:rFonts w:ascii="Times New Roman" w:hAnsi="Times New Roman"/>
          <w:b/>
          <w:bCs/>
          <w:lang w:val="en-HK"/>
        </w:rPr>
      </w:pPr>
      <w:r w:rsidRPr="009F3468">
        <w:rPr>
          <w:rFonts w:ascii="Times New Roman" w:hAnsi="Times New Roman"/>
          <w:b/>
          <w:bCs/>
          <w:lang w:val="en-HK"/>
        </w:rPr>
        <w:t>Product Requirements: Always subject to Article 34, as they create barriers to trade.</w:t>
      </w:r>
    </w:p>
    <w:p w14:paraId="29913C9A" w14:textId="77777777" w:rsidR="000A092E" w:rsidRPr="009F3468" w:rsidRDefault="000A092E" w:rsidP="009F3468">
      <w:pPr>
        <w:numPr>
          <w:ilvl w:val="1"/>
          <w:numId w:val="19"/>
        </w:numPr>
        <w:spacing w:before="100" w:beforeAutospacing="1" w:after="100" w:afterAutospacing="1" w:line="276" w:lineRule="auto"/>
        <w:rPr>
          <w:rFonts w:ascii="Times New Roman" w:hAnsi="Times New Roman"/>
          <w:b/>
          <w:bCs/>
          <w:lang w:val="en-HK"/>
        </w:rPr>
      </w:pPr>
      <w:r w:rsidRPr="009F3468">
        <w:rPr>
          <w:rFonts w:ascii="Times New Roman" w:hAnsi="Times New Roman"/>
          <w:b/>
          <w:bCs/>
          <w:lang w:val="en-HK"/>
        </w:rPr>
        <w:t>Selling Arrangements: Excluded from Article 34 if they are non-discriminatory in law and fact.</w:t>
      </w:r>
    </w:p>
    <w:p w14:paraId="43CEA6E7" w14:textId="77777777" w:rsidR="000A092E" w:rsidRPr="009F3468" w:rsidRDefault="000A092E" w:rsidP="009F3468">
      <w:pPr>
        <w:numPr>
          <w:ilvl w:val="0"/>
          <w:numId w:val="19"/>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 xml:space="preserve">This distinction aimed to limit the overreach of the </w:t>
      </w:r>
      <w:proofErr w:type="spellStart"/>
      <w:r w:rsidRPr="009F3468">
        <w:rPr>
          <w:rFonts w:ascii="Times New Roman" w:hAnsi="Times New Roman"/>
          <w:b/>
          <w:bCs/>
          <w:lang w:val="en-HK"/>
        </w:rPr>
        <w:t>Dassonville</w:t>
      </w:r>
      <w:proofErr w:type="spellEnd"/>
      <w:r w:rsidRPr="009F3468">
        <w:rPr>
          <w:rFonts w:ascii="Times New Roman" w:hAnsi="Times New Roman"/>
          <w:b/>
          <w:bCs/>
          <w:lang w:val="en-HK"/>
        </w:rPr>
        <w:t xml:space="preserve"> formula, which defined restrictions broadly as “all trading rules capable of hindering intra-EU trade.”</w:t>
      </w:r>
    </w:p>
    <w:p w14:paraId="69E5C647" w14:textId="77777777" w:rsidR="000A092E" w:rsidRPr="009F3468" w:rsidRDefault="000A092E"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Market Access Test</w:t>
      </w:r>
    </w:p>
    <w:p w14:paraId="2EF4943F" w14:textId="77777777" w:rsidR="000A092E" w:rsidRPr="009F3468" w:rsidRDefault="000A092E" w:rsidP="009F3468">
      <w:pPr>
        <w:spacing w:before="100" w:beforeAutospacing="1" w:after="100" w:afterAutospacing="1" w:line="276" w:lineRule="auto"/>
        <w:rPr>
          <w:rFonts w:ascii="Times New Roman" w:hAnsi="Times New Roman"/>
          <w:lang w:val="en-HK"/>
        </w:rPr>
      </w:pPr>
      <w:r w:rsidRPr="009F3468">
        <w:rPr>
          <w:rFonts w:ascii="Times New Roman" w:hAnsi="Times New Roman"/>
          <w:lang w:val="en-HK"/>
        </w:rPr>
        <w:t xml:space="preserve">The market access test, introduced in </w:t>
      </w:r>
      <w:r w:rsidRPr="009F3468">
        <w:rPr>
          <w:rFonts w:ascii="Times New Roman" w:hAnsi="Times New Roman"/>
          <w:b/>
          <w:bCs/>
          <w:lang w:val="en-HK"/>
        </w:rPr>
        <w:t>Commission v Italy (Italian Trailers, Case C-110/05)</w:t>
      </w:r>
      <w:r w:rsidRPr="009F3468">
        <w:rPr>
          <w:rFonts w:ascii="Times New Roman" w:hAnsi="Times New Roman"/>
          <w:lang w:val="en-HK"/>
        </w:rPr>
        <w:t>, focuses on whether a measure hinders access to the market, regardless of its classification.</w:t>
      </w:r>
    </w:p>
    <w:p w14:paraId="77E7F16D" w14:textId="77777777" w:rsidR="000A092E" w:rsidRPr="009F3468" w:rsidRDefault="000A092E" w:rsidP="009F3468">
      <w:pPr>
        <w:numPr>
          <w:ilvl w:val="1"/>
          <w:numId w:val="20"/>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Facts</w:t>
      </w:r>
      <w:r w:rsidRPr="009F3468">
        <w:rPr>
          <w:rFonts w:ascii="Times New Roman" w:hAnsi="Times New Roman"/>
          <w:lang w:val="en-HK"/>
        </w:rPr>
        <w:t>:</w:t>
      </w:r>
    </w:p>
    <w:p w14:paraId="1825D9D0" w14:textId="77777777" w:rsidR="000A092E" w:rsidRPr="009F3468" w:rsidRDefault="000A092E" w:rsidP="009F3468">
      <w:pPr>
        <w:numPr>
          <w:ilvl w:val="2"/>
          <w:numId w:val="20"/>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Italy prohibited motorcycles from towing trailers, effectively excluding certain trailers from the market.</w:t>
      </w:r>
    </w:p>
    <w:p w14:paraId="7F21B3BC" w14:textId="77777777" w:rsidR="000A092E" w:rsidRPr="009F3468" w:rsidRDefault="000A092E" w:rsidP="009F3468">
      <w:pPr>
        <w:numPr>
          <w:ilvl w:val="1"/>
          <w:numId w:val="20"/>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Judgment</w:t>
      </w:r>
      <w:r w:rsidRPr="009F3468">
        <w:rPr>
          <w:rFonts w:ascii="Times New Roman" w:hAnsi="Times New Roman"/>
          <w:lang w:val="en-HK"/>
        </w:rPr>
        <w:t>:</w:t>
      </w:r>
    </w:p>
    <w:p w14:paraId="4AF935D2" w14:textId="77777777" w:rsidR="000A092E" w:rsidRPr="009F3468" w:rsidRDefault="000A092E" w:rsidP="009F3468">
      <w:pPr>
        <w:numPr>
          <w:ilvl w:val="2"/>
          <w:numId w:val="20"/>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The CJEU found that the measure restricted market access, even though it was non-discriminatory.</w:t>
      </w:r>
    </w:p>
    <w:p w14:paraId="5592A329" w14:textId="77777777" w:rsidR="000A092E" w:rsidRPr="009F3468" w:rsidRDefault="000A092E" w:rsidP="009F3468">
      <w:pPr>
        <w:numPr>
          <w:ilvl w:val="1"/>
          <w:numId w:val="20"/>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Significance</w:t>
      </w:r>
      <w:r w:rsidRPr="009F3468">
        <w:rPr>
          <w:rFonts w:ascii="Times New Roman" w:hAnsi="Times New Roman"/>
          <w:lang w:val="en-HK"/>
        </w:rPr>
        <w:t>:</w:t>
      </w:r>
    </w:p>
    <w:p w14:paraId="758A4EFB" w14:textId="77777777" w:rsidR="000A092E" w:rsidRPr="009F3468" w:rsidRDefault="000A092E" w:rsidP="009F3468">
      <w:pPr>
        <w:numPr>
          <w:ilvl w:val="2"/>
          <w:numId w:val="20"/>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The test subsumes the scope analysis into the restriction analysis, as measures are included within Article 34 if they affect market access.</w:t>
      </w:r>
    </w:p>
    <w:p w14:paraId="5604F363" w14:textId="77777777" w:rsidR="000A092E" w:rsidRPr="009F3468" w:rsidRDefault="000A092E"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Critiques of the Market Access Test</w:t>
      </w:r>
    </w:p>
    <w:p w14:paraId="16F9EEB7" w14:textId="77777777" w:rsidR="000A092E" w:rsidRPr="009F3468" w:rsidRDefault="000A092E" w:rsidP="009F3468">
      <w:pPr>
        <w:numPr>
          <w:ilvl w:val="0"/>
          <w:numId w:val="21"/>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Expansion of Article 34’s Scope</w:t>
      </w:r>
      <w:r w:rsidRPr="009F3468">
        <w:rPr>
          <w:rFonts w:ascii="Times New Roman" w:hAnsi="Times New Roman"/>
          <w:lang w:val="en-HK"/>
        </w:rPr>
        <w:t>:</w:t>
      </w:r>
    </w:p>
    <w:p w14:paraId="0D479C7A" w14:textId="77777777" w:rsidR="000A092E" w:rsidRPr="009F3468" w:rsidRDefault="000A092E" w:rsidP="009F3468">
      <w:pPr>
        <w:numPr>
          <w:ilvl w:val="1"/>
          <w:numId w:val="21"/>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The market access test expands Article 34 to include non-discriminatory measures that might have only an indirect effect on trade.</w:t>
      </w:r>
    </w:p>
    <w:p w14:paraId="0F4ABE6D" w14:textId="77777777" w:rsidR="000A092E" w:rsidRPr="009F3468" w:rsidRDefault="000A092E" w:rsidP="009F3468">
      <w:pPr>
        <w:numPr>
          <w:ilvl w:val="1"/>
          <w:numId w:val="21"/>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 xml:space="preserve">Example: In </w:t>
      </w:r>
      <w:proofErr w:type="spellStart"/>
      <w:r w:rsidRPr="009F3468">
        <w:rPr>
          <w:rFonts w:ascii="Times New Roman" w:hAnsi="Times New Roman"/>
          <w:b/>
          <w:bCs/>
          <w:lang w:val="en-HK"/>
        </w:rPr>
        <w:t>Mickelsson</w:t>
      </w:r>
      <w:proofErr w:type="spellEnd"/>
      <w:r w:rsidRPr="009F3468">
        <w:rPr>
          <w:rFonts w:ascii="Times New Roman" w:hAnsi="Times New Roman"/>
          <w:b/>
          <w:bCs/>
          <w:lang w:val="en-HK"/>
        </w:rPr>
        <w:t xml:space="preserve"> &amp; </w:t>
      </w:r>
      <w:proofErr w:type="spellStart"/>
      <w:r w:rsidRPr="009F3468">
        <w:rPr>
          <w:rFonts w:ascii="Times New Roman" w:hAnsi="Times New Roman"/>
          <w:b/>
          <w:bCs/>
          <w:lang w:val="en-HK"/>
        </w:rPr>
        <w:t>Roos</w:t>
      </w:r>
      <w:proofErr w:type="spellEnd"/>
      <w:r w:rsidRPr="009F3468">
        <w:rPr>
          <w:rFonts w:ascii="Times New Roman" w:hAnsi="Times New Roman"/>
          <w:b/>
          <w:bCs/>
          <w:lang w:val="en-HK"/>
        </w:rPr>
        <w:t xml:space="preserve"> (Case C-142/05)</w:t>
      </w:r>
      <w:r w:rsidRPr="009F3468">
        <w:rPr>
          <w:rFonts w:ascii="Times New Roman" w:hAnsi="Times New Roman"/>
          <w:lang w:val="en-HK"/>
        </w:rPr>
        <w:t>, Swedish restrictions on jet ski use were deemed to hinder market access, even though they applied equally to domestic and imported goods.</w:t>
      </w:r>
    </w:p>
    <w:p w14:paraId="417827BA" w14:textId="77777777" w:rsidR="000A092E" w:rsidRPr="009F3468" w:rsidRDefault="000A092E" w:rsidP="009F3468">
      <w:pPr>
        <w:numPr>
          <w:ilvl w:val="0"/>
          <w:numId w:val="21"/>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Blurring of Distinctions</w:t>
      </w:r>
      <w:r w:rsidRPr="009F3468">
        <w:rPr>
          <w:rFonts w:ascii="Times New Roman" w:hAnsi="Times New Roman"/>
          <w:lang w:val="en-HK"/>
        </w:rPr>
        <w:t>:</w:t>
      </w:r>
    </w:p>
    <w:p w14:paraId="3998D307" w14:textId="77777777" w:rsidR="000A092E" w:rsidRPr="009F3468" w:rsidRDefault="000A092E" w:rsidP="009F3468">
      <w:pPr>
        <w:numPr>
          <w:ilvl w:val="1"/>
          <w:numId w:val="21"/>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lastRenderedPageBreak/>
        <w:t>Measures traditionally excluded as selling arrangements under Keck are increasingly scrutinized under the market access test.</w:t>
      </w:r>
    </w:p>
    <w:p w14:paraId="36E47FD2" w14:textId="77777777" w:rsidR="000A092E" w:rsidRPr="009F3468" w:rsidRDefault="000A092E" w:rsidP="009F3468">
      <w:pPr>
        <w:numPr>
          <w:ilvl w:val="1"/>
          <w:numId w:val="21"/>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 xml:space="preserve">Example: In </w:t>
      </w:r>
      <w:r w:rsidRPr="009F3468">
        <w:rPr>
          <w:rFonts w:ascii="Times New Roman" w:hAnsi="Times New Roman"/>
          <w:b/>
          <w:bCs/>
          <w:lang w:val="en-HK"/>
        </w:rPr>
        <w:t>Ker-</w:t>
      </w:r>
      <w:proofErr w:type="spellStart"/>
      <w:r w:rsidRPr="009F3468">
        <w:rPr>
          <w:rFonts w:ascii="Times New Roman" w:hAnsi="Times New Roman"/>
          <w:b/>
          <w:bCs/>
          <w:lang w:val="en-HK"/>
        </w:rPr>
        <w:t>Optika</w:t>
      </w:r>
      <w:proofErr w:type="spellEnd"/>
      <w:r w:rsidRPr="009F3468">
        <w:rPr>
          <w:rFonts w:ascii="Times New Roman" w:hAnsi="Times New Roman"/>
          <w:b/>
          <w:bCs/>
          <w:lang w:val="en-HK"/>
        </w:rPr>
        <w:t xml:space="preserve"> v ÀNTSZ (Case C-108/09)</w:t>
      </w:r>
      <w:r w:rsidRPr="009F3468">
        <w:rPr>
          <w:rFonts w:ascii="Times New Roman" w:hAnsi="Times New Roman"/>
          <w:lang w:val="en-HK"/>
        </w:rPr>
        <w:t>, restrictions on online sales were treated as market access barriers.</w:t>
      </w:r>
    </w:p>
    <w:p w14:paraId="770871AE" w14:textId="77777777" w:rsidR="000A092E" w:rsidRPr="009F3468"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66594B94">
          <v:rect id="_x0000_i1046" alt="" style="width:451.3pt;height:.05pt;mso-width-percent:0;mso-height-percent:0;mso-width-percent:0;mso-height-percent:0" o:hralign="center" o:hrstd="t" o:hr="t" fillcolor="#a0a0a0" stroked="f"/>
        </w:pict>
      </w:r>
    </w:p>
    <w:p w14:paraId="19FE0A9D" w14:textId="77777777" w:rsidR="000A092E" w:rsidRPr="009F3468" w:rsidRDefault="000A092E" w:rsidP="009F3468">
      <w:pPr>
        <w:spacing w:before="100" w:beforeAutospacing="1" w:after="100" w:afterAutospacing="1" w:line="276" w:lineRule="auto"/>
        <w:outlineLvl w:val="2"/>
        <w:rPr>
          <w:rFonts w:ascii="Times New Roman" w:hAnsi="Times New Roman"/>
          <w:b/>
          <w:bCs/>
          <w:lang w:val="en-HK"/>
        </w:rPr>
      </w:pPr>
      <w:r w:rsidRPr="009F3468">
        <w:rPr>
          <w:rFonts w:ascii="Times New Roman" w:hAnsi="Times New Roman"/>
          <w:b/>
          <w:bCs/>
          <w:lang w:val="en-HK"/>
        </w:rPr>
        <w:t>2. Horizontal Direct Effect: Interaction Between Direct Effect and Restriction</w:t>
      </w:r>
    </w:p>
    <w:p w14:paraId="41E9D9D0" w14:textId="77777777" w:rsidR="000A092E" w:rsidRPr="009F3468" w:rsidRDefault="000A092E"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Traditional Role of Direct Effect</w:t>
      </w:r>
    </w:p>
    <w:p w14:paraId="4355E3EB" w14:textId="77777777" w:rsidR="000A092E" w:rsidRPr="009F3468" w:rsidRDefault="000A092E" w:rsidP="009F3468">
      <w:pPr>
        <w:numPr>
          <w:ilvl w:val="0"/>
          <w:numId w:val="22"/>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 xml:space="preserve">Free movement provisions traditionally </w:t>
      </w:r>
      <w:r w:rsidRPr="009F3468">
        <w:rPr>
          <w:rFonts w:ascii="Times New Roman" w:hAnsi="Times New Roman"/>
          <w:b/>
          <w:bCs/>
          <w:highlight w:val="yellow"/>
          <w:lang w:val="en-HK"/>
        </w:rPr>
        <w:t>applied to Member States, not private parties</w:t>
      </w:r>
      <w:r w:rsidRPr="009F3468">
        <w:rPr>
          <w:rFonts w:ascii="Times New Roman" w:hAnsi="Times New Roman"/>
          <w:lang w:val="en-HK"/>
        </w:rPr>
        <w:t>.</w:t>
      </w:r>
    </w:p>
    <w:p w14:paraId="511582AA" w14:textId="77777777" w:rsidR="000A092E" w:rsidRPr="009F3468" w:rsidRDefault="000A092E" w:rsidP="009F3468">
      <w:pPr>
        <w:numPr>
          <w:ilvl w:val="0"/>
          <w:numId w:val="22"/>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 xml:space="preserve">Van </w:t>
      </w:r>
      <w:proofErr w:type="spellStart"/>
      <w:r w:rsidRPr="009F3468">
        <w:rPr>
          <w:rFonts w:ascii="Times New Roman" w:hAnsi="Times New Roman"/>
          <w:b/>
          <w:bCs/>
          <w:lang w:val="en-HK"/>
        </w:rPr>
        <w:t>Gend</w:t>
      </w:r>
      <w:proofErr w:type="spellEnd"/>
      <w:r w:rsidRPr="009F3468">
        <w:rPr>
          <w:rFonts w:ascii="Times New Roman" w:hAnsi="Times New Roman"/>
          <w:b/>
          <w:bCs/>
          <w:lang w:val="en-HK"/>
        </w:rPr>
        <w:t xml:space="preserve"> </w:t>
      </w:r>
      <w:proofErr w:type="spellStart"/>
      <w:r w:rsidRPr="009F3468">
        <w:rPr>
          <w:rFonts w:ascii="Times New Roman" w:hAnsi="Times New Roman"/>
          <w:b/>
          <w:bCs/>
          <w:lang w:val="en-HK"/>
        </w:rPr>
        <w:t>en</w:t>
      </w:r>
      <w:proofErr w:type="spellEnd"/>
      <w:r w:rsidRPr="009F3468">
        <w:rPr>
          <w:rFonts w:ascii="Times New Roman" w:hAnsi="Times New Roman"/>
          <w:b/>
          <w:bCs/>
          <w:lang w:val="en-HK"/>
        </w:rPr>
        <w:t xml:space="preserve"> Loos (Case 26/62)</w:t>
      </w:r>
      <w:r w:rsidRPr="009F3468">
        <w:rPr>
          <w:rFonts w:ascii="Times New Roman" w:hAnsi="Times New Roman"/>
          <w:lang w:val="en-HK"/>
        </w:rPr>
        <w:t>: Established direct effect for Treaty provisions, allowing individuals to invoke EU law against national measures.</w:t>
      </w:r>
    </w:p>
    <w:p w14:paraId="41429ADC" w14:textId="77777777" w:rsidR="000A092E" w:rsidRPr="009F3468" w:rsidRDefault="000A092E"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Extension to Private Parties</w:t>
      </w:r>
    </w:p>
    <w:p w14:paraId="333BC15D" w14:textId="77777777" w:rsidR="000A092E" w:rsidRPr="009F3468" w:rsidRDefault="000A092E" w:rsidP="009F3468">
      <w:pPr>
        <w:numPr>
          <w:ilvl w:val="0"/>
          <w:numId w:val="23"/>
        </w:numPr>
        <w:spacing w:before="100" w:beforeAutospacing="1" w:after="100" w:afterAutospacing="1" w:line="276" w:lineRule="auto"/>
        <w:rPr>
          <w:rFonts w:ascii="Times New Roman" w:hAnsi="Times New Roman"/>
          <w:b/>
          <w:bCs/>
          <w:lang w:val="en-HK"/>
        </w:rPr>
      </w:pPr>
      <w:r w:rsidRPr="009F3468">
        <w:rPr>
          <w:rFonts w:ascii="Times New Roman" w:hAnsi="Times New Roman"/>
          <w:b/>
          <w:bCs/>
          <w:lang w:val="en-HK"/>
        </w:rPr>
        <w:t>The CJEU extended the horizontal direct effect of free movement provisions to private entities engaged in market regulation.</w:t>
      </w:r>
    </w:p>
    <w:p w14:paraId="1675E5A7" w14:textId="77777777" w:rsidR="000A092E" w:rsidRPr="009F3468" w:rsidRDefault="000A092E" w:rsidP="009F3468">
      <w:pPr>
        <w:numPr>
          <w:ilvl w:val="1"/>
          <w:numId w:val="23"/>
        </w:numPr>
        <w:spacing w:before="100" w:beforeAutospacing="1" w:after="100" w:afterAutospacing="1" w:line="276" w:lineRule="auto"/>
        <w:rPr>
          <w:rFonts w:ascii="Times New Roman" w:hAnsi="Times New Roman"/>
          <w:lang w:val="en-HK"/>
        </w:rPr>
      </w:pPr>
      <w:proofErr w:type="spellStart"/>
      <w:r w:rsidRPr="009F3468">
        <w:rPr>
          <w:rFonts w:ascii="Times New Roman" w:hAnsi="Times New Roman"/>
          <w:b/>
          <w:bCs/>
          <w:lang w:val="en-HK"/>
        </w:rPr>
        <w:t>Walrave</w:t>
      </w:r>
      <w:proofErr w:type="spellEnd"/>
      <w:r w:rsidRPr="009F3468">
        <w:rPr>
          <w:rFonts w:ascii="Times New Roman" w:hAnsi="Times New Roman"/>
          <w:b/>
          <w:bCs/>
          <w:lang w:val="en-HK"/>
        </w:rPr>
        <w:t xml:space="preserve"> and Koch (Case 36/74)</w:t>
      </w:r>
      <w:r w:rsidRPr="009F3468">
        <w:rPr>
          <w:rFonts w:ascii="Times New Roman" w:hAnsi="Times New Roman"/>
          <w:lang w:val="en-HK"/>
        </w:rPr>
        <w:t>:</w:t>
      </w:r>
    </w:p>
    <w:p w14:paraId="43F7FB7A" w14:textId="77777777" w:rsidR="000A092E" w:rsidRPr="009F3468" w:rsidRDefault="000A092E" w:rsidP="009F3468">
      <w:pPr>
        <w:numPr>
          <w:ilvl w:val="2"/>
          <w:numId w:val="23"/>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Applied free movement rules to non-state actors in the context of employment and sports regulation.</w:t>
      </w:r>
    </w:p>
    <w:p w14:paraId="1B775FEC" w14:textId="77777777" w:rsidR="000A092E" w:rsidRPr="009F3468" w:rsidRDefault="000A092E" w:rsidP="009F3468">
      <w:pPr>
        <w:numPr>
          <w:ilvl w:val="1"/>
          <w:numId w:val="23"/>
        </w:numPr>
        <w:spacing w:before="100" w:beforeAutospacing="1" w:after="100" w:afterAutospacing="1" w:line="276" w:lineRule="auto"/>
        <w:rPr>
          <w:rFonts w:ascii="Times New Roman" w:hAnsi="Times New Roman"/>
          <w:lang w:val="en-HK"/>
        </w:rPr>
      </w:pPr>
      <w:proofErr w:type="spellStart"/>
      <w:r w:rsidRPr="009F3468">
        <w:rPr>
          <w:rFonts w:ascii="Times New Roman" w:hAnsi="Times New Roman"/>
          <w:b/>
          <w:bCs/>
          <w:lang w:val="en-HK"/>
        </w:rPr>
        <w:t>Angonese</w:t>
      </w:r>
      <w:proofErr w:type="spellEnd"/>
      <w:r w:rsidRPr="009F3468">
        <w:rPr>
          <w:rFonts w:ascii="Times New Roman" w:hAnsi="Times New Roman"/>
          <w:b/>
          <w:bCs/>
          <w:lang w:val="en-HK"/>
        </w:rPr>
        <w:t xml:space="preserve"> (Case C-281/98)</w:t>
      </w:r>
      <w:r w:rsidRPr="009F3468">
        <w:rPr>
          <w:rFonts w:ascii="Times New Roman" w:hAnsi="Times New Roman"/>
          <w:lang w:val="en-HK"/>
        </w:rPr>
        <w:t>:</w:t>
      </w:r>
    </w:p>
    <w:p w14:paraId="4DA7AA17" w14:textId="77777777" w:rsidR="000A092E" w:rsidRPr="009F3468" w:rsidRDefault="000A092E" w:rsidP="009F3468">
      <w:pPr>
        <w:numPr>
          <w:ilvl w:val="2"/>
          <w:numId w:val="23"/>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Required private employers to comply with free movement rules.</w:t>
      </w:r>
    </w:p>
    <w:p w14:paraId="34350787" w14:textId="77777777" w:rsidR="000A092E" w:rsidRPr="009F3468" w:rsidRDefault="000A092E"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Fra.bo and Market Access</w:t>
      </w:r>
    </w:p>
    <w:p w14:paraId="716E9158" w14:textId="77777777" w:rsidR="000A092E" w:rsidRPr="009F3468" w:rsidRDefault="000A092E" w:rsidP="009F3468">
      <w:pPr>
        <w:numPr>
          <w:ilvl w:val="0"/>
          <w:numId w:val="24"/>
        </w:numPr>
        <w:spacing w:before="100" w:beforeAutospacing="1" w:after="100" w:afterAutospacing="1" w:line="276" w:lineRule="auto"/>
        <w:rPr>
          <w:rFonts w:ascii="Times New Roman" w:hAnsi="Times New Roman"/>
          <w:b/>
          <w:bCs/>
          <w:highlight w:val="yellow"/>
          <w:lang w:val="en-HK"/>
        </w:rPr>
      </w:pPr>
      <w:r w:rsidRPr="009F3468">
        <w:rPr>
          <w:rFonts w:ascii="Times New Roman" w:hAnsi="Times New Roman"/>
          <w:lang w:val="en-HK"/>
        </w:rPr>
        <w:t xml:space="preserve">In </w:t>
      </w:r>
      <w:r w:rsidRPr="009F3468">
        <w:rPr>
          <w:rFonts w:ascii="Times New Roman" w:hAnsi="Times New Roman"/>
          <w:b/>
          <w:bCs/>
          <w:lang w:val="en-HK"/>
        </w:rPr>
        <w:t xml:space="preserve">Fra.bo </w:t>
      </w:r>
      <w:proofErr w:type="spellStart"/>
      <w:r w:rsidRPr="009F3468">
        <w:rPr>
          <w:rFonts w:ascii="Times New Roman" w:hAnsi="Times New Roman"/>
          <w:b/>
          <w:bCs/>
          <w:lang w:val="en-HK"/>
        </w:rPr>
        <w:t>SpA</w:t>
      </w:r>
      <w:proofErr w:type="spellEnd"/>
      <w:r w:rsidRPr="009F3468">
        <w:rPr>
          <w:rFonts w:ascii="Times New Roman" w:hAnsi="Times New Roman"/>
          <w:b/>
          <w:bCs/>
          <w:lang w:val="en-HK"/>
        </w:rPr>
        <w:t xml:space="preserve"> v Deutsche </w:t>
      </w:r>
      <w:proofErr w:type="spellStart"/>
      <w:r w:rsidRPr="009F3468">
        <w:rPr>
          <w:rFonts w:ascii="Times New Roman" w:hAnsi="Times New Roman"/>
          <w:b/>
          <w:bCs/>
          <w:lang w:val="en-HK"/>
        </w:rPr>
        <w:t>Vereinigung</w:t>
      </w:r>
      <w:proofErr w:type="spellEnd"/>
      <w:r w:rsidRPr="009F3468">
        <w:rPr>
          <w:rFonts w:ascii="Times New Roman" w:hAnsi="Times New Roman"/>
          <w:b/>
          <w:bCs/>
          <w:lang w:val="en-HK"/>
        </w:rPr>
        <w:t xml:space="preserve"> (Case C-171/11)</w:t>
      </w:r>
      <w:r w:rsidRPr="009F3468">
        <w:rPr>
          <w:rFonts w:ascii="Times New Roman" w:hAnsi="Times New Roman"/>
          <w:lang w:val="en-HK"/>
        </w:rPr>
        <w:t xml:space="preserve">, the Court </w:t>
      </w:r>
      <w:r w:rsidRPr="009F3468">
        <w:rPr>
          <w:rFonts w:ascii="Times New Roman" w:hAnsi="Times New Roman"/>
          <w:b/>
          <w:bCs/>
          <w:highlight w:val="yellow"/>
          <w:lang w:val="en-HK"/>
        </w:rPr>
        <w:t>applied Article 34 to a private certification body that withdrew approval for an Italian manufacturer.</w:t>
      </w:r>
    </w:p>
    <w:p w14:paraId="39CACBDD" w14:textId="77777777" w:rsidR="000A092E" w:rsidRPr="009F3468" w:rsidRDefault="000A092E" w:rsidP="009F3468">
      <w:pPr>
        <w:numPr>
          <w:ilvl w:val="1"/>
          <w:numId w:val="24"/>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Facts</w:t>
      </w:r>
      <w:r w:rsidRPr="009F3468">
        <w:rPr>
          <w:rFonts w:ascii="Times New Roman" w:hAnsi="Times New Roman"/>
          <w:lang w:val="en-HK"/>
        </w:rPr>
        <w:t>:</w:t>
      </w:r>
    </w:p>
    <w:p w14:paraId="33FBB088" w14:textId="77777777" w:rsidR="000A092E" w:rsidRPr="009F3468" w:rsidRDefault="000A092E" w:rsidP="009F3468">
      <w:pPr>
        <w:numPr>
          <w:ilvl w:val="2"/>
          <w:numId w:val="24"/>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The certification body’s decision created a de facto barrier to market access for the manufacturer.</w:t>
      </w:r>
    </w:p>
    <w:p w14:paraId="59B023AD" w14:textId="77777777" w:rsidR="000A092E" w:rsidRPr="009F3468" w:rsidRDefault="000A092E" w:rsidP="009F3468">
      <w:pPr>
        <w:numPr>
          <w:ilvl w:val="1"/>
          <w:numId w:val="24"/>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Judgment</w:t>
      </w:r>
      <w:r w:rsidRPr="009F3468">
        <w:rPr>
          <w:rFonts w:ascii="Times New Roman" w:hAnsi="Times New Roman"/>
          <w:lang w:val="en-HK"/>
        </w:rPr>
        <w:t>:</w:t>
      </w:r>
    </w:p>
    <w:p w14:paraId="55558E9F" w14:textId="77777777" w:rsidR="000A092E" w:rsidRPr="009F3468" w:rsidRDefault="000A092E" w:rsidP="009F3468">
      <w:pPr>
        <w:numPr>
          <w:ilvl w:val="2"/>
          <w:numId w:val="24"/>
        </w:numPr>
        <w:spacing w:before="100" w:beforeAutospacing="1" w:after="100" w:afterAutospacing="1" w:line="276" w:lineRule="auto"/>
        <w:rPr>
          <w:rFonts w:ascii="Times New Roman" w:hAnsi="Times New Roman"/>
          <w:b/>
          <w:bCs/>
          <w:lang w:val="en-HK"/>
        </w:rPr>
      </w:pPr>
      <w:r w:rsidRPr="009F3468">
        <w:rPr>
          <w:rFonts w:ascii="Times New Roman" w:hAnsi="Times New Roman"/>
          <w:b/>
          <w:bCs/>
          <w:lang w:val="en-HK"/>
        </w:rPr>
        <w:t>The Court held that Article 34 could apply to private entities whose actions hinder market access.</w:t>
      </w:r>
    </w:p>
    <w:p w14:paraId="4E4D3D62" w14:textId="77777777" w:rsidR="000A092E" w:rsidRPr="009F3468" w:rsidRDefault="000A092E" w:rsidP="009F3468">
      <w:pPr>
        <w:numPr>
          <w:ilvl w:val="1"/>
          <w:numId w:val="24"/>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Significance</w:t>
      </w:r>
      <w:r w:rsidRPr="009F3468">
        <w:rPr>
          <w:rFonts w:ascii="Times New Roman" w:hAnsi="Times New Roman"/>
          <w:lang w:val="en-HK"/>
        </w:rPr>
        <w:t>:</w:t>
      </w:r>
    </w:p>
    <w:p w14:paraId="0438A75B" w14:textId="77777777" w:rsidR="000A092E" w:rsidRPr="009F3468" w:rsidRDefault="000A092E" w:rsidP="009F3468">
      <w:pPr>
        <w:numPr>
          <w:ilvl w:val="2"/>
          <w:numId w:val="24"/>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The Court used the existence of a restriction to justify horizontal direct effect, merging these two analytical stages.</w:t>
      </w:r>
    </w:p>
    <w:p w14:paraId="0C78FDDE" w14:textId="77777777" w:rsidR="000A092E" w:rsidRPr="009F3468" w:rsidRDefault="000A092E"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Critiques</w:t>
      </w:r>
    </w:p>
    <w:p w14:paraId="18AFDCC8" w14:textId="77777777" w:rsidR="000A092E" w:rsidRPr="009F3468" w:rsidRDefault="000A092E" w:rsidP="009F3468">
      <w:pPr>
        <w:numPr>
          <w:ilvl w:val="0"/>
          <w:numId w:val="25"/>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Doctrinal Ambiguity</w:t>
      </w:r>
      <w:r w:rsidRPr="009F3468">
        <w:rPr>
          <w:rFonts w:ascii="Times New Roman" w:hAnsi="Times New Roman"/>
          <w:lang w:val="en-HK"/>
        </w:rPr>
        <w:t>:</w:t>
      </w:r>
    </w:p>
    <w:p w14:paraId="2DB5A1CD" w14:textId="77777777" w:rsidR="000A092E" w:rsidRPr="009F3468" w:rsidRDefault="000A092E" w:rsidP="009F3468">
      <w:pPr>
        <w:numPr>
          <w:ilvl w:val="1"/>
          <w:numId w:val="25"/>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lastRenderedPageBreak/>
        <w:t>By merging direct effect with restriction, the Court fails to clearly define the boundaries of Article 34’s applicability.</w:t>
      </w:r>
    </w:p>
    <w:p w14:paraId="2C0CF158" w14:textId="77777777" w:rsidR="000A092E" w:rsidRPr="009F3468" w:rsidRDefault="000A092E" w:rsidP="009F3468">
      <w:pPr>
        <w:numPr>
          <w:ilvl w:val="0"/>
          <w:numId w:val="25"/>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Judicial Overreach</w:t>
      </w:r>
      <w:r w:rsidRPr="009F3468">
        <w:rPr>
          <w:rFonts w:ascii="Times New Roman" w:hAnsi="Times New Roman"/>
          <w:lang w:val="en-HK"/>
        </w:rPr>
        <w:t>:</w:t>
      </w:r>
    </w:p>
    <w:p w14:paraId="07937578" w14:textId="77777777" w:rsidR="000A092E" w:rsidRPr="009F3468" w:rsidRDefault="000A092E" w:rsidP="009F3468">
      <w:pPr>
        <w:numPr>
          <w:ilvl w:val="1"/>
          <w:numId w:val="25"/>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Critics argue that extending horizontal direct effect undermines the traditional division of responsibilities between the EU and Member States.</w:t>
      </w:r>
    </w:p>
    <w:p w14:paraId="3F0E2E6C" w14:textId="77777777" w:rsidR="000A092E" w:rsidRPr="009F3468"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2898C58E">
          <v:rect id="_x0000_i1045" alt="" style="width:451.3pt;height:.05pt;mso-width-percent:0;mso-height-percent:0;mso-width-percent:0;mso-height-percent:0" o:hralign="center" o:hrstd="t" o:hr="t" fillcolor="#a0a0a0" stroked="f"/>
        </w:pict>
      </w:r>
    </w:p>
    <w:p w14:paraId="1E17B70F" w14:textId="77777777" w:rsidR="000A092E" w:rsidRPr="009F3468" w:rsidRDefault="000A092E" w:rsidP="009F3468">
      <w:pPr>
        <w:spacing w:before="100" w:beforeAutospacing="1" w:after="100" w:afterAutospacing="1" w:line="276" w:lineRule="auto"/>
        <w:outlineLvl w:val="2"/>
        <w:rPr>
          <w:rFonts w:ascii="Times New Roman" w:hAnsi="Times New Roman"/>
          <w:b/>
          <w:bCs/>
          <w:lang w:val="en-HK"/>
        </w:rPr>
      </w:pPr>
      <w:r w:rsidRPr="009F3468">
        <w:rPr>
          <w:rFonts w:ascii="Times New Roman" w:hAnsi="Times New Roman"/>
          <w:b/>
          <w:bCs/>
          <w:lang w:val="en-HK"/>
        </w:rPr>
        <w:t>3. Assimilation of Justifications: Interaction Between Restriction and Justification</w:t>
      </w:r>
    </w:p>
    <w:p w14:paraId="0ED67B6A" w14:textId="77777777" w:rsidR="000A092E" w:rsidRPr="009F3468" w:rsidRDefault="000A092E"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Traditional Role of Justifications</w:t>
      </w:r>
    </w:p>
    <w:p w14:paraId="5549577D" w14:textId="77777777" w:rsidR="000A092E" w:rsidRPr="009F3468" w:rsidRDefault="000A092E" w:rsidP="009F3468">
      <w:pPr>
        <w:numPr>
          <w:ilvl w:val="0"/>
          <w:numId w:val="26"/>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Restrictions on free movement can be justified under:</w:t>
      </w:r>
    </w:p>
    <w:p w14:paraId="79AE4946" w14:textId="77777777" w:rsidR="000A092E" w:rsidRPr="009F3468" w:rsidRDefault="000A092E" w:rsidP="009F3468">
      <w:pPr>
        <w:numPr>
          <w:ilvl w:val="1"/>
          <w:numId w:val="26"/>
        </w:numPr>
        <w:spacing w:before="100" w:beforeAutospacing="1" w:after="100" w:afterAutospacing="1" w:line="276" w:lineRule="auto"/>
        <w:rPr>
          <w:rFonts w:ascii="Times New Roman" w:hAnsi="Times New Roman"/>
          <w:b/>
          <w:bCs/>
          <w:color w:val="FF0000"/>
          <w:lang w:val="en-HK"/>
        </w:rPr>
      </w:pPr>
      <w:r w:rsidRPr="009F3468">
        <w:rPr>
          <w:rFonts w:ascii="Times New Roman" w:hAnsi="Times New Roman"/>
          <w:b/>
          <w:bCs/>
          <w:color w:val="FF0000"/>
          <w:lang w:val="en-HK"/>
        </w:rPr>
        <w:t>Article 36 TFEU: Treaty-based justifications, such as public morality, public security, and public health.</w:t>
      </w:r>
    </w:p>
    <w:p w14:paraId="2E3DEDBA" w14:textId="77777777" w:rsidR="000A092E" w:rsidRPr="009F3468" w:rsidRDefault="000A092E" w:rsidP="009F3468">
      <w:pPr>
        <w:numPr>
          <w:ilvl w:val="1"/>
          <w:numId w:val="26"/>
        </w:numPr>
        <w:spacing w:before="100" w:beforeAutospacing="1" w:after="100" w:afterAutospacing="1" w:line="276" w:lineRule="auto"/>
        <w:rPr>
          <w:rFonts w:ascii="Times New Roman" w:hAnsi="Times New Roman"/>
          <w:b/>
          <w:bCs/>
          <w:color w:val="FF0000"/>
          <w:lang w:val="en-HK"/>
        </w:rPr>
      </w:pPr>
      <w:r w:rsidRPr="009F3468">
        <w:rPr>
          <w:rFonts w:ascii="Times New Roman" w:hAnsi="Times New Roman"/>
          <w:b/>
          <w:bCs/>
          <w:color w:val="FF0000"/>
          <w:lang w:val="en-HK"/>
        </w:rPr>
        <w:t>Mandatory Requirements: Non-Treaty justifications introduced in Cassis de Dijon (Case 120/78), such as consumer protection and environmental protection.</w:t>
      </w:r>
    </w:p>
    <w:p w14:paraId="18D5D69C" w14:textId="77777777" w:rsidR="000A092E" w:rsidRPr="009F3468" w:rsidRDefault="000A092E"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Integration of Restriction and Justification</w:t>
      </w:r>
    </w:p>
    <w:p w14:paraId="5E96D093" w14:textId="77777777" w:rsidR="000A092E" w:rsidRPr="009F3468" w:rsidRDefault="000A092E" w:rsidP="009F3468">
      <w:pPr>
        <w:numPr>
          <w:ilvl w:val="0"/>
          <w:numId w:val="27"/>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Van Leeuwen argues that the CJEU increasingly skips the formal restriction analysis, moving directly to the justification stage.</w:t>
      </w:r>
    </w:p>
    <w:p w14:paraId="5ACC7031" w14:textId="77777777" w:rsidR="000A092E" w:rsidRPr="009F3468" w:rsidRDefault="000A092E" w:rsidP="009F3468">
      <w:pPr>
        <w:numPr>
          <w:ilvl w:val="0"/>
          <w:numId w:val="27"/>
        </w:numPr>
        <w:spacing w:before="100" w:beforeAutospacing="1" w:after="100" w:afterAutospacing="1" w:line="276" w:lineRule="auto"/>
        <w:rPr>
          <w:rFonts w:ascii="Times New Roman" w:hAnsi="Times New Roman"/>
          <w:lang w:val="en-HK"/>
        </w:rPr>
      </w:pPr>
      <w:proofErr w:type="spellStart"/>
      <w:r w:rsidRPr="009F3468">
        <w:rPr>
          <w:rFonts w:ascii="Times New Roman" w:hAnsi="Times New Roman"/>
          <w:b/>
          <w:bCs/>
          <w:lang w:val="en-HK"/>
        </w:rPr>
        <w:t>PreussenElektra</w:t>
      </w:r>
      <w:proofErr w:type="spellEnd"/>
      <w:r w:rsidRPr="009F3468">
        <w:rPr>
          <w:rFonts w:ascii="Times New Roman" w:hAnsi="Times New Roman"/>
          <w:b/>
          <w:bCs/>
          <w:lang w:val="en-HK"/>
        </w:rPr>
        <w:t xml:space="preserve"> (Case C-379/98)</w:t>
      </w:r>
      <w:r w:rsidRPr="009F3468">
        <w:rPr>
          <w:rFonts w:ascii="Times New Roman" w:hAnsi="Times New Roman"/>
          <w:lang w:val="en-HK"/>
        </w:rPr>
        <w:t>:</w:t>
      </w:r>
    </w:p>
    <w:p w14:paraId="6FF8EB01" w14:textId="77777777" w:rsidR="000A092E" w:rsidRPr="009F3468" w:rsidRDefault="000A092E" w:rsidP="009F3468">
      <w:pPr>
        <w:numPr>
          <w:ilvl w:val="1"/>
          <w:numId w:val="27"/>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A German renewable energy policy was justified on environmental grounds, despite being directly discriminatory.</w:t>
      </w:r>
    </w:p>
    <w:p w14:paraId="3B5C7216" w14:textId="77777777" w:rsidR="000A092E" w:rsidRPr="009F3468" w:rsidRDefault="000A092E" w:rsidP="009F3468">
      <w:pPr>
        <w:numPr>
          <w:ilvl w:val="1"/>
          <w:numId w:val="27"/>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The Court avoided a detailed restriction analysis, instead focusing on proportionality.</w:t>
      </w:r>
    </w:p>
    <w:p w14:paraId="64917F0C" w14:textId="77777777" w:rsidR="000A092E" w:rsidRPr="009F3468" w:rsidRDefault="000A092E"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Proportionality and Justification</w:t>
      </w:r>
    </w:p>
    <w:p w14:paraId="3CC3CD05" w14:textId="77777777" w:rsidR="000A092E" w:rsidRPr="009F3468" w:rsidRDefault="000A092E" w:rsidP="009F3468">
      <w:pPr>
        <w:numPr>
          <w:ilvl w:val="0"/>
          <w:numId w:val="28"/>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Proportionality has become the dominant tool for resolving free movement cases, often overshadowing the restriction analysis.</w:t>
      </w:r>
    </w:p>
    <w:p w14:paraId="3E9D149B" w14:textId="77777777" w:rsidR="000A092E" w:rsidRPr="009F3468" w:rsidRDefault="000A092E" w:rsidP="009F3468">
      <w:pPr>
        <w:numPr>
          <w:ilvl w:val="0"/>
          <w:numId w:val="28"/>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Scotch Whisky Association v Lord Advocate (Case C-333/14)</w:t>
      </w:r>
      <w:r w:rsidRPr="009F3468">
        <w:rPr>
          <w:rFonts w:ascii="Times New Roman" w:hAnsi="Times New Roman"/>
          <w:lang w:val="en-HK"/>
        </w:rPr>
        <w:t>:</w:t>
      </w:r>
    </w:p>
    <w:p w14:paraId="2B2C4558" w14:textId="77777777" w:rsidR="000A092E" w:rsidRPr="009F3468" w:rsidRDefault="000A092E" w:rsidP="009F3468">
      <w:pPr>
        <w:numPr>
          <w:ilvl w:val="1"/>
          <w:numId w:val="28"/>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Minimum alcohol pricing was upheld as proportionate to public health objectives, even though it hindered market access for imports.</w:t>
      </w:r>
    </w:p>
    <w:p w14:paraId="5C6CFBF0" w14:textId="77777777" w:rsidR="000A092E" w:rsidRPr="009F3468" w:rsidRDefault="000A092E" w:rsidP="009F3468">
      <w:pPr>
        <w:spacing w:before="100" w:beforeAutospacing="1" w:after="100" w:afterAutospacing="1" w:line="276" w:lineRule="auto"/>
        <w:outlineLvl w:val="3"/>
        <w:rPr>
          <w:rFonts w:ascii="Times New Roman" w:hAnsi="Times New Roman"/>
          <w:b/>
          <w:bCs/>
          <w:lang w:val="en-HK"/>
        </w:rPr>
      </w:pPr>
      <w:r w:rsidRPr="009F3468">
        <w:rPr>
          <w:rFonts w:ascii="Times New Roman" w:hAnsi="Times New Roman"/>
          <w:b/>
          <w:bCs/>
          <w:lang w:val="en-HK"/>
        </w:rPr>
        <w:t>Critiques</w:t>
      </w:r>
    </w:p>
    <w:p w14:paraId="5C09FE27" w14:textId="77777777" w:rsidR="000A092E" w:rsidRPr="009F3468" w:rsidRDefault="000A092E" w:rsidP="009F3468">
      <w:pPr>
        <w:numPr>
          <w:ilvl w:val="0"/>
          <w:numId w:val="29"/>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Erosion of the Restriction Analysis</w:t>
      </w:r>
      <w:r w:rsidRPr="009F3468">
        <w:rPr>
          <w:rFonts w:ascii="Times New Roman" w:hAnsi="Times New Roman"/>
          <w:lang w:val="en-HK"/>
        </w:rPr>
        <w:t>:</w:t>
      </w:r>
    </w:p>
    <w:p w14:paraId="06680174" w14:textId="77777777" w:rsidR="000A092E" w:rsidRPr="009F3468" w:rsidRDefault="000A092E" w:rsidP="009F3468">
      <w:pPr>
        <w:numPr>
          <w:ilvl w:val="1"/>
          <w:numId w:val="29"/>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By focusing on justifications, the Court dilutes the distinct analytical role of restriction.</w:t>
      </w:r>
    </w:p>
    <w:p w14:paraId="5F0C661A" w14:textId="77777777" w:rsidR="000A092E" w:rsidRPr="009F3468" w:rsidRDefault="000A092E" w:rsidP="009F3468">
      <w:pPr>
        <w:numPr>
          <w:ilvl w:val="0"/>
          <w:numId w:val="29"/>
        </w:numPr>
        <w:spacing w:before="100" w:beforeAutospacing="1" w:after="100" w:afterAutospacing="1" w:line="276" w:lineRule="auto"/>
        <w:rPr>
          <w:rFonts w:ascii="Times New Roman" w:hAnsi="Times New Roman"/>
          <w:lang w:val="en-HK"/>
        </w:rPr>
      </w:pPr>
      <w:r w:rsidRPr="009F3468">
        <w:rPr>
          <w:rFonts w:ascii="Times New Roman" w:hAnsi="Times New Roman"/>
          <w:b/>
          <w:bCs/>
          <w:lang w:val="en-HK"/>
        </w:rPr>
        <w:t>Flexibility vs. Legal Certainty</w:t>
      </w:r>
      <w:r w:rsidRPr="009F3468">
        <w:rPr>
          <w:rFonts w:ascii="Times New Roman" w:hAnsi="Times New Roman"/>
          <w:lang w:val="en-HK"/>
        </w:rPr>
        <w:t>:</w:t>
      </w:r>
    </w:p>
    <w:p w14:paraId="79B5DEAA" w14:textId="77777777" w:rsidR="000A092E" w:rsidRPr="009F3468" w:rsidRDefault="000A092E" w:rsidP="009F3468">
      <w:pPr>
        <w:numPr>
          <w:ilvl w:val="1"/>
          <w:numId w:val="29"/>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Proportionality provides flexibility but undermines predictability, as national measures are assessed on a case-by-case basis.</w:t>
      </w:r>
    </w:p>
    <w:p w14:paraId="512C1D30" w14:textId="77777777" w:rsidR="000A092E" w:rsidRPr="009F3468"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lastRenderedPageBreak/>
        <w:pict w14:anchorId="450928AC">
          <v:rect id="_x0000_i1044" alt="" style="width:451.3pt;height:.05pt;mso-width-percent:0;mso-height-percent:0;mso-width-percent:0;mso-height-percent:0" o:hralign="center" o:hrstd="t" o:hr="t" fillcolor="#a0a0a0" stroked="f"/>
        </w:pict>
      </w:r>
    </w:p>
    <w:p w14:paraId="246896D3" w14:textId="77777777" w:rsidR="000A092E" w:rsidRPr="009F3468" w:rsidRDefault="000A092E" w:rsidP="009F3468">
      <w:pPr>
        <w:spacing w:before="100" w:beforeAutospacing="1" w:after="100" w:afterAutospacing="1" w:line="276" w:lineRule="auto"/>
        <w:outlineLvl w:val="2"/>
        <w:rPr>
          <w:rFonts w:ascii="Times New Roman" w:hAnsi="Times New Roman"/>
          <w:b/>
          <w:bCs/>
          <w:lang w:val="en-HK"/>
        </w:rPr>
      </w:pPr>
      <w:r w:rsidRPr="009F3468">
        <w:rPr>
          <w:rFonts w:ascii="Times New Roman" w:hAnsi="Times New Roman"/>
          <w:b/>
          <w:bCs/>
          <w:lang w:val="en-HK"/>
        </w:rPr>
        <w:t>Conclusion of Section III</w:t>
      </w:r>
    </w:p>
    <w:p w14:paraId="5B6EF511" w14:textId="77777777" w:rsidR="000A092E" w:rsidRPr="009F3468" w:rsidRDefault="000A092E" w:rsidP="009F3468">
      <w:pPr>
        <w:numPr>
          <w:ilvl w:val="0"/>
          <w:numId w:val="30"/>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Van Leeuwen identifies three key developments in free movement law that have reshaped the traditional framework:</w:t>
      </w:r>
    </w:p>
    <w:p w14:paraId="4ABC73E7" w14:textId="77777777" w:rsidR="000A092E" w:rsidRPr="009F3468" w:rsidRDefault="000A092E" w:rsidP="009F3468">
      <w:pPr>
        <w:numPr>
          <w:ilvl w:val="1"/>
          <w:numId w:val="30"/>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 xml:space="preserve">The </w:t>
      </w:r>
      <w:r w:rsidRPr="009F3468">
        <w:rPr>
          <w:rFonts w:ascii="Times New Roman" w:hAnsi="Times New Roman"/>
          <w:b/>
          <w:bCs/>
          <w:lang w:val="en-HK"/>
        </w:rPr>
        <w:t>market access test</w:t>
      </w:r>
      <w:r w:rsidRPr="009F3468">
        <w:rPr>
          <w:rFonts w:ascii="Times New Roman" w:hAnsi="Times New Roman"/>
          <w:lang w:val="en-HK"/>
        </w:rPr>
        <w:t xml:space="preserve"> has blurred the line between scope and restriction, expanding Article 34’s reach.</w:t>
      </w:r>
    </w:p>
    <w:p w14:paraId="3AB73FE2" w14:textId="77777777" w:rsidR="000A092E" w:rsidRPr="009F3468" w:rsidRDefault="000A092E" w:rsidP="009F3468">
      <w:pPr>
        <w:numPr>
          <w:ilvl w:val="1"/>
          <w:numId w:val="30"/>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 xml:space="preserve">The extension of </w:t>
      </w:r>
      <w:r w:rsidRPr="009F3468">
        <w:rPr>
          <w:rFonts w:ascii="Times New Roman" w:hAnsi="Times New Roman"/>
          <w:b/>
          <w:bCs/>
          <w:lang w:val="en-HK"/>
        </w:rPr>
        <w:t>horizontal direct effect</w:t>
      </w:r>
      <w:r w:rsidRPr="009F3468">
        <w:rPr>
          <w:rFonts w:ascii="Times New Roman" w:hAnsi="Times New Roman"/>
          <w:lang w:val="en-HK"/>
        </w:rPr>
        <w:t xml:space="preserve"> to private parties merges direct effect and restriction analyses.</w:t>
      </w:r>
    </w:p>
    <w:p w14:paraId="231A8836" w14:textId="77777777" w:rsidR="000A092E" w:rsidRPr="009F3468" w:rsidRDefault="000A092E" w:rsidP="009F3468">
      <w:pPr>
        <w:numPr>
          <w:ilvl w:val="1"/>
          <w:numId w:val="30"/>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 xml:space="preserve">The assimilation of justifications into the restriction analysis centralizes </w:t>
      </w:r>
      <w:r w:rsidRPr="009F3468">
        <w:rPr>
          <w:rFonts w:ascii="Times New Roman" w:hAnsi="Times New Roman"/>
          <w:b/>
          <w:bCs/>
          <w:lang w:val="en-HK"/>
        </w:rPr>
        <w:t>proportionality</w:t>
      </w:r>
      <w:r w:rsidRPr="009F3468">
        <w:rPr>
          <w:rFonts w:ascii="Times New Roman" w:hAnsi="Times New Roman"/>
          <w:lang w:val="en-HK"/>
        </w:rPr>
        <w:t>, overshadowing the distinction between these stages.</w:t>
      </w:r>
    </w:p>
    <w:p w14:paraId="4BE8418E" w14:textId="77777777" w:rsidR="000A092E" w:rsidRPr="009F3468" w:rsidRDefault="000A092E" w:rsidP="009F3468">
      <w:pPr>
        <w:numPr>
          <w:ilvl w:val="0"/>
          <w:numId w:val="30"/>
        </w:numPr>
        <w:spacing w:before="100" w:beforeAutospacing="1" w:after="100" w:afterAutospacing="1" w:line="276" w:lineRule="auto"/>
        <w:rPr>
          <w:rFonts w:ascii="Times New Roman" w:hAnsi="Times New Roman"/>
          <w:lang w:val="en-HK"/>
        </w:rPr>
      </w:pPr>
      <w:r w:rsidRPr="009F3468">
        <w:rPr>
          <w:rFonts w:ascii="Times New Roman" w:hAnsi="Times New Roman"/>
          <w:lang w:val="en-HK"/>
        </w:rPr>
        <w:t>These developments have increased the flexibility of free movement law but at the cost of doctrinal clarity and legal certainty.</w:t>
      </w:r>
    </w:p>
    <w:p w14:paraId="2827B86F" w14:textId="77777777" w:rsidR="000A092E" w:rsidRPr="009F3468"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45EEC5C5">
          <v:rect id="_x0000_i1043" alt="" style="width:451.3pt;height:.05pt;mso-width-percent:0;mso-height-percent:0;mso-width-percent:0;mso-height-percent:0" o:hralign="center" o:hrstd="t" o:hr="t" fillcolor="#a0a0a0" stroked="f"/>
        </w:pict>
      </w:r>
    </w:p>
    <w:p w14:paraId="240644AD" w14:textId="77777777"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t>IV. The Centralisation of Proportionality in the Internal Market</w:t>
      </w:r>
    </w:p>
    <w:p w14:paraId="1F855CDE" w14:textId="77777777" w:rsidR="00864E69" w:rsidRPr="00864E69" w:rsidRDefault="00864E69" w:rsidP="009F3468">
      <w:p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This section explores how the </w:t>
      </w:r>
      <w:r w:rsidRPr="00864E69">
        <w:rPr>
          <w:rFonts w:ascii="Times New Roman" w:hAnsi="Times New Roman"/>
          <w:b/>
          <w:bCs/>
          <w:lang w:val="en-HK"/>
        </w:rPr>
        <w:t>proportionality principle</w:t>
      </w:r>
      <w:r w:rsidRPr="00864E69">
        <w:rPr>
          <w:rFonts w:ascii="Times New Roman" w:hAnsi="Times New Roman"/>
          <w:lang w:val="en-HK"/>
        </w:rPr>
        <w:t xml:space="preserve"> has become central to the CJEU’s interpretation and application of free movement law, replacing the traditional structure of separate pillars. Van Leeuwen discusses this centralisation’s impact on the </w:t>
      </w:r>
      <w:proofErr w:type="spellStart"/>
      <w:r w:rsidRPr="00864E69">
        <w:rPr>
          <w:rFonts w:ascii="Times New Roman" w:hAnsi="Times New Roman"/>
          <w:lang w:val="en-HK"/>
        </w:rPr>
        <w:t>effet</w:t>
      </w:r>
      <w:proofErr w:type="spellEnd"/>
      <w:r w:rsidRPr="00864E69">
        <w:rPr>
          <w:rFonts w:ascii="Times New Roman" w:hAnsi="Times New Roman"/>
          <w:lang w:val="en-HK"/>
        </w:rPr>
        <w:t xml:space="preserve"> utile of free movement provisions and its broader consequences for legal certainty, Member State autonomy, and the coherence of EU law.</w:t>
      </w:r>
    </w:p>
    <w:p w14:paraId="5A487714" w14:textId="77777777" w:rsidR="00864E69" w:rsidRPr="00864E69"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5AE7E809">
          <v:rect id="_x0000_i1042" alt="" style="width:451.3pt;height:.05pt;mso-width-percent:0;mso-height-percent:0;mso-width-percent:0;mso-height-percent:0" o:hralign="center" o:hrstd="t" o:hr="t" fillcolor="#a0a0a0" stroked="f"/>
        </w:pict>
      </w:r>
    </w:p>
    <w:p w14:paraId="290D3094" w14:textId="77777777"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t xml:space="preserve">1. The Centralisation of Proportionality and the </w:t>
      </w:r>
      <w:proofErr w:type="spellStart"/>
      <w:r w:rsidRPr="00864E69">
        <w:rPr>
          <w:rFonts w:ascii="Times New Roman" w:hAnsi="Times New Roman"/>
          <w:b/>
          <w:bCs/>
          <w:lang w:val="en-HK"/>
        </w:rPr>
        <w:t>Effet</w:t>
      </w:r>
      <w:proofErr w:type="spellEnd"/>
      <w:r w:rsidRPr="00864E69">
        <w:rPr>
          <w:rFonts w:ascii="Times New Roman" w:hAnsi="Times New Roman"/>
          <w:b/>
          <w:bCs/>
          <w:lang w:val="en-HK"/>
        </w:rPr>
        <w:t xml:space="preserve"> Utile of Free Movement Provisions</w:t>
      </w:r>
    </w:p>
    <w:p w14:paraId="7A0D7055"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Proportionality’s Role in Free Movement Law</w:t>
      </w:r>
    </w:p>
    <w:p w14:paraId="709B7386" w14:textId="77777777" w:rsidR="00864E69" w:rsidRPr="00864E69" w:rsidRDefault="00864E69" w:rsidP="009F3468">
      <w:pPr>
        <w:numPr>
          <w:ilvl w:val="0"/>
          <w:numId w:val="31"/>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Proportionality</w:t>
      </w:r>
      <w:r w:rsidRPr="00864E69">
        <w:rPr>
          <w:rFonts w:ascii="Times New Roman" w:hAnsi="Times New Roman"/>
          <w:lang w:val="en-HK"/>
        </w:rPr>
        <w:t xml:space="preserve"> is a judicial tool used to balance conflicting interests, such as the need for free movement and the pursuit of legitimate public interest objectives.</w:t>
      </w:r>
    </w:p>
    <w:p w14:paraId="16ABC542" w14:textId="77777777" w:rsidR="00864E69" w:rsidRPr="00864E69" w:rsidRDefault="00864E69" w:rsidP="009F3468">
      <w:pPr>
        <w:numPr>
          <w:ilvl w:val="0"/>
          <w:numId w:val="31"/>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Traditionally, proportionality was confined to the </w:t>
      </w:r>
      <w:r w:rsidRPr="00864E69">
        <w:rPr>
          <w:rFonts w:ascii="Times New Roman" w:hAnsi="Times New Roman"/>
          <w:b/>
          <w:bCs/>
          <w:lang w:val="en-HK"/>
        </w:rPr>
        <w:t>justification stage</w:t>
      </w:r>
      <w:r w:rsidRPr="00864E69">
        <w:rPr>
          <w:rFonts w:ascii="Times New Roman" w:hAnsi="Times New Roman"/>
          <w:lang w:val="en-HK"/>
        </w:rPr>
        <w:t xml:space="preserve"> to assess whether a restriction on free movement could be justified under Article 36 TFEU or mandatory requirements (e.g., consumer or environmental protection).</w:t>
      </w:r>
    </w:p>
    <w:p w14:paraId="56BB25E7"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Expansion of Proportionality</w:t>
      </w:r>
    </w:p>
    <w:p w14:paraId="64AA0035" w14:textId="77777777" w:rsidR="00864E69" w:rsidRPr="00864E69" w:rsidRDefault="00864E69" w:rsidP="009F3468">
      <w:pPr>
        <w:numPr>
          <w:ilvl w:val="0"/>
          <w:numId w:val="32"/>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Van Leeuwen argues that </w:t>
      </w:r>
      <w:r w:rsidRPr="00864E69">
        <w:rPr>
          <w:rFonts w:ascii="Times New Roman" w:hAnsi="Times New Roman"/>
          <w:b/>
          <w:bCs/>
          <w:lang w:val="en-HK"/>
        </w:rPr>
        <w:t>proportionality has increasingly infiltrated all stages of free movement law</w:t>
      </w:r>
      <w:r w:rsidRPr="00864E69">
        <w:rPr>
          <w:rFonts w:ascii="Times New Roman" w:hAnsi="Times New Roman"/>
          <w:lang w:val="en-HK"/>
        </w:rPr>
        <w:t xml:space="preserve">, from </w:t>
      </w:r>
      <w:r w:rsidRPr="00864E69">
        <w:rPr>
          <w:rFonts w:ascii="Times New Roman" w:hAnsi="Times New Roman"/>
          <w:b/>
          <w:bCs/>
          <w:lang w:val="en-HK"/>
        </w:rPr>
        <w:t>scope</w:t>
      </w:r>
      <w:r w:rsidRPr="00864E69">
        <w:rPr>
          <w:rFonts w:ascii="Times New Roman" w:hAnsi="Times New Roman"/>
          <w:lang w:val="en-HK"/>
        </w:rPr>
        <w:t xml:space="preserve"> to </w:t>
      </w:r>
      <w:r w:rsidRPr="00864E69">
        <w:rPr>
          <w:rFonts w:ascii="Times New Roman" w:hAnsi="Times New Roman"/>
          <w:b/>
          <w:bCs/>
          <w:lang w:val="en-HK"/>
        </w:rPr>
        <w:t>restriction</w:t>
      </w:r>
      <w:r w:rsidRPr="00864E69">
        <w:rPr>
          <w:rFonts w:ascii="Times New Roman" w:hAnsi="Times New Roman"/>
          <w:lang w:val="en-HK"/>
        </w:rPr>
        <w:t xml:space="preserve"> and </w:t>
      </w:r>
      <w:r w:rsidRPr="00864E69">
        <w:rPr>
          <w:rFonts w:ascii="Times New Roman" w:hAnsi="Times New Roman"/>
          <w:b/>
          <w:bCs/>
          <w:lang w:val="en-HK"/>
        </w:rPr>
        <w:t>justification</w:t>
      </w:r>
      <w:r w:rsidRPr="00864E69">
        <w:rPr>
          <w:rFonts w:ascii="Times New Roman" w:hAnsi="Times New Roman"/>
          <w:lang w:val="en-HK"/>
        </w:rPr>
        <w:t>.</w:t>
      </w:r>
    </w:p>
    <w:p w14:paraId="68D6E3AB" w14:textId="77777777" w:rsidR="00864E69" w:rsidRPr="00864E69" w:rsidRDefault="00864E69" w:rsidP="009F3468">
      <w:pPr>
        <w:numPr>
          <w:ilvl w:val="0"/>
          <w:numId w:val="32"/>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This centralisation reflects the CJEU’s commitment to ensuring the </w:t>
      </w:r>
      <w:proofErr w:type="spellStart"/>
      <w:r w:rsidRPr="00864E69">
        <w:rPr>
          <w:rFonts w:ascii="Times New Roman" w:hAnsi="Times New Roman"/>
          <w:b/>
          <w:bCs/>
          <w:lang w:val="en-HK"/>
        </w:rPr>
        <w:t>effet</w:t>
      </w:r>
      <w:proofErr w:type="spellEnd"/>
      <w:r w:rsidRPr="00864E69">
        <w:rPr>
          <w:rFonts w:ascii="Times New Roman" w:hAnsi="Times New Roman"/>
          <w:b/>
          <w:bCs/>
          <w:lang w:val="en-HK"/>
        </w:rPr>
        <w:t xml:space="preserve"> utile</w:t>
      </w:r>
      <w:r w:rsidRPr="00864E69">
        <w:rPr>
          <w:rFonts w:ascii="Times New Roman" w:hAnsi="Times New Roman"/>
          <w:lang w:val="en-HK"/>
        </w:rPr>
        <w:t xml:space="preserve"> (practical effectiveness) of free movement provisions by prioritising economic integration.</w:t>
      </w:r>
    </w:p>
    <w:p w14:paraId="16E8FEF9"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lastRenderedPageBreak/>
        <w:t>Case Analysis: Proportionality in Action</w:t>
      </w:r>
    </w:p>
    <w:p w14:paraId="038A66DC" w14:textId="77777777" w:rsidR="00864E69" w:rsidRPr="00864E69" w:rsidRDefault="00864E69" w:rsidP="009F3468">
      <w:pPr>
        <w:numPr>
          <w:ilvl w:val="0"/>
          <w:numId w:val="33"/>
        </w:numPr>
        <w:spacing w:before="100" w:beforeAutospacing="1" w:after="100" w:afterAutospacing="1" w:line="276" w:lineRule="auto"/>
        <w:rPr>
          <w:rFonts w:ascii="Times New Roman" w:hAnsi="Times New Roman"/>
          <w:lang w:val="en-HK"/>
        </w:rPr>
      </w:pPr>
      <w:proofErr w:type="spellStart"/>
      <w:r w:rsidRPr="00864E69">
        <w:rPr>
          <w:rFonts w:ascii="Times New Roman" w:hAnsi="Times New Roman"/>
          <w:b/>
          <w:bCs/>
          <w:lang w:val="en-HK"/>
        </w:rPr>
        <w:t>Schmidberger</w:t>
      </w:r>
      <w:proofErr w:type="spellEnd"/>
      <w:r w:rsidRPr="00864E69">
        <w:rPr>
          <w:rFonts w:ascii="Times New Roman" w:hAnsi="Times New Roman"/>
          <w:b/>
          <w:bCs/>
          <w:lang w:val="en-HK"/>
        </w:rPr>
        <w:t xml:space="preserve"> v Austria (Case C-112/00)</w:t>
      </w:r>
      <w:r w:rsidRPr="00864E69">
        <w:rPr>
          <w:rFonts w:ascii="Times New Roman" w:hAnsi="Times New Roman"/>
          <w:lang w:val="en-HK"/>
        </w:rPr>
        <w:t>:</w:t>
      </w:r>
    </w:p>
    <w:p w14:paraId="6F98B593" w14:textId="77777777" w:rsidR="00864E69" w:rsidRPr="00864E69" w:rsidRDefault="00864E69" w:rsidP="009F3468">
      <w:pPr>
        <w:numPr>
          <w:ilvl w:val="1"/>
          <w:numId w:val="33"/>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Facts</w:t>
      </w:r>
      <w:r w:rsidRPr="00864E69">
        <w:rPr>
          <w:rFonts w:ascii="Times New Roman" w:hAnsi="Times New Roman"/>
          <w:lang w:val="en-HK"/>
        </w:rPr>
        <w:t>: Austria allowed a roadblock protest that disrupted goods transport between Germany and Italy.</w:t>
      </w:r>
    </w:p>
    <w:p w14:paraId="507AB652" w14:textId="77777777" w:rsidR="00864E69" w:rsidRPr="00864E69" w:rsidRDefault="00864E69" w:rsidP="009F3468">
      <w:pPr>
        <w:numPr>
          <w:ilvl w:val="1"/>
          <w:numId w:val="33"/>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Judgment</w:t>
      </w:r>
      <w:r w:rsidRPr="00864E69">
        <w:rPr>
          <w:rFonts w:ascii="Times New Roman" w:hAnsi="Times New Roman"/>
          <w:lang w:val="en-HK"/>
        </w:rPr>
        <w:t>: The CJEU upheld Austria’s actions, finding that the right to freedom of expression outweighed the temporary restriction on free movement.</w:t>
      </w:r>
    </w:p>
    <w:p w14:paraId="0EB1539D" w14:textId="77777777" w:rsidR="00864E69" w:rsidRPr="00864E69" w:rsidRDefault="00864E69" w:rsidP="009F3468">
      <w:pPr>
        <w:numPr>
          <w:ilvl w:val="1"/>
          <w:numId w:val="33"/>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Proportionality Test</w:t>
      </w:r>
      <w:r w:rsidRPr="00864E69">
        <w:rPr>
          <w:rFonts w:ascii="Times New Roman" w:hAnsi="Times New Roman"/>
          <w:lang w:val="en-HK"/>
        </w:rPr>
        <w:t>:</w:t>
      </w:r>
    </w:p>
    <w:p w14:paraId="43E1701F" w14:textId="77777777" w:rsidR="00864E69" w:rsidRPr="00864E69" w:rsidRDefault="00864E69" w:rsidP="009F3468">
      <w:pPr>
        <w:numPr>
          <w:ilvl w:val="2"/>
          <w:numId w:val="33"/>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Court assessed whether Austria’s measure was necessary and proportionate to its objective of protecting fundamental rights.</w:t>
      </w:r>
    </w:p>
    <w:p w14:paraId="3A97370B" w14:textId="77777777" w:rsidR="00864E69" w:rsidRPr="00864E69" w:rsidRDefault="00864E69" w:rsidP="009F3468">
      <w:pPr>
        <w:numPr>
          <w:ilvl w:val="1"/>
          <w:numId w:val="33"/>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Significance</w:t>
      </w:r>
      <w:r w:rsidRPr="00864E69">
        <w:rPr>
          <w:rFonts w:ascii="Times New Roman" w:hAnsi="Times New Roman"/>
          <w:lang w:val="en-HK"/>
        </w:rPr>
        <w:t>:</w:t>
      </w:r>
    </w:p>
    <w:p w14:paraId="56277C68" w14:textId="77777777" w:rsidR="00864E69" w:rsidRPr="00864E69" w:rsidRDefault="00864E69" w:rsidP="009F3468">
      <w:pPr>
        <w:numPr>
          <w:ilvl w:val="2"/>
          <w:numId w:val="33"/>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Proportionality served as the central tool for balancing competing rights (free movement vs. freedom of expression).</w:t>
      </w:r>
    </w:p>
    <w:p w14:paraId="43DC92B3" w14:textId="77777777" w:rsidR="00864E69" w:rsidRPr="00864E69" w:rsidRDefault="00864E69" w:rsidP="009F3468">
      <w:pPr>
        <w:numPr>
          <w:ilvl w:val="0"/>
          <w:numId w:val="33"/>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 xml:space="preserve">Omega </w:t>
      </w:r>
      <w:proofErr w:type="spellStart"/>
      <w:r w:rsidRPr="00864E69">
        <w:rPr>
          <w:rFonts w:ascii="Times New Roman" w:hAnsi="Times New Roman"/>
          <w:b/>
          <w:bCs/>
          <w:lang w:val="en-HK"/>
        </w:rPr>
        <w:t>Spielhallen</w:t>
      </w:r>
      <w:proofErr w:type="spellEnd"/>
      <w:r w:rsidRPr="00864E69">
        <w:rPr>
          <w:rFonts w:ascii="Times New Roman" w:hAnsi="Times New Roman"/>
          <w:b/>
          <w:bCs/>
          <w:lang w:val="en-HK"/>
        </w:rPr>
        <w:t xml:space="preserve"> v Bonn (Case C-36/02)</w:t>
      </w:r>
      <w:r w:rsidRPr="00864E69">
        <w:rPr>
          <w:rFonts w:ascii="Times New Roman" w:hAnsi="Times New Roman"/>
          <w:lang w:val="en-HK"/>
        </w:rPr>
        <w:t>:</w:t>
      </w:r>
    </w:p>
    <w:p w14:paraId="7FF4AC99" w14:textId="77777777" w:rsidR="00864E69" w:rsidRPr="00864E69" w:rsidRDefault="00864E69" w:rsidP="009F3468">
      <w:pPr>
        <w:numPr>
          <w:ilvl w:val="1"/>
          <w:numId w:val="33"/>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Facts</w:t>
      </w:r>
      <w:r w:rsidRPr="00864E69">
        <w:rPr>
          <w:rFonts w:ascii="Times New Roman" w:hAnsi="Times New Roman"/>
          <w:lang w:val="en-HK"/>
        </w:rPr>
        <w:t>: A German ban on "laser tag" games was challenged under free movement law.</w:t>
      </w:r>
    </w:p>
    <w:p w14:paraId="688E6609" w14:textId="77777777" w:rsidR="00864E69" w:rsidRPr="00864E69" w:rsidRDefault="00864E69" w:rsidP="009F3468">
      <w:pPr>
        <w:numPr>
          <w:ilvl w:val="1"/>
          <w:numId w:val="33"/>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Judgment</w:t>
      </w:r>
      <w:r w:rsidRPr="00864E69">
        <w:rPr>
          <w:rFonts w:ascii="Times New Roman" w:hAnsi="Times New Roman"/>
          <w:lang w:val="en-HK"/>
        </w:rPr>
        <w:t>: The Court upheld the ban as proportionate, finding it necessary to protect human dignity.</w:t>
      </w:r>
    </w:p>
    <w:p w14:paraId="39ED5C3C" w14:textId="77777777" w:rsidR="00864E69" w:rsidRPr="00864E69" w:rsidRDefault="00864E69" w:rsidP="009F3468">
      <w:pPr>
        <w:numPr>
          <w:ilvl w:val="1"/>
          <w:numId w:val="33"/>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Significance</w:t>
      </w:r>
      <w:r w:rsidRPr="00864E69">
        <w:rPr>
          <w:rFonts w:ascii="Times New Roman" w:hAnsi="Times New Roman"/>
          <w:lang w:val="en-HK"/>
        </w:rPr>
        <w:t>:</w:t>
      </w:r>
    </w:p>
    <w:p w14:paraId="61F83207" w14:textId="77777777" w:rsidR="00864E69" w:rsidRPr="00864E69" w:rsidRDefault="00864E69" w:rsidP="009F3468">
      <w:pPr>
        <w:numPr>
          <w:ilvl w:val="2"/>
          <w:numId w:val="33"/>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Proportionality was used to prioritise a Member State’s core constitutional value over economic freedoms.</w:t>
      </w:r>
    </w:p>
    <w:p w14:paraId="09A41448" w14:textId="77777777" w:rsidR="00864E69" w:rsidRPr="00864E69" w:rsidRDefault="00864E69" w:rsidP="009F3468">
      <w:pPr>
        <w:numPr>
          <w:ilvl w:val="0"/>
          <w:numId w:val="33"/>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Scotch Whisky Association v Lord Advocate (Case C-333/14)</w:t>
      </w:r>
      <w:r w:rsidRPr="00864E69">
        <w:rPr>
          <w:rFonts w:ascii="Times New Roman" w:hAnsi="Times New Roman"/>
          <w:lang w:val="en-HK"/>
        </w:rPr>
        <w:t>:</w:t>
      </w:r>
    </w:p>
    <w:p w14:paraId="76AACA8C" w14:textId="77777777" w:rsidR="00864E69" w:rsidRPr="00864E69" w:rsidRDefault="00864E69" w:rsidP="009F3468">
      <w:pPr>
        <w:numPr>
          <w:ilvl w:val="1"/>
          <w:numId w:val="33"/>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Facts</w:t>
      </w:r>
      <w:r w:rsidRPr="00864E69">
        <w:rPr>
          <w:rFonts w:ascii="Times New Roman" w:hAnsi="Times New Roman"/>
          <w:lang w:val="en-HK"/>
        </w:rPr>
        <w:t>: Scotland introduced minimum alcohol pricing, which disproportionately affected imported products.</w:t>
      </w:r>
    </w:p>
    <w:p w14:paraId="11294623" w14:textId="77777777" w:rsidR="00864E69" w:rsidRPr="00864E69" w:rsidRDefault="00864E69" w:rsidP="009F3468">
      <w:pPr>
        <w:numPr>
          <w:ilvl w:val="1"/>
          <w:numId w:val="33"/>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Judgment</w:t>
      </w:r>
      <w:r w:rsidRPr="00864E69">
        <w:rPr>
          <w:rFonts w:ascii="Times New Roman" w:hAnsi="Times New Roman"/>
          <w:lang w:val="en-HK"/>
        </w:rPr>
        <w:t>: The measure was justified under public health grounds, subject to a proportionality assessment.</w:t>
      </w:r>
    </w:p>
    <w:p w14:paraId="77746821" w14:textId="77777777" w:rsidR="00864E69" w:rsidRPr="00864E69" w:rsidRDefault="00864E69" w:rsidP="009F3468">
      <w:pPr>
        <w:numPr>
          <w:ilvl w:val="1"/>
          <w:numId w:val="33"/>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Key Principle</w:t>
      </w:r>
      <w:r w:rsidRPr="00864E69">
        <w:rPr>
          <w:rFonts w:ascii="Times New Roman" w:hAnsi="Times New Roman"/>
          <w:lang w:val="en-HK"/>
        </w:rPr>
        <w:t>:</w:t>
      </w:r>
    </w:p>
    <w:p w14:paraId="47CBBBC4" w14:textId="77777777" w:rsidR="00864E69" w:rsidRPr="00864E69" w:rsidRDefault="00864E69" w:rsidP="009F3468">
      <w:pPr>
        <w:numPr>
          <w:ilvl w:val="2"/>
          <w:numId w:val="33"/>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Court focused on proportionality rather than strict adherence to the discrimination or restriction tests.</w:t>
      </w:r>
    </w:p>
    <w:p w14:paraId="6DEF18C1"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proofErr w:type="spellStart"/>
      <w:r w:rsidRPr="00864E69">
        <w:rPr>
          <w:rFonts w:ascii="Times New Roman" w:hAnsi="Times New Roman"/>
          <w:b/>
          <w:bCs/>
          <w:lang w:val="en-HK"/>
        </w:rPr>
        <w:t>Effet</w:t>
      </w:r>
      <w:proofErr w:type="spellEnd"/>
      <w:r w:rsidRPr="00864E69">
        <w:rPr>
          <w:rFonts w:ascii="Times New Roman" w:hAnsi="Times New Roman"/>
          <w:b/>
          <w:bCs/>
          <w:lang w:val="en-HK"/>
        </w:rPr>
        <w:t xml:space="preserve"> Utile and Flexibility</w:t>
      </w:r>
    </w:p>
    <w:p w14:paraId="08959A0E" w14:textId="77777777" w:rsidR="00864E69" w:rsidRPr="00864E69" w:rsidRDefault="00864E69" w:rsidP="009F3468">
      <w:pPr>
        <w:numPr>
          <w:ilvl w:val="0"/>
          <w:numId w:val="34"/>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The centralisation of proportionality enhances the </w:t>
      </w:r>
      <w:proofErr w:type="spellStart"/>
      <w:r w:rsidRPr="00864E69">
        <w:rPr>
          <w:rFonts w:ascii="Times New Roman" w:hAnsi="Times New Roman"/>
          <w:b/>
          <w:bCs/>
          <w:lang w:val="en-HK"/>
        </w:rPr>
        <w:t>effet</w:t>
      </w:r>
      <w:proofErr w:type="spellEnd"/>
      <w:r w:rsidRPr="00864E69">
        <w:rPr>
          <w:rFonts w:ascii="Times New Roman" w:hAnsi="Times New Roman"/>
          <w:b/>
          <w:bCs/>
          <w:lang w:val="en-HK"/>
        </w:rPr>
        <w:t xml:space="preserve"> utile</w:t>
      </w:r>
      <w:r w:rsidRPr="00864E69">
        <w:rPr>
          <w:rFonts w:ascii="Times New Roman" w:hAnsi="Times New Roman"/>
          <w:lang w:val="en-HK"/>
        </w:rPr>
        <w:t xml:space="preserve"> of free movement provisions by enabling the Court to:</w:t>
      </w:r>
    </w:p>
    <w:p w14:paraId="6E43BAD0" w14:textId="77777777" w:rsidR="00864E69" w:rsidRPr="00864E69" w:rsidRDefault="00864E69" w:rsidP="009F3468">
      <w:pPr>
        <w:numPr>
          <w:ilvl w:val="1"/>
          <w:numId w:val="34"/>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Adapt to complex cases involving multiple interests (e.g., fundamental rights, public health).</w:t>
      </w:r>
    </w:p>
    <w:p w14:paraId="3762B274" w14:textId="77777777" w:rsidR="00864E69" w:rsidRPr="00864E69" w:rsidRDefault="00864E69" w:rsidP="009F3468">
      <w:pPr>
        <w:numPr>
          <w:ilvl w:val="1"/>
          <w:numId w:val="34"/>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Balance economic integration with non-economic values, such as social and environmental objectives.</w:t>
      </w:r>
    </w:p>
    <w:p w14:paraId="6064CD67"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Criticism of Centralisation</w:t>
      </w:r>
    </w:p>
    <w:p w14:paraId="1628CA47" w14:textId="77777777" w:rsidR="00864E69" w:rsidRPr="00864E69" w:rsidRDefault="00864E69" w:rsidP="009F3468">
      <w:pPr>
        <w:numPr>
          <w:ilvl w:val="0"/>
          <w:numId w:val="35"/>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Judicial Overreach</w:t>
      </w:r>
      <w:r w:rsidRPr="00864E69">
        <w:rPr>
          <w:rFonts w:ascii="Times New Roman" w:hAnsi="Times New Roman"/>
          <w:lang w:val="en-HK"/>
        </w:rPr>
        <w:t>:</w:t>
      </w:r>
    </w:p>
    <w:p w14:paraId="35E4C1D0" w14:textId="77777777" w:rsidR="00864E69" w:rsidRPr="00864E69" w:rsidRDefault="00864E69" w:rsidP="009F3468">
      <w:pPr>
        <w:numPr>
          <w:ilvl w:val="1"/>
          <w:numId w:val="35"/>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lastRenderedPageBreak/>
        <w:t>Van Leeuwen argues that proportionality’s dominance reflects the CJEU’s expansive role in shaping the internal market, encroaching on Member State autonomy.</w:t>
      </w:r>
    </w:p>
    <w:p w14:paraId="23EC0EFF" w14:textId="77777777" w:rsidR="00864E69" w:rsidRPr="00864E69" w:rsidRDefault="00864E69" w:rsidP="009F3468">
      <w:pPr>
        <w:numPr>
          <w:ilvl w:val="1"/>
          <w:numId w:val="35"/>
        </w:numPr>
        <w:spacing w:before="100" w:beforeAutospacing="1" w:after="100" w:afterAutospacing="1" w:line="276" w:lineRule="auto"/>
        <w:rPr>
          <w:rFonts w:ascii="Times New Roman" w:hAnsi="Times New Roman"/>
          <w:b/>
          <w:bCs/>
          <w:lang w:val="en-HK"/>
        </w:rPr>
      </w:pPr>
      <w:r w:rsidRPr="00864E69">
        <w:rPr>
          <w:rFonts w:ascii="Times New Roman" w:hAnsi="Times New Roman"/>
          <w:lang w:val="en-HK"/>
        </w:rPr>
        <w:t xml:space="preserve">Critics, including </w:t>
      </w:r>
      <w:proofErr w:type="spellStart"/>
      <w:r w:rsidRPr="00864E69">
        <w:rPr>
          <w:rFonts w:ascii="Times New Roman" w:hAnsi="Times New Roman"/>
          <w:lang w:val="en-HK"/>
        </w:rPr>
        <w:t>Weatherill</w:t>
      </w:r>
      <w:proofErr w:type="spellEnd"/>
      <w:r w:rsidRPr="00864E69">
        <w:rPr>
          <w:rFonts w:ascii="Times New Roman" w:hAnsi="Times New Roman"/>
          <w:lang w:val="en-HK"/>
        </w:rPr>
        <w:t xml:space="preserve">, suggest that the Court’s reliance on </w:t>
      </w:r>
      <w:r w:rsidRPr="00864E69">
        <w:rPr>
          <w:rFonts w:ascii="Times New Roman" w:hAnsi="Times New Roman"/>
          <w:b/>
          <w:bCs/>
          <w:lang w:val="en-HK"/>
        </w:rPr>
        <w:t>proportionality risks transforming it into an "all-purpose tool" that undermines legal certainty.</w:t>
      </w:r>
    </w:p>
    <w:p w14:paraId="32081C96" w14:textId="77777777" w:rsidR="00864E69" w:rsidRPr="00864E69" w:rsidRDefault="00864E69" w:rsidP="009F3468">
      <w:pPr>
        <w:numPr>
          <w:ilvl w:val="0"/>
          <w:numId w:val="35"/>
        </w:numPr>
        <w:spacing w:before="100" w:beforeAutospacing="1" w:after="100" w:afterAutospacing="1" w:line="276" w:lineRule="auto"/>
        <w:rPr>
          <w:rFonts w:ascii="Times New Roman" w:hAnsi="Times New Roman"/>
          <w:highlight w:val="yellow"/>
          <w:lang w:val="en-HK"/>
        </w:rPr>
      </w:pPr>
      <w:r w:rsidRPr="00864E69">
        <w:rPr>
          <w:rFonts w:ascii="Times New Roman" w:hAnsi="Times New Roman"/>
          <w:b/>
          <w:bCs/>
          <w:highlight w:val="yellow"/>
          <w:lang w:val="en-HK"/>
        </w:rPr>
        <w:t>Erosion of Pillar Distinctions</w:t>
      </w:r>
      <w:r w:rsidRPr="00864E69">
        <w:rPr>
          <w:rFonts w:ascii="Times New Roman" w:hAnsi="Times New Roman"/>
          <w:highlight w:val="yellow"/>
          <w:lang w:val="en-HK"/>
        </w:rPr>
        <w:t>:</w:t>
      </w:r>
    </w:p>
    <w:p w14:paraId="7C3D790F" w14:textId="2603BE5C" w:rsidR="00864E69" w:rsidRPr="009F3468" w:rsidRDefault="00864E69" w:rsidP="009F3468">
      <w:pPr>
        <w:spacing w:before="100" w:beforeAutospacing="1" w:after="100" w:afterAutospacing="1" w:line="276" w:lineRule="auto"/>
        <w:rPr>
          <w:rFonts w:ascii="Times New Roman" w:hAnsi="Times New Roman"/>
          <w:lang w:val="en-HK"/>
        </w:rPr>
      </w:pPr>
      <w:r w:rsidRPr="009F3468">
        <w:rPr>
          <w:rFonts w:ascii="Times New Roman" w:hAnsi="Times New Roman"/>
          <w:b/>
          <w:bCs/>
          <w:color w:val="FF0000"/>
          <w:lang w:val="en-HK"/>
        </w:rPr>
        <w:t>T</w:t>
      </w:r>
      <w:r w:rsidRPr="00864E69">
        <w:rPr>
          <w:rFonts w:ascii="Times New Roman" w:hAnsi="Times New Roman"/>
          <w:b/>
          <w:bCs/>
          <w:color w:val="FF0000"/>
          <w:lang w:val="en-HK"/>
        </w:rPr>
        <w:t>he use of proportionality at every stage (scope, restriction, justification)</w:t>
      </w:r>
      <w:r w:rsidRPr="00864E69">
        <w:rPr>
          <w:rFonts w:ascii="Times New Roman" w:hAnsi="Times New Roman"/>
          <w:color w:val="FF0000"/>
          <w:lang w:val="en-HK"/>
        </w:rPr>
        <w:t xml:space="preserve"> </w:t>
      </w:r>
      <w:r w:rsidRPr="00864E69">
        <w:rPr>
          <w:rFonts w:ascii="Times New Roman" w:hAnsi="Times New Roman"/>
          <w:b/>
          <w:bCs/>
          <w:color w:val="FF0000"/>
          <w:lang w:val="en-HK"/>
        </w:rPr>
        <w:t>dilutes the traditional four-pillar framework</w:t>
      </w:r>
      <w:r w:rsidRPr="00864E69">
        <w:rPr>
          <w:rFonts w:ascii="Times New Roman" w:hAnsi="Times New Roman"/>
          <w:lang w:val="en-HK"/>
        </w:rPr>
        <w:t>, reducing doctrinal coherence.</w:t>
      </w:r>
    </w:p>
    <w:p w14:paraId="2F9BD7E1" w14:textId="77777777"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t>1. Proportionality at the Restriction Stage</w:t>
      </w:r>
    </w:p>
    <w:p w14:paraId="08B5B26D"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Purpose</w:t>
      </w:r>
    </w:p>
    <w:p w14:paraId="3D8AB15A" w14:textId="77777777" w:rsidR="00864E69" w:rsidRPr="00864E69" w:rsidRDefault="00864E69" w:rsidP="009F3468">
      <w:pPr>
        <w:numPr>
          <w:ilvl w:val="0"/>
          <w:numId w:val="53"/>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At the restriction stage, the proportionality principle is used to </w:t>
      </w:r>
      <w:r w:rsidRPr="00864E69">
        <w:rPr>
          <w:rFonts w:ascii="Times New Roman" w:hAnsi="Times New Roman"/>
          <w:b/>
          <w:bCs/>
          <w:lang w:val="en-HK"/>
        </w:rPr>
        <w:t>identify whether a national measure constitutes a restriction</w:t>
      </w:r>
      <w:r w:rsidRPr="00864E69">
        <w:rPr>
          <w:rFonts w:ascii="Times New Roman" w:hAnsi="Times New Roman"/>
          <w:lang w:val="en-HK"/>
        </w:rPr>
        <w:t xml:space="preserve"> on free movement rights under EU law.</w:t>
      </w:r>
    </w:p>
    <w:p w14:paraId="0CC2948D" w14:textId="77777777" w:rsidR="00864E69" w:rsidRPr="00864E69" w:rsidRDefault="00864E69" w:rsidP="009F3468">
      <w:pPr>
        <w:numPr>
          <w:ilvl w:val="0"/>
          <w:numId w:val="53"/>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focus is on whether the measure creates an obstacle to intra-EU trade, regardless of its intention.</w:t>
      </w:r>
    </w:p>
    <w:p w14:paraId="1FC9AA4F"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Scope</w:t>
      </w:r>
    </w:p>
    <w:p w14:paraId="16975E4F" w14:textId="77777777" w:rsidR="00864E69" w:rsidRPr="00864E69" w:rsidRDefault="00864E69" w:rsidP="009F3468">
      <w:pPr>
        <w:numPr>
          <w:ilvl w:val="0"/>
          <w:numId w:val="54"/>
        </w:numPr>
        <w:spacing w:before="100" w:beforeAutospacing="1" w:after="100" w:afterAutospacing="1" w:line="276" w:lineRule="auto"/>
        <w:rPr>
          <w:rFonts w:ascii="Times New Roman" w:hAnsi="Times New Roman"/>
          <w:lang w:val="en-HK"/>
        </w:rPr>
      </w:pPr>
      <w:r w:rsidRPr="00864E69">
        <w:rPr>
          <w:rFonts w:ascii="Times New Roman" w:hAnsi="Times New Roman"/>
          <w:highlight w:val="yellow"/>
          <w:lang w:val="en-HK"/>
        </w:rPr>
        <w:t xml:space="preserve">Proportionality here addresses the </w:t>
      </w:r>
      <w:r w:rsidRPr="00864E69">
        <w:rPr>
          <w:rFonts w:ascii="Times New Roman" w:hAnsi="Times New Roman"/>
          <w:b/>
          <w:bCs/>
          <w:highlight w:val="yellow"/>
          <w:lang w:val="en-HK"/>
        </w:rPr>
        <w:t>effect of the measure</w:t>
      </w:r>
      <w:r w:rsidRPr="00864E69">
        <w:rPr>
          <w:rFonts w:ascii="Times New Roman" w:hAnsi="Times New Roman"/>
          <w:lang w:val="en-HK"/>
        </w:rPr>
        <w:t>, asking:</w:t>
      </w:r>
    </w:p>
    <w:p w14:paraId="4809CCB9" w14:textId="77777777" w:rsidR="00864E69" w:rsidRPr="00864E69" w:rsidRDefault="00864E69" w:rsidP="009F3468">
      <w:pPr>
        <w:numPr>
          <w:ilvl w:val="1"/>
          <w:numId w:val="54"/>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Does the measure restrict access to the market for goods from other Member States?</w:t>
      </w:r>
    </w:p>
    <w:p w14:paraId="3AFFAEBF" w14:textId="77777777" w:rsidR="00864E69" w:rsidRPr="00864E69" w:rsidRDefault="00864E69" w:rsidP="009F3468">
      <w:pPr>
        <w:numPr>
          <w:ilvl w:val="1"/>
          <w:numId w:val="54"/>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Is the measure non-discriminatory in law and fact?</w:t>
      </w:r>
    </w:p>
    <w:p w14:paraId="7DDFB18C" w14:textId="77777777" w:rsidR="00864E69" w:rsidRPr="00864E69" w:rsidRDefault="00864E69" w:rsidP="009F3468">
      <w:pPr>
        <w:numPr>
          <w:ilvl w:val="0"/>
          <w:numId w:val="54"/>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Example: The </w:t>
      </w:r>
      <w:r w:rsidRPr="00864E69">
        <w:rPr>
          <w:rFonts w:ascii="Times New Roman" w:hAnsi="Times New Roman"/>
          <w:b/>
          <w:bCs/>
          <w:lang w:val="en-HK"/>
        </w:rPr>
        <w:t>market access test</w:t>
      </w:r>
      <w:r w:rsidRPr="00864E69">
        <w:rPr>
          <w:rFonts w:ascii="Times New Roman" w:hAnsi="Times New Roman"/>
          <w:lang w:val="en-HK"/>
        </w:rPr>
        <w:t xml:space="preserve"> (as seen in </w:t>
      </w:r>
      <w:r w:rsidRPr="00864E69">
        <w:rPr>
          <w:rFonts w:ascii="Times New Roman" w:hAnsi="Times New Roman"/>
          <w:i/>
          <w:iCs/>
          <w:lang w:val="en-HK"/>
        </w:rPr>
        <w:t>Commission v Italy, Italian Trailers, Case C-110/05</w:t>
      </w:r>
      <w:r w:rsidRPr="00864E69">
        <w:rPr>
          <w:rFonts w:ascii="Times New Roman" w:hAnsi="Times New Roman"/>
          <w:lang w:val="en-HK"/>
        </w:rPr>
        <w:t>) uses proportionality to determine if a measure hinders access to a Member State’s market.</w:t>
      </w:r>
    </w:p>
    <w:p w14:paraId="09AB31BD"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Key Characteristics</w:t>
      </w:r>
    </w:p>
    <w:p w14:paraId="079FC61A" w14:textId="77777777" w:rsidR="00864E69" w:rsidRPr="00864E69" w:rsidRDefault="00864E69" w:rsidP="009F3468">
      <w:pPr>
        <w:numPr>
          <w:ilvl w:val="0"/>
          <w:numId w:val="55"/>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Objective Test</w:t>
      </w:r>
      <w:r w:rsidRPr="00864E69">
        <w:rPr>
          <w:rFonts w:ascii="Times New Roman" w:hAnsi="Times New Roman"/>
          <w:lang w:val="en-HK"/>
        </w:rPr>
        <w:t>:</w:t>
      </w:r>
    </w:p>
    <w:p w14:paraId="177F8DE4" w14:textId="77777777" w:rsidR="00864E69" w:rsidRPr="00864E69" w:rsidRDefault="00864E69" w:rsidP="009F3468">
      <w:pPr>
        <w:numPr>
          <w:ilvl w:val="1"/>
          <w:numId w:val="55"/>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The proportionality analysis is </w:t>
      </w:r>
      <w:r w:rsidRPr="00864E69">
        <w:rPr>
          <w:rFonts w:ascii="Times New Roman" w:hAnsi="Times New Roman"/>
          <w:b/>
          <w:bCs/>
          <w:lang w:val="en-HK"/>
        </w:rPr>
        <w:t>objective</w:t>
      </w:r>
      <w:r w:rsidRPr="00864E69">
        <w:rPr>
          <w:rFonts w:ascii="Times New Roman" w:hAnsi="Times New Roman"/>
          <w:lang w:val="en-HK"/>
        </w:rPr>
        <w:t>, focusing purely on the economic and functional impact of the measure on market access.</w:t>
      </w:r>
    </w:p>
    <w:p w14:paraId="13733162" w14:textId="77777777" w:rsidR="00864E69" w:rsidRPr="00864E69" w:rsidRDefault="00864E69" w:rsidP="009F3468">
      <w:pPr>
        <w:numPr>
          <w:ilvl w:val="1"/>
          <w:numId w:val="55"/>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It does not consider whether the measure pursues legitimate public interest objectives.</w:t>
      </w:r>
    </w:p>
    <w:p w14:paraId="453A3001" w14:textId="77777777" w:rsidR="00864E69" w:rsidRPr="00864E69" w:rsidRDefault="00864E69" w:rsidP="009F3468">
      <w:pPr>
        <w:numPr>
          <w:ilvl w:val="0"/>
          <w:numId w:val="55"/>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No Balancing</w:t>
      </w:r>
      <w:r w:rsidRPr="00864E69">
        <w:rPr>
          <w:rFonts w:ascii="Times New Roman" w:hAnsi="Times New Roman"/>
          <w:lang w:val="en-HK"/>
        </w:rPr>
        <w:t>:</w:t>
      </w:r>
    </w:p>
    <w:p w14:paraId="64506111" w14:textId="77777777" w:rsidR="00864E69" w:rsidRPr="00864E69" w:rsidRDefault="00864E69" w:rsidP="009F3468">
      <w:pPr>
        <w:numPr>
          <w:ilvl w:val="1"/>
          <w:numId w:val="55"/>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analysis does not balance the restriction against public interest justifications. Instead, it solely determines whether the measure constitutes a restriction.</w:t>
      </w:r>
    </w:p>
    <w:p w14:paraId="7AA8A6AF"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Case Examples</w:t>
      </w:r>
    </w:p>
    <w:p w14:paraId="330F7BCA" w14:textId="77777777" w:rsidR="00864E69" w:rsidRPr="00864E69" w:rsidRDefault="00864E69" w:rsidP="009F3468">
      <w:pPr>
        <w:numPr>
          <w:ilvl w:val="0"/>
          <w:numId w:val="56"/>
        </w:numPr>
        <w:spacing w:before="100" w:beforeAutospacing="1" w:after="100" w:afterAutospacing="1" w:line="276" w:lineRule="auto"/>
        <w:rPr>
          <w:rFonts w:ascii="Times New Roman" w:hAnsi="Times New Roman"/>
          <w:lang w:val="en-HK"/>
        </w:rPr>
      </w:pPr>
      <w:proofErr w:type="spellStart"/>
      <w:r w:rsidRPr="00864E69">
        <w:rPr>
          <w:rFonts w:ascii="Times New Roman" w:hAnsi="Times New Roman"/>
          <w:b/>
          <w:bCs/>
          <w:lang w:val="en-HK"/>
        </w:rPr>
        <w:t>Mickelsson</w:t>
      </w:r>
      <w:proofErr w:type="spellEnd"/>
      <w:r w:rsidRPr="00864E69">
        <w:rPr>
          <w:rFonts w:ascii="Times New Roman" w:hAnsi="Times New Roman"/>
          <w:b/>
          <w:bCs/>
          <w:lang w:val="en-HK"/>
        </w:rPr>
        <w:t xml:space="preserve"> &amp; </w:t>
      </w:r>
      <w:proofErr w:type="spellStart"/>
      <w:r w:rsidRPr="00864E69">
        <w:rPr>
          <w:rFonts w:ascii="Times New Roman" w:hAnsi="Times New Roman"/>
          <w:b/>
          <w:bCs/>
          <w:lang w:val="en-HK"/>
        </w:rPr>
        <w:t>Roos</w:t>
      </w:r>
      <w:proofErr w:type="spellEnd"/>
      <w:r w:rsidRPr="00864E69">
        <w:rPr>
          <w:rFonts w:ascii="Times New Roman" w:hAnsi="Times New Roman"/>
          <w:b/>
          <w:bCs/>
          <w:lang w:val="en-HK"/>
        </w:rPr>
        <w:t xml:space="preserve"> (Case C-142/05)</w:t>
      </w:r>
      <w:r w:rsidRPr="00864E69">
        <w:rPr>
          <w:rFonts w:ascii="Times New Roman" w:hAnsi="Times New Roman"/>
          <w:lang w:val="en-HK"/>
        </w:rPr>
        <w:t>:</w:t>
      </w:r>
    </w:p>
    <w:p w14:paraId="740CC3BB" w14:textId="77777777" w:rsidR="00864E69" w:rsidRPr="00864E69" w:rsidRDefault="00864E69" w:rsidP="009F3468">
      <w:pPr>
        <w:numPr>
          <w:ilvl w:val="1"/>
          <w:numId w:val="56"/>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lastRenderedPageBreak/>
        <w:t>Swedish restrictions on jet ski use were assessed at the restriction stage using proportionality. The Court asked whether these restrictions made it harder for goods to access the market, even though they applied equally to domestic and imported goods.</w:t>
      </w:r>
    </w:p>
    <w:p w14:paraId="28BDC47C" w14:textId="77777777" w:rsidR="00864E69" w:rsidRPr="00864E69" w:rsidRDefault="00864E69" w:rsidP="009F3468">
      <w:pPr>
        <w:numPr>
          <w:ilvl w:val="0"/>
          <w:numId w:val="56"/>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 xml:space="preserve">Keck and </w:t>
      </w:r>
      <w:proofErr w:type="spellStart"/>
      <w:r w:rsidRPr="00864E69">
        <w:rPr>
          <w:rFonts w:ascii="Times New Roman" w:hAnsi="Times New Roman"/>
          <w:b/>
          <w:bCs/>
          <w:lang w:val="en-HK"/>
        </w:rPr>
        <w:t>Mithouard</w:t>
      </w:r>
      <w:proofErr w:type="spellEnd"/>
      <w:r w:rsidRPr="00864E69">
        <w:rPr>
          <w:rFonts w:ascii="Times New Roman" w:hAnsi="Times New Roman"/>
          <w:b/>
          <w:bCs/>
          <w:lang w:val="en-HK"/>
        </w:rPr>
        <w:t xml:space="preserve"> (Joined Cases C-267/91 and C-268/91)</w:t>
      </w:r>
      <w:r w:rsidRPr="00864E69">
        <w:rPr>
          <w:rFonts w:ascii="Times New Roman" w:hAnsi="Times New Roman"/>
          <w:lang w:val="en-HK"/>
        </w:rPr>
        <w:t>:</w:t>
      </w:r>
    </w:p>
    <w:p w14:paraId="72C8EE53" w14:textId="03A606DB" w:rsidR="00864E69" w:rsidRPr="00864E69" w:rsidRDefault="00864E69" w:rsidP="009F3468">
      <w:pPr>
        <w:numPr>
          <w:ilvl w:val="1"/>
          <w:numId w:val="56"/>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Proportionality was used to exclude certain non-discriminatory selling arrangements from the scope of Article 34 if they did not disproportionately affect imported goods.</w:t>
      </w:r>
    </w:p>
    <w:p w14:paraId="761D8F37" w14:textId="670C1A1A" w:rsidR="00864E69" w:rsidRPr="009F3468" w:rsidRDefault="00612735" w:rsidP="009F3468">
      <w:pPr>
        <w:spacing w:before="100" w:beforeAutospacing="1" w:after="100" w:afterAutospacing="1" w:line="276" w:lineRule="auto"/>
        <w:outlineLvl w:val="2"/>
        <w:rPr>
          <w:rFonts w:ascii="Times New Roman" w:hAnsi="Times New Roman"/>
          <w:b/>
          <w:bCs/>
          <w:lang w:val="en-HK"/>
        </w:rPr>
      </w:pPr>
      <w:r w:rsidRPr="00612735">
        <w:rPr>
          <w:rFonts w:ascii="Times New Roman" w:hAnsi="Times New Roman"/>
          <w:noProof/>
          <w:lang w:val="en-HK"/>
          <w14:ligatures w14:val="standardContextual"/>
        </w:rPr>
        <w:pict w14:anchorId="0B3887EB">
          <v:rect id="_x0000_i1041" alt="" style="width:451.3pt;height:.05pt;mso-width-percent:0;mso-height-percent:0;mso-width-percent:0;mso-height-percent:0" o:hralign="center" o:hrstd="t" o:hr="t" fillcolor="#a0a0a0" stroked="f"/>
        </w:pict>
      </w:r>
    </w:p>
    <w:p w14:paraId="216BD293" w14:textId="1B390911"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t>2. Proportionality at the Justification Stage</w:t>
      </w:r>
    </w:p>
    <w:p w14:paraId="407A24F3"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Purpose</w:t>
      </w:r>
    </w:p>
    <w:p w14:paraId="28E8460F" w14:textId="77777777" w:rsidR="00864E69" w:rsidRPr="00864E69" w:rsidRDefault="00864E69" w:rsidP="009F3468">
      <w:pPr>
        <w:numPr>
          <w:ilvl w:val="0"/>
          <w:numId w:val="57"/>
        </w:numPr>
        <w:spacing w:before="100" w:beforeAutospacing="1" w:after="100" w:afterAutospacing="1" w:line="276" w:lineRule="auto"/>
        <w:rPr>
          <w:rFonts w:ascii="Times New Roman" w:hAnsi="Times New Roman"/>
          <w:highlight w:val="yellow"/>
          <w:lang w:val="en-HK"/>
        </w:rPr>
      </w:pPr>
      <w:r w:rsidRPr="00864E69">
        <w:rPr>
          <w:rFonts w:ascii="Times New Roman" w:hAnsi="Times New Roman"/>
          <w:lang w:val="en-HK"/>
        </w:rPr>
        <w:t xml:space="preserve">At the justification stage, </w:t>
      </w:r>
      <w:r w:rsidRPr="00864E69">
        <w:rPr>
          <w:rFonts w:ascii="Times New Roman" w:hAnsi="Times New Roman"/>
          <w:highlight w:val="yellow"/>
          <w:lang w:val="en-HK"/>
        </w:rPr>
        <w:t xml:space="preserve">proportionality is used to </w:t>
      </w:r>
      <w:r w:rsidRPr="00864E69">
        <w:rPr>
          <w:rFonts w:ascii="Times New Roman" w:hAnsi="Times New Roman"/>
          <w:b/>
          <w:bCs/>
          <w:highlight w:val="yellow"/>
          <w:lang w:val="en-HK"/>
        </w:rPr>
        <w:t>evaluate whether a restriction can be justified</w:t>
      </w:r>
      <w:r w:rsidRPr="00864E69">
        <w:rPr>
          <w:rFonts w:ascii="Times New Roman" w:hAnsi="Times New Roman"/>
          <w:highlight w:val="yellow"/>
          <w:lang w:val="en-HK"/>
        </w:rPr>
        <w:t xml:space="preserve"> under public interest grounds (e.g., public health, consumer protection) as per </w:t>
      </w:r>
      <w:r w:rsidRPr="00864E69">
        <w:rPr>
          <w:rFonts w:ascii="Times New Roman" w:hAnsi="Times New Roman"/>
          <w:b/>
          <w:bCs/>
          <w:highlight w:val="yellow"/>
          <w:lang w:val="en-HK"/>
        </w:rPr>
        <w:t>Article 36 TFEU</w:t>
      </w:r>
      <w:r w:rsidRPr="00864E69">
        <w:rPr>
          <w:rFonts w:ascii="Times New Roman" w:hAnsi="Times New Roman"/>
          <w:highlight w:val="yellow"/>
          <w:lang w:val="en-HK"/>
        </w:rPr>
        <w:t xml:space="preserve"> or mandatory requirements (</w:t>
      </w:r>
      <w:r w:rsidRPr="00864E69">
        <w:rPr>
          <w:rFonts w:ascii="Times New Roman" w:hAnsi="Times New Roman"/>
          <w:i/>
          <w:iCs/>
          <w:highlight w:val="yellow"/>
          <w:lang w:val="en-HK"/>
        </w:rPr>
        <w:t>Cassis de Dijon</w:t>
      </w:r>
      <w:r w:rsidRPr="00864E69">
        <w:rPr>
          <w:rFonts w:ascii="Times New Roman" w:hAnsi="Times New Roman"/>
          <w:highlight w:val="yellow"/>
          <w:lang w:val="en-HK"/>
        </w:rPr>
        <w:t>).</w:t>
      </w:r>
    </w:p>
    <w:p w14:paraId="71D487BC" w14:textId="77777777" w:rsidR="00864E69" w:rsidRPr="00864E69" w:rsidRDefault="00864E69" w:rsidP="009F3468">
      <w:pPr>
        <w:numPr>
          <w:ilvl w:val="0"/>
          <w:numId w:val="57"/>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focus is on balancing the restriction against the legitimate aim pursued by the measure.</w:t>
      </w:r>
    </w:p>
    <w:p w14:paraId="016832C8"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Scope</w:t>
      </w:r>
    </w:p>
    <w:p w14:paraId="1570E353" w14:textId="77777777" w:rsidR="00864E69" w:rsidRPr="00864E69" w:rsidRDefault="00864E69" w:rsidP="009F3468">
      <w:pPr>
        <w:numPr>
          <w:ilvl w:val="0"/>
          <w:numId w:val="58"/>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Proportionality here addresses the </w:t>
      </w:r>
      <w:r w:rsidRPr="00864E69">
        <w:rPr>
          <w:rFonts w:ascii="Times New Roman" w:hAnsi="Times New Roman"/>
          <w:b/>
          <w:bCs/>
          <w:lang w:val="en-HK"/>
        </w:rPr>
        <w:t>legitimacy and necessity of the measure</w:t>
      </w:r>
      <w:r w:rsidRPr="00864E69">
        <w:rPr>
          <w:rFonts w:ascii="Times New Roman" w:hAnsi="Times New Roman"/>
          <w:lang w:val="en-HK"/>
        </w:rPr>
        <w:t>, asking:</w:t>
      </w:r>
    </w:p>
    <w:p w14:paraId="26CD9144" w14:textId="77777777" w:rsidR="00864E69" w:rsidRPr="00864E69" w:rsidRDefault="00864E69" w:rsidP="009F3468">
      <w:pPr>
        <w:numPr>
          <w:ilvl w:val="1"/>
          <w:numId w:val="58"/>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Is the measure suitable to achieve the stated public interest objective?</w:t>
      </w:r>
    </w:p>
    <w:p w14:paraId="374A9FD4" w14:textId="77777777" w:rsidR="00864E69" w:rsidRPr="00864E69" w:rsidRDefault="00864E69" w:rsidP="009F3468">
      <w:pPr>
        <w:numPr>
          <w:ilvl w:val="1"/>
          <w:numId w:val="58"/>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Is the measure necessary, or are there less restrictive alternatives available?</w:t>
      </w:r>
    </w:p>
    <w:p w14:paraId="44E25A19" w14:textId="77777777" w:rsidR="00864E69" w:rsidRPr="00864E69" w:rsidRDefault="00864E69" w:rsidP="009F3468">
      <w:pPr>
        <w:numPr>
          <w:ilvl w:val="1"/>
          <w:numId w:val="58"/>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Does the measure strike a fair balance between its objectives and the burden on free movement?</w:t>
      </w:r>
    </w:p>
    <w:p w14:paraId="3AA75DA7"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Key Characteristics</w:t>
      </w:r>
    </w:p>
    <w:p w14:paraId="41C0B113" w14:textId="77777777" w:rsidR="00864E69" w:rsidRPr="00864E69" w:rsidRDefault="00864E69" w:rsidP="009F3468">
      <w:pPr>
        <w:numPr>
          <w:ilvl w:val="0"/>
          <w:numId w:val="59"/>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Balancing Test</w:t>
      </w:r>
      <w:r w:rsidRPr="00864E69">
        <w:rPr>
          <w:rFonts w:ascii="Times New Roman" w:hAnsi="Times New Roman"/>
          <w:lang w:val="en-HK"/>
        </w:rPr>
        <w:t>:</w:t>
      </w:r>
    </w:p>
    <w:p w14:paraId="185604D7" w14:textId="77777777" w:rsidR="00864E69" w:rsidRPr="00864E69" w:rsidRDefault="00864E69" w:rsidP="009F3468">
      <w:pPr>
        <w:numPr>
          <w:ilvl w:val="1"/>
          <w:numId w:val="59"/>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The proportionality analysis at this stage is </w:t>
      </w:r>
      <w:r w:rsidRPr="00864E69">
        <w:rPr>
          <w:rFonts w:ascii="Times New Roman" w:hAnsi="Times New Roman"/>
          <w:b/>
          <w:bCs/>
          <w:lang w:val="en-HK"/>
        </w:rPr>
        <w:t>subjective</w:t>
      </w:r>
      <w:r w:rsidRPr="00864E69">
        <w:rPr>
          <w:rFonts w:ascii="Times New Roman" w:hAnsi="Times New Roman"/>
          <w:lang w:val="en-HK"/>
        </w:rPr>
        <w:t>, involving a balancing exercise between the Member State’s interests and the rights protected under free movement law.</w:t>
      </w:r>
    </w:p>
    <w:p w14:paraId="370464E7" w14:textId="77777777" w:rsidR="00864E69" w:rsidRPr="00864E69" w:rsidRDefault="00864E69" w:rsidP="009F3468">
      <w:pPr>
        <w:numPr>
          <w:ilvl w:val="0"/>
          <w:numId w:val="59"/>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Focus on Justifications</w:t>
      </w:r>
      <w:r w:rsidRPr="00864E69">
        <w:rPr>
          <w:rFonts w:ascii="Times New Roman" w:hAnsi="Times New Roman"/>
          <w:lang w:val="en-HK"/>
        </w:rPr>
        <w:t>:</w:t>
      </w:r>
    </w:p>
    <w:p w14:paraId="3E9FBF9E" w14:textId="77777777" w:rsidR="00864E69" w:rsidRPr="00864E69" w:rsidRDefault="00864E69" w:rsidP="009F3468">
      <w:pPr>
        <w:numPr>
          <w:ilvl w:val="1"/>
          <w:numId w:val="59"/>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The measure is assessed in light of the </w:t>
      </w:r>
      <w:r w:rsidRPr="00864E69">
        <w:rPr>
          <w:rFonts w:ascii="Times New Roman" w:hAnsi="Times New Roman"/>
          <w:b/>
          <w:bCs/>
          <w:lang w:val="en-HK"/>
        </w:rPr>
        <w:t>legitimacy of its aim</w:t>
      </w:r>
      <w:r w:rsidRPr="00864E69">
        <w:rPr>
          <w:rFonts w:ascii="Times New Roman" w:hAnsi="Times New Roman"/>
          <w:lang w:val="en-HK"/>
        </w:rPr>
        <w:t xml:space="preserve"> (e.g., protecting public health) and its </w:t>
      </w:r>
      <w:r w:rsidRPr="00864E69">
        <w:rPr>
          <w:rFonts w:ascii="Times New Roman" w:hAnsi="Times New Roman"/>
          <w:b/>
          <w:bCs/>
          <w:lang w:val="en-HK"/>
        </w:rPr>
        <w:t>effectiveness in achieving that aim</w:t>
      </w:r>
      <w:r w:rsidRPr="00864E69">
        <w:rPr>
          <w:rFonts w:ascii="Times New Roman" w:hAnsi="Times New Roman"/>
          <w:lang w:val="en-HK"/>
        </w:rPr>
        <w:t>.</w:t>
      </w:r>
    </w:p>
    <w:p w14:paraId="1186F81A"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Case Examples</w:t>
      </w:r>
    </w:p>
    <w:p w14:paraId="01E8BFE9" w14:textId="77777777" w:rsidR="00864E69" w:rsidRPr="00864E69" w:rsidRDefault="00864E69" w:rsidP="009F3468">
      <w:pPr>
        <w:numPr>
          <w:ilvl w:val="0"/>
          <w:numId w:val="60"/>
        </w:numPr>
        <w:spacing w:before="100" w:beforeAutospacing="1" w:after="100" w:afterAutospacing="1" w:line="276" w:lineRule="auto"/>
        <w:rPr>
          <w:rFonts w:ascii="Times New Roman" w:hAnsi="Times New Roman"/>
          <w:lang w:val="en-HK"/>
        </w:rPr>
      </w:pPr>
      <w:proofErr w:type="spellStart"/>
      <w:r w:rsidRPr="00864E69">
        <w:rPr>
          <w:rFonts w:ascii="Times New Roman" w:hAnsi="Times New Roman"/>
          <w:b/>
          <w:bCs/>
          <w:lang w:val="en-HK"/>
        </w:rPr>
        <w:t>Schmidberger</w:t>
      </w:r>
      <w:proofErr w:type="spellEnd"/>
      <w:r w:rsidRPr="00864E69">
        <w:rPr>
          <w:rFonts w:ascii="Times New Roman" w:hAnsi="Times New Roman"/>
          <w:b/>
          <w:bCs/>
          <w:lang w:val="en-HK"/>
        </w:rPr>
        <w:t xml:space="preserve"> v Austria (Case C-112/00)</w:t>
      </w:r>
      <w:r w:rsidRPr="00864E69">
        <w:rPr>
          <w:rFonts w:ascii="Times New Roman" w:hAnsi="Times New Roman"/>
          <w:lang w:val="en-HK"/>
        </w:rPr>
        <w:t>:</w:t>
      </w:r>
    </w:p>
    <w:p w14:paraId="5917058A" w14:textId="77777777" w:rsidR="00864E69" w:rsidRPr="00864E69" w:rsidRDefault="00864E69" w:rsidP="009F3468">
      <w:pPr>
        <w:numPr>
          <w:ilvl w:val="1"/>
          <w:numId w:val="60"/>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Austria’s decision to allow a roadblock protest was justified on the grounds of freedom of expression. The proportionality test balanced the disruption to free movement against the fundamental rights of protesters.</w:t>
      </w:r>
    </w:p>
    <w:p w14:paraId="633C6C4E" w14:textId="77777777" w:rsidR="00864E69" w:rsidRPr="00864E69" w:rsidRDefault="00864E69" w:rsidP="009F3468">
      <w:pPr>
        <w:numPr>
          <w:ilvl w:val="0"/>
          <w:numId w:val="60"/>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lastRenderedPageBreak/>
        <w:t>Scotch Whisky Association v Lord Advocate (Case C-333/14)</w:t>
      </w:r>
      <w:r w:rsidRPr="00864E69">
        <w:rPr>
          <w:rFonts w:ascii="Times New Roman" w:hAnsi="Times New Roman"/>
          <w:lang w:val="en-HK"/>
        </w:rPr>
        <w:t>:</w:t>
      </w:r>
    </w:p>
    <w:p w14:paraId="2013CFC5" w14:textId="77777777" w:rsidR="00864E69" w:rsidRPr="009F3468" w:rsidRDefault="00864E69" w:rsidP="009F3468">
      <w:pPr>
        <w:numPr>
          <w:ilvl w:val="1"/>
          <w:numId w:val="60"/>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Scotland’s minimum alcohol pricing was upheld as proportionate at the justification stage because it pursued the legitimate aim of protecting public health, even though it disproportionately affected imported goods.</w:t>
      </w:r>
    </w:p>
    <w:p w14:paraId="33166D78" w14:textId="2DF7F9FB" w:rsidR="00864E69" w:rsidRPr="00864E69" w:rsidRDefault="00864E69" w:rsidP="009F3468">
      <w:pPr>
        <w:spacing w:line="276" w:lineRule="auto"/>
        <w:rPr>
          <w:rFonts w:ascii="Times New Roman" w:hAnsi="Times New Roman"/>
          <w:lang w:val="en-HK"/>
        </w:rPr>
      </w:pPr>
      <w:r w:rsidRPr="009F3468">
        <w:rPr>
          <w:rFonts w:ascii="Times New Roman" w:hAnsi="Times New Roman"/>
          <w:lang w:val="en-HK"/>
        </w:rPr>
        <w:drawing>
          <wp:inline distT="0" distB="0" distL="0" distR="0" wp14:anchorId="1D3DE415" wp14:editId="60C02A7A">
            <wp:extent cx="5731510" cy="4087495"/>
            <wp:effectExtent l="0" t="0" r="0" b="1905"/>
            <wp:docPr id="72993331" name="Picture 1" descr="A white tab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3331" name="Picture 1" descr="A white table with black text&#10;&#10;Description automatically generated"/>
                    <pic:cNvPicPr/>
                  </pic:nvPicPr>
                  <pic:blipFill>
                    <a:blip r:embed="rId5"/>
                    <a:stretch>
                      <a:fillRect/>
                    </a:stretch>
                  </pic:blipFill>
                  <pic:spPr>
                    <a:xfrm>
                      <a:off x="0" y="0"/>
                      <a:ext cx="5731510" cy="4087495"/>
                    </a:xfrm>
                    <a:prstGeom prst="rect">
                      <a:avLst/>
                    </a:prstGeom>
                  </pic:spPr>
                </pic:pic>
              </a:graphicData>
            </a:graphic>
          </wp:inline>
        </w:drawing>
      </w:r>
    </w:p>
    <w:p w14:paraId="79FAC562" w14:textId="77777777"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t>Critique of Proportionality in Both Stages</w:t>
      </w:r>
    </w:p>
    <w:p w14:paraId="24732994" w14:textId="77777777" w:rsidR="00864E69" w:rsidRPr="00864E69" w:rsidRDefault="00864E69" w:rsidP="009F3468">
      <w:pPr>
        <w:numPr>
          <w:ilvl w:val="0"/>
          <w:numId w:val="61"/>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At the Restriction Stage</w:t>
      </w:r>
      <w:r w:rsidRPr="00864E69">
        <w:rPr>
          <w:rFonts w:ascii="Times New Roman" w:hAnsi="Times New Roman"/>
          <w:lang w:val="en-HK"/>
        </w:rPr>
        <w:t>:</w:t>
      </w:r>
    </w:p>
    <w:p w14:paraId="710ED8AC" w14:textId="77777777" w:rsidR="00864E69" w:rsidRPr="00864E69" w:rsidRDefault="00864E69" w:rsidP="009F3468">
      <w:pPr>
        <w:numPr>
          <w:ilvl w:val="1"/>
          <w:numId w:val="61"/>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Expansive Reach</w:t>
      </w:r>
      <w:r w:rsidRPr="00864E69">
        <w:rPr>
          <w:rFonts w:ascii="Times New Roman" w:hAnsi="Times New Roman"/>
          <w:lang w:val="en-HK"/>
        </w:rPr>
        <w:t>:</w:t>
      </w:r>
    </w:p>
    <w:p w14:paraId="619B2A61" w14:textId="77777777" w:rsidR="00864E69" w:rsidRPr="00864E69" w:rsidRDefault="00864E69" w:rsidP="009F3468">
      <w:pPr>
        <w:numPr>
          <w:ilvl w:val="2"/>
          <w:numId w:val="61"/>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use of proportionality to define restrictions can broaden the scope of Article 34 TFEU, including measures that have minimal or indirect effects on trade (</w:t>
      </w:r>
      <w:proofErr w:type="spellStart"/>
      <w:r w:rsidRPr="00864E69">
        <w:rPr>
          <w:rFonts w:ascii="Times New Roman" w:hAnsi="Times New Roman"/>
          <w:i/>
          <w:iCs/>
          <w:lang w:val="en-HK"/>
        </w:rPr>
        <w:t>Dassonville</w:t>
      </w:r>
      <w:proofErr w:type="spellEnd"/>
      <w:r w:rsidRPr="00864E69">
        <w:rPr>
          <w:rFonts w:ascii="Times New Roman" w:hAnsi="Times New Roman"/>
          <w:lang w:val="en-HK"/>
        </w:rPr>
        <w:t xml:space="preserve">, </w:t>
      </w:r>
      <w:r w:rsidRPr="00864E69">
        <w:rPr>
          <w:rFonts w:ascii="Times New Roman" w:hAnsi="Times New Roman"/>
          <w:i/>
          <w:iCs/>
          <w:lang w:val="en-HK"/>
        </w:rPr>
        <w:t>Italian Trailers</w:t>
      </w:r>
      <w:r w:rsidRPr="00864E69">
        <w:rPr>
          <w:rFonts w:ascii="Times New Roman" w:hAnsi="Times New Roman"/>
          <w:lang w:val="en-HK"/>
        </w:rPr>
        <w:t>).</w:t>
      </w:r>
    </w:p>
    <w:p w14:paraId="18B5BAA9" w14:textId="77777777" w:rsidR="00864E69" w:rsidRPr="00864E69" w:rsidRDefault="00864E69" w:rsidP="009F3468">
      <w:pPr>
        <w:numPr>
          <w:ilvl w:val="1"/>
          <w:numId w:val="61"/>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Blurred Boundaries</w:t>
      </w:r>
      <w:r w:rsidRPr="00864E69">
        <w:rPr>
          <w:rFonts w:ascii="Times New Roman" w:hAnsi="Times New Roman"/>
          <w:lang w:val="en-HK"/>
        </w:rPr>
        <w:t>:</w:t>
      </w:r>
    </w:p>
    <w:p w14:paraId="0EC69CB2" w14:textId="77777777" w:rsidR="00864E69" w:rsidRPr="00864E69" w:rsidRDefault="00864E69" w:rsidP="009F3468">
      <w:pPr>
        <w:numPr>
          <w:ilvl w:val="2"/>
          <w:numId w:val="61"/>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market access test often merges the restriction and justification stages, creating doctrinal ambiguity.</w:t>
      </w:r>
    </w:p>
    <w:p w14:paraId="74760E16" w14:textId="77777777" w:rsidR="00864E69" w:rsidRPr="00864E69" w:rsidRDefault="00864E69" w:rsidP="009F3468">
      <w:pPr>
        <w:numPr>
          <w:ilvl w:val="0"/>
          <w:numId w:val="61"/>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At the Justification Stage</w:t>
      </w:r>
      <w:r w:rsidRPr="00864E69">
        <w:rPr>
          <w:rFonts w:ascii="Times New Roman" w:hAnsi="Times New Roman"/>
          <w:lang w:val="en-HK"/>
        </w:rPr>
        <w:t>:</w:t>
      </w:r>
    </w:p>
    <w:p w14:paraId="70074F63" w14:textId="77777777" w:rsidR="00864E69" w:rsidRPr="00864E69" w:rsidRDefault="00864E69" w:rsidP="009F3468">
      <w:pPr>
        <w:numPr>
          <w:ilvl w:val="1"/>
          <w:numId w:val="61"/>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Judicial Overreach</w:t>
      </w:r>
      <w:r w:rsidRPr="00864E69">
        <w:rPr>
          <w:rFonts w:ascii="Times New Roman" w:hAnsi="Times New Roman"/>
          <w:lang w:val="en-HK"/>
        </w:rPr>
        <w:t>:</w:t>
      </w:r>
    </w:p>
    <w:p w14:paraId="637D6A4B" w14:textId="77777777" w:rsidR="00864E69" w:rsidRPr="00864E69" w:rsidRDefault="00864E69" w:rsidP="009F3468">
      <w:pPr>
        <w:numPr>
          <w:ilvl w:val="2"/>
          <w:numId w:val="61"/>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Critics argue that the CJEU’s reliance on proportionality at the justification stage gives it excessive discretion to second-guess national policy choices.</w:t>
      </w:r>
    </w:p>
    <w:p w14:paraId="5D63BDA6" w14:textId="77777777" w:rsidR="00864E69" w:rsidRPr="00864E69" w:rsidRDefault="00864E69" w:rsidP="009F3468">
      <w:pPr>
        <w:numPr>
          <w:ilvl w:val="1"/>
          <w:numId w:val="61"/>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Uncertainty</w:t>
      </w:r>
      <w:r w:rsidRPr="00864E69">
        <w:rPr>
          <w:rFonts w:ascii="Times New Roman" w:hAnsi="Times New Roman"/>
          <w:lang w:val="en-HK"/>
        </w:rPr>
        <w:t>:</w:t>
      </w:r>
    </w:p>
    <w:p w14:paraId="0CB0D7CB" w14:textId="221BAFEE" w:rsidR="00864E69" w:rsidRPr="00864E69" w:rsidRDefault="00864E69" w:rsidP="009F3468">
      <w:pPr>
        <w:numPr>
          <w:ilvl w:val="2"/>
          <w:numId w:val="61"/>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The subjective nature of proportionality balancing leads to inconsistent outcomes, as seen in cases like </w:t>
      </w:r>
      <w:proofErr w:type="spellStart"/>
      <w:r w:rsidRPr="00864E69">
        <w:rPr>
          <w:rFonts w:ascii="Times New Roman" w:hAnsi="Times New Roman"/>
          <w:i/>
          <w:iCs/>
          <w:lang w:val="en-HK"/>
        </w:rPr>
        <w:t>Schmidberger</w:t>
      </w:r>
      <w:proofErr w:type="spellEnd"/>
      <w:r w:rsidRPr="00864E69">
        <w:rPr>
          <w:rFonts w:ascii="Times New Roman" w:hAnsi="Times New Roman"/>
          <w:lang w:val="en-HK"/>
        </w:rPr>
        <w:t xml:space="preserve"> and </w:t>
      </w:r>
      <w:r w:rsidRPr="00864E69">
        <w:rPr>
          <w:rFonts w:ascii="Times New Roman" w:hAnsi="Times New Roman"/>
          <w:i/>
          <w:iCs/>
          <w:lang w:val="en-HK"/>
        </w:rPr>
        <w:t>Omega</w:t>
      </w:r>
      <w:r w:rsidRPr="00864E69">
        <w:rPr>
          <w:rFonts w:ascii="Times New Roman" w:hAnsi="Times New Roman"/>
          <w:lang w:val="en-HK"/>
        </w:rPr>
        <w:t>.</w:t>
      </w:r>
    </w:p>
    <w:p w14:paraId="5196AFBA" w14:textId="77777777" w:rsidR="00864E69" w:rsidRPr="00864E69" w:rsidRDefault="00864E69" w:rsidP="009F3468">
      <w:pPr>
        <w:spacing w:before="100" w:beforeAutospacing="1" w:after="100" w:afterAutospacing="1" w:line="276" w:lineRule="auto"/>
        <w:rPr>
          <w:rFonts w:ascii="Times New Roman" w:hAnsi="Times New Roman"/>
          <w:lang w:val="en-HK"/>
        </w:rPr>
      </w:pPr>
      <w:r w:rsidRPr="00864E69">
        <w:rPr>
          <w:rFonts w:ascii="Times New Roman" w:hAnsi="Times New Roman"/>
          <w:lang w:val="en-HK"/>
        </w:rPr>
        <w:lastRenderedPageBreak/>
        <w:t xml:space="preserve">The key difference between proportionality at the </w:t>
      </w:r>
      <w:r w:rsidRPr="00864E69">
        <w:rPr>
          <w:rFonts w:ascii="Times New Roman" w:hAnsi="Times New Roman"/>
          <w:b/>
          <w:bCs/>
          <w:lang w:val="en-HK"/>
        </w:rPr>
        <w:t>restriction stage</w:t>
      </w:r>
      <w:r w:rsidRPr="00864E69">
        <w:rPr>
          <w:rFonts w:ascii="Times New Roman" w:hAnsi="Times New Roman"/>
          <w:lang w:val="en-HK"/>
        </w:rPr>
        <w:t xml:space="preserve"> and the </w:t>
      </w:r>
      <w:r w:rsidRPr="00864E69">
        <w:rPr>
          <w:rFonts w:ascii="Times New Roman" w:hAnsi="Times New Roman"/>
          <w:b/>
          <w:bCs/>
          <w:lang w:val="en-HK"/>
        </w:rPr>
        <w:t>justification stage</w:t>
      </w:r>
      <w:r w:rsidRPr="00864E69">
        <w:rPr>
          <w:rFonts w:ascii="Times New Roman" w:hAnsi="Times New Roman"/>
          <w:lang w:val="en-HK"/>
        </w:rPr>
        <w:t xml:space="preserve"> lies in its purpose and focus:</w:t>
      </w:r>
    </w:p>
    <w:p w14:paraId="1CE060CB" w14:textId="77777777" w:rsidR="00864E69" w:rsidRPr="00864E69" w:rsidRDefault="00864E69" w:rsidP="009F3468">
      <w:pPr>
        <w:numPr>
          <w:ilvl w:val="0"/>
          <w:numId w:val="62"/>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At the restriction stage, proportionality evaluates whether a measure creates a barrier to market access.</w:t>
      </w:r>
    </w:p>
    <w:p w14:paraId="66EE06A3" w14:textId="77777777" w:rsidR="00864E69" w:rsidRPr="00864E69" w:rsidRDefault="00864E69" w:rsidP="009F3468">
      <w:pPr>
        <w:numPr>
          <w:ilvl w:val="0"/>
          <w:numId w:val="62"/>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At the justification stage, proportionality balances the restriction against legitimate public interest objectives.</w:t>
      </w:r>
    </w:p>
    <w:p w14:paraId="34C87908" w14:textId="7A72F4DB" w:rsidR="00864E69" w:rsidRPr="009F3468" w:rsidRDefault="00612735" w:rsidP="009F3468">
      <w:pPr>
        <w:pStyle w:val="Heading3"/>
        <w:spacing w:line="276" w:lineRule="auto"/>
        <w:rPr>
          <w:rFonts w:ascii="Times New Roman" w:eastAsia="Times New Roman" w:hAnsi="Times New Roman" w:cs="Times New Roman"/>
          <w:b/>
          <w:bCs/>
          <w:color w:val="000000" w:themeColor="text1"/>
          <w:sz w:val="24"/>
          <w:szCs w:val="24"/>
          <w:lang w:val="en-HK"/>
        </w:rPr>
      </w:pPr>
      <w:r w:rsidRPr="00612735">
        <w:rPr>
          <w:rFonts w:ascii="Times New Roman" w:hAnsi="Times New Roman" w:cs="Times New Roman"/>
          <w:noProof/>
          <w:sz w:val="24"/>
          <w:szCs w:val="24"/>
          <w:lang w:val="en-HK"/>
          <w14:ligatures w14:val="standardContextual"/>
        </w:rPr>
        <w:pict w14:anchorId="12756B35">
          <v:rect id="_x0000_i1040" alt="" style="width:451.3pt;height:.05pt;mso-width-percent:0;mso-height-percent:0;mso-width-percent:0;mso-height-percent:0" o:hralign="center" o:hrstd="t" o:hr="t" fillcolor="#a0a0a0" stroked="f"/>
        </w:pict>
      </w:r>
      <w:r w:rsidR="00864E69" w:rsidRPr="009F3468">
        <w:rPr>
          <w:rFonts w:ascii="Times New Roman" w:hAnsi="Times New Roman" w:cs="Times New Roman"/>
          <w:b/>
          <w:bCs/>
          <w:color w:val="000000" w:themeColor="text1"/>
          <w:sz w:val="24"/>
          <w:szCs w:val="24"/>
          <w:lang w:val="en-HK"/>
        </w:rPr>
        <w:t xml:space="preserve">3. </w:t>
      </w:r>
      <w:r w:rsidR="00864E69" w:rsidRPr="009F3468">
        <w:rPr>
          <w:rFonts w:ascii="Times New Roman" w:eastAsia="Times New Roman" w:hAnsi="Times New Roman" w:cs="Times New Roman"/>
          <w:b/>
          <w:bCs/>
          <w:color w:val="000000" w:themeColor="text1"/>
          <w:sz w:val="24"/>
          <w:szCs w:val="24"/>
          <w:lang w:val="en-HK"/>
        </w:rPr>
        <w:t>Proportionality at the Scope Stage</w:t>
      </w:r>
    </w:p>
    <w:p w14:paraId="09D7FDA1"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Purpose</w:t>
      </w:r>
    </w:p>
    <w:p w14:paraId="3E29B52C" w14:textId="77777777" w:rsidR="00864E69" w:rsidRPr="00864E69" w:rsidRDefault="00864E69" w:rsidP="009F3468">
      <w:pPr>
        <w:spacing w:before="100" w:beforeAutospacing="1" w:after="100" w:afterAutospacing="1" w:line="276" w:lineRule="auto"/>
        <w:rPr>
          <w:rFonts w:ascii="Times New Roman" w:hAnsi="Times New Roman"/>
          <w:b/>
          <w:bCs/>
          <w:lang w:val="en-HK"/>
        </w:rPr>
      </w:pPr>
      <w:r w:rsidRPr="00864E69">
        <w:rPr>
          <w:rFonts w:ascii="Times New Roman" w:hAnsi="Times New Roman"/>
          <w:b/>
          <w:bCs/>
          <w:lang w:val="en-HK"/>
        </w:rPr>
        <w:t>Proportionality at the scope stage determines whether a national measure falls within the ambit of EU free movement law, particularly whether it involves a cross-border element and affects intra-EU trade.</w:t>
      </w:r>
    </w:p>
    <w:p w14:paraId="77CA412D" w14:textId="3DBC4C81" w:rsidR="00864E69" w:rsidRPr="00864E69" w:rsidRDefault="00864E69" w:rsidP="009F3468">
      <w:p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Unlike the restriction or justification stages, </w:t>
      </w:r>
      <w:r w:rsidRPr="00864E69">
        <w:rPr>
          <w:rFonts w:ascii="Times New Roman" w:hAnsi="Times New Roman"/>
          <w:b/>
          <w:bCs/>
          <w:lang w:val="en-HK"/>
        </w:rPr>
        <w:t>proportionality at this stage is not fully developed or systematic, as the primary focus is on defining the measure’s applicability under Article 34 TFEU</w:t>
      </w:r>
      <w:r w:rsidRPr="00864E69">
        <w:rPr>
          <w:rFonts w:ascii="Times New Roman" w:hAnsi="Times New Roman"/>
          <w:lang w:val="en-HK"/>
        </w:rPr>
        <w:t>.</w:t>
      </w:r>
    </w:p>
    <w:p w14:paraId="25334F57" w14:textId="77777777"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t>Scope in Free Movement Law</w:t>
      </w:r>
    </w:p>
    <w:p w14:paraId="3C7776FA"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Traditional Approach</w:t>
      </w:r>
    </w:p>
    <w:p w14:paraId="4E1C1B67" w14:textId="77777777" w:rsidR="00864E69" w:rsidRPr="00864E69" w:rsidRDefault="00864E69" w:rsidP="009F3468">
      <w:pPr>
        <w:numPr>
          <w:ilvl w:val="0"/>
          <w:numId w:val="64"/>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Historically, the scope stage merely required the existence of a </w:t>
      </w:r>
      <w:r w:rsidRPr="00864E69">
        <w:rPr>
          <w:rFonts w:ascii="Times New Roman" w:hAnsi="Times New Roman"/>
          <w:b/>
          <w:bCs/>
          <w:highlight w:val="yellow"/>
          <w:lang w:val="en-HK"/>
        </w:rPr>
        <w:t>cross-border element</w:t>
      </w:r>
      <w:r w:rsidRPr="00864E69">
        <w:rPr>
          <w:rFonts w:ascii="Times New Roman" w:hAnsi="Times New Roman"/>
          <w:lang w:val="en-HK"/>
        </w:rPr>
        <w:t xml:space="preserve"> (as per </w:t>
      </w:r>
      <w:r w:rsidRPr="00864E69">
        <w:rPr>
          <w:rFonts w:ascii="Times New Roman" w:hAnsi="Times New Roman"/>
          <w:i/>
          <w:iCs/>
          <w:lang w:val="en-HK"/>
        </w:rPr>
        <w:t xml:space="preserve">Van </w:t>
      </w:r>
      <w:proofErr w:type="spellStart"/>
      <w:r w:rsidRPr="00864E69">
        <w:rPr>
          <w:rFonts w:ascii="Times New Roman" w:hAnsi="Times New Roman"/>
          <w:i/>
          <w:iCs/>
          <w:lang w:val="en-HK"/>
        </w:rPr>
        <w:t>Gend</w:t>
      </w:r>
      <w:proofErr w:type="spellEnd"/>
      <w:r w:rsidRPr="00864E69">
        <w:rPr>
          <w:rFonts w:ascii="Times New Roman" w:hAnsi="Times New Roman"/>
          <w:i/>
          <w:iCs/>
          <w:lang w:val="en-HK"/>
        </w:rPr>
        <w:t xml:space="preserve"> </w:t>
      </w:r>
      <w:proofErr w:type="spellStart"/>
      <w:r w:rsidRPr="00864E69">
        <w:rPr>
          <w:rFonts w:ascii="Times New Roman" w:hAnsi="Times New Roman"/>
          <w:i/>
          <w:iCs/>
          <w:lang w:val="en-HK"/>
        </w:rPr>
        <w:t>en</w:t>
      </w:r>
      <w:proofErr w:type="spellEnd"/>
      <w:r w:rsidRPr="00864E69">
        <w:rPr>
          <w:rFonts w:ascii="Times New Roman" w:hAnsi="Times New Roman"/>
          <w:i/>
          <w:iCs/>
          <w:lang w:val="en-HK"/>
        </w:rPr>
        <w:t xml:space="preserve"> Loos</w:t>
      </w:r>
      <w:r w:rsidRPr="00864E69">
        <w:rPr>
          <w:rFonts w:ascii="Times New Roman" w:hAnsi="Times New Roman"/>
          <w:lang w:val="en-HK"/>
        </w:rPr>
        <w:t>, Case 26/62) or an effect on intra-EU trade (</w:t>
      </w:r>
      <w:proofErr w:type="spellStart"/>
      <w:r w:rsidRPr="00864E69">
        <w:rPr>
          <w:rFonts w:ascii="Times New Roman" w:hAnsi="Times New Roman"/>
          <w:i/>
          <w:iCs/>
          <w:lang w:val="en-HK"/>
        </w:rPr>
        <w:t>Dassonville</w:t>
      </w:r>
      <w:proofErr w:type="spellEnd"/>
      <w:r w:rsidRPr="00864E69">
        <w:rPr>
          <w:rFonts w:ascii="Times New Roman" w:hAnsi="Times New Roman"/>
          <w:lang w:val="en-HK"/>
        </w:rPr>
        <w:t>, Case 8/74).</w:t>
      </w:r>
    </w:p>
    <w:p w14:paraId="27541C4E" w14:textId="77777777" w:rsidR="00864E69" w:rsidRPr="00864E69" w:rsidRDefault="00864E69" w:rsidP="009F3468">
      <w:pPr>
        <w:numPr>
          <w:ilvl w:val="0"/>
          <w:numId w:val="64"/>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Measures purely internal to one Member State or without significant trade effects were excluded.</w:t>
      </w:r>
    </w:p>
    <w:p w14:paraId="60CEA6AA"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Shift Toward Proportionality</w:t>
      </w:r>
    </w:p>
    <w:p w14:paraId="72DCA8CA" w14:textId="77777777" w:rsidR="00864E69" w:rsidRPr="00864E69" w:rsidRDefault="00864E69" w:rsidP="009F3468">
      <w:pPr>
        <w:spacing w:before="100" w:beforeAutospacing="1" w:after="100" w:afterAutospacing="1" w:line="276" w:lineRule="auto"/>
        <w:rPr>
          <w:rFonts w:ascii="Times New Roman" w:hAnsi="Times New Roman"/>
          <w:u w:val="single"/>
          <w:lang w:val="en-HK"/>
        </w:rPr>
      </w:pPr>
      <w:r w:rsidRPr="00864E69">
        <w:rPr>
          <w:rFonts w:ascii="Times New Roman" w:hAnsi="Times New Roman"/>
          <w:lang w:val="en-HK"/>
        </w:rPr>
        <w:t xml:space="preserve">Over time, the CJEU has incorporated </w:t>
      </w:r>
      <w:r w:rsidRPr="00864E69">
        <w:rPr>
          <w:rFonts w:ascii="Times New Roman" w:hAnsi="Times New Roman"/>
          <w:b/>
          <w:bCs/>
          <w:lang w:val="en-HK"/>
        </w:rPr>
        <w:t>proportionality-like reasoning</w:t>
      </w:r>
      <w:r w:rsidRPr="00864E69">
        <w:rPr>
          <w:rFonts w:ascii="Times New Roman" w:hAnsi="Times New Roman"/>
          <w:lang w:val="en-HK"/>
        </w:rPr>
        <w:t xml:space="preserve"> </w:t>
      </w:r>
      <w:r w:rsidRPr="00864E69">
        <w:rPr>
          <w:rFonts w:ascii="Times New Roman" w:hAnsi="Times New Roman"/>
          <w:highlight w:val="yellow"/>
          <w:lang w:val="en-HK"/>
        </w:rPr>
        <w:t xml:space="preserve">into the scope stage by evaluating the </w:t>
      </w:r>
      <w:r w:rsidRPr="00864E69">
        <w:rPr>
          <w:rFonts w:ascii="Times New Roman" w:hAnsi="Times New Roman"/>
          <w:b/>
          <w:bCs/>
          <w:highlight w:val="yellow"/>
          <w:u w:val="single"/>
          <w:lang w:val="en-HK"/>
        </w:rPr>
        <w:t>significance of the measure’s impact on trade</w:t>
      </w:r>
      <w:r w:rsidRPr="00864E69">
        <w:rPr>
          <w:rFonts w:ascii="Times New Roman" w:hAnsi="Times New Roman"/>
          <w:highlight w:val="yellow"/>
          <w:u w:val="single"/>
          <w:lang w:val="en-HK"/>
        </w:rPr>
        <w:t>:</w:t>
      </w:r>
    </w:p>
    <w:p w14:paraId="16442FD7" w14:textId="77777777" w:rsidR="00864E69" w:rsidRPr="00864E69" w:rsidRDefault="00864E69" w:rsidP="009F3468">
      <w:pPr>
        <w:spacing w:before="100" w:beforeAutospacing="1" w:after="100" w:afterAutospacing="1" w:line="276" w:lineRule="auto"/>
        <w:rPr>
          <w:rFonts w:ascii="Times New Roman" w:hAnsi="Times New Roman"/>
          <w:b/>
          <w:bCs/>
          <w:lang w:val="en-HK"/>
        </w:rPr>
      </w:pPr>
      <w:r w:rsidRPr="00864E69">
        <w:rPr>
          <w:rFonts w:ascii="Times New Roman" w:hAnsi="Times New Roman"/>
          <w:lang w:val="en-HK"/>
        </w:rPr>
        <w:t>Measures with "</w:t>
      </w:r>
      <w:r w:rsidRPr="00864E69">
        <w:rPr>
          <w:rFonts w:ascii="Times New Roman" w:hAnsi="Times New Roman"/>
          <w:b/>
          <w:bCs/>
          <w:lang w:val="en-HK"/>
        </w:rPr>
        <w:t>too uncertain or indirect" effects are excluded from the scope of Article 34 (</w:t>
      </w:r>
      <w:r w:rsidRPr="00864E69">
        <w:rPr>
          <w:rFonts w:ascii="Times New Roman" w:hAnsi="Times New Roman"/>
          <w:b/>
          <w:bCs/>
          <w:i/>
          <w:iCs/>
          <w:lang w:val="en-HK"/>
        </w:rPr>
        <w:t>Krantz GmbH</w:t>
      </w:r>
      <w:r w:rsidRPr="00864E69">
        <w:rPr>
          <w:rFonts w:ascii="Times New Roman" w:hAnsi="Times New Roman"/>
          <w:b/>
          <w:bCs/>
          <w:lang w:val="en-HK"/>
        </w:rPr>
        <w:t>, Case C-69/88).</w:t>
      </w:r>
    </w:p>
    <w:p w14:paraId="50EC1881" w14:textId="77777777" w:rsidR="00864E69" w:rsidRPr="00864E69"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173AA34A">
          <v:rect id="_x0000_i1039" alt="" style="width:451.3pt;height:.05pt;mso-width-percent:0;mso-height-percent:0;mso-width-percent:0;mso-height-percent:0" o:hralign="center" o:hrstd="t" o:hr="t" fillcolor="#a0a0a0" stroked="f"/>
        </w:pict>
      </w:r>
    </w:p>
    <w:p w14:paraId="0C74FF0F" w14:textId="77777777"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t>Proportionality in the Scope Stage</w:t>
      </w:r>
    </w:p>
    <w:p w14:paraId="7F698F07"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Emergence of Proportionality</w:t>
      </w:r>
    </w:p>
    <w:p w14:paraId="0FA102AC" w14:textId="77777777" w:rsidR="00864E69" w:rsidRPr="00864E69" w:rsidRDefault="00864E69" w:rsidP="009F3468">
      <w:pPr>
        <w:spacing w:before="100" w:beforeAutospacing="1" w:after="100" w:afterAutospacing="1" w:line="276" w:lineRule="auto"/>
        <w:rPr>
          <w:rFonts w:ascii="Times New Roman" w:hAnsi="Times New Roman"/>
          <w:lang w:val="en-HK"/>
        </w:rPr>
      </w:pPr>
      <w:r w:rsidRPr="00864E69">
        <w:rPr>
          <w:rFonts w:ascii="Times New Roman" w:hAnsi="Times New Roman"/>
          <w:lang w:val="en-HK"/>
        </w:rPr>
        <w:lastRenderedPageBreak/>
        <w:t xml:space="preserve">The scope stage now involves assessing whether the measure </w:t>
      </w:r>
      <w:r w:rsidRPr="00864E69">
        <w:rPr>
          <w:rFonts w:ascii="Times New Roman" w:hAnsi="Times New Roman"/>
          <w:b/>
          <w:bCs/>
          <w:lang w:val="en-HK"/>
        </w:rPr>
        <w:t>disproportionately affects cross-border trade</w:t>
      </w:r>
      <w:r w:rsidRPr="00864E69">
        <w:rPr>
          <w:rFonts w:ascii="Times New Roman" w:hAnsi="Times New Roman"/>
          <w:lang w:val="en-HK"/>
        </w:rPr>
        <w:t>:</w:t>
      </w:r>
    </w:p>
    <w:p w14:paraId="2EF02F04" w14:textId="77777777" w:rsidR="00864E69" w:rsidRPr="00864E69" w:rsidRDefault="00864E69" w:rsidP="009F3468">
      <w:p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If the effect on trade </w:t>
      </w:r>
      <w:r w:rsidRPr="00864E69">
        <w:rPr>
          <w:rFonts w:ascii="Times New Roman" w:hAnsi="Times New Roman"/>
          <w:b/>
          <w:bCs/>
          <w:lang w:val="en-HK"/>
        </w:rPr>
        <w:t>is deemed insignificant</w:t>
      </w:r>
      <w:r w:rsidRPr="00864E69">
        <w:rPr>
          <w:rFonts w:ascii="Times New Roman" w:hAnsi="Times New Roman"/>
          <w:lang w:val="en-HK"/>
        </w:rPr>
        <w:t>, the measure falls outside Article 34.</w:t>
      </w:r>
    </w:p>
    <w:p w14:paraId="4F487E93" w14:textId="77777777" w:rsidR="00864E69" w:rsidRPr="00864E69" w:rsidRDefault="00864E69" w:rsidP="009F3468">
      <w:pPr>
        <w:spacing w:before="100" w:beforeAutospacing="1" w:after="100" w:afterAutospacing="1" w:line="276" w:lineRule="auto"/>
        <w:rPr>
          <w:rFonts w:ascii="Times New Roman" w:hAnsi="Times New Roman"/>
          <w:lang w:val="en-HK"/>
        </w:rPr>
      </w:pPr>
      <w:r w:rsidRPr="00864E69">
        <w:rPr>
          <w:rFonts w:ascii="Times New Roman" w:hAnsi="Times New Roman"/>
          <w:lang w:val="en-HK"/>
        </w:rPr>
        <w:t>However, the threshold for what constitutes a significant effect remains unclear, leaving room for proportionality to play a role.</w:t>
      </w:r>
    </w:p>
    <w:p w14:paraId="2B2CAA3D"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Key Cases</w:t>
      </w:r>
    </w:p>
    <w:p w14:paraId="6B8BC205" w14:textId="77777777" w:rsidR="00864E69" w:rsidRPr="00864E69" w:rsidRDefault="00864E69" w:rsidP="009F3468">
      <w:pPr>
        <w:numPr>
          <w:ilvl w:val="0"/>
          <w:numId w:val="67"/>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Krantz GmbH v Netherlands (Case C-69/88)</w:t>
      </w:r>
      <w:r w:rsidRPr="00864E69">
        <w:rPr>
          <w:rFonts w:ascii="Times New Roman" w:hAnsi="Times New Roman"/>
          <w:lang w:val="en-HK"/>
        </w:rPr>
        <w:t>:</w:t>
      </w:r>
    </w:p>
    <w:p w14:paraId="6B9F2E2D" w14:textId="77777777" w:rsidR="00864E69" w:rsidRPr="00864E69" w:rsidRDefault="00864E69" w:rsidP="009F3468">
      <w:pPr>
        <w:numPr>
          <w:ilvl w:val="1"/>
          <w:numId w:val="67"/>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Facts</w:t>
      </w:r>
      <w:r w:rsidRPr="00864E69">
        <w:rPr>
          <w:rFonts w:ascii="Times New Roman" w:hAnsi="Times New Roman"/>
          <w:lang w:val="en-HK"/>
        </w:rPr>
        <w:t>:</w:t>
      </w:r>
    </w:p>
    <w:p w14:paraId="54BB77FF" w14:textId="77777777" w:rsidR="00864E69" w:rsidRPr="00864E69" w:rsidRDefault="00864E69" w:rsidP="009F3468">
      <w:pPr>
        <w:numPr>
          <w:ilvl w:val="2"/>
          <w:numId w:val="67"/>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Dutch authorities seized goods as part of a debt recovery process. The claimant argued this restricted free movement of goods.</w:t>
      </w:r>
    </w:p>
    <w:p w14:paraId="36F75105" w14:textId="77777777" w:rsidR="00864E69" w:rsidRPr="00864E69" w:rsidRDefault="00864E69" w:rsidP="009F3468">
      <w:pPr>
        <w:numPr>
          <w:ilvl w:val="1"/>
          <w:numId w:val="67"/>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Judgment</w:t>
      </w:r>
      <w:r w:rsidRPr="00864E69">
        <w:rPr>
          <w:rFonts w:ascii="Times New Roman" w:hAnsi="Times New Roman"/>
          <w:lang w:val="en-HK"/>
        </w:rPr>
        <w:t>:</w:t>
      </w:r>
    </w:p>
    <w:p w14:paraId="48EC0F6C" w14:textId="77777777" w:rsidR="00864E69" w:rsidRPr="00864E69" w:rsidRDefault="00864E69" w:rsidP="009F3468">
      <w:pPr>
        <w:numPr>
          <w:ilvl w:val="2"/>
          <w:numId w:val="67"/>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Court held that the effect on intra-EU trade was "too uncertain and indirect" to fall within the scope of Article 34.</w:t>
      </w:r>
    </w:p>
    <w:p w14:paraId="23187D93" w14:textId="77777777" w:rsidR="00864E69" w:rsidRPr="00864E69" w:rsidRDefault="00864E69" w:rsidP="009F3468">
      <w:pPr>
        <w:numPr>
          <w:ilvl w:val="1"/>
          <w:numId w:val="67"/>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Proportionality-Like Reasoning</w:t>
      </w:r>
      <w:r w:rsidRPr="00864E69">
        <w:rPr>
          <w:rFonts w:ascii="Times New Roman" w:hAnsi="Times New Roman"/>
          <w:lang w:val="en-HK"/>
        </w:rPr>
        <w:t>:</w:t>
      </w:r>
    </w:p>
    <w:p w14:paraId="7D9633FC" w14:textId="77777777" w:rsidR="00864E69" w:rsidRPr="00864E69" w:rsidRDefault="00864E69" w:rsidP="009F3468">
      <w:pPr>
        <w:numPr>
          <w:ilvl w:val="2"/>
          <w:numId w:val="67"/>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Court effectively weighed the trade impact against the measure’s primary function, excluding it from Article 34.</w:t>
      </w:r>
    </w:p>
    <w:p w14:paraId="0655449C" w14:textId="77777777" w:rsidR="00864E69" w:rsidRPr="00864E69" w:rsidRDefault="00864E69" w:rsidP="009F3468">
      <w:pPr>
        <w:numPr>
          <w:ilvl w:val="0"/>
          <w:numId w:val="67"/>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Commission v Italy (Italian Trailers, Case C-110/05)</w:t>
      </w:r>
      <w:r w:rsidRPr="00864E69">
        <w:rPr>
          <w:rFonts w:ascii="Times New Roman" w:hAnsi="Times New Roman"/>
          <w:lang w:val="en-HK"/>
        </w:rPr>
        <w:t>:</w:t>
      </w:r>
    </w:p>
    <w:p w14:paraId="1035C41B" w14:textId="77777777" w:rsidR="00864E69" w:rsidRPr="00864E69" w:rsidRDefault="00864E69" w:rsidP="009F3468">
      <w:pPr>
        <w:numPr>
          <w:ilvl w:val="1"/>
          <w:numId w:val="67"/>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Facts</w:t>
      </w:r>
      <w:r w:rsidRPr="00864E69">
        <w:rPr>
          <w:rFonts w:ascii="Times New Roman" w:hAnsi="Times New Roman"/>
          <w:lang w:val="en-HK"/>
        </w:rPr>
        <w:t>:</w:t>
      </w:r>
    </w:p>
    <w:p w14:paraId="79B0F275" w14:textId="77777777" w:rsidR="00864E69" w:rsidRPr="00864E69" w:rsidRDefault="00864E69" w:rsidP="009F3468">
      <w:pPr>
        <w:numPr>
          <w:ilvl w:val="2"/>
          <w:numId w:val="67"/>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Italy prohibited motorcycles from towing trailers, which affected the market for imported trailers.</w:t>
      </w:r>
    </w:p>
    <w:p w14:paraId="14526A9E" w14:textId="77777777" w:rsidR="00864E69" w:rsidRPr="00864E69" w:rsidRDefault="00864E69" w:rsidP="009F3468">
      <w:pPr>
        <w:numPr>
          <w:ilvl w:val="1"/>
          <w:numId w:val="67"/>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Judgment</w:t>
      </w:r>
      <w:r w:rsidRPr="00864E69">
        <w:rPr>
          <w:rFonts w:ascii="Times New Roman" w:hAnsi="Times New Roman"/>
          <w:lang w:val="en-HK"/>
        </w:rPr>
        <w:t>:</w:t>
      </w:r>
    </w:p>
    <w:p w14:paraId="38D0E978" w14:textId="77777777" w:rsidR="00864E69" w:rsidRPr="00864E69" w:rsidRDefault="00864E69" w:rsidP="009F3468">
      <w:pPr>
        <w:numPr>
          <w:ilvl w:val="2"/>
          <w:numId w:val="67"/>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Court included the measure within Article 34, finding that it significantly restricted market access.</w:t>
      </w:r>
    </w:p>
    <w:p w14:paraId="419971AB" w14:textId="77777777" w:rsidR="00864E69" w:rsidRPr="00864E69" w:rsidRDefault="00864E69" w:rsidP="009F3468">
      <w:pPr>
        <w:numPr>
          <w:ilvl w:val="1"/>
          <w:numId w:val="67"/>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Proportionality’s Role</w:t>
      </w:r>
      <w:r w:rsidRPr="00864E69">
        <w:rPr>
          <w:rFonts w:ascii="Times New Roman" w:hAnsi="Times New Roman"/>
          <w:lang w:val="en-HK"/>
        </w:rPr>
        <w:t>:</w:t>
      </w:r>
    </w:p>
    <w:p w14:paraId="36AA7521" w14:textId="77777777" w:rsidR="00864E69" w:rsidRPr="00864E69" w:rsidRDefault="00864E69" w:rsidP="009F3468">
      <w:pPr>
        <w:numPr>
          <w:ilvl w:val="2"/>
          <w:numId w:val="67"/>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Court assessed the measure’s practical effect on trade at the scope stage, blending the scope and restriction analyses.</w:t>
      </w:r>
    </w:p>
    <w:p w14:paraId="445C3BD2" w14:textId="77777777" w:rsidR="00864E69" w:rsidRPr="00864E69"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3AA8A487">
          <v:rect id="_x0000_i1038" alt="" style="width:451.3pt;height:.05pt;mso-width-percent:0;mso-height-percent:0;mso-width-percent:0;mso-height-percent:0" o:hralign="center" o:hrstd="t" o:hr="t" fillcolor="#a0a0a0" stroked="f"/>
        </w:pict>
      </w:r>
    </w:p>
    <w:p w14:paraId="216FB00C" w14:textId="77777777"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t>Key Characteristics of Proportionality in Scope</w:t>
      </w:r>
    </w:p>
    <w:p w14:paraId="54C17E25" w14:textId="77777777" w:rsidR="00864E69" w:rsidRPr="00864E69" w:rsidRDefault="00864E69" w:rsidP="009F3468">
      <w:pPr>
        <w:numPr>
          <w:ilvl w:val="0"/>
          <w:numId w:val="68"/>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Threshold for Inclusion</w:t>
      </w:r>
      <w:r w:rsidRPr="00864E69">
        <w:rPr>
          <w:rFonts w:ascii="Times New Roman" w:hAnsi="Times New Roman"/>
          <w:lang w:val="en-HK"/>
        </w:rPr>
        <w:t>:</w:t>
      </w:r>
    </w:p>
    <w:p w14:paraId="1E113DB7" w14:textId="77777777" w:rsidR="00864E69" w:rsidRPr="00864E69" w:rsidRDefault="00864E69" w:rsidP="009F3468">
      <w:pPr>
        <w:numPr>
          <w:ilvl w:val="1"/>
          <w:numId w:val="68"/>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Proportionality at the scope stage involves determining whether the trade effect is sufficient to trigger Article 34.</w:t>
      </w:r>
    </w:p>
    <w:p w14:paraId="16795B04" w14:textId="77777777" w:rsidR="00864E69" w:rsidRPr="00864E69" w:rsidRDefault="00864E69" w:rsidP="009F3468">
      <w:pPr>
        <w:numPr>
          <w:ilvl w:val="1"/>
          <w:numId w:val="68"/>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If the measure’s impact is negligible or indirect, it is excluded.</w:t>
      </w:r>
    </w:p>
    <w:p w14:paraId="48A57182" w14:textId="77777777" w:rsidR="00864E69" w:rsidRPr="00864E69" w:rsidRDefault="00864E69" w:rsidP="009F3468">
      <w:pPr>
        <w:numPr>
          <w:ilvl w:val="0"/>
          <w:numId w:val="68"/>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Economic Effects</w:t>
      </w:r>
      <w:r w:rsidRPr="00864E69">
        <w:rPr>
          <w:rFonts w:ascii="Times New Roman" w:hAnsi="Times New Roman"/>
          <w:lang w:val="en-HK"/>
        </w:rPr>
        <w:t>:</w:t>
      </w:r>
    </w:p>
    <w:p w14:paraId="0E0065E4" w14:textId="77777777" w:rsidR="00864E69" w:rsidRPr="00864E69" w:rsidRDefault="00864E69" w:rsidP="009F3468">
      <w:pPr>
        <w:numPr>
          <w:ilvl w:val="1"/>
          <w:numId w:val="68"/>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Court evaluates the economic impact of the measure, considering whether it creates a real or potential barrier to trade.</w:t>
      </w:r>
    </w:p>
    <w:p w14:paraId="40519141" w14:textId="77777777" w:rsidR="00864E69" w:rsidRPr="00864E69" w:rsidRDefault="00864E69" w:rsidP="009F3468">
      <w:pPr>
        <w:numPr>
          <w:ilvl w:val="0"/>
          <w:numId w:val="68"/>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Blurring of Stages</w:t>
      </w:r>
      <w:r w:rsidRPr="00864E69">
        <w:rPr>
          <w:rFonts w:ascii="Times New Roman" w:hAnsi="Times New Roman"/>
          <w:lang w:val="en-HK"/>
        </w:rPr>
        <w:t>:</w:t>
      </w:r>
    </w:p>
    <w:p w14:paraId="143E31A6" w14:textId="77777777" w:rsidR="00864E69" w:rsidRPr="00864E69" w:rsidRDefault="00864E69" w:rsidP="009F3468">
      <w:pPr>
        <w:numPr>
          <w:ilvl w:val="1"/>
          <w:numId w:val="68"/>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lastRenderedPageBreak/>
        <w:t>Van Leeuwen criticises the CJEU for merging the scope and restriction stages by relying on proportionality-like reasoning early in the analysis.</w:t>
      </w:r>
    </w:p>
    <w:p w14:paraId="31036846" w14:textId="77777777" w:rsidR="00864E69" w:rsidRPr="00864E69"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012456FE">
          <v:rect id="_x0000_i1037" alt="" style="width:451.3pt;height:.05pt;mso-width-percent:0;mso-height-percent:0;mso-width-percent:0;mso-height-percent:0" o:hralign="center" o:hrstd="t" o:hr="t" fillcolor="#a0a0a0" stroked="f"/>
        </w:pict>
      </w:r>
    </w:p>
    <w:p w14:paraId="6AC41D65" w14:textId="77777777"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t>Critiques of Proportionality at the Scope Stage</w:t>
      </w:r>
    </w:p>
    <w:p w14:paraId="00A88EFA"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1. Legal Uncertainty</w:t>
      </w:r>
    </w:p>
    <w:p w14:paraId="5D81B3DB" w14:textId="77777777" w:rsidR="00864E69" w:rsidRPr="00864E69" w:rsidRDefault="00864E69" w:rsidP="009F3468">
      <w:pPr>
        <w:numPr>
          <w:ilvl w:val="0"/>
          <w:numId w:val="69"/>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lack of clear criteria for determining what constitutes a "significant effect" on trade creates uncertainty.</w:t>
      </w:r>
    </w:p>
    <w:p w14:paraId="53DDCAC0" w14:textId="77777777" w:rsidR="00864E69" w:rsidRPr="00864E69" w:rsidRDefault="00864E69" w:rsidP="009F3468">
      <w:pPr>
        <w:numPr>
          <w:ilvl w:val="0"/>
          <w:numId w:val="69"/>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Critics, including Van Leeuwen, argue that the flexible approach at the scope stage undermines the predictability of free movement law.</w:t>
      </w:r>
    </w:p>
    <w:p w14:paraId="7EB80628"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2. Over-Inclusion</w:t>
      </w:r>
    </w:p>
    <w:p w14:paraId="74D127A3" w14:textId="77777777" w:rsidR="00864E69" w:rsidRPr="00864E69" w:rsidRDefault="00864E69" w:rsidP="009F3468">
      <w:pPr>
        <w:numPr>
          <w:ilvl w:val="0"/>
          <w:numId w:val="70"/>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By incorporating proportionality into the scope stage, the Court risks over-including measures that have minimal trade effects, broadening Article 34’s reach.</w:t>
      </w:r>
    </w:p>
    <w:p w14:paraId="16EA82D7" w14:textId="77777777" w:rsidR="00864E69" w:rsidRPr="00864E69" w:rsidRDefault="00864E69" w:rsidP="009F3468">
      <w:pPr>
        <w:numPr>
          <w:ilvl w:val="0"/>
          <w:numId w:val="70"/>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Example: In </w:t>
      </w:r>
      <w:proofErr w:type="spellStart"/>
      <w:r w:rsidRPr="00864E69">
        <w:rPr>
          <w:rFonts w:ascii="Times New Roman" w:hAnsi="Times New Roman"/>
          <w:i/>
          <w:iCs/>
          <w:lang w:val="en-HK"/>
        </w:rPr>
        <w:t>Mickelsson</w:t>
      </w:r>
      <w:proofErr w:type="spellEnd"/>
      <w:r w:rsidRPr="00864E69">
        <w:rPr>
          <w:rFonts w:ascii="Times New Roman" w:hAnsi="Times New Roman"/>
          <w:i/>
          <w:iCs/>
          <w:lang w:val="en-HK"/>
        </w:rPr>
        <w:t xml:space="preserve"> &amp; </w:t>
      </w:r>
      <w:proofErr w:type="spellStart"/>
      <w:r w:rsidRPr="00864E69">
        <w:rPr>
          <w:rFonts w:ascii="Times New Roman" w:hAnsi="Times New Roman"/>
          <w:i/>
          <w:iCs/>
          <w:lang w:val="en-HK"/>
        </w:rPr>
        <w:t>Roos</w:t>
      </w:r>
      <w:proofErr w:type="spellEnd"/>
      <w:r w:rsidRPr="00864E69">
        <w:rPr>
          <w:rFonts w:ascii="Times New Roman" w:hAnsi="Times New Roman"/>
          <w:i/>
          <w:iCs/>
          <w:lang w:val="en-HK"/>
        </w:rPr>
        <w:t xml:space="preserve"> (Case C-142/05)</w:t>
      </w:r>
      <w:r w:rsidRPr="00864E69">
        <w:rPr>
          <w:rFonts w:ascii="Times New Roman" w:hAnsi="Times New Roman"/>
          <w:lang w:val="en-HK"/>
        </w:rPr>
        <w:t>, Swedish jet ski restrictions were included in Article 34 because they indirectly limited market access, even though they applied equally to domestic and imported goods.</w:t>
      </w:r>
    </w:p>
    <w:p w14:paraId="3DAA37DD"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3. Blurred Boundaries</w:t>
      </w:r>
    </w:p>
    <w:p w14:paraId="462DF73F" w14:textId="77777777" w:rsidR="00864E69" w:rsidRPr="00864E69" w:rsidRDefault="00864E69" w:rsidP="009F3468">
      <w:pPr>
        <w:numPr>
          <w:ilvl w:val="0"/>
          <w:numId w:val="71"/>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proportionality analysis at the scope stage often overlaps with the restriction stage, making it difficult to distinguish between the two.</w:t>
      </w:r>
    </w:p>
    <w:p w14:paraId="6C72FD2E" w14:textId="77777777" w:rsidR="00864E69" w:rsidRPr="00864E69"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134A3308">
          <v:rect id="_x0000_i1036" alt="" style="width:451.3pt;height:.05pt;mso-width-percent:0;mso-height-percent:0;mso-width-percent:0;mso-height-percent:0" o:hralign="center" o:hrstd="t" o:hr="t" fillcolor="#a0a0a0" stroked="f"/>
        </w:pict>
      </w:r>
    </w:p>
    <w:p w14:paraId="43FE9A1A" w14:textId="250F6D09" w:rsidR="00864E69" w:rsidRPr="009F3468" w:rsidRDefault="00864E69" w:rsidP="009F3468">
      <w:pPr>
        <w:spacing w:before="100" w:beforeAutospacing="1" w:after="100" w:afterAutospacing="1" w:line="276" w:lineRule="auto"/>
        <w:rPr>
          <w:rFonts w:ascii="Times New Roman" w:hAnsi="Times New Roman"/>
          <w:lang w:val="en-HK"/>
        </w:rPr>
      </w:pPr>
      <w:r w:rsidRPr="009F3468">
        <w:rPr>
          <w:rFonts w:ascii="Times New Roman" w:hAnsi="Times New Roman"/>
          <w:lang w:val="en-HK"/>
        </w:rPr>
        <w:drawing>
          <wp:inline distT="0" distB="0" distL="0" distR="0" wp14:anchorId="5BD6AA3D" wp14:editId="23955938">
            <wp:extent cx="5731510" cy="2459990"/>
            <wp:effectExtent l="0" t="0" r="0" b="3810"/>
            <wp:docPr id="1431844324" name="Picture 1"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44324" name="Picture 1" descr="A screenshot of a screen&#10;&#10;Description automatically generated"/>
                    <pic:cNvPicPr/>
                  </pic:nvPicPr>
                  <pic:blipFill>
                    <a:blip r:embed="rId6"/>
                    <a:stretch>
                      <a:fillRect/>
                    </a:stretch>
                  </pic:blipFill>
                  <pic:spPr>
                    <a:xfrm>
                      <a:off x="0" y="0"/>
                      <a:ext cx="5731510" cy="2459990"/>
                    </a:xfrm>
                    <a:prstGeom prst="rect">
                      <a:avLst/>
                    </a:prstGeom>
                  </pic:spPr>
                </pic:pic>
              </a:graphicData>
            </a:graphic>
          </wp:inline>
        </w:drawing>
      </w:r>
    </w:p>
    <w:p w14:paraId="4B89D0A9" w14:textId="77777777" w:rsidR="00864E69" w:rsidRPr="009F3468" w:rsidRDefault="00864E69" w:rsidP="009F3468">
      <w:pPr>
        <w:pStyle w:val="Heading3"/>
        <w:spacing w:line="276" w:lineRule="auto"/>
        <w:rPr>
          <w:rFonts w:ascii="Times New Roman" w:hAnsi="Times New Roman" w:cs="Times New Roman"/>
          <w:color w:val="000000" w:themeColor="text1"/>
          <w:sz w:val="24"/>
          <w:szCs w:val="24"/>
          <w:lang w:val="en-HK"/>
        </w:rPr>
      </w:pPr>
      <w:r w:rsidRPr="009F3468">
        <w:rPr>
          <w:rStyle w:val="Strong"/>
          <w:rFonts w:ascii="Times New Roman" w:hAnsi="Times New Roman" w:cs="Times New Roman"/>
          <w:color w:val="000000" w:themeColor="text1"/>
          <w:sz w:val="24"/>
          <w:szCs w:val="24"/>
        </w:rPr>
        <w:t>Recommendations for Reform</w:t>
      </w:r>
    </w:p>
    <w:p w14:paraId="0116B90B" w14:textId="77777777" w:rsidR="00864E69" w:rsidRPr="009F3468" w:rsidRDefault="00864E69" w:rsidP="009F3468">
      <w:pPr>
        <w:pStyle w:val="NormalWeb"/>
        <w:numPr>
          <w:ilvl w:val="0"/>
          <w:numId w:val="72"/>
        </w:numPr>
        <w:spacing w:line="276" w:lineRule="auto"/>
      </w:pPr>
      <w:r w:rsidRPr="009F3468">
        <w:rPr>
          <w:rStyle w:val="Strong"/>
          <w:rFonts w:eastAsiaTheme="majorEastAsia"/>
        </w:rPr>
        <w:t>Clarify the Threshold</w:t>
      </w:r>
      <w:r w:rsidRPr="009F3468">
        <w:t>:</w:t>
      </w:r>
    </w:p>
    <w:p w14:paraId="5FC57FB6" w14:textId="77777777" w:rsidR="00864E69" w:rsidRPr="009F3468" w:rsidRDefault="00864E69" w:rsidP="009F3468">
      <w:pPr>
        <w:spacing w:before="100" w:beforeAutospacing="1" w:after="100" w:afterAutospacing="1" w:line="276" w:lineRule="auto"/>
        <w:rPr>
          <w:rFonts w:ascii="Times New Roman" w:hAnsi="Times New Roman"/>
        </w:rPr>
      </w:pPr>
      <w:r w:rsidRPr="009F3468">
        <w:rPr>
          <w:rFonts w:ascii="Times New Roman" w:hAnsi="Times New Roman"/>
        </w:rPr>
        <w:lastRenderedPageBreak/>
        <w:t xml:space="preserve">The CJEU should </w:t>
      </w:r>
      <w:r w:rsidRPr="009F3468">
        <w:rPr>
          <w:rFonts w:ascii="Times New Roman" w:hAnsi="Times New Roman"/>
          <w:b/>
          <w:bCs/>
        </w:rPr>
        <w:t>establish clear criteria for determining</w:t>
      </w:r>
      <w:r w:rsidRPr="009F3468">
        <w:rPr>
          <w:rFonts w:ascii="Times New Roman" w:hAnsi="Times New Roman"/>
        </w:rPr>
        <w:t xml:space="preserve"> when a measure has sufficient trade effects to fall within the scope of Article 34.</w:t>
      </w:r>
    </w:p>
    <w:p w14:paraId="36C1431C" w14:textId="77777777" w:rsidR="00864E69" w:rsidRPr="009F3468" w:rsidRDefault="00864E69" w:rsidP="009F3468">
      <w:pPr>
        <w:pStyle w:val="NormalWeb"/>
        <w:numPr>
          <w:ilvl w:val="0"/>
          <w:numId w:val="72"/>
        </w:numPr>
        <w:spacing w:line="276" w:lineRule="auto"/>
      </w:pPr>
      <w:r w:rsidRPr="009F3468">
        <w:rPr>
          <w:rStyle w:val="Strong"/>
          <w:rFonts w:eastAsiaTheme="majorEastAsia"/>
        </w:rPr>
        <w:t>Separate Scope and Restriction</w:t>
      </w:r>
      <w:r w:rsidRPr="009F3468">
        <w:t>:</w:t>
      </w:r>
    </w:p>
    <w:p w14:paraId="1E10A03C" w14:textId="407FEC79" w:rsidR="00864E69" w:rsidRPr="009F3468" w:rsidRDefault="00864E69" w:rsidP="009F3468">
      <w:pPr>
        <w:spacing w:before="100" w:beforeAutospacing="1" w:after="100" w:afterAutospacing="1" w:line="276" w:lineRule="auto"/>
        <w:rPr>
          <w:rFonts w:ascii="Times New Roman" w:hAnsi="Times New Roman"/>
          <w:b/>
          <w:bCs/>
        </w:rPr>
      </w:pPr>
      <w:r w:rsidRPr="009F3468">
        <w:rPr>
          <w:rFonts w:ascii="Times New Roman" w:hAnsi="Times New Roman"/>
          <w:b/>
          <w:bCs/>
        </w:rPr>
        <w:t xml:space="preserve">Proportionality should be confined </w:t>
      </w:r>
      <w:r w:rsidR="003472E1" w:rsidRPr="009F3468">
        <w:rPr>
          <w:rFonts w:ascii="Times New Roman" w:hAnsi="Times New Roman"/>
          <w:b/>
          <w:bCs/>
        </w:rPr>
        <w:t xml:space="preserve">to </w:t>
      </w:r>
      <w:r w:rsidRPr="009F3468">
        <w:rPr>
          <w:rFonts w:ascii="Times New Roman" w:hAnsi="Times New Roman"/>
          <w:b/>
          <w:bCs/>
        </w:rPr>
        <w:t>justification stages</w:t>
      </w:r>
      <w:r w:rsidRPr="009F3468">
        <w:rPr>
          <w:rFonts w:ascii="Times New Roman" w:hAnsi="Times New Roman"/>
        </w:rPr>
        <w:t xml:space="preserve">, ensuring that </w:t>
      </w:r>
      <w:r w:rsidRPr="009F3468">
        <w:rPr>
          <w:rFonts w:ascii="Times New Roman" w:hAnsi="Times New Roman"/>
          <w:b/>
          <w:bCs/>
        </w:rPr>
        <w:t xml:space="preserve">the </w:t>
      </w:r>
      <w:r w:rsidRPr="009F3468">
        <w:rPr>
          <w:rFonts w:ascii="Times New Roman" w:hAnsi="Times New Roman"/>
          <w:b/>
          <w:bCs/>
          <w:highlight w:val="yellow"/>
        </w:rPr>
        <w:t>scope analysis remains a purely formal inquiry into cross-border trade.</w:t>
      </w:r>
    </w:p>
    <w:p w14:paraId="2DDE3E76" w14:textId="31409CD2" w:rsidR="00864E69" w:rsidRPr="00864E69" w:rsidRDefault="00864E69" w:rsidP="009F3468">
      <w:pPr>
        <w:pStyle w:val="NormalWeb"/>
        <w:spacing w:line="276" w:lineRule="auto"/>
      </w:pPr>
      <w:r w:rsidRPr="009F3468">
        <w:t>Proportionality at the scope stage plays a limited but increasingly significant role in determining whether a measure falls within the ambit of EU free movement law. While it ensures flexibility by assessing the significance of trade effects, it also creates legal uncertainty and blurs the boundaries between the scope and restriction stages. Van Leeuwen critiques this development as part of the broader centralisation of proportionality in free movement law, calling for greater doctrinal clarity to preserve the traditional analytical framework.</w:t>
      </w:r>
    </w:p>
    <w:p w14:paraId="5D5A3B18" w14:textId="77777777" w:rsidR="00864E69" w:rsidRPr="00864E69"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5E06C0B4">
          <v:rect id="_x0000_i1035" alt="" style="width:451.3pt;height:.05pt;mso-width-percent:0;mso-height-percent:0;mso-width-percent:0;mso-height-percent:0" o:hralign="center" o:hrstd="t" o:hr="t" fillcolor="#a0a0a0" stroked="f"/>
        </w:pict>
      </w:r>
    </w:p>
    <w:p w14:paraId="6999F14A" w14:textId="77777777"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t>2. The Consequences of the Centralisation of Proportionality</w:t>
      </w:r>
    </w:p>
    <w:p w14:paraId="51CAA176"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Impact on Member State Autonomy</w:t>
      </w:r>
    </w:p>
    <w:p w14:paraId="65A11630" w14:textId="77777777" w:rsidR="00864E69" w:rsidRPr="00864E69" w:rsidRDefault="00864E69" w:rsidP="009F3468">
      <w:pPr>
        <w:numPr>
          <w:ilvl w:val="0"/>
          <w:numId w:val="36"/>
        </w:numPr>
        <w:spacing w:before="100" w:beforeAutospacing="1" w:after="100" w:afterAutospacing="1" w:line="276" w:lineRule="auto"/>
        <w:rPr>
          <w:rFonts w:ascii="Times New Roman" w:hAnsi="Times New Roman"/>
          <w:lang w:val="en-HK"/>
        </w:rPr>
      </w:pPr>
      <w:r w:rsidRPr="00864E69">
        <w:rPr>
          <w:rFonts w:ascii="Times New Roman" w:hAnsi="Times New Roman"/>
          <w:b/>
          <w:bCs/>
          <w:color w:val="FF0000"/>
          <w:lang w:val="en-HK"/>
        </w:rPr>
        <w:t>Proportionality’s centralisation limits Member States’ discretion in regulating their domestic markets, even in areas traditionally considered outside EU competence</w:t>
      </w:r>
      <w:r w:rsidRPr="00864E69">
        <w:rPr>
          <w:rFonts w:ascii="Times New Roman" w:hAnsi="Times New Roman"/>
          <w:lang w:val="en-HK"/>
        </w:rPr>
        <w:t>.</w:t>
      </w:r>
    </w:p>
    <w:p w14:paraId="6FDD25F9" w14:textId="77777777" w:rsidR="00864E69" w:rsidRPr="00864E69" w:rsidRDefault="00864E69" w:rsidP="009F3468">
      <w:pPr>
        <w:numPr>
          <w:ilvl w:val="0"/>
          <w:numId w:val="36"/>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Example</w:t>
      </w:r>
      <w:r w:rsidRPr="00864E69">
        <w:rPr>
          <w:rFonts w:ascii="Times New Roman" w:hAnsi="Times New Roman"/>
          <w:lang w:val="en-HK"/>
        </w:rPr>
        <w:t xml:space="preserve">: In </w:t>
      </w:r>
      <w:proofErr w:type="spellStart"/>
      <w:r w:rsidRPr="00864E69">
        <w:rPr>
          <w:rFonts w:ascii="Times New Roman" w:hAnsi="Times New Roman"/>
          <w:b/>
          <w:bCs/>
          <w:lang w:val="en-HK"/>
        </w:rPr>
        <w:t>PreussenElektra</w:t>
      </w:r>
      <w:proofErr w:type="spellEnd"/>
      <w:r w:rsidRPr="00864E69">
        <w:rPr>
          <w:rFonts w:ascii="Times New Roman" w:hAnsi="Times New Roman"/>
          <w:b/>
          <w:bCs/>
          <w:lang w:val="en-HK"/>
        </w:rPr>
        <w:t xml:space="preserve"> (Case C-379/98)</w:t>
      </w:r>
      <w:r w:rsidRPr="00864E69">
        <w:rPr>
          <w:rFonts w:ascii="Times New Roman" w:hAnsi="Times New Roman"/>
          <w:lang w:val="en-HK"/>
        </w:rPr>
        <w:t>, the Court upheld a German renewable energy scheme as proportionate but set limits on how Member States could implement similar policies in the future.</w:t>
      </w:r>
    </w:p>
    <w:p w14:paraId="1206A8F0"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Shift in Judicial Power</w:t>
      </w:r>
    </w:p>
    <w:p w14:paraId="248BACD2" w14:textId="77777777" w:rsidR="00864E69" w:rsidRPr="00864E69" w:rsidRDefault="00864E69" w:rsidP="009F3468">
      <w:pPr>
        <w:numPr>
          <w:ilvl w:val="0"/>
          <w:numId w:val="37"/>
        </w:numPr>
        <w:spacing w:before="100" w:beforeAutospacing="1" w:after="100" w:afterAutospacing="1" w:line="276" w:lineRule="auto"/>
        <w:rPr>
          <w:rFonts w:ascii="Times New Roman" w:hAnsi="Times New Roman"/>
          <w:b/>
          <w:bCs/>
          <w:lang w:val="en-HK"/>
        </w:rPr>
      </w:pPr>
      <w:r w:rsidRPr="00864E69">
        <w:rPr>
          <w:rFonts w:ascii="Times New Roman" w:hAnsi="Times New Roman"/>
          <w:lang w:val="en-HK"/>
        </w:rPr>
        <w:t xml:space="preserve">Proportionality empowers the CJEU to act as the ultimate arbiter in free movement disputes, </w:t>
      </w:r>
      <w:r w:rsidRPr="00864E69">
        <w:rPr>
          <w:rFonts w:ascii="Times New Roman" w:hAnsi="Times New Roman"/>
          <w:b/>
          <w:bCs/>
          <w:lang w:val="en-HK"/>
        </w:rPr>
        <w:t>centralising decision-making at the EU level.</w:t>
      </w:r>
    </w:p>
    <w:p w14:paraId="1D71BF85" w14:textId="77777777" w:rsidR="00864E69" w:rsidRPr="00864E69" w:rsidRDefault="00864E69" w:rsidP="009F3468">
      <w:pPr>
        <w:numPr>
          <w:ilvl w:val="0"/>
          <w:numId w:val="37"/>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This shift reduces the autonomy of national courts, which previously played a larger role in applying EU law within their jurisdictions.</w:t>
      </w:r>
    </w:p>
    <w:p w14:paraId="2FCD12E1"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Legal Uncertainty</w:t>
      </w:r>
    </w:p>
    <w:p w14:paraId="695A191A" w14:textId="77777777" w:rsidR="00864E69" w:rsidRPr="00864E69" w:rsidRDefault="00864E69" w:rsidP="009F3468">
      <w:pPr>
        <w:numPr>
          <w:ilvl w:val="0"/>
          <w:numId w:val="38"/>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Case-by-Case Balancing</w:t>
      </w:r>
      <w:r w:rsidRPr="00864E69">
        <w:rPr>
          <w:rFonts w:ascii="Times New Roman" w:hAnsi="Times New Roman"/>
          <w:lang w:val="en-HK"/>
        </w:rPr>
        <w:t>:</w:t>
      </w:r>
    </w:p>
    <w:p w14:paraId="4081F2B5" w14:textId="77777777" w:rsidR="00864E69" w:rsidRPr="00864E69" w:rsidRDefault="00864E69" w:rsidP="009F3468">
      <w:pPr>
        <w:numPr>
          <w:ilvl w:val="1"/>
          <w:numId w:val="38"/>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flexible nature of proportionality creates uncertainty for Member States and businesses, as outcomes depend heavily on the Court’s subjective balancing of interests.</w:t>
      </w:r>
    </w:p>
    <w:p w14:paraId="5448D1AF" w14:textId="77777777" w:rsidR="00864E69" w:rsidRPr="00864E69" w:rsidRDefault="00864E69" w:rsidP="009F3468">
      <w:pPr>
        <w:numPr>
          <w:ilvl w:val="0"/>
          <w:numId w:val="38"/>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Erosion of Predictability</w:t>
      </w:r>
      <w:r w:rsidRPr="00864E69">
        <w:rPr>
          <w:rFonts w:ascii="Times New Roman" w:hAnsi="Times New Roman"/>
          <w:lang w:val="en-HK"/>
        </w:rPr>
        <w:t>:</w:t>
      </w:r>
    </w:p>
    <w:p w14:paraId="08A10ECE" w14:textId="77777777" w:rsidR="00864E69" w:rsidRPr="00864E69" w:rsidRDefault="00864E69" w:rsidP="009F3468">
      <w:pPr>
        <w:numPr>
          <w:ilvl w:val="1"/>
          <w:numId w:val="38"/>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lastRenderedPageBreak/>
        <w:t>By merging the distinct stages of free movement law into a proportionality-driven framework, the Court undermines the clarity and predictability provided by the traditional structure.</w:t>
      </w:r>
    </w:p>
    <w:p w14:paraId="25C19B5A"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Critique of the CJEU’s Approach</w:t>
      </w:r>
    </w:p>
    <w:p w14:paraId="0F718D1C" w14:textId="77777777" w:rsidR="00864E69" w:rsidRPr="00864E69" w:rsidRDefault="00864E69" w:rsidP="009F3468">
      <w:pPr>
        <w:numPr>
          <w:ilvl w:val="0"/>
          <w:numId w:val="39"/>
        </w:numPr>
        <w:spacing w:before="100" w:beforeAutospacing="1" w:after="100" w:afterAutospacing="1" w:line="276" w:lineRule="auto"/>
        <w:rPr>
          <w:rFonts w:ascii="Times New Roman" w:hAnsi="Times New Roman"/>
          <w:lang w:val="en-HK"/>
        </w:rPr>
      </w:pPr>
      <w:proofErr w:type="spellStart"/>
      <w:r w:rsidRPr="00864E69">
        <w:rPr>
          <w:rFonts w:ascii="Times New Roman" w:hAnsi="Times New Roman"/>
          <w:b/>
          <w:bCs/>
          <w:lang w:val="en-HK"/>
        </w:rPr>
        <w:t>Weatherill’s</w:t>
      </w:r>
      <w:proofErr w:type="spellEnd"/>
      <w:r w:rsidRPr="00864E69">
        <w:rPr>
          <w:rFonts w:ascii="Times New Roman" w:hAnsi="Times New Roman"/>
          <w:b/>
          <w:bCs/>
          <w:lang w:val="en-HK"/>
        </w:rPr>
        <w:t xml:space="preserve"> Perspective</w:t>
      </w:r>
      <w:r w:rsidRPr="00864E69">
        <w:rPr>
          <w:rFonts w:ascii="Times New Roman" w:hAnsi="Times New Roman"/>
          <w:lang w:val="en-HK"/>
        </w:rPr>
        <w:t>:</w:t>
      </w:r>
    </w:p>
    <w:p w14:paraId="123F349B" w14:textId="77777777" w:rsidR="00864E69" w:rsidRPr="00864E69" w:rsidRDefault="00864E69" w:rsidP="009F3468">
      <w:pPr>
        <w:numPr>
          <w:ilvl w:val="1"/>
          <w:numId w:val="39"/>
        </w:numPr>
        <w:spacing w:before="100" w:beforeAutospacing="1" w:after="100" w:afterAutospacing="1" w:line="276" w:lineRule="auto"/>
        <w:rPr>
          <w:rFonts w:ascii="Times New Roman" w:hAnsi="Times New Roman"/>
          <w:b/>
          <w:bCs/>
          <w:lang w:val="en-HK"/>
        </w:rPr>
      </w:pPr>
      <w:proofErr w:type="spellStart"/>
      <w:r w:rsidRPr="00864E69">
        <w:rPr>
          <w:rFonts w:ascii="Times New Roman" w:hAnsi="Times New Roman"/>
          <w:lang w:val="en-HK"/>
        </w:rPr>
        <w:t>Weatherill</w:t>
      </w:r>
      <w:proofErr w:type="spellEnd"/>
      <w:r w:rsidRPr="00864E69">
        <w:rPr>
          <w:rFonts w:ascii="Times New Roman" w:hAnsi="Times New Roman"/>
          <w:lang w:val="en-HK"/>
        </w:rPr>
        <w:t xml:space="preserve"> argues that </w:t>
      </w:r>
      <w:r w:rsidRPr="00864E69">
        <w:rPr>
          <w:rFonts w:ascii="Times New Roman" w:hAnsi="Times New Roman"/>
          <w:b/>
          <w:bCs/>
          <w:lang w:val="en-HK"/>
        </w:rPr>
        <w:t>proportionality’s overuse risks creating a "super-constitutional" framework, where the Court substitutes its judgment for that of national legislators.</w:t>
      </w:r>
    </w:p>
    <w:p w14:paraId="1DD1D216" w14:textId="77777777" w:rsidR="00864E69" w:rsidRPr="00864E69" w:rsidRDefault="00864E69" w:rsidP="009F3468">
      <w:pPr>
        <w:numPr>
          <w:ilvl w:val="1"/>
          <w:numId w:val="39"/>
        </w:numPr>
        <w:spacing w:before="100" w:beforeAutospacing="1" w:after="100" w:afterAutospacing="1" w:line="276" w:lineRule="auto"/>
        <w:rPr>
          <w:rFonts w:ascii="Times New Roman" w:hAnsi="Times New Roman"/>
          <w:b/>
          <w:bCs/>
          <w:color w:val="FF0000"/>
          <w:lang w:val="en-HK"/>
        </w:rPr>
      </w:pPr>
      <w:r w:rsidRPr="00864E69">
        <w:rPr>
          <w:rFonts w:ascii="Times New Roman" w:hAnsi="Times New Roman"/>
          <w:lang w:val="en-HK"/>
        </w:rPr>
        <w:t>Quote: “</w:t>
      </w:r>
      <w:r w:rsidRPr="00864E69">
        <w:rPr>
          <w:rFonts w:ascii="Times New Roman" w:hAnsi="Times New Roman"/>
          <w:b/>
          <w:bCs/>
          <w:color w:val="FF0000"/>
          <w:lang w:val="en-HK"/>
        </w:rPr>
        <w:t>Proportionality becomes an invasive doctrine that destabilises the balance between integration and subsidiarity.”</w:t>
      </w:r>
    </w:p>
    <w:p w14:paraId="15755D2D" w14:textId="77777777" w:rsidR="00864E69" w:rsidRPr="00864E69" w:rsidRDefault="00864E69" w:rsidP="009F3468">
      <w:pPr>
        <w:numPr>
          <w:ilvl w:val="0"/>
          <w:numId w:val="39"/>
        </w:numPr>
        <w:spacing w:before="100" w:beforeAutospacing="1" w:after="100" w:afterAutospacing="1" w:line="276" w:lineRule="auto"/>
        <w:rPr>
          <w:rFonts w:ascii="Times New Roman" w:hAnsi="Times New Roman"/>
          <w:lang w:val="en-HK"/>
        </w:rPr>
      </w:pPr>
      <w:proofErr w:type="spellStart"/>
      <w:r w:rsidRPr="00864E69">
        <w:rPr>
          <w:rFonts w:ascii="Times New Roman" w:hAnsi="Times New Roman"/>
          <w:b/>
          <w:bCs/>
          <w:lang w:val="en-HK"/>
        </w:rPr>
        <w:t>Spaventa’s</w:t>
      </w:r>
      <w:proofErr w:type="spellEnd"/>
      <w:r w:rsidRPr="00864E69">
        <w:rPr>
          <w:rFonts w:ascii="Times New Roman" w:hAnsi="Times New Roman"/>
          <w:b/>
          <w:bCs/>
          <w:lang w:val="en-HK"/>
        </w:rPr>
        <w:t xml:space="preserve"> Warning</w:t>
      </w:r>
      <w:r w:rsidRPr="00864E69">
        <w:rPr>
          <w:rFonts w:ascii="Times New Roman" w:hAnsi="Times New Roman"/>
          <w:lang w:val="en-HK"/>
        </w:rPr>
        <w:t>:</w:t>
      </w:r>
    </w:p>
    <w:p w14:paraId="52845041" w14:textId="77777777" w:rsidR="00864E69" w:rsidRPr="00864E69" w:rsidRDefault="00864E69" w:rsidP="009F3468">
      <w:pPr>
        <w:numPr>
          <w:ilvl w:val="1"/>
          <w:numId w:val="39"/>
        </w:numPr>
        <w:spacing w:before="100" w:beforeAutospacing="1" w:after="100" w:afterAutospacing="1" w:line="276" w:lineRule="auto"/>
        <w:rPr>
          <w:rFonts w:ascii="Times New Roman" w:hAnsi="Times New Roman"/>
          <w:lang w:val="en-HK"/>
        </w:rPr>
      </w:pPr>
      <w:proofErr w:type="spellStart"/>
      <w:r w:rsidRPr="00864E69">
        <w:rPr>
          <w:rFonts w:ascii="Times New Roman" w:hAnsi="Times New Roman"/>
          <w:lang w:val="en-HK"/>
        </w:rPr>
        <w:t>Spaventa</w:t>
      </w:r>
      <w:proofErr w:type="spellEnd"/>
      <w:r w:rsidRPr="00864E69">
        <w:rPr>
          <w:rFonts w:ascii="Times New Roman" w:hAnsi="Times New Roman"/>
          <w:lang w:val="en-HK"/>
        </w:rPr>
        <w:t xml:space="preserve"> highlights that the centralisation of proportionality could lead to judicial overreach, particularly in sensitive areas like public health or cultural policy.</w:t>
      </w:r>
    </w:p>
    <w:p w14:paraId="39079D56" w14:textId="77777777" w:rsidR="00864E69" w:rsidRPr="00864E69" w:rsidRDefault="00864E69" w:rsidP="009F3468">
      <w:pPr>
        <w:numPr>
          <w:ilvl w:val="1"/>
          <w:numId w:val="39"/>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Quote: “Proportionality must be applied with caution to avoid undermining the legitimacy of EU law.”</w:t>
      </w:r>
    </w:p>
    <w:p w14:paraId="742BD045" w14:textId="77777777" w:rsidR="00864E69" w:rsidRPr="00864E69"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29816838">
          <v:rect id="_x0000_i1034" alt="" style="width:451.3pt;height:.05pt;mso-width-percent:0;mso-height-percent:0;mso-width-percent:0;mso-height-percent:0" o:hralign="center" o:hrstd="t" o:hr="t" fillcolor="#a0a0a0" stroked="f"/>
        </w:pict>
      </w:r>
    </w:p>
    <w:p w14:paraId="4FE1D3B6" w14:textId="77777777"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t>Proposals for Reform</w:t>
      </w:r>
    </w:p>
    <w:p w14:paraId="2583D57F" w14:textId="77777777" w:rsidR="00864E69" w:rsidRPr="00864E69" w:rsidRDefault="00864E69" w:rsidP="009F3468">
      <w:pPr>
        <w:numPr>
          <w:ilvl w:val="0"/>
          <w:numId w:val="40"/>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Restoring the Four-Pillar Framework</w:t>
      </w:r>
      <w:r w:rsidRPr="00864E69">
        <w:rPr>
          <w:rFonts w:ascii="Times New Roman" w:hAnsi="Times New Roman"/>
          <w:lang w:val="en-HK"/>
        </w:rPr>
        <w:t>:</w:t>
      </w:r>
    </w:p>
    <w:p w14:paraId="4DA21D96" w14:textId="77777777" w:rsidR="00864E69" w:rsidRPr="00864E69" w:rsidRDefault="00864E69" w:rsidP="009F3468">
      <w:pPr>
        <w:numPr>
          <w:ilvl w:val="1"/>
          <w:numId w:val="40"/>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Van Leeuwen suggests that the CJEU should return to the traditional step-by-step approach, where </w:t>
      </w:r>
      <w:r w:rsidRPr="00864E69">
        <w:rPr>
          <w:rFonts w:ascii="Times New Roman" w:hAnsi="Times New Roman"/>
          <w:b/>
          <w:bCs/>
          <w:color w:val="FF0000"/>
          <w:highlight w:val="yellow"/>
          <w:lang w:val="en-HK"/>
        </w:rPr>
        <w:t>proportionality is confined to the justification stage.</w:t>
      </w:r>
    </w:p>
    <w:p w14:paraId="5F55E306" w14:textId="77777777" w:rsidR="00864E69" w:rsidRPr="00864E69" w:rsidRDefault="00864E69" w:rsidP="009F3468">
      <w:pPr>
        <w:numPr>
          <w:ilvl w:val="1"/>
          <w:numId w:val="40"/>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This would ensure greater clarity and respect for Member State autonomy.</w:t>
      </w:r>
    </w:p>
    <w:p w14:paraId="7CF34DB8" w14:textId="77777777" w:rsidR="00864E69" w:rsidRPr="00864E69" w:rsidRDefault="00864E69" w:rsidP="009F3468">
      <w:pPr>
        <w:numPr>
          <w:ilvl w:val="0"/>
          <w:numId w:val="40"/>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Clarifying Proportionality’s Role</w:t>
      </w:r>
      <w:r w:rsidRPr="00864E69">
        <w:rPr>
          <w:rFonts w:ascii="Times New Roman" w:hAnsi="Times New Roman"/>
          <w:lang w:val="en-HK"/>
        </w:rPr>
        <w:t>:</w:t>
      </w:r>
    </w:p>
    <w:p w14:paraId="1CF9854E" w14:textId="77777777" w:rsidR="00864E69" w:rsidRPr="00864E69" w:rsidRDefault="00864E69" w:rsidP="009F3468">
      <w:pPr>
        <w:numPr>
          <w:ilvl w:val="1"/>
          <w:numId w:val="40"/>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Court should establish clear criteria for applying proportionality, reducing legal uncertainty and enhancing predictability for businesses and governments.</w:t>
      </w:r>
    </w:p>
    <w:p w14:paraId="2B7BC5BF" w14:textId="77777777" w:rsidR="00864E69" w:rsidRPr="00864E69"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00C9ADC4">
          <v:rect id="_x0000_i1033" alt="" style="width:451.3pt;height:.05pt;mso-width-percent:0;mso-height-percent:0;mso-width-percent:0;mso-height-percent:0" o:hralign="center" o:hrstd="t" o:hr="t" fillcolor="#a0a0a0" stroked="f"/>
        </w:pict>
      </w:r>
    </w:p>
    <w:p w14:paraId="465E0402" w14:textId="77777777"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t>Conclusion of Section IV</w:t>
      </w:r>
    </w:p>
    <w:p w14:paraId="1FCC8F7A" w14:textId="77777777" w:rsidR="00864E69" w:rsidRPr="00864E69" w:rsidRDefault="00864E69" w:rsidP="009F3468">
      <w:pPr>
        <w:numPr>
          <w:ilvl w:val="0"/>
          <w:numId w:val="41"/>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The centralisation of proportionality has fundamentally reshaped free movement law, prioritising flexibility and </w:t>
      </w:r>
      <w:proofErr w:type="spellStart"/>
      <w:r w:rsidRPr="00864E69">
        <w:rPr>
          <w:rFonts w:ascii="Times New Roman" w:hAnsi="Times New Roman"/>
          <w:b/>
          <w:bCs/>
          <w:lang w:val="en-HK"/>
        </w:rPr>
        <w:t>effet</w:t>
      </w:r>
      <w:proofErr w:type="spellEnd"/>
      <w:r w:rsidRPr="00864E69">
        <w:rPr>
          <w:rFonts w:ascii="Times New Roman" w:hAnsi="Times New Roman"/>
          <w:b/>
          <w:bCs/>
          <w:lang w:val="en-HK"/>
        </w:rPr>
        <w:t xml:space="preserve"> utile</w:t>
      </w:r>
      <w:r w:rsidRPr="00864E69">
        <w:rPr>
          <w:rFonts w:ascii="Times New Roman" w:hAnsi="Times New Roman"/>
          <w:lang w:val="en-HK"/>
        </w:rPr>
        <w:t xml:space="preserve"> over doctrinal coherence.</w:t>
      </w:r>
    </w:p>
    <w:p w14:paraId="05A9117E" w14:textId="77777777" w:rsidR="00864E69" w:rsidRPr="00864E69" w:rsidRDefault="00864E69" w:rsidP="009F3468">
      <w:pPr>
        <w:numPr>
          <w:ilvl w:val="0"/>
          <w:numId w:val="41"/>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While proportionality enables the CJEU to balance diverse interests in complex cases, its overuse undermines legal certainty, Member State autonomy, and the structural integrity of free movement law.</w:t>
      </w:r>
    </w:p>
    <w:p w14:paraId="4210BDE7" w14:textId="77777777" w:rsidR="00864E69" w:rsidRPr="00864E69" w:rsidRDefault="00864E69" w:rsidP="009F3468">
      <w:pPr>
        <w:numPr>
          <w:ilvl w:val="0"/>
          <w:numId w:val="41"/>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Van Leeuwen argues that the Court must strike a balance between maintaining proportionality as a valuable tool and preserving the distinct analytical stages of free movement law.</w:t>
      </w:r>
    </w:p>
    <w:p w14:paraId="17522A6D" w14:textId="77777777" w:rsidR="00864E69" w:rsidRPr="00864E69"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13C13A68">
          <v:rect id="_x0000_i1032" alt="" style="width:451.3pt;height:.05pt;mso-width-percent:0;mso-height-percent:0;mso-width-percent:0;mso-height-percent:0" o:hralign="center" o:hrstd="t" o:hr="t" fillcolor="#a0a0a0" stroked="f"/>
        </w:pict>
      </w:r>
    </w:p>
    <w:p w14:paraId="777B3257" w14:textId="77777777"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lastRenderedPageBreak/>
        <w:t>V. Conclusion</w:t>
      </w:r>
    </w:p>
    <w:p w14:paraId="4C47317C"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Overview</w:t>
      </w:r>
    </w:p>
    <w:p w14:paraId="624241E1" w14:textId="77777777" w:rsidR="00864E69" w:rsidRPr="00864E69" w:rsidRDefault="00864E69" w:rsidP="009F3468">
      <w:pPr>
        <w:numPr>
          <w:ilvl w:val="0"/>
          <w:numId w:val="42"/>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In the conclusion, Van Leeuwen synthesises the key arguments made throughout the article, focusing on how the </w:t>
      </w:r>
      <w:r w:rsidRPr="00864E69">
        <w:rPr>
          <w:rFonts w:ascii="Times New Roman" w:hAnsi="Times New Roman"/>
          <w:b/>
          <w:bCs/>
          <w:lang w:val="en-HK"/>
        </w:rPr>
        <w:t>centralisation of proportionality</w:t>
      </w:r>
      <w:r w:rsidRPr="00864E69">
        <w:rPr>
          <w:rFonts w:ascii="Times New Roman" w:hAnsi="Times New Roman"/>
          <w:lang w:val="en-HK"/>
        </w:rPr>
        <w:t xml:space="preserve"> has transformed free movement law.</w:t>
      </w:r>
    </w:p>
    <w:p w14:paraId="22E63ACB" w14:textId="77777777" w:rsidR="00864E69" w:rsidRPr="00864E69" w:rsidRDefault="00864E69" w:rsidP="009F3468">
      <w:pPr>
        <w:numPr>
          <w:ilvl w:val="0"/>
          <w:numId w:val="42"/>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He critiques this development for undermining the traditional four-pillar structure (scope, direct effect, restriction, justification), and argues that it has created doctrinal ambiguities and legal uncertainty.</w:t>
      </w:r>
    </w:p>
    <w:p w14:paraId="756A405B" w14:textId="77777777" w:rsidR="00864E69" w:rsidRPr="00864E69" w:rsidRDefault="00864E69" w:rsidP="009F3468">
      <w:pPr>
        <w:numPr>
          <w:ilvl w:val="0"/>
          <w:numId w:val="42"/>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article ends with a call for a rebalancing of the legal framework to restore clarity and coherence.</w:t>
      </w:r>
    </w:p>
    <w:p w14:paraId="0833CF42" w14:textId="77777777" w:rsidR="00864E69" w:rsidRPr="00864E69"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637E24CE">
          <v:rect id="_x0000_i1031" alt="" style="width:451.3pt;height:.05pt;mso-width-percent:0;mso-height-percent:0;mso-width-percent:0;mso-height-percent:0" o:hralign="center" o:hrstd="t" o:hr="t" fillcolor="#a0a0a0" stroked="f"/>
        </w:pict>
      </w:r>
    </w:p>
    <w:p w14:paraId="46A2D58B" w14:textId="77777777"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t>1. Summary of the Central Problem</w:t>
      </w:r>
    </w:p>
    <w:p w14:paraId="6FE702AB" w14:textId="77777777" w:rsidR="00864E69" w:rsidRPr="00864E69" w:rsidRDefault="00864E69" w:rsidP="009F3468">
      <w:pPr>
        <w:numPr>
          <w:ilvl w:val="0"/>
          <w:numId w:val="43"/>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Proportionality’s Dominance</w:t>
      </w:r>
      <w:r w:rsidRPr="00864E69">
        <w:rPr>
          <w:rFonts w:ascii="Times New Roman" w:hAnsi="Times New Roman"/>
          <w:lang w:val="en-HK"/>
        </w:rPr>
        <w:t>:</w:t>
      </w:r>
    </w:p>
    <w:p w14:paraId="0C5E5DC6" w14:textId="77777777" w:rsidR="00864E69" w:rsidRPr="00864E69" w:rsidRDefault="00864E69" w:rsidP="009F3468">
      <w:pPr>
        <w:numPr>
          <w:ilvl w:val="1"/>
          <w:numId w:val="43"/>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Proportionality, originally confined to the justification stage, has become the dominant analytical tool in free movement law.</w:t>
      </w:r>
    </w:p>
    <w:p w14:paraId="1B402DF4" w14:textId="77777777" w:rsidR="00864E69" w:rsidRPr="00864E69" w:rsidRDefault="00864E69" w:rsidP="009F3468">
      <w:pPr>
        <w:numPr>
          <w:ilvl w:val="1"/>
          <w:numId w:val="43"/>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It now permeates all stages, including scope and restriction, effectively merging the distinct pillars into a single proportionality-driven framework.</w:t>
      </w:r>
    </w:p>
    <w:p w14:paraId="082FA5E3" w14:textId="77777777" w:rsidR="00864E69" w:rsidRPr="00864E69" w:rsidRDefault="00864E69" w:rsidP="009F3468">
      <w:pPr>
        <w:numPr>
          <w:ilvl w:val="0"/>
          <w:numId w:val="43"/>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Impact on Doctrinal Coherence</w:t>
      </w:r>
      <w:r w:rsidRPr="00864E69">
        <w:rPr>
          <w:rFonts w:ascii="Times New Roman" w:hAnsi="Times New Roman"/>
          <w:lang w:val="en-HK"/>
        </w:rPr>
        <w:t>:</w:t>
      </w:r>
    </w:p>
    <w:p w14:paraId="26FBAA71" w14:textId="77777777" w:rsidR="00864E69" w:rsidRPr="00864E69" w:rsidRDefault="00864E69" w:rsidP="009F3468">
      <w:pPr>
        <w:numPr>
          <w:ilvl w:val="1"/>
          <w:numId w:val="43"/>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This centralisation has eroded the traditional step-by-step structure, where each stage had a distinct function.</w:t>
      </w:r>
    </w:p>
    <w:p w14:paraId="1FC674A3" w14:textId="77777777" w:rsidR="00864E69" w:rsidRPr="00864E69" w:rsidRDefault="00864E69" w:rsidP="009F3468">
      <w:pPr>
        <w:numPr>
          <w:ilvl w:val="1"/>
          <w:numId w:val="43"/>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For example, in </w:t>
      </w:r>
      <w:proofErr w:type="spellStart"/>
      <w:r w:rsidRPr="00864E69">
        <w:rPr>
          <w:rFonts w:ascii="Times New Roman" w:hAnsi="Times New Roman"/>
          <w:b/>
          <w:bCs/>
          <w:lang w:val="en-HK"/>
        </w:rPr>
        <w:t>PreussenElektra</w:t>
      </w:r>
      <w:proofErr w:type="spellEnd"/>
      <w:r w:rsidRPr="00864E69">
        <w:rPr>
          <w:rFonts w:ascii="Times New Roman" w:hAnsi="Times New Roman"/>
          <w:b/>
          <w:bCs/>
          <w:lang w:val="en-HK"/>
        </w:rPr>
        <w:t xml:space="preserve"> (Case C-379/98)</w:t>
      </w:r>
      <w:r w:rsidRPr="00864E69">
        <w:rPr>
          <w:rFonts w:ascii="Times New Roman" w:hAnsi="Times New Roman"/>
          <w:lang w:val="en-HK"/>
        </w:rPr>
        <w:t>, the Court bypassed the restriction analysis and focused directly on proportionality to uphold Germany’s renewable energy policy.</w:t>
      </w:r>
    </w:p>
    <w:p w14:paraId="1B7564EA" w14:textId="77777777" w:rsidR="00864E69" w:rsidRPr="00864E69" w:rsidRDefault="00864E69" w:rsidP="009F3468">
      <w:pPr>
        <w:numPr>
          <w:ilvl w:val="0"/>
          <w:numId w:val="43"/>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Blurred Boundaries</w:t>
      </w:r>
      <w:r w:rsidRPr="00864E69">
        <w:rPr>
          <w:rFonts w:ascii="Times New Roman" w:hAnsi="Times New Roman"/>
          <w:lang w:val="en-HK"/>
        </w:rPr>
        <w:t>:</w:t>
      </w:r>
    </w:p>
    <w:p w14:paraId="01AD145E" w14:textId="77777777" w:rsidR="00864E69" w:rsidRPr="00864E69" w:rsidRDefault="00864E69" w:rsidP="009F3468">
      <w:pPr>
        <w:numPr>
          <w:ilvl w:val="1"/>
          <w:numId w:val="43"/>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interaction between pillars—particularly restriction and justification—has led to inconsistent outcomes and overlapping tests.</w:t>
      </w:r>
    </w:p>
    <w:p w14:paraId="67F305D4" w14:textId="77777777" w:rsidR="00864E69" w:rsidRPr="00864E69" w:rsidRDefault="00864E69" w:rsidP="009F3468">
      <w:pPr>
        <w:numPr>
          <w:ilvl w:val="1"/>
          <w:numId w:val="43"/>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Example: </w:t>
      </w:r>
      <w:r w:rsidRPr="00864E69">
        <w:rPr>
          <w:rFonts w:ascii="Times New Roman" w:hAnsi="Times New Roman"/>
          <w:b/>
          <w:bCs/>
          <w:lang w:val="en-HK"/>
        </w:rPr>
        <w:t>Scotch Whisky Association v Lord Advocate (Case C-333/14)</w:t>
      </w:r>
      <w:r w:rsidRPr="00864E69">
        <w:rPr>
          <w:rFonts w:ascii="Times New Roman" w:hAnsi="Times New Roman"/>
          <w:lang w:val="en-HK"/>
        </w:rPr>
        <w:t>, where the Court used proportionality to justify minimum alcohol pricing without clearly delineating the restriction and justification stages.</w:t>
      </w:r>
    </w:p>
    <w:p w14:paraId="7133923F" w14:textId="77777777" w:rsidR="00864E69" w:rsidRPr="00864E69"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2004B1B4">
          <v:rect id="_x0000_i1030" alt="" style="width:451.3pt;height:.05pt;mso-width-percent:0;mso-height-percent:0;mso-width-percent:0;mso-height-percent:0" o:hralign="center" o:hrstd="t" o:hr="t" fillcolor="#a0a0a0" stroked="f"/>
        </w:pict>
      </w:r>
    </w:p>
    <w:p w14:paraId="627E71DF" w14:textId="77777777"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t>2. Consequences of Proportionality’s Centralisation</w:t>
      </w:r>
    </w:p>
    <w:p w14:paraId="27E362F0"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1. Legal Uncertainty</w:t>
      </w:r>
    </w:p>
    <w:p w14:paraId="59574C61" w14:textId="77777777" w:rsidR="00864E69" w:rsidRPr="00864E69" w:rsidRDefault="00864E69" w:rsidP="009F3468">
      <w:pPr>
        <w:numPr>
          <w:ilvl w:val="0"/>
          <w:numId w:val="44"/>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dominance of proportionality creates unpredictability for Member States and businesses.</w:t>
      </w:r>
    </w:p>
    <w:p w14:paraId="051A121D" w14:textId="77777777" w:rsidR="00864E69" w:rsidRPr="00864E69" w:rsidRDefault="00864E69" w:rsidP="009F3468">
      <w:pPr>
        <w:numPr>
          <w:ilvl w:val="0"/>
          <w:numId w:val="44"/>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Case-by-Case Balancing</w:t>
      </w:r>
      <w:r w:rsidRPr="00864E69">
        <w:rPr>
          <w:rFonts w:ascii="Times New Roman" w:hAnsi="Times New Roman"/>
          <w:lang w:val="en-HK"/>
        </w:rPr>
        <w:t>:</w:t>
      </w:r>
    </w:p>
    <w:p w14:paraId="54359316" w14:textId="77777777" w:rsidR="00864E69" w:rsidRPr="00864E69" w:rsidRDefault="00864E69" w:rsidP="009F3468">
      <w:pPr>
        <w:numPr>
          <w:ilvl w:val="1"/>
          <w:numId w:val="44"/>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lastRenderedPageBreak/>
        <w:t>Proportionality requires the Court to balance economic integration against public interest on a case-by-case basis, leading to subjective and inconsistent outcomes.</w:t>
      </w:r>
    </w:p>
    <w:p w14:paraId="2658A7CF" w14:textId="77777777" w:rsidR="00864E69" w:rsidRPr="00864E69" w:rsidRDefault="00864E69" w:rsidP="009F3468">
      <w:pPr>
        <w:numPr>
          <w:ilvl w:val="1"/>
          <w:numId w:val="44"/>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Example: In </w:t>
      </w:r>
      <w:proofErr w:type="spellStart"/>
      <w:r w:rsidRPr="00864E69">
        <w:rPr>
          <w:rFonts w:ascii="Times New Roman" w:hAnsi="Times New Roman"/>
          <w:b/>
          <w:bCs/>
          <w:lang w:val="en-HK"/>
        </w:rPr>
        <w:t>Schmidberger</w:t>
      </w:r>
      <w:proofErr w:type="spellEnd"/>
      <w:r w:rsidRPr="00864E69">
        <w:rPr>
          <w:rFonts w:ascii="Times New Roman" w:hAnsi="Times New Roman"/>
          <w:b/>
          <w:bCs/>
          <w:lang w:val="en-HK"/>
        </w:rPr>
        <w:t xml:space="preserve"> (Case C-112/00)</w:t>
      </w:r>
      <w:r w:rsidRPr="00864E69">
        <w:rPr>
          <w:rFonts w:ascii="Times New Roman" w:hAnsi="Times New Roman"/>
          <w:lang w:val="en-HK"/>
        </w:rPr>
        <w:t>, the Court upheld Austria’s decision to allow a roadblock protest based on proportionality, while in other cases, less intrusive measures have been struck down.</w:t>
      </w:r>
    </w:p>
    <w:p w14:paraId="322A6A7F"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2. Member State Autonomy</w:t>
      </w:r>
    </w:p>
    <w:p w14:paraId="204449C1" w14:textId="77777777" w:rsidR="00864E69" w:rsidRPr="00864E69" w:rsidRDefault="00864E69" w:rsidP="009F3468">
      <w:pPr>
        <w:numPr>
          <w:ilvl w:val="0"/>
          <w:numId w:val="45"/>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broad application of proportionality allows the Court to scrutinise virtually all national measures, undermining the subsidiarity principle (Article 5(3) TEU).</w:t>
      </w:r>
    </w:p>
    <w:p w14:paraId="76CE2CC1" w14:textId="77777777" w:rsidR="00864E69" w:rsidRPr="00864E69" w:rsidRDefault="00864E69" w:rsidP="009F3468">
      <w:pPr>
        <w:numPr>
          <w:ilvl w:val="0"/>
          <w:numId w:val="45"/>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Judicial Overreach</w:t>
      </w:r>
      <w:r w:rsidRPr="00864E69">
        <w:rPr>
          <w:rFonts w:ascii="Times New Roman" w:hAnsi="Times New Roman"/>
          <w:lang w:val="en-HK"/>
        </w:rPr>
        <w:t>:</w:t>
      </w:r>
    </w:p>
    <w:p w14:paraId="5E97D86E" w14:textId="77777777" w:rsidR="00864E69" w:rsidRPr="00864E69" w:rsidRDefault="00864E69" w:rsidP="009F3468">
      <w:pPr>
        <w:numPr>
          <w:ilvl w:val="1"/>
          <w:numId w:val="45"/>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Van Leeuwen argues that the Court’s expansive use of proportionality reflects a shift towards judicial policymaking, reducing Member States’ discretion in areas such as public health, environmental protection, and cultural policy.</w:t>
      </w:r>
    </w:p>
    <w:p w14:paraId="0256D898" w14:textId="77777777" w:rsidR="00864E69" w:rsidRPr="00864E69" w:rsidRDefault="00864E69" w:rsidP="009F3468">
      <w:pPr>
        <w:numPr>
          <w:ilvl w:val="1"/>
          <w:numId w:val="45"/>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 xml:space="preserve">Example: In </w:t>
      </w:r>
      <w:r w:rsidRPr="00864E69">
        <w:rPr>
          <w:rFonts w:ascii="Times New Roman" w:hAnsi="Times New Roman"/>
          <w:b/>
          <w:bCs/>
          <w:lang w:val="en-HK"/>
        </w:rPr>
        <w:t xml:space="preserve">Omega </w:t>
      </w:r>
      <w:proofErr w:type="spellStart"/>
      <w:r w:rsidRPr="00864E69">
        <w:rPr>
          <w:rFonts w:ascii="Times New Roman" w:hAnsi="Times New Roman"/>
          <w:b/>
          <w:bCs/>
          <w:lang w:val="en-HK"/>
        </w:rPr>
        <w:t>Spielhallen</w:t>
      </w:r>
      <w:proofErr w:type="spellEnd"/>
      <w:r w:rsidRPr="00864E69">
        <w:rPr>
          <w:rFonts w:ascii="Times New Roman" w:hAnsi="Times New Roman"/>
          <w:b/>
          <w:bCs/>
          <w:lang w:val="en-HK"/>
        </w:rPr>
        <w:t xml:space="preserve"> (Case C-36/02)</w:t>
      </w:r>
      <w:r w:rsidRPr="00864E69">
        <w:rPr>
          <w:rFonts w:ascii="Times New Roman" w:hAnsi="Times New Roman"/>
          <w:lang w:val="en-HK"/>
        </w:rPr>
        <w:t>, the Court upheld Germany’s ban on “laser tag” games as proportionate to the protection of human dignity, effectively prioritising EU law over national constitutional values.</w:t>
      </w:r>
    </w:p>
    <w:p w14:paraId="58BFF085"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3. Erosion of the Four-Pillar Framework</w:t>
      </w:r>
    </w:p>
    <w:p w14:paraId="567B0C16" w14:textId="77777777" w:rsidR="00864E69" w:rsidRPr="00864E69" w:rsidRDefault="00864E69" w:rsidP="009F3468">
      <w:pPr>
        <w:numPr>
          <w:ilvl w:val="0"/>
          <w:numId w:val="46"/>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merging of the four pillars into a single proportionality analysis undermines the clarity and logic of free movement law.</w:t>
      </w:r>
    </w:p>
    <w:p w14:paraId="498B9CCE" w14:textId="77777777" w:rsidR="00864E69" w:rsidRPr="00864E69" w:rsidRDefault="00864E69" w:rsidP="009F3468">
      <w:pPr>
        <w:numPr>
          <w:ilvl w:val="0"/>
          <w:numId w:val="46"/>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Loss of Distinct Roles</w:t>
      </w:r>
      <w:r w:rsidRPr="00864E69">
        <w:rPr>
          <w:rFonts w:ascii="Times New Roman" w:hAnsi="Times New Roman"/>
          <w:lang w:val="en-HK"/>
        </w:rPr>
        <w:t>:</w:t>
      </w:r>
    </w:p>
    <w:p w14:paraId="0C0B6B7F" w14:textId="77777777" w:rsidR="00864E69" w:rsidRPr="00864E69" w:rsidRDefault="00864E69" w:rsidP="009F3468">
      <w:pPr>
        <w:numPr>
          <w:ilvl w:val="1"/>
          <w:numId w:val="46"/>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Each pillar (scope, direct effect, restriction, justification) historically served a specific purpose, ensuring logical and predictable reasoning.</w:t>
      </w:r>
    </w:p>
    <w:p w14:paraId="2D27A6C1" w14:textId="77777777" w:rsidR="00864E69" w:rsidRPr="00864E69" w:rsidRDefault="00864E69" w:rsidP="009F3468">
      <w:pPr>
        <w:numPr>
          <w:ilvl w:val="1"/>
          <w:numId w:val="46"/>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By focusing on proportionality, the Court risks ignoring the foundational principles that underpin the internal market.</w:t>
      </w:r>
    </w:p>
    <w:p w14:paraId="6534F5C1" w14:textId="77777777" w:rsidR="00864E69" w:rsidRPr="00864E69"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05F86CC6">
          <v:rect id="_x0000_i1029" alt="" style="width:451.3pt;height:.05pt;mso-width-percent:0;mso-height-percent:0;mso-width-percent:0;mso-height-percent:0" o:hralign="center" o:hrstd="t" o:hr="t" fillcolor="#a0a0a0" stroked="f"/>
        </w:pict>
      </w:r>
    </w:p>
    <w:p w14:paraId="3BC4DD6E" w14:textId="77777777"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t>3. Recommendations for Reform</w:t>
      </w:r>
    </w:p>
    <w:p w14:paraId="0A6FA985"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Restoration of the Traditional Structure</w:t>
      </w:r>
    </w:p>
    <w:p w14:paraId="78C6FDA6" w14:textId="77777777" w:rsidR="00864E69" w:rsidRPr="00864E69" w:rsidRDefault="00864E69" w:rsidP="009F3468">
      <w:pPr>
        <w:numPr>
          <w:ilvl w:val="0"/>
          <w:numId w:val="47"/>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Van Leeuwen advocates for a return to the traditional four-pillar framework, with each stage playing a distinct role:</w:t>
      </w:r>
    </w:p>
    <w:p w14:paraId="04FDBB33" w14:textId="77777777" w:rsidR="00864E69" w:rsidRPr="00864E69" w:rsidRDefault="00864E69" w:rsidP="009F3468">
      <w:pPr>
        <w:numPr>
          <w:ilvl w:val="1"/>
          <w:numId w:val="47"/>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Scope</w:t>
      </w:r>
      <w:r w:rsidRPr="00864E69">
        <w:rPr>
          <w:rFonts w:ascii="Times New Roman" w:hAnsi="Times New Roman"/>
          <w:lang w:val="en-HK"/>
        </w:rPr>
        <w:t>: Clearly define the cross-border element required for EU law to apply.</w:t>
      </w:r>
    </w:p>
    <w:p w14:paraId="15034A9A" w14:textId="77777777" w:rsidR="00864E69" w:rsidRPr="00864E69" w:rsidRDefault="00864E69" w:rsidP="009F3468">
      <w:pPr>
        <w:numPr>
          <w:ilvl w:val="1"/>
          <w:numId w:val="47"/>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Direct Effect</w:t>
      </w:r>
      <w:r w:rsidRPr="00864E69">
        <w:rPr>
          <w:rFonts w:ascii="Times New Roman" w:hAnsi="Times New Roman"/>
          <w:lang w:val="en-HK"/>
        </w:rPr>
        <w:t>: Maintain a clear distinction between vertical and horizontal direct effect, ensuring consistency in the application of free movement provisions.</w:t>
      </w:r>
    </w:p>
    <w:p w14:paraId="3A51BCD4" w14:textId="77777777" w:rsidR="00864E69" w:rsidRPr="00864E69" w:rsidRDefault="00864E69" w:rsidP="009F3468">
      <w:pPr>
        <w:numPr>
          <w:ilvl w:val="1"/>
          <w:numId w:val="47"/>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Restriction</w:t>
      </w:r>
      <w:r w:rsidRPr="00864E69">
        <w:rPr>
          <w:rFonts w:ascii="Times New Roman" w:hAnsi="Times New Roman"/>
          <w:lang w:val="en-HK"/>
        </w:rPr>
        <w:t>: Focus on whether the measure constitutes a genuine obstacle to free movement, without conflating this analysis with justification.</w:t>
      </w:r>
    </w:p>
    <w:p w14:paraId="6CC5E469" w14:textId="77777777" w:rsidR="00864E69" w:rsidRPr="00864E69" w:rsidRDefault="00864E69" w:rsidP="009F3468">
      <w:pPr>
        <w:numPr>
          <w:ilvl w:val="1"/>
          <w:numId w:val="47"/>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lastRenderedPageBreak/>
        <w:t>Justification</w:t>
      </w:r>
      <w:r w:rsidRPr="00864E69">
        <w:rPr>
          <w:rFonts w:ascii="Times New Roman" w:hAnsi="Times New Roman"/>
          <w:lang w:val="en-HK"/>
        </w:rPr>
        <w:t>: Confine proportionality to the justification stage, assessing whether the restriction serves a legitimate public interest and is proportionate.</w:t>
      </w:r>
    </w:p>
    <w:p w14:paraId="7ED87059"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Clarification of Proportionality’s Role</w:t>
      </w:r>
    </w:p>
    <w:p w14:paraId="505B0F3A" w14:textId="77777777" w:rsidR="00864E69" w:rsidRPr="00864E69" w:rsidRDefault="00864E69" w:rsidP="009F3468">
      <w:pPr>
        <w:numPr>
          <w:ilvl w:val="0"/>
          <w:numId w:val="48"/>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While proportionality remains a valuable tool, its use should be limited to the justification stage to prevent it from overshadowing other elements of free movement law.</w:t>
      </w:r>
    </w:p>
    <w:p w14:paraId="5063F884" w14:textId="77777777" w:rsidR="00864E69" w:rsidRPr="00864E69" w:rsidRDefault="00864E69" w:rsidP="009F3468">
      <w:pPr>
        <w:numPr>
          <w:ilvl w:val="0"/>
          <w:numId w:val="48"/>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Clear Criteria for Proportionality</w:t>
      </w:r>
      <w:r w:rsidRPr="00864E69">
        <w:rPr>
          <w:rFonts w:ascii="Times New Roman" w:hAnsi="Times New Roman"/>
          <w:lang w:val="en-HK"/>
        </w:rPr>
        <w:t>:</w:t>
      </w:r>
    </w:p>
    <w:p w14:paraId="2641AEA1" w14:textId="77777777" w:rsidR="00864E69" w:rsidRPr="00864E69" w:rsidRDefault="00864E69" w:rsidP="009F3468">
      <w:pPr>
        <w:numPr>
          <w:ilvl w:val="1"/>
          <w:numId w:val="48"/>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Court should establish objective criteria for applying proportionality, reducing the scope for judicial discretion and enhancing legal certainty.</w:t>
      </w:r>
    </w:p>
    <w:p w14:paraId="40D525B0" w14:textId="77777777" w:rsidR="00864E69" w:rsidRPr="00864E69"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36C86B3B">
          <v:rect id="_x0000_i1028" alt="" style="width:451.3pt;height:.05pt;mso-width-percent:0;mso-height-percent:0;mso-width-percent:0;mso-height-percent:0" o:hralign="center" o:hrstd="t" o:hr="t" fillcolor="#a0a0a0" stroked="f"/>
        </w:pict>
      </w:r>
    </w:p>
    <w:p w14:paraId="4C13AA8D" w14:textId="77777777"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t>4. Final Reflections</w:t>
      </w:r>
    </w:p>
    <w:p w14:paraId="2982C65B"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Balance Between Integration and Autonomy</w:t>
      </w:r>
    </w:p>
    <w:p w14:paraId="19005073" w14:textId="77777777" w:rsidR="00864E69" w:rsidRPr="00864E69" w:rsidRDefault="00864E69" w:rsidP="009F3468">
      <w:pPr>
        <w:numPr>
          <w:ilvl w:val="0"/>
          <w:numId w:val="49"/>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Van Leeuwen highlights the need to balance the EU’s objective of market integration with respect for Member State autonomy.</w:t>
      </w:r>
    </w:p>
    <w:p w14:paraId="3C1B18E1" w14:textId="77777777" w:rsidR="00864E69" w:rsidRPr="00864E69" w:rsidRDefault="00864E69" w:rsidP="009F3468">
      <w:pPr>
        <w:numPr>
          <w:ilvl w:val="0"/>
          <w:numId w:val="49"/>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Preserving Subsidiarity</w:t>
      </w:r>
      <w:r w:rsidRPr="00864E69">
        <w:rPr>
          <w:rFonts w:ascii="Times New Roman" w:hAnsi="Times New Roman"/>
          <w:lang w:val="en-HK"/>
        </w:rPr>
        <w:t>:</w:t>
      </w:r>
    </w:p>
    <w:p w14:paraId="7696460D" w14:textId="77777777" w:rsidR="00864E69" w:rsidRPr="00864E69" w:rsidRDefault="00864E69" w:rsidP="009F3468">
      <w:pPr>
        <w:numPr>
          <w:ilvl w:val="1"/>
          <w:numId w:val="49"/>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The subsidiarity principle must be reinforced to ensure that the EU does not overreach into areas of national competence.</w:t>
      </w:r>
    </w:p>
    <w:p w14:paraId="7E0A6A83" w14:textId="77777777" w:rsidR="00864E69" w:rsidRPr="00864E69" w:rsidRDefault="00864E69" w:rsidP="009F3468">
      <w:pPr>
        <w:numPr>
          <w:ilvl w:val="0"/>
          <w:numId w:val="49"/>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Proportionality as a Safeguard</w:t>
      </w:r>
      <w:r w:rsidRPr="00864E69">
        <w:rPr>
          <w:rFonts w:ascii="Times New Roman" w:hAnsi="Times New Roman"/>
          <w:lang w:val="en-HK"/>
        </w:rPr>
        <w:t>:</w:t>
      </w:r>
    </w:p>
    <w:p w14:paraId="70A5254A" w14:textId="77777777" w:rsidR="00864E69" w:rsidRPr="00864E69" w:rsidRDefault="00864E69" w:rsidP="009F3468">
      <w:pPr>
        <w:numPr>
          <w:ilvl w:val="1"/>
          <w:numId w:val="49"/>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Proportionality should be applied as a safeguard against excessive restrictions on free movement, rather than as an all-encompassing analytical tool.</w:t>
      </w:r>
    </w:p>
    <w:p w14:paraId="0A9471E9" w14:textId="77777777" w:rsidR="00864E69" w:rsidRPr="00864E69" w:rsidRDefault="00864E69" w:rsidP="009F3468">
      <w:pPr>
        <w:spacing w:before="100" w:beforeAutospacing="1" w:after="100" w:afterAutospacing="1" w:line="276" w:lineRule="auto"/>
        <w:outlineLvl w:val="3"/>
        <w:rPr>
          <w:rFonts w:ascii="Times New Roman" w:hAnsi="Times New Roman"/>
          <w:b/>
          <w:bCs/>
          <w:lang w:val="en-HK"/>
        </w:rPr>
      </w:pPr>
      <w:r w:rsidRPr="00864E69">
        <w:rPr>
          <w:rFonts w:ascii="Times New Roman" w:hAnsi="Times New Roman"/>
          <w:b/>
          <w:bCs/>
          <w:lang w:val="en-HK"/>
        </w:rPr>
        <w:t>CJEU’s Role</w:t>
      </w:r>
    </w:p>
    <w:p w14:paraId="7BE2AC04" w14:textId="77777777" w:rsidR="00864E69" w:rsidRPr="00864E69" w:rsidRDefault="00864E69" w:rsidP="009F3468">
      <w:pPr>
        <w:numPr>
          <w:ilvl w:val="0"/>
          <w:numId w:val="50"/>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Van Leeuwen calls on the CJEU to exercise restraint in its use of proportionality, recognising the limits of its judicial role and respecting the diversity of national policies and values.</w:t>
      </w:r>
    </w:p>
    <w:p w14:paraId="41EE1462" w14:textId="77777777" w:rsidR="00864E69" w:rsidRPr="00864E69"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371D5063">
          <v:rect id="_x0000_i1027" alt="" style="width:451.3pt;height:.05pt;mso-width-percent:0;mso-height-percent:0;mso-width-percent:0;mso-height-percent:0" o:hralign="center" o:hrstd="t" o:hr="t" fillcolor="#a0a0a0" stroked="f"/>
        </w:pict>
      </w:r>
    </w:p>
    <w:p w14:paraId="6590C1E6" w14:textId="77777777"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t>Key Takeaways</w:t>
      </w:r>
    </w:p>
    <w:p w14:paraId="7D6B8DA3" w14:textId="77777777" w:rsidR="00864E69" w:rsidRPr="00864E69" w:rsidRDefault="00864E69" w:rsidP="009F3468">
      <w:pPr>
        <w:numPr>
          <w:ilvl w:val="0"/>
          <w:numId w:val="51"/>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Proportionality’s Strengths and Weaknesses</w:t>
      </w:r>
      <w:r w:rsidRPr="00864E69">
        <w:rPr>
          <w:rFonts w:ascii="Times New Roman" w:hAnsi="Times New Roman"/>
          <w:lang w:val="en-HK"/>
        </w:rPr>
        <w:t>:</w:t>
      </w:r>
    </w:p>
    <w:p w14:paraId="22259470" w14:textId="77777777" w:rsidR="00864E69" w:rsidRPr="00864E69" w:rsidRDefault="00864E69" w:rsidP="009F3468">
      <w:pPr>
        <w:numPr>
          <w:ilvl w:val="1"/>
          <w:numId w:val="51"/>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While proportionality is essential for balancing competing interests, its centralisation undermines the coherence of free movement law.</w:t>
      </w:r>
    </w:p>
    <w:p w14:paraId="16BC47A9" w14:textId="77777777" w:rsidR="00864E69" w:rsidRPr="00864E69" w:rsidRDefault="00864E69" w:rsidP="009F3468">
      <w:pPr>
        <w:numPr>
          <w:ilvl w:val="0"/>
          <w:numId w:val="51"/>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Need for Clarity and Predictability</w:t>
      </w:r>
      <w:r w:rsidRPr="00864E69">
        <w:rPr>
          <w:rFonts w:ascii="Times New Roman" w:hAnsi="Times New Roman"/>
          <w:lang w:val="en-HK"/>
        </w:rPr>
        <w:t>:</w:t>
      </w:r>
    </w:p>
    <w:p w14:paraId="5015CFFF" w14:textId="77777777" w:rsidR="00864E69" w:rsidRPr="00864E69" w:rsidRDefault="00864E69" w:rsidP="009F3468">
      <w:pPr>
        <w:numPr>
          <w:ilvl w:val="1"/>
          <w:numId w:val="51"/>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Restoring the traditional structure of free movement law would enhance legal certainty and ensure that national measures are assessed systematically.</w:t>
      </w:r>
    </w:p>
    <w:p w14:paraId="6FD94CEA" w14:textId="77777777" w:rsidR="00864E69" w:rsidRPr="00864E69" w:rsidRDefault="00864E69" w:rsidP="009F3468">
      <w:pPr>
        <w:numPr>
          <w:ilvl w:val="0"/>
          <w:numId w:val="51"/>
        </w:numPr>
        <w:spacing w:before="100" w:beforeAutospacing="1" w:after="100" w:afterAutospacing="1" w:line="276" w:lineRule="auto"/>
        <w:rPr>
          <w:rFonts w:ascii="Times New Roman" w:hAnsi="Times New Roman"/>
          <w:lang w:val="en-HK"/>
        </w:rPr>
      </w:pPr>
      <w:r w:rsidRPr="00864E69">
        <w:rPr>
          <w:rFonts w:ascii="Times New Roman" w:hAnsi="Times New Roman"/>
          <w:b/>
          <w:bCs/>
          <w:lang w:val="en-HK"/>
        </w:rPr>
        <w:t>Judicial Responsibility</w:t>
      </w:r>
      <w:r w:rsidRPr="00864E69">
        <w:rPr>
          <w:rFonts w:ascii="Times New Roman" w:hAnsi="Times New Roman"/>
          <w:lang w:val="en-HK"/>
        </w:rPr>
        <w:t>:</w:t>
      </w:r>
    </w:p>
    <w:p w14:paraId="7E68A0B2" w14:textId="77777777" w:rsidR="00864E69" w:rsidRPr="00864E69" w:rsidRDefault="00864E69" w:rsidP="009F3468">
      <w:pPr>
        <w:numPr>
          <w:ilvl w:val="1"/>
          <w:numId w:val="51"/>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lastRenderedPageBreak/>
        <w:t>The CJEU must strike a balance between ensuring the effectiveness of free movement provisions and respecting Member State autonomy.</w:t>
      </w:r>
    </w:p>
    <w:p w14:paraId="0EE9B7E4" w14:textId="77777777" w:rsidR="00864E69" w:rsidRPr="00864E69"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20AC499B">
          <v:rect id="_x0000_i1026" alt="" style="width:451.3pt;height:.05pt;mso-width-percent:0;mso-height-percent:0;mso-width-percent:0;mso-height-percent:0" o:hralign="center" o:hrstd="t" o:hr="t" fillcolor="#a0a0a0" stroked="f"/>
        </w:pict>
      </w:r>
    </w:p>
    <w:p w14:paraId="3740569B" w14:textId="77777777" w:rsidR="00864E69" w:rsidRPr="00864E69" w:rsidRDefault="00864E69" w:rsidP="009F3468">
      <w:pPr>
        <w:spacing w:before="100" w:beforeAutospacing="1" w:after="100" w:afterAutospacing="1" w:line="276" w:lineRule="auto"/>
        <w:outlineLvl w:val="2"/>
        <w:rPr>
          <w:rFonts w:ascii="Times New Roman" w:hAnsi="Times New Roman"/>
          <w:b/>
          <w:bCs/>
          <w:lang w:val="en-HK"/>
        </w:rPr>
      </w:pPr>
      <w:r w:rsidRPr="00864E69">
        <w:rPr>
          <w:rFonts w:ascii="Times New Roman" w:hAnsi="Times New Roman"/>
          <w:b/>
          <w:bCs/>
          <w:lang w:val="en-HK"/>
        </w:rPr>
        <w:t>Conclusion of Section V</w:t>
      </w:r>
    </w:p>
    <w:p w14:paraId="3A475BAA" w14:textId="77777777" w:rsidR="00864E69" w:rsidRPr="00864E69" w:rsidRDefault="00864E69" w:rsidP="009F3468">
      <w:pPr>
        <w:numPr>
          <w:ilvl w:val="0"/>
          <w:numId w:val="52"/>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Van Leeuwen concludes that the centralisation of proportionality has fundamentally reshaped free movement law, creating flexibility at the cost of doctrinal coherence and legal certainty.</w:t>
      </w:r>
    </w:p>
    <w:p w14:paraId="5E945D0D" w14:textId="77777777" w:rsidR="00864E69" w:rsidRPr="00864E69" w:rsidRDefault="00864E69" w:rsidP="009F3468">
      <w:pPr>
        <w:numPr>
          <w:ilvl w:val="0"/>
          <w:numId w:val="52"/>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He calls for a return to the traditional four-pillar framework, with proportionality confined to the justification stage, to restore balance and predictability to the legal system.</w:t>
      </w:r>
    </w:p>
    <w:p w14:paraId="7CC2A2D2" w14:textId="77777777" w:rsidR="00864E69" w:rsidRPr="00864E69" w:rsidRDefault="00864E69" w:rsidP="009F3468">
      <w:pPr>
        <w:numPr>
          <w:ilvl w:val="0"/>
          <w:numId w:val="52"/>
        </w:numPr>
        <w:spacing w:before="100" w:beforeAutospacing="1" w:after="100" w:afterAutospacing="1" w:line="276" w:lineRule="auto"/>
        <w:rPr>
          <w:rFonts w:ascii="Times New Roman" w:hAnsi="Times New Roman"/>
          <w:lang w:val="en-HK"/>
        </w:rPr>
      </w:pPr>
      <w:r w:rsidRPr="00864E69">
        <w:rPr>
          <w:rFonts w:ascii="Times New Roman" w:hAnsi="Times New Roman"/>
          <w:lang w:val="en-HK"/>
        </w:rPr>
        <w:t>Ultimately, Van Leeuwen emphasises the importance of preserving the balance between market integration and national sovereignty, ensuring that the EU’s internal market functions effectively without encroaching on Member State autonomy.</w:t>
      </w:r>
    </w:p>
    <w:p w14:paraId="51ED5018" w14:textId="77777777" w:rsidR="00864E69" w:rsidRPr="00864E69" w:rsidRDefault="00612735" w:rsidP="009F3468">
      <w:pPr>
        <w:spacing w:line="276" w:lineRule="auto"/>
        <w:rPr>
          <w:rFonts w:ascii="Times New Roman" w:hAnsi="Times New Roman"/>
          <w:lang w:val="en-HK"/>
        </w:rPr>
      </w:pPr>
      <w:r w:rsidRPr="00612735">
        <w:rPr>
          <w:rFonts w:ascii="Times New Roman" w:hAnsi="Times New Roman"/>
          <w:noProof/>
          <w:lang w:val="en-HK"/>
          <w14:ligatures w14:val="standardContextual"/>
        </w:rPr>
        <w:pict w14:anchorId="7DCEE9DE">
          <v:rect id="_x0000_i1025" alt="" style="width:451.3pt;height:.05pt;mso-width-percent:0;mso-height-percent:0;mso-width-percent:0;mso-height-percent:0" o:hralign="center" o:hrstd="t" o:hr="t" fillcolor="#a0a0a0" stroked="f"/>
        </w:pict>
      </w:r>
    </w:p>
    <w:p w14:paraId="61B0E6E4" w14:textId="77777777" w:rsidR="00CD39F1" w:rsidRPr="009F3468" w:rsidRDefault="00CD39F1" w:rsidP="009F3468">
      <w:pPr>
        <w:spacing w:line="276" w:lineRule="auto"/>
        <w:rPr>
          <w:rFonts w:ascii="Times New Roman" w:hAnsi="Times New Roman"/>
        </w:rPr>
      </w:pPr>
    </w:p>
    <w:sectPr w:rsidR="00CD39F1" w:rsidRPr="009F34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E353D"/>
    <w:multiLevelType w:val="multilevel"/>
    <w:tmpl w:val="43742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4375"/>
    <w:multiLevelType w:val="multilevel"/>
    <w:tmpl w:val="699CF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00092"/>
    <w:multiLevelType w:val="multilevel"/>
    <w:tmpl w:val="F9C0F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85C43"/>
    <w:multiLevelType w:val="multilevel"/>
    <w:tmpl w:val="6948489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07028"/>
    <w:multiLevelType w:val="multilevel"/>
    <w:tmpl w:val="FAB4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B72CE"/>
    <w:multiLevelType w:val="multilevel"/>
    <w:tmpl w:val="10BEB5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571EC"/>
    <w:multiLevelType w:val="multilevel"/>
    <w:tmpl w:val="7960B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B3973"/>
    <w:multiLevelType w:val="multilevel"/>
    <w:tmpl w:val="85769F4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A232046"/>
    <w:multiLevelType w:val="multilevel"/>
    <w:tmpl w:val="8CAE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F3DE3"/>
    <w:multiLevelType w:val="multilevel"/>
    <w:tmpl w:val="C7B8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40575"/>
    <w:multiLevelType w:val="multilevel"/>
    <w:tmpl w:val="F3326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2448A"/>
    <w:multiLevelType w:val="multilevel"/>
    <w:tmpl w:val="621AE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CC5F62"/>
    <w:multiLevelType w:val="multilevel"/>
    <w:tmpl w:val="F50ED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E484B"/>
    <w:multiLevelType w:val="multilevel"/>
    <w:tmpl w:val="49D28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5A550B"/>
    <w:multiLevelType w:val="multilevel"/>
    <w:tmpl w:val="A364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035B6"/>
    <w:multiLevelType w:val="multilevel"/>
    <w:tmpl w:val="6E3ED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EA1B38"/>
    <w:multiLevelType w:val="multilevel"/>
    <w:tmpl w:val="ED06B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DE3C50"/>
    <w:multiLevelType w:val="multilevel"/>
    <w:tmpl w:val="357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0136DE"/>
    <w:multiLevelType w:val="multilevel"/>
    <w:tmpl w:val="6654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939B4"/>
    <w:multiLevelType w:val="multilevel"/>
    <w:tmpl w:val="C0D06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9E4720"/>
    <w:multiLevelType w:val="multilevel"/>
    <w:tmpl w:val="AB928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ED2481"/>
    <w:multiLevelType w:val="multilevel"/>
    <w:tmpl w:val="6314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603738"/>
    <w:multiLevelType w:val="multilevel"/>
    <w:tmpl w:val="4CCEC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4B7A05"/>
    <w:multiLevelType w:val="multilevel"/>
    <w:tmpl w:val="B3520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C44B9A"/>
    <w:multiLevelType w:val="multilevel"/>
    <w:tmpl w:val="20AAA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E126AD"/>
    <w:multiLevelType w:val="multilevel"/>
    <w:tmpl w:val="FFFAD4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6A1E56"/>
    <w:multiLevelType w:val="multilevel"/>
    <w:tmpl w:val="E248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73274C"/>
    <w:multiLevelType w:val="multilevel"/>
    <w:tmpl w:val="6EE4B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9F2FEA"/>
    <w:multiLevelType w:val="multilevel"/>
    <w:tmpl w:val="BF301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CE33E5"/>
    <w:multiLevelType w:val="multilevel"/>
    <w:tmpl w:val="378E8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94247D"/>
    <w:multiLevelType w:val="multilevel"/>
    <w:tmpl w:val="EE3E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A81573"/>
    <w:multiLevelType w:val="multilevel"/>
    <w:tmpl w:val="14BCE9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C56A6F"/>
    <w:multiLevelType w:val="multilevel"/>
    <w:tmpl w:val="FC120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DB7930"/>
    <w:multiLevelType w:val="multilevel"/>
    <w:tmpl w:val="D44C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BF46EF"/>
    <w:multiLevelType w:val="multilevel"/>
    <w:tmpl w:val="DE469D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decimal"/>
      <w:lvlText w:val="%3."/>
      <w:lvlJc w:val="left"/>
      <w:pPr>
        <w:tabs>
          <w:tab w:val="num" w:pos="360"/>
        </w:tabs>
        <w:ind w:left="360" w:hanging="360"/>
      </w:pPr>
    </w:lvl>
    <w:lvl w:ilvl="3">
      <w:start w:val="1"/>
      <w:numFmt w:val="bullet"/>
      <w:lvlText w:val=""/>
      <w:lvlJc w:val="left"/>
      <w:pPr>
        <w:tabs>
          <w:tab w:val="num" w:pos="927"/>
        </w:tabs>
        <w:ind w:left="927"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35303E6A"/>
    <w:multiLevelType w:val="multilevel"/>
    <w:tmpl w:val="435A20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D73EF2"/>
    <w:multiLevelType w:val="multilevel"/>
    <w:tmpl w:val="32345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0A6592"/>
    <w:multiLevelType w:val="multilevel"/>
    <w:tmpl w:val="CA36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E373FA"/>
    <w:multiLevelType w:val="multilevel"/>
    <w:tmpl w:val="401AB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A784ED3"/>
    <w:multiLevelType w:val="multilevel"/>
    <w:tmpl w:val="762CDE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C264DF"/>
    <w:multiLevelType w:val="multilevel"/>
    <w:tmpl w:val="FFD8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C2458D"/>
    <w:multiLevelType w:val="multilevel"/>
    <w:tmpl w:val="074C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B47320"/>
    <w:multiLevelType w:val="multilevel"/>
    <w:tmpl w:val="BC5CB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4B3420"/>
    <w:multiLevelType w:val="multilevel"/>
    <w:tmpl w:val="BF22E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1094687"/>
    <w:multiLevelType w:val="multilevel"/>
    <w:tmpl w:val="CA6E9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BF5F3C"/>
    <w:multiLevelType w:val="multilevel"/>
    <w:tmpl w:val="A8BEF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6366FB"/>
    <w:multiLevelType w:val="multilevel"/>
    <w:tmpl w:val="DCBCB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A50F6F"/>
    <w:multiLevelType w:val="multilevel"/>
    <w:tmpl w:val="B116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733C0E"/>
    <w:multiLevelType w:val="multilevel"/>
    <w:tmpl w:val="5E2E8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3345FA"/>
    <w:multiLevelType w:val="multilevel"/>
    <w:tmpl w:val="7248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8F61F9"/>
    <w:multiLevelType w:val="multilevel"/>
    <w:tmpl w:val="AC745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4C7A4C"/>
    <w:multiLevelType w:val="multilevel"/>
    <w:tmpl w:val="FEAE1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637AC0"/>
    <w:multiLevelType w:val="multilevel"/>
    <w:tmpl w:val="EBD28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925DA4"/>
    <w:multiLevelType w:val="multilevel"/>
    <w:tmpl w:val="5BFC56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794622"/>
    <w:multiLevelType w:val="multilevel"/>
    <w:tmpl w:val="91FE5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BE18B2"/>
    <w:multiLevelType w:val="multilevel"/>
    <w:tmpl w:val="5832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BD5328"/>
    <w:multiLevelType w:val="multilevel"/>
    <w:tmpl w:val="EBF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A324CB"/>
    <w:multiLevelType w:val="multilevel"/>
    <w:tmpl w:val="7D268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FF78AA"/>
    <w:multiLevelType w:val="multilevel"/>
    <w:tmpl w:val="B100C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F040C5"/>
    <w:multiLevelType w:val="multilevel"/>
    <w:tmpl w:val="FC7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9C7A2A"/>
    <w:multiLevelType w:val="multilevel"/>
    <w:tmpl w:val="E242A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194585"/>
    <w:multiLevelType w:val="multilevel"/>
    <w:tmpl w:val="A300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71662D"/>
    <w:multiLevelType w:val="multilevel"/>
    <w:tmpl w:val="2182ED2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6B9E5D81"/>
    <w:multiLevelType w:val="multilevel"/>
    <w:tmpl w:val="DAC8D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522228"/>
    <w:multiLevelType w:val="multilevel"/>
    <w:tmpl w:val="36860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49F535F"/>
    <w:multiLevelType w:val="multilevel"/>
    <w:tmpl w:val="6CBE50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F01FD8"/>
    <w:multiLevelType w:val="multilevel"/>
    <w:tmpl w:val="C438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8C6ED8"/>
    <w:multiLevelType w:val="multilevel"/>
    <w:tmpl w:val="4EF0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2600F0"/>
    <w:multiLevelType w:val="multilevel"/>
    <w:tmpl w:val="516C0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B525ED7"/>
    <w:multiLevelType w:val="multilevel"/>
    <w:tmpl w:val="57860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601992">
    <w:abstractNumId w:val="2"/>
  </w:num>
  <w:num w:numId="2" w16cid:durableId="1762753184">
    <w:abstractNumId w:val="65"/>
  </w:num>
  <w:num w:numId="3" w16cid:durableId="1199582289">
    <w:abstractNumId w:val="65"/>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901673440">
    <w:abstractNumId w:val="6"/>
  </w:num>
  <w:num w:numId="5" w16cid:durableId="1375733500">
    <w:abstractNumId w:val="57"/>
  </w:num>
  <w:num w:numId="6" w16cid:durableId="823546521">
    <w:abstractNumId w:val="31"/>
  </w:num>
  <w:num w:numId="7" w16cid:durableId="1477797872">
    <w:abstractNumId w:val="68"/>
  </w:num>
  <w:num w:numId="8" w16cid:durableId="1939750191">
    <w:abstractNumId w:val="30"/>
  </w:num>
  <w:num w:numId="9" w16cid:durableId="1537503800">
    <w:abstractNumId w:val="1"/>
  </w:num>
  <w:num w:numId="10" w16cid:durableId="1471435922">
    <w:abstractNumId w:val="20"/>
  </w:num>
  <w:num w:numId="11" w16cid:durableId="883299288">
    <w:abstractNumId w:val="19"/>
  </w:num>
  <w:num w:numId="12" w16cid:durableId="1478571854">
    <w:abstractNumId w:val="3"/>
  </w:num>
  <w:num w:numId="13" w16cid:durableId="1181550469">
    <w:abstractNumId w:val="3"/>
    <w:lvlOverride w:ilvl="1">
      <w:lvl w:ilvl="1">
        <w:numFmt w:val="decimal"/>
        <w:lvlText w:val="%2."/>
        <w:lvlJc w:val="left"/>
      </w:lvl>
    </w:lvlOverride>
  </w:num>
  <w:num w:numId="14" w16cid:durableId="1920555719">
    <w:abstractNumId w:val="34"/>
  </w:num>
  <w:num w:numId="15" w16cid:durableId="111826509">
    <w:abstractNumId w:val="51"/>
  </w:num>
  <w:num w:numId="16" w16cid:durableId="770589281">
    <w:abstractNumId w:val="18"/>
  </w:num>
  <w:num w:numId="17" w16cid:durableId="828061984">
    <w:abstractNumId w:val="46"/>
  </w:num>
  <w:num w:numId="18" w16cid:durableId="560479427">
    <w:abstractNumId w:val="41"/>
  </w:num>
  <w:num w:numId="19" w16cid:durableId="238491707">
    <w:abstractNumId w:val="35"/>
  </w:num>
  <w:num w:numId="20" w16cid:durableId="341860230">
    <w:abstractNumId w:val="50"/>
  </w:num>
  <w:num w:numId="21" w16cid:durableId="892228918">
    <w:abstractNumId w:val="52"/>
  </w:num>
  <w:num w:numId="22" w16cid:durableId="985554157">
    <w:abstractNumId w:val="49"/>
  </w:num>
  <w:num w:numId="23" w16cid:durableId="1446735232">
    <w:abstractNumId w:val="44"/>
  </w:num>
  <w:num w:numId="24" w16cid:durableId="154998333">
    <w:abstractNumId w:val="22"/>
  </w:num>
  <w:num w:numId="25" w16cid:durableId="1992908262">
    <w:abstractNumId w:val="48"/>
  </w:num>
  <w:num w:numId="26" w16cid:durableId="273445953">
    <w:abstractNumId w:val="7"/>
  </w:num>
  <w:num w:numId="27" w16cid:durableId="1985699592">
    <w:abstractNumId w:val="28"/>
  </w:num>
  <w:num w:numId="28" w16cid:durableId="1034115007">
    <w:abstractNumId w:val="69"/>
  </w:num>
  <w:num w:numId="29" w16cid:durableId="809975989">
    <w:abstractNumId w:val="64"/>
  </w:num>
  <w:num w:numId="30" w16cid:durableId="24867969">
    <w:abstractNumId w:val="25"/>
  </w:num>
  <w:num w:numId="31" w16cid:durableId="1751123950">
    <w:abstractNumId w:val="61"/>
  </w:num>
  <w:num w:numId="32" w16cid:durableId="1442916050">
    <w:abstractNumId w:val="66"/>
  </w:num>
  <w:num w:numId="33" w16cid:durableId="1233466965">
    <w:abstractNumId w:val="11"/>
  </w:num>
  <w:num w:numId="34" w16cid:durableId="1988437442">
    <w:abstractNumId w:val="27"/>
  </w:num>
  <w:num w:numId="35" w16cid:durableId="1293092770">
    <w:abstractNumId w:val="38"/>
  </w:num>
  <w:num w:numId="36" w16cid:durableId="2087144118">
    <w:abstractNumId w:val="14"/>
  </w:num>
  <w:num w:numId="37" w16cid:durableId="2018144847">
    <w:abstractNumId w:val="56"/>
  </w:num>
  <w:num w:numId="38" w16cid:durableId="2067222884">
    <w:abstractNumId w:val="15"/>
  </w:num>
  <w:num w:numId="39" w16cid:durableId="2094273739">
    <w:abstractNumId w:val="43"/>
  </w:num>
  <w:num w:numId="40" w16cid:durableId="1675106639">
    <w:abstractNumId w:val="63"/>
  </w:num>
  <w:num w:numId="41" w16cid:durableId="1310476573">
    <w:abstractNumId w:val="17"/>
  </w:num>
  <w:num w:numId="42" w16cid:durableId="1019428090">
    <w:abstractNumId w:val="67"/>
  </w:num>
  <w:num w:numId="43" w16cid:durableId="1353145127">
    <w:abstractNumId w:val="16"/>
  </w:num>
  <w:num w:numId="44" w16cid:durableId="966349037">
    <w:abstractNumId w:val="23"/>
  </w:num>
  <w:num w:numId="45" w16cid:durableId="339891917">
    <w:abstractNumId w:val="60"/>
  </w:num>
  <w:num w:numId="46" w16cid:durableId="1058552203">
    <w:abstractNumId w:val="36"/>
  </w:num>
  <w:num w:numId="47" w16cid:durableId="1043948498">
    <w:abstractNumId w:val="53"/>
  </w:num>
  <w:num w:numId="48" w16cid:durableId="1285229481">
    <w:abstractNumId w:val="42"/>
  </w:num>
  <w:num w:numId="49" w16cid:durableId="837579107">
    <w:abstractNumId w:val="12"/>
  </w:num>
  <w:num w:numId="50" w16cid:durableId="107429251">
    <w:abstractNumId w:val="47"/>
  </w:num>
  <w:num w:numId="51" w16cid:durableId="495193413">
    <w:abstractNumId w:val="10"/>
  </w:num>
  <w:num w:numId="52" w16cid:durableId="1592280003">
    <w:abstractNumId w:val="37"/>
  </w:num>
  <w:num w:numId="53" w16cid:durableId="1326670978">
    <w:abstractNumId w:val="55"/>
  </w:num>
  <w:num w:numId="54" w16cid:durableId="999651828">
    <w:abstractNumId w:val="5"/>
  </w:num>
  <w:num w:numId="55" w16cid:durableId="1605460562">
    <w:abstractNumId w:val="58"/>
  </w:num>
  <w:num w:numId="56" w16cid:durableId="1557545020">
    <w:abstractNumId w:val="32"/>
  </w:num>
  <w:num w:numId="57" w16cid:durableId="1342658697">
    <w:abstractNumId w:val="8"/>
  </w:num>
  <w:num w:numId="58" w16cid:durableId="24982821">
    <w:abstractNumId w:val="39"/>
  </w:num>
  <w:num w:numId="59" w16cid:durableId="669986298">
    <w:abstractNumId w:val="13"/>
  </w:num>
  <w:num w:numId="60" w16cid:durableId="1544439603">
    <w:abstractNumId w:val="4"/>
  </w:num>
  <w:num w:numId="61" w16cid:durableId="838276881">
    <w:abstractNumId w:val="45"/>
  </w:num>
  <w:num w:numId="62" w16cid:durableId="1815684455">
    <w:abstractNumId w:val="21"/>
  </w:num>
  <w:num w:numId="63" w16cid:durableId="1221592737">
    <w:abstractNumId w:val="26"/>
  </w:num>
  <w:num w:numId="64" w16cid:durableId="409042933">
    <w:abstractNumId w:val="9"/>
  </w:num>
  <w:num w:numId="65" w16cid:durableId="1279752913">
    <w:abstractNumId w:val="29"/>
  </w:num>
  <w:num w:numId="66" w16cid:durableId="777867760">
    <w:abstractNumId w:val="0"/>
  </w:num>
  <w:num w:numId="67" w16cid:durableId="1996294563">
    <w:abstractNumId w:val="24"/>
  </w:num>
  <w:num w:numId="68" w16cid:durableId="591745590">
    <w:abstractNumId w:val="54"/>
  </w:num>
  <w:num w:numId="69" w16cid:durableId="431245254">
    <w:abstractNumId w:val="40"/>
  </w:num>
  <w:num w:numId="70" w16cid:durableId="944387691">
    <w:abstractNumId w:val="33"/>
  </w:num>
  <w:num w:numId="71" w16cid:durableId="906037262">
    <w:abstractNumId w:val="59"/>
  </w:num>
  <w:num w:numId="72" w16cid:durableId="490366621">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7BA"/>
    <w:rsid w:val="00012117"/>
    <w:rsid w:val="000147A9"/>
    <w:rsid w:val="00042755"/>
    <w:rsid w:val="0006107D"/>
    <w:rsid w:val="000623A3"/>
    <w:rsid w:val="00066D1D"/>
    <w:rsid w:val="000719DA"/>
    <w:rsid w:val="00094D65"/>
    <w:rsid w:val="000A092E"/>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B3377"/>
    <w:rsid w:val="002D715D"/>
    <w:rsid w:val="002E3864"/>
    <w:rsid w:val="002E46F2"/>
    <w:rsid w:val="002F1DB1"/>
    <w:rsid w:val="002F20B2"/>
    <w:rsid w:val="002F53C9"/>
    <w:rsid w:val="003048A0"/>
    <w:rsid w:val="0031138E"/>
    <w:rsid w:val="0031474F"/>
    <w:rsid w:val="00315815"/>
    <w:rsid w:val="003278F5"/>
    <w:rsid w:val="00330665"/>
    <w:rsid w:val="00342A18"/>
    <w:rsid w:val="003472E1"/>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2735"/>
    <w:rsid w:val="00613954"/>
    <w:rsid w:val="00622488"/>
    <w:rsid w:val="00650543"/>
    <w:rsid w:val="00654D8B"/>
    <w:rsid w:val="00661136"/>
    <w:rsid w:val="0068027B"/>
    <w:rsid w:val="006B7BA3"/>
    <w:rsid w:val="006C42B8"/>
    <w:rsid w:val="006C50C7"/>
    <w:rsid w:val="006D1612"/>
    <w:rsid w:val="006E7E43"/>
    <w:rsid w:val="00713CA9"/>
    <w:rsid w:val="007455C6"/>
    <w:rsid w:val="007475C7"/>
    <w:rsid w:val="0075265A"/>
    <w:rsid w:val="0075498E"/>
    <w:rsid w:val="00757BE5"/>
    <w:rsid w:val="00760E46"/>
    <w:rsid w:val="007643D2"/>
    <w:rsid w:val="00766D82"/>
    <w:rsid w:val="007678B2"/>
    <w:rsid w:val="0078776B"/>
    <w:rsid w:val="00796A93"/>
    <w:rsid w:val="007B48C2"/>
    <w:rsid w:val="007C231D"/>
    <w:rsid w:val="007D68F0"/>
    <w:rsid w:val="007E1559"/>
    <w:rsid w:val="007F776E"/>
    <w:rsid w:val="00816563"/>
    <w:rsid w:val="00830C88"/>
    <w:rsid w:val="00861B11"/>
    <w:rsid w:val="00864E69"/>
    <w:rsid w:val="008829C2"/>
    <w:rsid w:val="008A54BE"/>
    <w:rsid w:val="008C7B0A"/>
    <w:rsid w:val="008D0642"/>
    <w:rsid w:val="008D417B"/>
    <w:rsid w:val="008E43C2"/>
    <w:rsid w:val="008E745B"/>
    <w:rsid w:val="008F4EA7"/>
    <w:rsid w:val="008F5A10"/>
    <w:rsid w:val="00905ED0"/>
    <w:rsid w:val="00907EF6"/>
    <w:rsid w:val="0093405B"/>
    <w:rsid w:val="0094782D"/>
    <w:rsid w:val="00966189"/>
    <w:rsid w:val="00974434"/>
    <w:rsid w:val="00975B2D"/>
    <w:rsid w:val="00977514"/>
    <w:rsid w:val="009A48B0"/>
    <w:rsid w:val="009B24D6"/>
    <w:rsid w:val="009B2F21"/>
    <w:rsid w:val="009C6498"/>
    <w:rsid w:val="009E62AF"/>
    <w:rsid w:val="009F3468"/>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17BA"/>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F6BF7"/>
  <w15:chartTrackingRefBased/>
  <w15:docId w15:val="{5A7A769A-E839-FD4E-B311-47DF1FC18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B61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1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617B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617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617B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617B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17B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17B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17B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7BA"/>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B617BA"/>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B617BA"/>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B617BA"/>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B617BA"/>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B617BA"/>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B617BA"/>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B617BA"/>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B617BA"/>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B617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7BA"/>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B617B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7BA"/>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B617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17BA"/>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B617BA"/>
    <w:pPr>
      <w:ind w:left="720"/>
      <w:contextualSpacing/>
    </w:pPr>
  </w:style>
  <w:style w:type="character" w:styleId="IntenseEmphasis">
    <w:name w:val="Intense Emphasis"/>
    <w:basedOn w:val="DefaultParagraphFont"/>
    <w:uiPriority w:val="21"/>
    <w:qFormat/>
    <w:rsid w:val="00B617BA"/>
    <w:rPr>
      <w:i/>
      <w:iCs/>
      <w:color w:val="2F5496" w:themeColor="accent1" w:themeShade="BF"/>
    </w:rPr>
  </w:style>
  <w:style w:type="paragraph" w:styleId="IntenseQuote">
    <w:name w:val="Intense Quote"/>
    <w:basedOn w:val="Normal"/>
    <w:next w:val="Normal"/>
    <w:link w:val="IntenseQuoteChar"/>
    <w:uiPriority w:val="30"/>
    <w:qFormat/>
    <w:rsid w:val="00B61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17BA"/>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B617BA"/>
    <w:rPr>
      <w:b/>
      <w:bCs/>
      <w:smallCaps/>
      <w:color w:val="2F5496" w:themeColor="accent1" w:themeShade="BF"/>
      <w:spacing w:val="5"/>
    </w:rPr>
  </w:style>
  <w:style w:type="character" w:styleId="Strong">
    <w:name w:val="Strong"/>
    <w:basedOn w:val="DefaultParagraphFont"/>
    <w:uiPriority w:val="22"/>
    <w:qFormat/>
    <w:rsid w:val="008D417B"/>
    <w:rPr>
      <w:b/>
      <w:bCs/>
    </w:rPr>
  </w:style>
  <w:style w:type="character" w:styleId="Emphasis">
    <w:name w:val="Emphasis"/>
    <w:basedOn w:val="DefaultParagraphFont"/>
    <w:uiPriority w:val="20"/>
    <w:qFormat/>
    <w:rsid w:val="008D417B"/>
    <w:rPr>
      <w:i/>
      <w:iCs/>
    </w:rPr>
  </w:style>
  <w:style w:type="paragraph" w:styleId="NormalWeb">
    <w:name w:val="Normal (Web)"/>
    <w:basedOn w:val="Normal"/>
    <w:uiPriority w:val="99"/>
    <w:unhideWhenUsed/>
    <w:rsid w:val="000A092E"/>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8018426">
      <w:bodyDiv w:val="1"/>
      <w:marLeft w:val="0"/>
      <w:marRight w:val="0"/>
      <w:marTop w:val="0"/>
      <w:marBottom w:val="0"/>
      <w:divBdr>
        <w:top w:val="none" w:sz="0" w:space="0" w:color="auto"/>
        <w:left w:val="none" w:sz="0" w:space="0" w:color="auto"/>
        <w:bottom w:val="none" w:sz="0" w:space="0" w:color="auto"/>
        <w:right w:val="none" w:sz="0" w:space="0" w:color="auto"/>
      </w:divBdr>
    </w:div>
    <w:div w:id="610625838">
      <w:bodyDiv w:val="1"/>
      <w:marLeft w:val="0"/>
      <w:marRight w:val="0"/>
      <w:marTop w:val="0"/>
      <w:marBottom w:val="0"/>
      <w:divBdr>
        <w:top w:val="none" w:sz="0" w:space="0" w:color="auto"/>
        <w:left w:val="none" w:sz="0" w:space="0" w:color="auto"/>
        <w:bottom w:val="none" w:sz="0" w:space="0" w:color="auto"/>
        <w:right w:val="none" w:sz="0" w:space="0" w:color="auto"/>
      </w:divBdr>
    </w:div>
    <w:div w:id="778531286">
      <w:bodyDiv w:val="1"/>
      <w:marLeft w:val="0"/>
      <w:marRight w:val="0"/>
      <w:marTop w:val="0"/>
      <w:marBottom w:val="0"/>
      <w:divBdr>
        <w:top w:val="none" w:sz="0" w:space="0" w:color="auto"/>
        <w:left w:val="none" w:sz="0" w:space="0" w:color="auto"/>
        <w:bottom w:val="none" w:sz="0" w:space="0" w:color="auto"/>
        <w:right w:val="none" w:sz="0" w:space="0" w:color="auto"/>
      </w:divBdr>
    </w:div>
    <w:div w:id="1010136848">
      <w:bodyDiv w:val="1"/>
      <w:marLeft w:val="0"/>
      <w:marRight w:val="0"/>
      <w:marTop w:val="0"/>
      <w:marBottom w:val="0"/>
      <w:divBdr>
        <w:top w:val="none" w:sz="0" w:space="0" w:color="auto"/>
        <w:left w:val="none" w:sz="0" w:space="0" w:color="auto"/>
        <w:bottom w:val="none" w:sz="0" w:space="0" w:color="auto"/>
        <w:right w:val="none" w:sz="0" w:space="0" w:color="auto"/>
      </w:divBdr>
    </w:div>
    <w:div w:id="1071273087">
      <w:bodyDiv w:val="1"/>
      <w:marLeft w:val="0"/>
      <w:marRight w:val="0"/>
      <w:marTop w:val="0"/>
      <w:marBottom w:val="0"/>
      <w:divBdr>
        <w:top w:val="none" w:sz="0" w:space="0" w:color="auto"/>
        <w:left w:val="none" w:sz="0" w:space="0" w:color="auto"/>
        <w:bottom w:val="none" w:sz="0" w:space="0" w:color="auto"/>
        <w:right w:val="none" w:sz="0" w:space="0" w:color="auto"/>
      </w:divBdr>
    </w:div>
    <w:div w:id="1113088720">
      <w:bodyDiv w:val="1"/>
      <w:marLeft w:val="0"/>
      <w:marRight w:val="0"/>
      <w:marTop w:val="0"/>
      <w:marBottom w:val="0"/>
      <w:divBdr>
        <w:top w:val="none" w:sz="0" w:space="0" w:color="auto"/>
        <w:left w:val="none" w:sz="0" w:space="0" w:color="auto"/>
        <w:bottom w:val="none" w:sz="0" w:space="0" w:color="auto"/>
        <w:right w:val="none" w:sz="0" w:space="0" w:color="auto"/>
      </w:divBdr>
    </w:div>
    <w:div w:id="1370760583">
      <w:bodyDiv w:val="1"/>
      <w:marLeft w:val="0"/>
      <w:marRight w:val="0"/>
      <w:marTop w:val="0"/>
      <w:marBottom w:val="0"/>
      <w:divBdr>
        <w:top w:val="none" w:sz="0" w:space="0" w:color="auto"/>
        <w:left w:val="none" w:sz="0" w:space="0" w:color="auto"/>
        <w:bottom w:val="none" w:sz="0" w:space="0" w:color="auto"/>
        <w:right w:val="none" w:sz="0" w:space="0" w:color="auto"/>
      </w:divBdr>
    </w:div>
    <w:div w:id="1680233526">
      <w:bodyDiv w:val="1"/>
      <w:marLeft w:val="0"/>
      <w:marRight w:val="0"/>
      <w:marTop w:val="0"/>
      <w:marBottom w:val="0"/>
      <w:divBdr>
        <w:top w:val="none" w:sz="0" w:space="0" w:color="auto"/>
        <w:left w:val="none" w:sz="0" w:space="0" w:color="auto"/>
        <w:bottom w:val="none" w:sz="0" w:space="0" w:color="auto"/>
        <w:right w:val="none" w:sz="0" w:space="0" w:color="auto"/>
      </w:divBdr>
    </w:div>
    <w:div w:id="175920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24</Pages>
  <Words>5837</Words>
  <Characters>33277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2025-01-24T10:04:00Z</dcterms:created>
  <dcterms:modified xsi:type="dcterms:W3CDTF">2025-01-24T10:50:00Z</dcterms:modified>
</cp:coreProperties>
</file>