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718B6"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1. Introduction</w:t>
      </w:r>
    </w:p>
    <w:p w14:paraId="55BBCB84"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introduction sets the stage for </w:t>
      </w:r>
      <w:proofErr w:type="spellStart"/>
      <w:r w:rsidRPr="00BC299D">
        <w:rPr>
          <w:rFonts w:ascii="Times New Roman" w:hAnsi="Times New Roman"/>
          <w:lang w:val="en-HK"/>
        </w:rPr>
        <w:t>analyzing</w:t>
      </w:r>
      <w:proofErr w:type="spellEnd"/>
      <w:r w:rsidRPr="00BC299D">
        <w:rPr>
          <w:rFonts w:ascii="Times New Roman" w:hAnsi="Times New Roman"/>
          <w:lang w:val="en-HK"/>
        </w:rPr>
        <w:t xml:space="preserve"> the significant role of the </w:t>
      </w:r>
      <w:r w:rsidRPr="00BC299D">
        <w:rPr>
          <w:rFonts w:ascii="Times New Roman" w:hAnsi="Times New Roman"/>
          <w:i/>
          <w:iCs/>
          <w:lang w:val="en-HK"/>
        </w:rPr>
        <w:t>Keck</w:t>
      </w:r>
      <w:r w:rsidRPr="00BC299D">
        <w:rPr>
          <w:rFonts w:ascii="Times New Roman" w:hAnsi="Times New Roman"/>
          <w:lang w:val="en-HK"/>
        </w:rPr>
        <w:t xml:space="preserve"> judgment in shaping EU law on the free movement of goods under Article 34 TFEU. The ruling, a response to the over-expansive interpretation of what constitutes an obstacle to trade, has been pivotal in determining when national measures can be deemed to breach EU law. Key elements include:</w:t>
      </w:r>
    </w:p>
    <w:p w14:paraId="207B7925" w14:textId="77777777" w:rsidR="00BC299D" w:rsidRPr="00BC299D" w:rsidRDefault="00BC299D" w:rsidP="00BC299D">
      <w:pPr>
        <w:numPr>
          <w:ilvl w:val="0"/>
          <w:numId w:val="1"/>
        </w:numPr>
        <w:spacing w:before="100" w:beforeAutospacing="1" w:after="100" w:afterAutospacing="1" w:line="276" w:lineRule="auto"/>
        <w:rPr>
          <w:rFonts w:ascii="Times New Roman" w:hAnsi="Times New Roman"/>
          <w:lang w:val="en-HK"/>
        </w:rPr>
      </w:pPr>
      <w:r w:rsidRPr="002F1298">
        <w:rPr>
          <w:rFonts w:ascii="Times New Roman" w:hAnsi="Times New Roman"/>
          <w:b/>
          <w:bCs/>
          <w:highlight w:val="yellow"/>
          <w:lang w:val="en-HK"/>
        </w:rPr>
        <w:t>Broad Definition of Obstacles to Trade</w:t>
      </w:r>
      <w:r w:rsidRPr="00BC299D">
        <w:rPr>
          <w:rFonts w:ascii="Times New Roman" w:hAnsi="Times New Roman"/>
          <w:lang w:val="en-HK"/>
        </w:rPr>
        <w:t xml:space="preserve">: The judgments in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and </w:t>
      </w:r>
      <w:r w:rsidRPr="00BC299D">
        <w:rPr>
          <w:rFonts w:ascii="Times New Roman" w:hAnsi="Times New Roman"/>
          <w:i/>
          <w:iCs/>
          <w:lang w:val="en-HK"/>
        </w:rPr>
        <w:t>Cassis de Dijon</w:t>
      </w:r>
      <w:r w:rsidRPr="00BC299D">
        <w:rPr>
          <w:rFonts w:ascii="Times New Roman" w:hAnsi="Times New Roman"/>
          <w:lang w:val="en-HK"/>
        </w:rPr>
        <w:t xml:space="preserve"> established a wide interpretation of what qualifies as a measure having an equivalent effect to a quantitative restriction (MEQR). The CJEU adopted a two-step approach:</w:t>
      </w:r>
    </w:p>
    <w:p w14:paraId="3BE35363" w14:textId="77777777" w:rsidR="00BC299D" w:rsidRPr="00BC299D" w:rsidRDefault="00BC299D" w:rsidP="00BC299D">
      <w:pPr>
        <w:numPr>
          <w:ilvl w:val="1"/>
          <w:numId w:val="1"/>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Any measure hindering trade can be classified as an obstacle.</w:t>
      </w:r>
    </w:p>
    <w:p w14:paraId="1B02D9BB" w14:textId="77777777" w:rsidR="00BC299D" w:rsidRPr="00BC299D" w:rsidRDefault="00BC299D" w:rsidP="00BC299D">
      <w:pPr>
        <w:numPr>
          <w:ilvl w:val="1"/>
          <w:numId w:val="1"/>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Justifications are permitted if they align with "mandatory requirements in the general interest" and are proportionate.</w:t>
      </w:r>
    </w:p>
    <w:p w14:paraId="57678977" w14:textId="77777777" w:rsidR="00BC299D" w:rsidRPr="00BC299D" w:rsidRDefault="00BC299D" w:rsidP="00BC299D">
      <w:pPr>
        <w:numPr>
          <w:ilvl w:val="0"/>
          <w:numId w:val="1"/>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Development of Legal Techniques</w:t>
      </w:r>
      <w:r w:rsidRPr="00BC299D">
        <w:rPr>
          <w:rFonts w:ascii="Times New Roman" w:hAnsi="Times New Roman"/>
          <w:lang w:val="en-HK"/>
        </w:rPr>
        <w:t>: Initially, the Court utilized balancing techniques through proportionality assessments, which weighed trade interests against public policy objectives. However, to avoid excessive balancing and political backlash from Member States, alternative approaches were explored.</w:t>
      </w:r>
    </w:p>
    <w:p w14:paraId="3A116C5A" w14:textId="77777777" w:rsidR="00BC299D" w:rsidRPr="00BC299D" w:rsidRDefault="00BC299D" w:rsidP="00BC299D">
      <w:pPr>
        <w:numPr>
          <w:ilvl w:val="0"/>
          <w:numId w:val="1"/>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Introduction of Categorisation</w:t>
      </w:r>
      <w:r w:rsidRPr="00BC299D">
        <w:rPr>
          <w:rFonts w:ascii="Times New Roman" w:hAnsi="Times New Roman"/>
          <w:lang w:val="en-HK"/>
        </w:rPr>
        <w:t>: Categorisation emerged as a strategy to limit the scope of trade restrictions, distinguishing between discriminatory and non-discriminatory measures, and between product requirements and selling arrangements. This marked a shift away from proportionality balancing towards defining legal boundaries.</w:t>
      </w:r>
    </w:p>
    <w:p w14:paraId="49769588"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w:t>
      </w:r>
      <w:r w:rsidRPr="00BC299D">
        <w:rPr>
          <w:rFonts w:ascii="Times New Roman" w:hAnsi="Times New Roman"/>
          <w:i/>
          <w:iCs/>
          <w:lang w:val="en-HK"/>
        </w:rPr>
        <w:t>Keck</w:t>
      </w:r>
      <w:r w:rsidRPr="00BC299D">
        <w:rPr>
          <w:rFonts w:ascii="Times New Roman" w:hAnsi="Times New Roman"/>
          <w:lang w:val="en-HK"/>
        </w:rPr>
        <w:t xml:space="preserve"> judgment introduced clarity by distinguishing selling arrangements (presumed outside Article 34 unless they affect imported goods more severely than domestic goods) from product requirements (likely to fall within Article 34).</w:t>
      </w:r>
    </w:p>
    <w:p w14:paraId="65535E44"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47F24C11">
          <v:rect id="_x0000_i1050" alt="" style="width:451.3pt;height:.05pt;mso-width-percent:0;mso-height-percent:0;mso-width-percent:0;mso-height-percent:0" o:hralign="center" o:hrstd="t" o:hr="t" fillcolor="#a0a0a0" stroked="f"/>
        </w:pict>
      </w:r>
    </w:p>
    <w:p w14:paraId="3A6EE35C"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Section 2: The Rise and Fall of the Legal Categorisation Approach</w:t>
      </w:r>
    </w:p>
    <w:p w14:paraId="0141A92D" w14:textId="34BBDC1A"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This section critically examines the </w:t>
      </w:r>
      <w:r w:rsidRPr="00BC299D">
        <w:rPr>
          <w:rFonts w:ascii="Times New Roman" w:hAnsi="Times New Roman"/>
          <w:i/>
          <w:iCs/>
          <w:lang w:val="en-HK"/>
        </w:rPr>
        <w:t>legal categorisation approach</w:t>
      </w:r>
      <w:r w:rsidRPr="00BC299D">
        <w:rPr>
          <w:rFonts w:ascii="Times New Roman" w:hAnsi="Times New Roman"/>
          <w:lang w:val="en-HK"/>
        </w:rPr>
        <w:t xml:space="preserve"> introduced by the European Court of Justice (ECJ), its evolution in EU law, and its eventual decline in </w:t>
      </w:r>
      <w:proofErr w:type="spellStart"/>
      <w:r w:rsidRPr="00BC299D">
        <w:rPr>
          <w:rFonts w:ascii="Times New Roman" w:hAnsi="Times New Roman"/>
          <w:lang w:val="en-HK"/>
        </w:rPr>
        <w:t>favor</w:t>
      </w:r>
      <w:proofErr w:type="spellEnd"/>
      <w:r w:rsidRPr="00BC299D">
        <w:rPr>
          <w:rFonts w:ascii="Times New Roman" w:hAnsi="Times New Roman"/>
          <w:lang w:val="en-HK"/>
        </w:rPr>
        <w:t xml:space="preserve"> of a more holistic market access approach. Below is a detailed breakdown based on the document, with all relevant legal and academic analysis.</w:t>
      </w:r>
    </w:p>
    <w:p w14:paraId="4F03C570"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1. The Legal Categorisation Approach: Origins and Justification</w:t>
      </w:r>
    </w:p>
    <w:p w14:paraId="5EBA4C54" w14:textId="77777777" w:rsidR="00BC299D" w:rsidRPr="00BC299D" w:rsidRDefault="00BC299D" w:rsidP="00BC299D">
      <w:pPr>
        <w:numPr>
          <w:ilvl w:val="0"/>
          <w:numId w:val="27"/>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Definition</w:t>
      </w:r>
      <w:r w:rsidRPr="00BC299D">
        <w:rPr>
          <w:rFonts w:ascii="Times New Roman" w:hAnsi="Times New Roman"/>
          <w:lang w:val="en-HK"/>
        </w:rPr>
        <w:t xml:space="preserve">: The categorisation approach was formalized in </w:t>
      </w:r>
      <w:r w:rsidRPr="00BC299D">
        <w:rPr>
          <w:rFonts w:ascii="Times New Roman" w:hAnsi="Times New Roman"/>
          <w:i/>
          <w:iCs/>
          <w:lang w:val="en-HK"/>
        </w:rPr>
        <w:t xml:space="preserve">Keck and </w:t>
      </w:r>
      <w:proofErr w:type="spellStart"/>
      <w:r w:rsidRPr="00BC299D">
        <w:rPr>
          <w:rFonts w:ascii="Times New Roman" w:hAnsi="Times New Roman"/>
          <w:i/>
          <w:iCs/>
          <w:lang w:val="en-HK"/>
        </w:rPr>
        <w:t>Mithouard</w:t>
      </w:r>
      <w:proofErr w:type="spellEnd"/>
      <w:r w:rsidRPr="00BC299D">
        <w:rPr>
          <w:rFonts w:ascii="Times New Roman" w:hAnsi="Times New Roman"/>
          <w:lang w:val="en-HK"/>
        </w:rPr>
        <w:t xml:space="preserve"> (1993), which sought to limit the overreach of Article 34 TFEU. It distinguished between two categories of measures:</w:t>
      </w:r>
    </w:p>
    <w:p w14:paraId="2C0F1460"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Product Requirements</w:t>
      </w:r>
      <w:r w:rsidRPr="00BC299D">
        <w:rPr>
          <w:rFonts w:ascii="Times New Roman" w:hAnsi="Times New Roman"/>
          <w:lang w:val="en-HK"/>
        </w:rPr>
        <w:t xml:space="preserve">: Regulations on the intrinsic characteristics of goods, such as </w:t>
      </w:r>
      <w:proofErr w:type="spellStart"/>
      <w:r w:rsidRPr="00BC299D">
        <w:rPr>
          <w:rFonts w:ascii="Times New Roman" w:hAnsi="Times New Roman"/>
          <w:lang w:val="en-HK"/>
        </w:rPr>
        <w:t>labeling</w:t>
      </w:r>
      <w:proofErr w:type="spellEnd"/>
      <w:r w:rsidRPr="00BC299D">
        <w:rPr>
          <w:rFonts w:ascii="Times New Roman" w:hAnsi="Times New Roman"/>
          <w:lang w:val="en-HK"/>
        </w:rPr>
        <w:t>, packaging, and composition.</w:t>
      </w:r>
    </w:p>
    <w:p w14:paraId="598D62E4"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lastRenderedPageBreak/>
        <w:t>Selling Arrangements</w:t>
      </w:r>
      <w:r w:rsidRPr="00BC299D">
        <w:rPr>
          <w:rFonts w:ascii="Times New Roman" w:hAnsi="Times New Roman"/>
          <w:lang w:val="en-HK"/>
        </w:rPr>
        <w:t>: Rules governing the conditions under which goods are sold, such as advertising restrictions or shop opening hours.</w:t>
      </w:r>
    </w:p>
    <w:p w14:paraId="2017B1A0" w14:textId="77777777" w:rsidR="00BC299D" w:rsidRPr="00BC299D" w:rsidRDefault="00BC299D" w:rsidP="00BC299D">
      <w:pPr>
        <w:numPr>
          <w:ilvl w:val="0"/>
          <w:numId w:val="27"/>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Objective</w:t>
      </w:r>
      <w:r w:rsidRPr="00BC299D">
        <w:rPr>
          <w:rFonts w:ascii="Times New Roman" w:hAnsi="Times New Roman"/>
          <w:lang w:val="en-HK"/>
        </w:rPr>
        <w:t xml:space="preserve">: The Court aimed to address the criticism that its earlier broad interpretation of Article 34, especially in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and </w:t>
      </w:r>
      <w:r w:rsidRPr="00BC299D">
        <w:rPr>
          <w:rFonts w:ascii="Times New Roman" w:hAnsi="Times New Roman"/>
          <w:i/>
          <w:iCs/>
          <w:lang w:val="en-HK"/>
        </w:rPr>
        <w:t>Cassis de Dijon</w:t>
      </w:r>
      <w:r w:rsidRPr="00BC299D">
        <w:rPr>
          <w:rFonts w:ascii="Times New Roman" w:hAnsi="Times New Roman"/>
          <w:lang w:val="en-HK"/>
        </w:rPr>
        <w:t>, had led to excessive judicial intervention in Member State autonomy. Lord Advocate Elwyn Jones (Cassis critique) emphasized the risk of "judicial imperialism" when trade laws overlapped too heavily with domestic policies.</w:t>
      </w:r>
    </w:p>
    <w:p w14:paraId="48061713"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5E13BEDE">
          <v:rect id="_x0000_i1049" alt="" style="width:451.3pt;height:.05pt;mso-width-percent:0;mso-height-percent:0;mso-width-percent:0;mso-height-percent:0" o:hralign="center" o:hrstd="t" o:hr="t" fillcolor="#a0a0a0" stroked="f"/>
        </w:pict>
      </w:r>
    </w:p>
    <w:p w14:paraId="2CB0067A"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2. Evolution of the Categorisation Approach</w:t>
      </w:r>
    </w:p>
    <w:p w14:paraId="77F5303D" w14:textId="77777777" w:rsidR="00BC299D" w:rsidRPr="001358F3" w:rsidRDefault="00BC299D" w:rsidP="00BC299D">
      <w:pPr>
        <w:spacing w:before="100" w:beforeAutospacing="1" w:after="100" w:afterAutospacing="1" w:line="276" w:lineRule="auto"/>
        <w:outlineLvl w:val="3"/>
        <w:rPr>
          <w:rFonts w:ascii="Times New Roman" w:hAnsi="Times New Roman"/>
          <w:b/>
          <w:bCs/>
          <w:u w:val="single"/>
          <w:lang w:val="en-HK"/>
        </w:rPr>
      </w:pPr>
      <w:r w:rsidRPr="001358F3">
        <w:rPr>
          <w:rFonts w:ascii="Times New Roman" w:hAnsi="Times New Roman"/>
          <w:b/>
          <w:bCs/>
          <w:u w:val="single"/>
          <w:lang w:val="en-HK"/>
        </w:rPr>
        <w:t>Early Broad Interpretation</w:t>
      </w:r>
    </w:p>
    <w:p w14:paraId="14487DAA" w14:textId="77777777" w:rsidR="00BC299D" w:rsidRPr="001358F3" w:rsidRDefault="00BC299D" w:rsidP="00BC299D">
      <w:pPr>
        <w:numPr>
          <w:ilvl w:val="0"/>
          <w:numId w:val="28"/>
        </w:numPr>
        <w:spacing w:before="100" w:beforeAutospacing="1" w:after="100" w:afterAutospacing="1" w:line="276" w:lineRule="auto"/>
        <w:rPr>
          <w:rFonts w:ascii="Times New Roman" w:hAnsi="Times New Roman"/>
          <w:color w:val="FF0000"/>
          <w:lang w:val="en-HK"/>
        </w:rPr>
      </w:pPr>
      <w:r w:rsidRPr="00BC299D">
        <w:rPr>
          <w:rFonts w:ascii="Times New Roman" w:hAnsi="Times New Roman"/>
          <w:lang w:val="en-HK"/>
        </w:rPr>
        <w:t xml:space="preserve">Under the broad market access approach established in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([1974] ECR 837), the ECJ ruled that “</w:t>
      </w:r>
      <w:r w:rsidRPr="001358F3">
        <w:rPr>
          <w:rFonts w:ascii="Times New Roman" w:hAnsi="Times New Roman"/>
          <w:color w:val="FF0000"/>
          <w:lang w:val="en-HK"/>
        </w:rPr>
        <w:t>any measure capable of hindering intra-EU trade, directly or indirectly, actually or potentially, falls within the scope of Article 34.”</w:t>
      </w:r>
    </w:p>
    <w:p w14:paraId="3C098CA5" w14:textId="77777777" w:rsidR="00BC299D" w:rsidRPr="00BC299D" w:rsidRDefault="00BC299D" w:rsidP="00BC299D">
      <w:pPr>
        <w:numPr>
          <w:ilvl w:val="0"/>
          <w:numId w:val="28"/>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This interpretation was further expanded in </w:t>
      </w:r>
      <w:r w:rsidRPr="00BC299D">
        <w:rPr>
          <w:rFonts w:ascii="Times New Roman" w:hAnsi="Times New Roman"/>
          <w:i/>
          <w:iCs/>
          <w:lang w:val="en-HK"/>
        </w:rPr>
        <w:t>Cassis de Dijon</w:t>
      </w:r>
      <w:r w:rsidRPr="00BC299D">
        <w:rPr>
          <w:rFonts w:ascii="Times New Roman" w:hAnsi="Times New Roman"/>
          <w:lang w:val="en-HK"/>
        </w:rPr>
        <w:t xml:space="preserve"> ([1979] ECR 649), which introduced:</w:t>
      </w:r>
    </w:p>
    <w:p w14:paraId="55655E05"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The Principle of Mutual Recognition</w:t>
      </w:r>
      <w:r w:rsidRPr="00BC299D">
        <w:rPr>
          <w:rFonts w:ascii="Times New Roman" w:hAnsi="Times New Roman"/>
          <w:lang w:val="en-HK"/>
        </w:rPr>
        <w:t>: Goods lawfully produced in one Member State should be freely sold in another.</w:t>
      </w:r>
    </w:p>
    <w:p w14:paraId="2CD4DBFB"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Mandatory Requirements</w:t>
      </w:r>
      <w:r w:rsidRPr="00BC299D">
        <w:rPr>
          <w:rFonts w:ascii="Times New Roman" w:hAnsi="Times New Roman"/>
          <w:lang w:val="en-HK"/>
        </w:rPr>
        <w:t>: Allowed justifications for restrictions, such as public health, safety, and consumer protection.</w:t>
      </w:r>
    </w:p>
    <w:p w14:paraId="7D07F0D1"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 xml:space="preserve">Keck and </w:t>
      </w:r>
      <w:proofErr w:type="spellStart"/>
      <w:r w:rsidRPr="00BC299D">
        <w:rPr>
          <w:rFonts w:ascii="Times New Roman" w:hAnsi="Times New Roman"/>
          <w:b/>
          <w:bCs/>
          <w:lang w:val="en-HK"/>
        </w:rPr>
        <w:t>Mithouard’s</w:t>
      </w:r>
      <w:proofErr w:type="spellEnd"/>
      <w:r w:rsidRPr="00BC299D">
        <w:rPr>
          <w:rFonts w:ascii="Times New Roman" w:hAnsi="Times New Roman"/>
          <w:b/>
          <w:bCs/>
          <w:lang w:val="en-HK"/>
        </w:rPr>
        <w:t xml:space="preserve"> Response</w:t>
      </w:r>
    </w:p>
    <w:p w14:paraId="34AE6A74" w14:textId="77777777" w:rsidR="00BC299D" w:rsidRPr="00BC299D" w:rsidRDefault="00BC299D" w:rsidP="00BC299D">
      <w:pPr>
        <w:numPr>
          <w:ilvl w:val="0"/>
          <w:numId w:val="29"/>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In </w:t>
      </w:r>
      <w:r w:rsidRPr="00BC299D">
        <w:rPr>
          <w:rFonts w:ascii="Times New Roman" w:hAnsi="Times New Roman"/>
          <w:i/>
          <w:iCs/>
          <w:lang w:val="en-HK"/>
        </w:rPr>
        <w:t xml:space="preserve">Keck and </w:t>
      </w:r>
      <w:proofErr w:type="spellStart"/>
      <w:r w:rsidRPr="00BC299D">
        <w:rPr>
          <w:rFonts w:ascii="Times New Roman" w:hAnsi="Times New Roman"/>
          <w:i/>
          <w:iCs/>
          <w:lang w:val="en-HK"/>
        </w:rPr>
        <w:t>Mithouard</w:t>
      </w:r>
      <w:proofErr w:type="spellEnd"/>
      <w:r w:rsidRPr="00BC299D">
        <w:rPr>
          <w:rFonts w:ascii="Times New Roman" w:hAnsi="Times New Roman"/>
          <w:lang w:val="en-HK"/>
        </w:rPr>
        <w:t xml:space="preserve"> ([1993] ECR I-6097), the Court introduced the legal categorisation approach to resolve concerns that Article 34 had become too broad and intrusive.</w:t>
      </w:r>
    </w:p>
    <w:p w14:paraId="2236A69B"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Core Holding</w:t>
      </w:r>
      <w:r w:rsidRPr="00BC299D">
        <w:rPr>
          <w:rFonts w:ascii="Times New Roman" w:hAnsi="Times New Roman"/>
          <w:lang w:val="en-HK"/>
        </w:rPr>
        <w:t>: National measures that apply equally to all traders and regulate "selling arrangements" do not fall within Article 34, provided they do not discriminate in law or fact.</w:t>
      </w:r>
    </w:p>
    <w:p w14:paraId="25A24035"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Illustration</w:t>
      </w:r>
      <w:r w:rsidRPr="00BC299D">
        <w:rPr>
          <w:rFonts w:ascii="Times New Roman" w:hAnsi="Times New Roman"/>
          <w:lang w:val="en-HK"/>
        </w:rPr>
        <w:t>: A French law prohibiting resale below cost was held to regulate selling arrangements and therefore did not constitute a breach of Article 34.</w:t>
      </w:r>
    </w:p>
    <w:p w14:paraId="5C85F80F" w14:textId="77777777" w:rsidR="00BC299D" w:rsidRPr="00BC299D" w:rsidRDefault="00BC299D" w:rsidP="00BC299D">
      <w:pPr>
        <w:numPr>
          <w:ilvl w:val="0"/>
          <w:numId w:val="29"/>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Justification for Categorisation</w:t>
      </w:r>
      <w:r w:rsidRPr="00BC299D">
        <w:rPr>
          <w:rFonts w:ascii="Times New Roman" w:hAnsi="Times New Roman"/>
          <w:lang w:val="en-HK"/>
        </w:rPr>
        <w:t>:</w:t>
      </w:r>
    </w:p>
    <w:p w14:paraId="1A8A4A3E" w14:textId="77777777" w:rsidR="00BC299D" w:rsidRPr="00BC299D" w:rsidRDefault="00BC299D" w:rsidP="00BC299D">
      <w:pPr>
        <w:numPr>
          <w:ilvl w:val="1"/>
          <w:numId w:val="29"/>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It limited Article 34’s reach to measures that genuinely impeded trade.</w:t>
      </w:r>
    </w:p>
    <w:p w14:paraId="464EEA7D" w14:textId="77777777" w:rsidR="00BC299D" w:rsidRPr="00BC299D" w:rsidRDefault="00BC299D" w:rsidP="00BC299D">
      <w:pPr>
        <w:numPr>
          <w:ilvl w:val="1"/>
          <w:numId w:val="29"/>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It preserved Member State autonomy over regulations that did not directly target cross-border trade.</w:t>
      </w:r>
    </w:p>
    <w:p w14:paraId="5C869F91"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368E43E2">
          <v:rect id="_x0000_i1048" alt="" style="width:451.3pt;height:.05pt;mso-width-percent:0;mso-height-percent:0;mso-width-percent:0;mso-height-percent:0" o:hralign="center" o:hrstd="t" o:hr="t" fillcolor="#a0a0a0" stroked="f"/>
        </w:pict>
      </w:r>
    </w:p>
    <w:p w14:paraId="33A45591"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lastRenderedPageBreak/>
        <w:t>3. Criticisms of the Legal Categorisation Approach</w:t>
      </w:r>
    </w:p>
    <w:p w14:paraId="427377FD"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Unclear Distinction Between Categories</w:t>
      </w:r>
    </w:p>
    <w:p w14:paraId="62CEF65B" w14:textId="77777777" w:rsidR="00BC299D" w:rsidRPr="001358F3" w:rsidRDefault="00BC299D" w:rsidP="00BC299D">
      <w:pPr>
        <w:numPr>
          <w:ilvl w:val="0"/>
          <w:numId w:val="30"/>
        </w:numPr>
        <w:spacing w:before="100" w:beforeAutospacing="1" w:after="100" w:afterAutospacing="1" w:line="276" w:lineRule="auto"/>
        <w:rPr>
          <w:rFonts w:ascii="Times New Roman" w:hAnsi="Times New Roman"/>
          <w:b/>
          <w:bCs/>
          <w:highlight w:val="yellow"/>
          <w:lang w:val="en-HK"/>
        </w:rPr>
      </w:pPr>
      <w:r w:rsidRPr="00BC299D">
        <w:rPr>
          <w:rFonts w:ascii="Times New Roman" w:hAnsi="Times New Roman"/>
          <w:lang w:val="en-HK"/>
        </w:rPr>
        <w:t xml:space="preserve">The categorisation approach led to </w:t>
      </w:r>
      <w:r w:rsidRPr="001358F3">
        <w:rPr>
          <w:rFonts w:ascii="Times New Roman" w:hAnsi="Times New Roman"/>
          <w:b/>
          <w:bCs/>
          <w:highlight w:val="yellow"/>
          <w:lang w:val="en-HK"/>
        </w:rPr>
        <w:t>confusion over what constitutes a "selling arrangement" versus a "product requirement."</w:t>
      </w:r>
    </w:p>
    <w:p w14:paraId="38CDEBE8" w14:textId="77777777" w:rsidR="00BC299D" w:rsidRPr="00BC299D" w:rsidRDefault="00BC299D" w:rsidP="00BC299D">
      <w:pPr>
        <w:numPr>
          <w:ilvl w:val="0"/>
          <w:numId w:val="30"/>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Cases such as </w:t>
      </w:r>
      <w:r w:rsidRPr="00BC299D">
        <w:rPr>
          <w:rFonts w:ascii="Times New Roman" w:hAnsi="Times New Roman"/>
          <w:i/>
          <w:iCs/>
          <w:lang w:val="en-HK"/>
        </w:rPr>
        <w:t>Gourmet International Products</w:t>
      </w:r>
      <w:r w:rsidRPr="00BC299D">
        <w:rPr>
          <w:rFonts w:ascii="Times New Roman" w:hAnsi="Times New Roman"/>
          <w:lang w:val="en-HK"/>
        </w:rPr>
        <w:t xml:space="preserve"> ([2001] ECR I-1795) demonstrated this ambiguity. The Swedish advertising ban on alcohol was deemed a selling arrangement but had a de facto discriminatory effect, thus falling under Article 34.</w:t>
      </w:r>
    </w:p>
    <w:p w14:paraId="4EDFFDDE"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Fragmentation of Case Law</w:t>
      </w:r>
    </w:p>
    <w:p w14:paraId="021B1EA5" w14:textId="77777777" w:rsidR="00BC299D" w:rsidRPr="00BC299D" w:rsidRDefault="00BC299D" w:rsidP="00BC299D">
      <w:pPr>
        <w:numPr>
          <w:ilvl w:val="0"/>
          <w:numId w:val="31"/>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As noted by </w:t>
      </w:r>
      <w:proofErr w:type="spellStart"/>
      <w:r w:rsidRPr="00BC299D">
        <w:rPr>
          <w:rFonts w:ascii="Times New Roman" w:hAnsi="Times New Roman"/>
          <w:lang w:val="en-HK"/>
        </w:rPr>
        <w:t>Lianos</w:t>
      </w:r>
      <w:proofErr w:type="spellEnd"/>
      <w:r w:rsidRPr="00BC299D">
        <w:rPr>
          <w:rFonts w:ascii="Times New Roman" w:hAnsi="Times New Roman"/>
          <w:lang w:val="en-HK"/>
        </w:rPr>
        <w:t xml:space="preserve"> in the document, the rigid categorisation created a fragmented and inconsistent body of jurisprudence. Courts often struggled to apply the criteria uniformly, leading to unpredictable outcomes.</w:t>
      </w:r>
    </w:p>
    <w:p w14:paraId="6573501E"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Over-Emphasis on Formal Equality</w:t>
      </w:r>
    </w:p>
    <w:p w14:paraId="13D5873D"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While the approach aimed to respect Member State sovereignty, it ignored the broader economic impact of ostensibly neutral rules. For example:</w:t>
      </w:r>
    </w:p>
    <w:p w14:paraId="01B1EEB4"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In </w:t>
      </w:r>
      <w:r w:rsidRPr="00BC299D">
        <w:rPr>
          <w:rFonts w:ascii="Times New Roman" w:hAnsi="Times New Roman"/>
          <w:i/>
          <w:iCs/>
          <w:lang w:val="en-HK"/>
        </w:rPr>
        <w:t>Commission v. Italy (Trailers)</w:t>
      </w:r>
      <w:r w:rsidRPr="00BC299D">
        <w:rPr>
          <w:rFonts w:ascii="Times New Roman" w:hAnsi="Times New Roman"/>
          <w:lang w:val="en-HK"/>
        </w:rPr>
        <w:t xml:space="preserve"> ([2009] ECR I-519), the restriction on trailers was initially framed as a selling arrangement but was later reclassified under product requirements due to its significant trade impact.</w:t>
      </w:r>
    </w:p>
    <w:p w14:paraId="221F2411"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0ACF0AE6">
          <v:rect id="_x0000_i1047" alt="" style="width:451.3pt;height:.05pt;mso-width-percent:0;mso-height-percent:0;mso-width-percent:0;mso-height-percent:0" o:hralign="center" o:hrstd="t" o:hr="t" fillcolor="#a0a0a0" stroked="f"/>
        </w:pict>
      </w:r>
    </w:p>
    <w:p w14:paraId="1FB76E41"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4. The Fall of the Categorisation Approach</w:t>
      </w:r>
    </w:p>
    <w:p w14:paraId="5B0D886E"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Judicial Shift Post-</w:t>
      </w:r>
      <w:r w:rsidRPr="00BC299D">
        <w:rPr>
          <w:rFonts w:ascii="Times New Roman" w:hAnsi="Times New Roman"/>
          <w:b/>
          <w:bCs/>
          <w:i/>
          <w:iCs/>
          <w:lang w:val="en-HK"/>
        </w:rPr>
        <w:t>Keck</w:t>
      </w:r>
    </w:p>
    <w:p w14:paraId="3137D57B"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ECJ began moving away from rigid categorisation in cases such as </w:t>
      </w:r>
      <w:r w:rsidRPr="00BC299D">
        <w:rPr>
          <w:rFonts w:ascii="Times New Roman" w:hAnsi="Times New Roman"/>
          <w:i/>
          <w:iCs/>
          <w:lang w:val="en-HK"/>
        </w:rPr>
        <w:t>De Agostini</w:t>
      </w:r>
      <w:r w:rsidRPr="00BC299D">
        <w:rPr>
          <w:rFonts w:ascii="Times New Roman" w:hAnsi="Times New Roman"/>
          <w:lang w:val="en-HK"/>
        </w:rPr>
        <w:t xml:space="preserve"> ([1997] ECR I-3843) and </w:t>
      </w:r>
      <w:r w:rsidRPr="00BC299D">
        <w:rPr>
          <w:rFonts w:ascii="Times New Roman" w:hAnsi="Times New Roman"/>
          <w:i/>
          <w:iCs/>
          <w:lang w:val="en-HK"/>
        </w:rPr>
        <w:t>Alpine Investments</w:t>
      </w:r>
      <w:r w:rsidRPr="00BC299D">
        <w:rPr>
          <w:rFonts w:ascii="Times New Roman" w:hAnsi="Times New Roman"/>
          <w:lang w:val="en-HK"/>
        </w:rPr>
        <w:t xml:space="preserve"> ([1995] ECR I-1141), where it focused on the actual market impact of national rules rather than their formal classification.</w:t>
      </w:r>
    </w:p>
    <w:p w14:paraId="46058A47" w14:textId="77777777" w:rsidR="00BC299D" w:rsidRPr="00BC299D" w:rsidRDefault="00BC299D" w:rsidP="00BC299D">
      <w:p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i/>
          <w:iCs/>
          <w:lang w:val="en-HK"/>
        </w:rPr>
        <w:t>Mickelsson</w:t>
      </w:r>
      <w:proofErr w:type="spellEnd"/>
      <w:r w:rsidRPr="00BC299D">
        <w:rPr>
          <w:rFonts w:ascii="Times New Roman" w:hAnsi="Times New Roman"/>
          <w:i/>
          <w:iCs/>
          <w:lang w:val="en-HK"/>
        </w:rPr>
        <w:t xml:space="preserve"> and </w:t>
      </w:r>
      <w:proofErr w:type="spellStart"/>
      <w:r w:rsidRPr="00BC299D">
        <w:rPr>
          <w:rFonts w:ascii="Times New Roman" w:hAnsi="Times New Roman"/>
          <w:i/>
          <w:iCs/>
          <w:lang w:val="en-HK"/>
        </w:rPr>
        <w:t>Roos</w:t>
      </w:r>
      <w:proofErr w:type="spellEnd"/>
      <w:r w:rsidRPr="00BC299D">
        <w:rPr>
          <w:rFonts w:ascii="Times New Roman" w:hAnsi="Times New Roman"/>
          <w:lang w:val="en-HK"/>
        </w:rPr>
        <w:t xml:space="preserve"> ([2009] ECR I-4273) exemplifies this trend. The Swedish ban on jet skis in certain waterways was treated as a product-related measure because it restricted access to the market, blurring the line between product requirements and selling arrangements.</w:t>
      </w:r>
    </w:p>
    <w:p w14:paraId="5D96A147"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Critiques by Scholars and Lords</w:t>
      </w:r>
    </w:p>
    <w:p w14:paraId="76B618AD" w14:textId="77777777" w:rsidR="00BC299D" w:rsidRPr="00BC299D" w:rsidRDefault="00BC299D" w:rsidP="00BC299D">
      <w:p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b/>
          <w:bCs/>
          <w:lang w:val="en-HK"/>
        </w:rPr>
        <w:t>Lianos</w:t>
      </w:r>
      <w:proofErr w:type="spellEnd"/>
      <w:r w:rsidRPr="00BC299D">
        <w:rPr>
          <w:rFonts w:ascii="Times New Roman" w:hAnsi="Times New Roman"/>
          <w:lang w:val="en-HK"/>
        </w:rPr>
        <w:t>: The categorisation approach failed to adapt to the economic realities of the internal market, where selling arrangements often have significant cross-border implications. He described it as a "conceptual straitjacket" that hindered the development of coherent trade law.</w:t>
      </w:r>
    </w:p>
    <w:p w14:paraId="42DD96AA"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lastRenderedPageBreak/>
        <w:t>Lord Bridge (CJEU Advocate)</w:t>
      </w:r>
      <w:r w:rsidRPr="00BC299D">
        <w:rPr>
          <w:rFonts w:ascii="Times New Roman" w:hAnsi="Times New Roman"/>
          <w:lang w:val="en-HK"/>
        </w:rPr>
        <w:t>: Highlighted the need for a functionalist approach that examines the practical effects of measures on market access, rather than adhering to rigid legal distinctions.</w:t>
      </w:r>
    </w:p>
    <w:p w14:paraId="49E9CE4D"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43E1CC35">
          <v:rect id="_x0000_i1046" alt="" style="width:451.3pt;height:.05pt;mso-width-percent:0;mso-height-percent:0;mso-width-percent:0;mso-height-percent:0" o:hralign="center" o:hrstd="t" o:hr="t" fillcolor="#a0a0a0" stroked="f"/>
        </w:pict>
      </w:r>
    </w:p>
    <w:p w14:paraId="299C31F2"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 xml:space="preserve">5. Relevance of </w:t>
      </w:r>
      <w:proofErr w:type="spellStart"/>
      <w:r w:rsidRPr="00BC299D">
        <w:rPr>
          <w:rFonts w:ascii="Times New Roman" w:hAnsi="Times New Roman"/>
          <w:b/>
          <w:bCs/>
          <w:i/>
          <w:iCs/>
          <w:lang w:val="en-HK"/>
        </w:rPr>
        <w:t>Dassonville</w:t>
      </w:r>
      <w:proofErr w:type="spellEnd"/>
      <w:r w:rsidRPr="00BC299D">
        <w:rPr>
          <w:rFonts w:ascii="Times New Roman" w:hAnsi="Times New Roman"/>
          <w:b/>
          <w:bCs/>
          <w:lang w:val="en-HK"/>
        </w:rPr>
        <w:t xml:space="preserve"> and </w:t>
      </w:r>
      <w:r w:rsidRPr="00BC299D">
        <w:rPr>
          <w:rFonts w:ascii="Times New Roman" w:hAnsi="Times New Roman"/>
          <w:b/>
          <w:bCs/>
          <w:i/>
          <w:iCs/>
          <w:lang w:val="en-HK"/>
        </w:rPr>
        <w:t>Cassis</w:t>
      </w:r>
      <w:r w:rsidRPr="00BC299D">
        <w:rPr>
          <w:rFonts w:ascii="Times New Roman" w:hAnsi="Times New Roman"/>
          <w:b/>
          <w:bCs/>
          <w:lang w:val="en-HK"/>
        </w:rPr>
        <w:t xml:space="preserve"> in the Post-</w:t>
      </w:r>
      <w:r w:rsidRPr="00BC299D">
        <w:rPr>
          <w:rFonts w:ascii="Times New Roman" w:hAnsi="Times New Roman"/>
          <w:b/>
          <w:bCs/>
          <w:i/>
          <w:iCs/>
          <w:lang w:val="en-HK"/>
        </w:rPr>
        <w:t>Keck</w:t>
      </w:r>
      <w:r w:rsidRPr="00BC299D">
        <w:rPr>
          <w:rFonts w:ascii="Times New Roman" w:hAnsi="Times New Roman"/>
          <w:b/>
          <w:bCs/>
          <w:lang w:val="en-HK"/>
        </w:rPr>
        <w:t xml:space="preserve"> Era</w:t>
      </w:r>
    </w:p>
    <w:p w14:paraId="6834DFD0"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conclusion of this section ties back to the foundational principles established in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and </w:t>
      </w:r>
      <w:r w:rsidRPr="00BC299D">
        <w:rPr>
          <w:rFonts w:ascii="Times New Roman" w:hAnsi="Times New Roman"/>
          <w:i/>
          <w:iCs/>
          <w:lang w:val="en-HK"/>
        </w:rPr>
        <w:t>Cassis de Dijon</w:t>
      </w:r>
      <w:r w:rsidRPr="00BC299D">
        <w:rPr>
          <w:rFonts w:ascii="Times New Roman" w:hAnsi="Times New Roman"/>
          <w:lang w:val="en-HK"/>
        </w:rPr>
        <w:t xml:space="preserve">. The document argues that the Court’s recent rulings, such as </w:t>
      </w:r>
      <w:r w:rsidRPr="00BC299D">
        <w:rPr>
          <w:rFonts w:ascii="Times New Roman" w:hAnsi="Times New Roman"/>
          <w:i/>
          <w:iCs/>
          <w:lang w:val="en-HK"/>
        </w:rPr>
        <w:t>Commission v. Italy</w:t>
      </w:r>
      <w:r w:rsidRPr="00BC299D">
        <w:rPr>
          <w:rFonts w:ascii="Times New Roman" w:hAnsi="Times New Roman"/>
          <w:lang w:val="en-HK"/>
        </w:rPr>
        <w:t xml:space="preserve"> and </w:t>
      </w:r>
      <w:r w:rsidRPr="00BC299D">
        <w:rPr>
          <w:rFonts w:ascii="Times New Roman" w:hAnsi="Times New Roman"/>
          <w:i/>
          <w:iCs/>
          <w:lang w:val="en-HK"/>
        </w:rPr>
        <w:t>Scotch Whisky Association</w:t>
      </w:r>
      <w:r w:rsidRPr="00BC299D">
        <w:rPr>
          <w:rFonts w:ascii="Times New Roman" w:hAnsi="Times New Roman"/>
          <w:lang w:val="en-HK"/>
        </w:rPr>
        <w:t>, signal a return to these principles:</w:t>
      </w:r>
    </w:p>
    <w:p w14:paraId="3F87F75F" w14:textId="2B0BF26E"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Any measure that hinders market access, irrespective of its formal classification, falls within the scope of Article 34 unless it can be justified under Article 36 or mandatory requirements.</w:t>
      </w:r>
    </w:p>
    <w:p w14:paraId="1CB747C3"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355D0935">
          <v:rect id="_x0000_i1045" alt="" style="width:451.3pt;height:.05pt;mso-width-percent:0;mso-height-percent:0;mso-width-percent:0;mso-height-percent:0" o:hralign="center" o:hrstd="t" o:hr="t" fillcolor="#a0a0a0" stroked="f"/>
        </w:pict>
      </w:r>
    </w:p>
    <w:p w14:paraId="0C040D3B"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 xml:space="preserve">3. The Return of </w:t>
      </w:r>
      <w:proofErr w:type="spellStart"/>
      <w:r w:rsidRPr="00BC299D">
        <w:rPr>
          <w:rFonts w:ascii="Times New Roman" w:hAnsi="Times New Roman"/>
          <w:b/>
          <w:bCs/>
          <w:lang w:val="en-HK"/>
        </w:rPr>
        <w:t>Dassonville</w:t>
      </w:r>
      <w:proofErr w:type="spellEnd"/>
      <w:r w:rsidRPr="00BC299D">
        <w:rPr>
          <w:rFonts w:ascii="Times New Roman" w:hAnsi="Times New Roman"/>
          <w:b/>
          <w:bCs/>
          <w:lang w:val="en-HK"/>
        </w:rPr>
        <w:t>, Demand-Side Style—The End of the "Categorisation" Approach?</w:t>
      </w:r>
    </w:p>
    <w:p w14:paraId="439F5AD1" w14:textId="53F60F72"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This section discusses the gradual departure from the categorisation approach established in </w:t>
      </w:r>
      <w:r w:rsidRPr="00BC299D">
        <w:rPr>
          <w:rFonts w:ascii="Times New Roman" w:hAnsi="Times New Roman"/>
          <w:i/>
          <w:iCs/>
          <w:lang w:val="en-HK"/>
        </w:rPr>
        <w:t>Keck</w:t>
      </w:r>
      <w:r w:rsidRPr="00BC299D">
        <w:rPr>
          <w:rFonts w:ascii="Times New Roman" w:hAnsi="Times New Roman"/>
          <w:lang w:val="en-HK"/>
        </w:rPr>
        <w:t xml:space="preserve"> and the re-emergence of a broader, market access-based perspective, inspired by the foundational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judgment. The discussion focuses on the shift from a rigid legal framework to a more flexible approach that accounts for the impact of national measures on consumer demand and market access.</w:t>
      </w:r>
    </w:p>
    <w:p w14:paraId="536BE628"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The Critique of Categorisation:</w:t>
      </w:r>
    </w:p>
    <w:p w14:paraId="6D696B63"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limitations of </w:t>
      </w:r>
      <w:r w:rsidRPr="00BC299D">
        <w:rPr>
          <w:rFonts w:ascii="Times New Roman" w:hAnsi="Times New Roman"/>
          <w:i/>
          <w:iCs/>
          <w:lang w:val="en-HK"/>
        </w:rPr>
        <w:t>Keck</w:t>
      </w:r>
      <w:r w:rsidRPr="00BC299D">
        <w:rPr>
          <w:rFonts w:ascii="Times New Roman" w:hAnsi="Times New Roman"/>
          <w:lang w:val="en-HK"/>
        </w:rPr>
        <w:t xml:space="preserve">’s categorisation approach prompted the Court to revisit </w:t>
      </w:r>
      <w:proofErr w:type="spellStart"/>
      <w:r w:rsidRPr="00BC299D">
        <w:rPr>
          <w:rFonts w:ascii="Times New Roman" w:hAnsi="Times New Roman"/>
          <w:i/>
          <w:iCs/>
          <w:lang w:val="en-HK"/>
        </w:rPr>
        <w:t>Dassonville</w:t>
      </w:r>
      <w:r w:rsidRPr="00BC299D">
        <w:rPr>
          <w:rFonts w:ascii="Times New Roman" w:hAnsi="Times New Roman"/>
          <w:lang w:val="en-HK"/>
        </w:rPr>
        <w:t>’s</w:t>
      </w:r>
      <w:proofErr w:type="spellEnd"/>
      <w:r w:rsidRPr="00BC299D">
        <w:rPr>
          <w:rFonts w:ascii="Times New Roman" w:hAnsi="Times New Roman"/>
          <w:lang w:val="en-HK"/>
        </w:rPr>
        <w:t xml:space="preserve"> original broad definition of MEQRs (measures equivalent to quantitative restrictions).</w:t>
      </w:r>
    </w:p>
    <w:p w14:paraId="0049B386"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Critics of categorisation argued that it overly focused on the formal distinction between product requirements and selling arrangements, rather than addressing the substantive impact on market access.</w:t>
      </w:r>
    </w:p>
    <w:p w14:paraId="2678C737"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Economic Critique</w:t>
      </w:r>
      <w:r w:rsidRPr="00BC299D">
        <w:rPr>
          <w:rFonts w:ascii="Times New Roman" w:hAnsi="Times New Roman"/>
          <w:lang w:val="en-HK"/>
        </w:rPr>
        <w:t>:</w:t>
      </w:r>
    </w:p>
    <w:p w14:paraId="027F50EB"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Categorisation ignored the demand-side effects of regulations, such as how restrictions influence consumer choices and market structures.</w:t>
      </w:r>
    </w:p>
    <w:p w14:paraId="694FF141"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focus on "neutral rules" under </w:t>
      </w:r>
      <w:r w:rsidRPr="00BC299D">
        <w:rPr>
          <w:rFonts w:ascii="Times New Roman" w:hAnsi="Times New Roman"/>
          <w:i/>
          <w:iCs/>
          <w:lang w:val="en-HK"/>
        </w:rPr>
        <w:t>Keck</w:t>
      </w:r>
      <w:r w:rsidRPr="00BC299D">
        <w:rPr>
          <w:rFonts w:ascii="Times New Roman" w:hAnsi="Times New Roman"/>
          <w:lang w:val="en-HK"/>
        </w:rPr>
        <w:t xml:space="preserve"> often disregarded hidden trade barriers caused by selling arrangements, such as advertising bans or restrictions on shop locations.</w:t>
      </w:r>
    </w:p>
    <w:p w14:paraId="3AE73910"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36CB1DC2">
          <v:rect id="_x0000_i1044" alt="" style="width:451.3pt;height:.05pt;mso-width-percent:0;mso-height-percent:0;mso-width-percent:0;mso-height-percent:0" o:hralign="center" o:hrstd="t" o:hr="t" fillcolor="#a0a0a0" stroked="f"/>
        </w:pict>
      </w:r>
    </w:p>
    <w:p w14:paraId="5384DB40"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lastRenderedPageBreak/>
        <w:t>Key Case Law Indicating a Shift:</w:t>
      </w:r>
    </w:p>
    <w:p w14:paraId="2ADC082F" w14:textId="77777777" w:rsidR="00BC299D" w:rsidRPr="00BC299D" w:rsidRDefault="00BC299D" w:rsidP="00BC299D">
      <w:pPr>
        <w:numPr>
          <w:ilvl w:val="0"/>
          <w:numId w:val="8"/>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 xml:space="preserve">Case C-110/05 </w:t>
      </w:r>
      <w:r w:rsidRPr="00BC299D">
        <w:rPr>
          <w:rFonts w:ascii="Times New Roman" w:hAnsi="Times New Roman"/>
          <w:b/>
          <w:bCs/>
          <w:i/>
          <w:iCs/>
          <w:lang w:val="en-HK"/>
        </w:rPr>
        <w:t>Commission v. Italy</w:t>
      </w:r>
      <w:r w:rsidRPr="00BC299D">
        <w:rPr>
          <w:rFonts w:ascii="Times New Roman" w:hAnsi="Times New Roman"/>
          <w:b/>
          <w:bCs/>
          <w:lang w:val="en-HK"/>
        </w:rPr>
        <w:t xml:space="preserve"> ("Trailers Case")</w:t>
      </w:r>
      <w:r w:rsidRPr="00BC299D">
        <w:rPr>
          <w:rFonts w:ascii="Times New Roman" w:hAnsi="Times New Roman"/>
          <w:lang w:val="en-HK"/>
        </w:rPr>
        <w:t>:</w:t>
      </w:r>
    </w:p>
    <w:p w14:paraId="5632B60F"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This case concerned an Italian ban on motorcycles towing trailers. Although the rule applied equally to domestic and imported goods, it was found to hinder market access.</w:t>
      </w:r>
    </w:p>
    <w:p w14:paraId="727F461F"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Ruling</w:t>
      </w:r>
      <w:r w:rsidRPr="00BC299D">
        <w:rPr>
          <w:rFonts w:ascii="Times New Roman" w:hAnsi="Times New Roman"/>
          <w:lang w:val="en-HK"/>
        </w:rPr>
        <w:t>:</w:t>
      </w:r>
    </w:p>
    <w:p w14:paraId="17B209F3" w14:textId="77777777" w:rsidR="00BC299D" w:rsidRPr="00BC299D" w:rsidRDefault="00BC299D" w:rsidP="00BC299D">
      <w:pPr>
        <w:numPr>
          <w:ilvl w:val="2"/>
          <w:numId w:val="8"/>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held that restrictions on market access fall within Article 34 TFEU, even if the measure is non-discriminatory.</w:t>
      </w:r>
    </w:p>
    <w:p w14:paraId="24347E54" w14:textId="77777777" w:rsidR="00BC299D" w:rsidRPr="00BC299D" w:rsidRDefault="00BC299D" w:rsidP="00BC299D">
      <w:pPr>
        <w:numPr>
          <w:ilvl w:val="2"/>
          <w:numId w:val="8"/>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It extended the scope of Article 34 to include regulations impacting consumer </w:t>
      </w:r>
      <w:proofErr w:type="spellStart"/>
      <w:r w:rsidRPr="00BC299D">
        <w:rPr>
          <w:rFonts w:ascii="Times New Roman" w:hAnsi="Times New Roman"/>
          <w:lang w:val="en-HK"/>
        </w:rPr>
        <w:t>behavior</w:t>
      </w:r>
      <w:proofErr w:type="spellEnd"/>
      <w:r w:rsidRPr="00BC299D">
        <w:rPr>
          <w:rFonts w:ascii="Times New Roman" w:hAnsi="Times New Roman"/>
          <w:lang w:val="en-HK"/>
        </w:rPr>
        <w:t xml:space="preserve"> and market demand.</w:t>
      </w:r>
    </w:p>
    <w:p w14:paraId="0CDF2832"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Scholarly Commentary</w:t>
      </w:r>
      <w:r w:rsidRPr="00BC299D">
        <w:rPr>
          <w:rFonts w:ascii="Times New Roman" w:hAnsi="Times New Roman"/>
          <w:lang w:val="en-HK"/>
        </w:rPr>
        <w:t>:</w:t>
      </w:r>
    </w:p>
    <w:p w14:paraId="6815CB2C" w14:textId="77777777" w:rsidR="00BC299D" w:rsidRPr="00BC299D" w:rsidRDefault="00BC299D" w:rsidP="00BC299D">
      <w:p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lang w:val="en-HK"/>
        </w:rPr>
        <w:t>Lianos</w:t>
      </w:r>
      <w:proofErr w:type="spellEnd"/>
      <w:r w:rsidRPr="00BC299D">
        <w:rPr>
          <w:rFonts w:ascii="Times New Roman" w:hAnsi="Times New Roman"/>
          <w:lang w:val="en-HK"/>
        </w:rPr>
        <w:t xml:space="preserve"> notes that the </w:t>
      </w:r>
      <w:r w:rsidRPr="00BC299D">
        <w:rPr>
          <w:rFonts w:ascii="Times New Roman" w:hAnsi="Times New Roman"/>
          <w:i/>
          <w:iCs/>
          <w:lang w:val="en-HK"/>
        </w:rPr>
        <w:t>Trailers</w:t>
      </w:r>
      <w:r w:rsidRPr="00BC299D">
        <w:rPr>
          <w:rFonts w:ascii="Times New Roman" w:hAnsi="Times New Roman"/>
          <w:lang w:val="en-HK"/>
        </w:rPr>
        <w:t xml:space="preserve"> case marked a departure from </w:t>
      </w:r>
      <w:r w:rsidRPr="00BC299D">
        <w:rPr>
          <w:rFonts w:ascii="Times New Roman" w:hAnsi="Times New Roman"/>
          <w:i/>
          <w:iCs/>
          <w:lang w:val="en-HK"/>
        </w:rPr>
        <w:t>Keck</w:t>
      </w:r>
      <w:r w:rsidRPr="00BC299D">
        <w:rPr>
          <w:rFonts w:ascii="Times New Roman" w:hAnsi="Times New Roman"/>
          <w:lang w:val="en-HK"/>
        </w:rPr>
        <w:t xml:space="preserve"> by rejecting formal categorisation in </w:t>
      </w:r>
      <w:proofErr w:type="spellStart"/>
      <w:r w:rsidRPr="00BC299D">
        <w:rPr>
          <w:rFonts w:ascii="Times New Roman" w:hAnsi="Times New Roman"/>
          <w:lang w:val="en-HK"/>
        </w:rPr>
        <w:t>favor</w:t>
      </w:r>
      <w:proofErr w:type="spellEnd"/>
      <w:r w:rsidRPr="00BC299D">
        <w:rPr>
          <w:rFonts w:ascii="Times New Roman" w:hAnsi="Times New Roman"/>
          <w:lang w:val="en-HK"/>
        </w:rPr>
        <w:t xml:space="preserve"> of a functional analysis of market access.</w:t>
      </w:r>
    </w:p>
    <w:p w14:paraId="27203BFD" w14:textId="77777777" w:rsidR="00BC299D" w:rsidRPr="00BC299D" w:rsidRDefault="00BC299D" w:rsidP="00BC299D">
      <w:pPr>
        <w:numPr>
          <w:ilvl w:val="0"/>
          <w:numId w:val="8"/>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 xml:space="preserve">Case C-142/05 </w:t>
      </w:r>
      <w:proofErr w:type="spellStart"/>
      <w:r w:rsidRPr="00BC299D">
        <w:rPr>
          <w:rFonts w:ascii="Times New Roman" w:hAnsi="Times New Roman"/>
          <w:b/>
          <w:bCs/>
          <w:i/>
          <w:iCs/>
          <w:lang w:val="en-HK"/>
        </w:rPr>
        <w:t>Mickelsson</w:t>
      </w:r>
      <w:proofErr w:type="spellEnd"/>
      <w:r w:rsidRPr="00BC299D">
        <w:rPr>
          <w:rFonts w:ascii="Times New Roman" w:hAnsi="Times New Roman"/>
          <w:b/>
          <w:bCs/>
          <w:i/>
          <w:iCs/>
          <w:lang w:val="en-HK"/>
        </w:rPr>
        <w:t xml:space="preserve"> and </w:t>
      </w:r>
      <w:proofErr w:type="spellStart"/>
      <w:r w:rsidRPr="00BC299D">
        <w:rPr>
          <w:rFonts w:ascii="Times New Roman" w:hAnsi="Times New Roman"/>
          <w:b/>
          <w:bCs/>
          <w:i/>
          <w:iCs/>
          <w:lang w:val="en-HK"/>
        </w:rPr>
        <w:t>Roos</w:t>
      </w:r>
      <w:proofErr w:type="spellEnd"/>
      <w:r w:rsidRPr="00BC299D">
        <w:rPr>
          <w:rFonts w:ascii="Times New Roman" w:hAnsi="Times New Roman"/>
          <w:lang w:val="en-HK"/>
        </w:rPr>
        <w:t>:</w:t>
      </w:r>
    </w:p>
    <w:p w14:paraId="1AAA2D0F"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This case involved Swedish regulations limiting the use of jet skis on specific waterways. Although the rules were not discriminatory, they indirectly restricted the sale of jet skis by reducing their utility.</w:t>
      </w:r>
    </w:p>
    <w:p w14:paraId="0D8F4B41"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Ruling</w:t>
      </w:r>
      <w:r w:rsidRPr="00BC299D">
        <w:rPr>
          <w:rFonts w:ascii="Times New Roman" w:hAnsi="Times New Roman"/>
          <w:lang w:val="en-HK"/>
        </w:rPr>
        <w:t>:</w:t>
      </w:r>
    </w:p>
    <w:p w14:paraId="4D46B5EF" w14:textId="77777777" w:rsidR="00BC299D" w:rsidRPr="00BC299D" w:rsidRDefault="00BC299D" w:rsidP="00BC299D">
      <w:pPr>
        <w:numPr>
          <w:ilvl w:val="2"/>
          <w:numId w:val="8"/>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applied a market access test, considering whether the rules impeded consumers’ willingness to purchase the products.</w:t>
      </w:r>
    </w:p>
    <w:p w14:paraId="2CBE69F1" w14:textId="77777777" w:rsidR="00BC299D" w:rsidRPr="00BC299D" w:rsidRDefault="00BC299D" w:rsidP="00BC299D">
      <w:pPr>
        <w:numPr>
          <w:ilvl w:val="2"/>
          <w:numId w:val="8"/>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This highlighted a demand-side focus, aligning with the broader principles of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w:t>
      </w:r>
    </w:p>
    <w:p w14:paraId="1FF30D68" w14:textId="77777777" w:rsidR="00BC299D" w:rsidRPr="00BC299D" w:rsidRDefault="00BC299D" w:rsidP="00BC299D">
      <w:pPr>
        <w:numPr>
          <w:ilvl w:val="0"/>
          <w:numId w:val="8"/>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 xml:space="preserve">Case C-333/14 </w:t>
      </w:r>
      <w:r w:rsidRPr="00BC299D">
        <w:rPr>
          <w:rFonts w:ascii="Times New Roman" w:hAnsi="Times New Roman"/>
          <w:b/>
          <w:bCs/>
          <w:i/>
          <w:iCs/>
          <w:lang w:val="en-HK"/>
        </w:rPr>
        <w:t>Scotch Whisky Association</w:t>
      </w:r>
      <w:r w:rsidRPr="00BC299D">
        <w:rPr>
          <w:rFonts w:ascii="Times New Roman" w:hAnsi="Times New Roman"/>
          <w:lang w:val="en-HK"/>
        </w:rPr>
        <w:t>:</w:t>
      </w:r>
    </w:p>
    <w:p w14:paraId="4A5613DD"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Concerned Scottish minimum alcohol pricing laws, which were challenged as disproportionately affecting imported goods.</w:t>
      </w:r>
    </w:p>
    <w:p w14:paraId="6344F141"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Ruling</w:t>
      </w:r>
      <w:r w:rsidRPr="00BC299D">
        <w:rPr>
          <w:rFonts w:ascii="Times New Roman" w:hAnsi="Times New Roman"/>
          <w:lang w:val="en-HK"/>
        </w:rPr>
        <w:t>:</w:t>
      </w:r>
    </w:p>
    <w:p w14:paraId="66E840FF"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emphasized the importance of proportionality and examined whether less trade-restrictive measures could achieve the same health objectives.</w:t>
      </w:r>
    </w:p>
    <w:p w14:paraId="77127689"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Key Takeaway</w:t>
      </w:r>
      <w:r w:rsidRPr="00BC299D">
        <w:rPr>
          <w:rFonts w:ascii="Times New Roman" w:hAnsi="Times New Roman"/>
          <w:lang w:val="en-HK"/>
        </w:rPr>
        <w:t>:</w:t>
      </w:r>
    </w:p>
    <w:p w14:paraId="1A5A684C"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case reflected the broader return to assessing the actual impact of rules on market access, moving beyond rigid categorisation.</w:t>
      </w:r>
    </w:p>
    <w:p w14:paraId="195FEF1F"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lastRenderedPageBreak/>
        <w:pict w14:anchorId="29416EB9">
          <v:rect id="_x0000_i1043" alt="" style="width:451.3pt;height:.05pt;mso-width-percent:0;mso-height-percent:0;mso-width-percent:0;mso-height-percent:0" o:hralign="center" o:hrstd="t" o:hr="t" fillcolor="#a0a0a0" stroked="f"/>
        </w:pict>
      </w:r>
    </w:p>
    <w:p w14:paraId="106544FE"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Demand-Side Market Access:</w:t>
      </w:r>
    </w:p>
    <w:p w14:paraId="181477C0"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Market Access as a Unifying Principle</w:t>
      </w:r>
      <w:r w:rsidRPr="00BC299D">
        <w:rPr>
          <w:rFonts w:ascii="Times New Roman" w:hAnsi="Times New Roman"/>
          <w:lang w:val="en-HK"/>
        </w:rPr>
        <w:t>:</w:t>
      </w:r>
    </w:p>
    <w:p w14:paraId="6442D26C" w14:textId="77777777" w:rsidR="00BC299D" w:rsidRPr="00BC299D" w:rsidRDefault="00BC299D" w:rsidP="00BC299D">
      <w:pPr>
        <w:spacing w:before="100" w:beforeAutospacing="1" w:after="100" w:afterAutospacing="1" w:line="276" w:lineRule="auto"/>
        <w:jc w:val="both"/>
        <w:rPr>
          <w:rFonts w:ascii="Times New Roman" w:hAnsi="Times New Roman"/>
          <w:lang w:val="en-HK"/>
        </w:rPr>
      </w:pPr>
      <w:r w:rsidRPr="00BC299D">
        <w:rPr>
          <w:rFonts w:ascii="Times New Roman" w:hAnsi="Times New Roman"/>
          <w:lang w:val="en-HK"/>
        </w:rPr>
        <w:t xml:space="preserve">The demand-side approach expands the focus of Article 34 to include measures that indirectly influence consumer </w:t>
      </w:r>
      <w:proofErr w:type="spellStart"/>
      <w:r w:rsidRPr="00BC299D">
        <w:rPr>
          <w:rFonts w:ascii="Times New Roman" w:hAnsi="Times New Roman"/>
          <w:lang w:val="en-HK"/>
        </w:rPr>
        <w:t>behavior</w:t>
      </w:r>
      <w:proofErr w:type="spellEnd"/>
      <w:r w:rsidRPr="00BC299D">
        <w:rPr>
          <w:rFonts w:ascii="Times New Roman" w:hAnsi="Times New Roman"/>
          <w:lang w:val="en-HK"/>
        </w:rPr>
        <w:t xml:space="preserve"> or disincentivize cross-border trade.</w:t>
      </w:r>
    </w:p>
    <w:p w14:paraId="728F529F" w14:textId="77777777" w:rsidR="00BC299D" w:rsidRPr="00BC299D" w:rsidRDefault="00BC299D" w:rsidP="00BC299D">
      <w:pPr>
        <w:spacing w:before="100" w:beforeAutospacing="1" w:after="100" w:afterAutospacing="1" w:line="276" w:lineRule="auto"/>
        <w:jc w:val="both"/>
        <w:rPr>
          <w:rFonts w:ascii="Times New Roman" w:hAnsi="Times New Roman"/>
          <w:lang w:val="en-HK"/>
        </w:rPr>
      </w:pPr>
      <w:r w:rsidRPr="00BC299D">
        <w:rPr>
          <w:rFonts w:ascii="Times New Roman" w:hAnsi="Times New Roman"/>
          <w:lang w:val="en-HK"/>
        </w:rPr>
        <w:t>For example, advertising restrictions, licensing requirements, and mandatory quality standards are scrutinized for their cumulative effects on market access.</w:t>
      </w:r>
    </w:p>
    <w:p w14:paraId="7F619259"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Shift in Judicial Interpretation</w:t>
      </w:r>
      <w:r w:rsidRPr="00BC299D">
        <w:rPr>
          <w:rFonts w:ascii="Times New Roman" w:hAnsi="Times New Roman"/>
          <w:lang w:val="en-HK"/>
        </w:rPr>
        <w:t>:</w:t>
      </w:r>
    </w:p>
    <w:p w14:paraId="5D385272"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began interpreting Article 34 through a functional lens, asking whether national measures, even if non-discriminatory, create practical barriers to trade.</w:t>
      </w:r>
    </w:p>
    <w:p w14:paraId="54BFD1D4"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4E41817A">
          <v:rect id="_x0000_i1042" alt="" style="width:451.3pt;height:.05pt;mso-width-percent:0;mso-height-percent:0;mso-width-percent:0;mso-height-percent:0" o:hralign="center" o:hrstd="t" o:hr="t" fillcolor="#a0a0a0" stroked="f"/>
        </w:pict>
      </w:r>
    </w:p>
    <w:p w14:paraId="5DE199DD"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The Role of Proportionality:</w:t>
      </w:r>
    </w:p>
    <w:p w14:paraId="32D8AA0C" w14:textId="77777777" w:rsidR="00BC299D" w:rsidRPr="00BC299D" w:rsidRDefault="00BC299D" w:rsidP="00BC299D">
      <w:pPr>
        <w:numPr>
          <w:ilvl w:val="0"/>
          <w:numId w:val="10"/>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Proportionality remains a cornerstone of the market access approach, requiring Member States to justify measures that restrict trade.</w:t>
      </w:r>
    </w:p>
    <w:p w14:paraId="3D006461" w14:textId="77777777" w:rsidR="00BC299D" w:rsidRPr="00BC299D" w:rsidRDefault="00BC299D" w:rsidP="00BC299D">
      <w:pPr>
        <w:numPr>
          <w:ilvl w:val="0"/>
          <w:numId w:val="10"/>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and </w:t>
      </w:r>
      <w:r w:rsidRPr="00BC299D">
        <w:rPr>
          <w:rFonts w:ascii="Times New Roman" w:hAnsi="Times New Roman"/>
          <w:i/>
          <w:iCs/>
          <w:lang w:val="en-HK"/>
        </w:rPr>
        <w:t>Cassis de Dijon</w:t>
      </w:r>
      <w:r w:rsidRPr="00BC299D">
        <w:rPr>
          <w:rFonts w:ascii="Times New Roman" w:hAnsi="Times New Roman"/>
          <w:lang w:val="en-HK"/>
        </w:rPr>
        <w:t xml:space="preserve"> principles are reinforced, emphasizing that trade restrictions must be:</w:t>
      </w:r>
    </w:p>
    <w:p w14:paraId="5317A4CB" w14:textId="77777777" w:rsidR="00BC299D" w:rsidRPr="00BC299D" w:rsidRDefault="00BC299D" w:rsidP="00BC299D">
      <w:pPr>
        <w:numPr>
          <w:ilvl w:val="1"/>
          <w:numId w:val="10"/>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Pursuant to legitimate public interests.</w:t>
      </w:r>
    </w:p>
    <w:p w14:paraId="4D19EB7E" w14:textId="77777777" w:rsidR="00BC299D" w:rsidRPr="00BC299D" w:rsidRDefault="00BC299D" w:rsidP="00BC299D">
      <w:pPr>
        <w:numPr>
          <w:ilvl w:val="1"/>
          <w:numId w:val="10"/>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Necessary and proportionate to achieve those objectives.</w:t>
      </w:r>
    </w:p>
    <w:p w14:paraId="766C2241"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42111018">
          <v:rect id="_x0000_i1041" alt="" style="width:451.3pt;height:.05pt;mso-width-percent:0;mso-height-percent:0;mso-width-percent:0;mso-height-percent:0" o:hralign="center" o:hrstd="t" o:hr="t" fillcolor="#a0a0a0" stroked="f"/>
        </w:pict>
      </w:r>
    </w:p>
    <w:p w14:paraId="2D6AFD84"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Scholarly and Judicial Opinions:</w:t>
      </w:r>
    </w:p>
    <w:p w14:paraId="7C8C8BFD" w14:textId="77777777" w:rsidR="00BC299D" w:rsidRPr="00BC299D" w:rsidRDefault="00BC299D" w:rsidP="00BC299D">
      <w:p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b/>
          <w:bCs/>
          <w:lang w:val="en-HK"/>
        </w:rPr>
        <w:t>Lianos</w:t>
      </w:r>
      <w:proofErr w:type="spellEnd"/>
      <w:r w:rsidRPr="00BC299D">
        <w:rPr>
          <w:rFonts w:ascii="Times New Roman" w:hAnsi="Times New Roman"/>
          <w:b/>
          <w:bCs/>
          <w:lang w:val="en-HK"/>
        </w:rPr>
        <w:t>’ View</w:t>
      </w:r>
      <w:r w:rsidRPr="00BC299D">
        <w:rPr>
          <w:rFonts w:ascii="Times New Roman" w:hAnsi="Times New Roman"/>
          <w:lang w:val="en-HK"/>
        </w:rPr>
        <w:t>:</w:t>
      </w:r>
    </w:p>
    <w:p w14:paraId="36E35D59" w14:textId="77777777" w:rsidR="00BC299D" w:rsidRPr="00BC299D" w:rsidRDefault="00BC299D" w:rsidP="00BC299D">
      <w:p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lang w:val="en-HK"/>
        </w:rPr>
        <w:t>Lianos</w:t>
      </w:r>
      <w:proofErr w:type="spellEnd"/>
      <w:r w:rsidRPr="00BC299D">
        <w:rPr>
          <w:rFonts w:ascii="Times New Roman" w:hAnsi="Times New Roman"/>
          <w:lang w:val="en-HK"/>
        </w:rPr>
        <w:t xml:space="preserve"> argues that the return to </w:t>
      </w:r>
      <w:proofErr w:type="spellStart"/>
      <w:r w:rsidRPr="00BC299D">
        <w:rPr>
          <w:rFonts w:ascii="Times New Roman" w:hAnsi="Times New Roman"/>
          <w:i/>
          <w:iCs/>
          <w:lang w:val="en-HK"/>
        </w:rPr>
        <w:t>Dassonville</w:t>
      </w:r>
      <w:r w:rsidRPr="00BC299D">
        <w:rPr>
          <w:rFonts w:ascii="Times New Roman" w:hAnsi="Times New Roman"/>
          <w:lang w:val="en-HK"/>
        </w:rPr>
        <w:t>’s</w:t>
      </w:r>
      <w:proofErr w:type="spellEnd"/>
      <w:r w:rsidRPr="00BC299D">
        <w:rPr>
          <w:rFonts w:ascii="Times New Roman" w:hAnsi="Times New Roman"/>
          <w:lang w:val="en-HK"/>
        </w:rPr>
        <w:t xml:space="preserve"> market access principle restores coherence to Article 34’s application. By focusing on the functional effects of rules, the Court addresses practical trade barriers rather than relying on formalistic distinctions.</w:t>
      </w:r>
    </w:p>
    <w:p w14:paraId="4B810383"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Judicial Observations</w:t>
      </w:r>
      <w:r w:rsidRPr="00BC299D">
        <w:rPr>
          <w:rFonts w:ascii="Times New Roman" w:hAnsi="Times New Roman"/>
          <w:lang w:val="en-HK"/>
        </w:rPr>
        <w:t>:</w:t>
      </w:r>
    </w:p>
    <w:p w14:paraId="2F708CD0"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broader market access approach aligns EU trade law with modern economic realities, where consumer </w:t>
      </w:r>
      <w:proofErr w:type="spellStart"/>
      <w:r w:rsidRPr="00BC299D">
        <w:rPr>
          <w:rFonts w:ascii="Times New Roman" w:hAnsi="Times New Roman"/>
          <w:lang w:val="en-HK"/>
        </w:rPr>
        <w:t>behavior</w:t>
      </w:r>
      <w:proofErr w:type="spellEnd"/>
      <w:r w:rsidRPr="00BC299D">
        <w:rPr>
          <w:rFonts w:ascii="Times New Roman" w:hAnsi="Times New Roman"/>
          <w:lang w:val="en-HK"/>
        </w:rPr>
        <w:t xml:space="preserve"> and demand-side dynamics play a crucial role.</w:t>
      </w:r>
    </w:p>
    <w:p w14:paraId="0BD6C156"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23A33C57">
          <v:rect id="_x0000_i1040" alt="" style="width:451.3pt;height:.05pt;mso-width-percent:0;mso-height-percent:0;mso-width-percent:0;mso-height-percent:0" o:hralign="center" o:hrstd="t" o:hr="t" fillcolor="#a0a0a0" stroked="f"/>
        </w:pict>
      </w:r>
    </w:p>
    <w:p w14:paraId="48C3B571"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Practical Implications:</w:t>
      </w:r>
    </w:p>
    <w:p w14:paraId="1714888B" w14:textId="77777777" w:rsidR="00BC299D" w:rsidRPr="00BC299D" w:rsidRDefault="00BC299D" w:rsidP="00BC299D">
      <w:pPr>
        <w:numPr>
          <w:ilvl w:val="0"/>
          <w:numId w:val="12"/>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lastRenderedPageBreak/>
        <w:t>The end of strict categorisation reduces legal uncertainty by simplifying the framework for assessing MEQRs.</w:t>
      </w:r>
    </w:p>
    <w:p w14:paraId="09C703D5" w14:textId="77777777" w:rsidR="00BC299D" w:rsidRPr="00BC299D" w:rsidRDefault="00BC299D" w:rsidP="00BC299D">
      <w:pPr>
        <w:numPr>
          <w:ilvl w:val="0"/>
          <w:numId w:val="12"/>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However, it increases the reliance on proportionality analysis, requiring detailed justifications for national rules.</w:t>
      </w:r>
    </w:p>
    <w:p w14:paraId="32EAB2DC" w14:textId="77777777" w:rsidR="00BC299D" w:rsidRPr="00BC299D" w:rsidRDefault="00BC299D" w:rsidP="00BC299D">
      <w:pPr>
        <w:numPr>
          <w:ilvl w:val="0"/>
          <w:numId w:val="12"/>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Member States must now demonstrate that their regulations serve legitimate objectives without unnecessarily hindering market access.</w:t>
      </w:r>
    </w:p>
    <w:p w14:paraId="70DC6967"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484EA45B">
          <v:rect id="_x0000_i1039" alt="" style="width:451.3pt;height:.05pt;mso-width-percent:0;mso-height-percent:0;mso-width-percent:0;mso-height-percent:0" o:hralign="center" o:hrstd="t" o:hr="t" fillcolor="#a0a0a0" stroked="f"/>
        </w:pict>
      </w:r>
    </w:p>
    <w:p w14:paraId="1B0F9685"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4. The Turn Towards a Broad Market Access Approach—"Back to the Future"?</w:t>
      </w:r>
    </w:p>
    <w:p w14:paraId="7A92CD25" w14:textId="14FE1EAD"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This section focuses on the transition from the categorisation approach under </w:t>
      </w:r>
      <w:r w:rsidRPr="00BC299D">
        <w:rPr>
          <w:rFonts w:ascii="Times New Roman" w:hAnsi="Times New Roman"/>
          <w:i/>
          <w:iCs/>
          <w:lang w:val="en-HK"/>
        </w:rPr>
        <w:t>Keck</w:t>
      </w:r>
      <w:r w:rsidRPr="00BC299D">
        <w:rPr>
          <w:rFonts w:ascii="Times New Roman" w:hAnsi="Times New Roman"/>
          <w:lang w:val="en-HK"/>
        </w:rPr>
        <w:t xml:space="preserve"> to a broad market access principle. The analysis identifies how the broad market access doctrine re-establishes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and </w:t>
      </w:r>
      <w:r w:rsidRPr="00BC299D">
        <w:rPr>
          <w:rFonts w:ascii="Times New Roman" w:hAnsi="Times New Roman"/>
          <w:i/>
          <w:iCs/>
          <w:lang w:val="en-HK"/>
        </w:rPr>
        <w:t>Cassis de Dijon</w:t>
      </w:r>
      <w:r w:rsidRPr="00BC299D">
        <w:rPr>
          <w:rFonts w:ascii="Times New Roman" w:hAnsi="Times New Roman"/>
          <w:lang w:val="en-HK"/>
        </w:rPr>
        <w:t>’s functional approach. The Court of Justice of the European Union (CJEU) gradually integrates this principle to assess trade restrictions comprehensively.</w:t>
      </w:r>
    </w:p>
    <w:p w14:paraId="6CD503F8"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Key Elements of the Market Access Approach</w:t>
      </w:r>
    </w:p>
    <w:p w14:paraId="430620C7" w14:textId="77777777" w:rsidR="00BC299D" w:rsidRPr="00BC299D" w:rsidRDefault="00BC299D" w:rsidP="00BC299D">
      <w:pPr>
        <w:numPr>
          <w:ilvl w:val="0"/>
          <w:numId w:val="13"/>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Functional Over Formalistic Tests</w:t>
      </w:r>
      <w:r w:rsidRPr="00BC299D">
        <w:rPr>
          <w:rFonts w:ascii="Times New Roman" w:hAnsi="Times New Roman"/>
          <w:lang w:val="en-HK"/>
        </w:rPr>
        <w:t>:</w:t>
      </w:r>
    </w:p>
    <w:p w14:paraId="5D244A7B" w14:textId="77777777" w:rsidR="00BC299D" w:rsidRPr="00BC299D" w:rsidRDefault="00BC299D" w:rsidP="00BC299D">
      <w:pPr>
        <w:numPr>
          <w:ilvl w:val="1"/>
          <w:numId w:val="13"/>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shift to a broad market access approach abandons the rigid distinctions introduced by </w:t>
      </w:r>
      <w:r w:rsidRPr="00BC299D">
        <w:rPr>
          <w:rFonts w:ascii="Times New Roman" w:hAnsi="Times New Roman"/>
          <w:i/>
          <w:iCs/>
          <w:lang w:val="en-HK"/>
        </w:rPr>
        <w:t>Keck</w:t>
      </w:r>
      <w:r w:rsidRPr="00BC299D">
        <w:rPr>
          <w:rFonts w:ascii="Times New Roman" w:hAnsi="Times New Roman"/>
          <w:lang w:val="en-HK"/>
        </w:rPr>
        <w:t xml:space="preserve"> between product requirements and selling arrangements.</w:t>
      </w:r>
    </w:p>
    <w:p w14:paraId="544A48DE" w14:textId="77777777" w:rsidR="00BC299D" w:rsidRPr="00BC299D" w:rsidRDefault="00BC299D" w:rsidP="00BC299D">
      <w:pPr>
        <w:numPr>
          <w:ilvl w:val="1"/>
          <w:numId w:val="13"/>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Instead, it adopts a unified test that focuses on whether the measure, regardless of its form, constitutes a significant barrier to cross-border trade.</w:t>
      </w:r>
    </w:p>
    <w:p w14:paraId="40DA53FA" w14:textId="77777777" w:rsidR="00BC299D" w:rsidRPr="00BC299D" w:rsidRDefault="00BC299D" w:rsidP="00BC299D">
      <w:pPr>
        <w:numPr>
          <w:ilvl w:val="0"/>
          <w:numId w:val="13"/>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 xml:space="preserve">Reaffirming </w:t>
      </w:r>
      <w:proofErr w:type="spellStart"/>
      <w:r w:rsidRPr="00BC299D">
        <w:rPr>
          <w:rFonts w:ascii="Times New Roman" w:hAnsi="Times New Roman"/>
          <w:b/>
          <w:bCs/>
          <w:lang w:val="en-HK"/>
        </w:rPr>
        <w:t>Dassonville</w:t>
      </w:r>
      <w:proofErr w:type="spellEnd"/>
      <w:r w:rsidRPr="00BC299D">
        <w:rPr>
          <w:rFonts w:ascii="Times New Roman" w:hAnsi="Times New Roman"/>
          <w:lang w:val="en-HK"/>
        </w:rPr>
        <w:t>:</w:t>
      </w:r>
    </w:p>
    <w:p w14:paraId="12D463CE" w14:textId="77777777" w:rsidR="00BC299D" w:rsidRPr="00BC299D" w:rsidRDefault="00BC299D" w:rsidP="00BC299D">
      <w:pPr>
        <w:numPr>
          <w:ilvl w:val="1"/>
          <w:numId w:val="13"/>
        </w:num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defined measures equivalent to quantitative restrictions (MEQRs) as "any measure capable of hindering, directly or indirectly, actually or potentially, intra-Community trade."</w:t>
      </w:r>
    </w:p>
    <w:p w14:paraId="7905A256" w14:textId="77777777" w:rsidR="00BC299D" w:rsidRPr="00BC299D" w:rsidRDefault="00BC299D" w:rsidP="00BC299D">
      <w:pPr>
        <w:numPr>
          <w:ilvl w:val="1"/>
          <w:numId w:val="13"/>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This functional definition is re-emphasized in the market access approach, bringing coherence to Article 34 TFEU’s scope.</w:t>
      </w:r>
    </w:p>
    <w:p w14:paraId="6831A88A" w14:textId="77777777" w:rsidR="00BC299D" w:rsidRPr="00BC299D" w:rsidRDefault="00BC299D" w:rsidP="00BC299D">
      <w:pPr>
        <w:numPr>
          <w:ilvl w:val="0"/>
          <w:numId w:val="13"/>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Economic Realities of Trade Barriers</w:t>
      </w:r>
      <w:r w:rsidRPr="00BC299D">
        <w:rPr>
          <w:rFonts w:ascii="Times New Roman" w:hAnsi="Times New Roman"/>
          <w:lang w:val="en-HK"/>
        </w:rPr>
        <w:t>:</w:t>
      </w:r>
    </w:p>
    <w:p w14:paraId="541B942B"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Court’s new focus is on economic realities rather than legal formalities. Restrictions that deter consumers or alter market </w:t>
      </w:r>
      <w:proofErr w:type="spellStart"/>
      <w:r w:rsidRPr="00BC299D">
        <w:rPr>
          <w:rFonts w:ascii="Times New Roman" w:hAnsi="Times New Roman"/>
          <w:lang w:val="en-HK"/>
        </w:rPr>
        <w:t>behavior</w:t>
      </w:r>
      <w:proofErr w:type="spellEnd"/>
      <w:r w:rsidRPr="00BC299D">
        <w:rPr>
          <w:rFonts w:ascii="Times New Roman" w:hAnsi="Times New Roman"/>
          <w:lang w:val="en-HK"/>
        </w:rPr>
        <w:t xml:space="preserve"> are now scrutinized for their practical impact on trade.</w:t>
      </w:r>
    </w:p>
    <w:p w14:paraId="41100DE3"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21C10F39">
          <v:rect id="_x0000_i1038" alt="" style="width:451.3pt;height:.05pt;mso-width-percent:0;mso-height-percent:0;mso-width-percent:0;mso-height-percent:0" o:hralign="center" o:hrstd="t" o:hr="t" fillcolor="#a0a0a0" stroked="f"/>
        </w:pict>
      </w:r>
    </w:p>
    <w:p w14:paraId="1FF19642"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Influential Case Law Supporting Market Access</w:t>
      </w:r>
    </w:p>
    <w:p w14:paraId="121E1ED2" w14:textId="77777777" w:rsidR="00BC299D" w:rsidRPr="00BC299D" w:rsidRDefault="00BC299D" w:rsidP="00BC299D">
      <w:pPr>
        <w:numPr>
          <w:ilvl w:val="0"/>
          <w:numId w:val="14"/>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 xml:space="preserve">Case C-110/05 </w:t>
      </w:r>
      <w:r w:rsidRPr="00BC299D">
        <w:rPr>
          <w:rFonts w:ascii="Times New Roman" w:hAnsi="Times New Roman"/>
          <w:b/>
          <w:bCs/>
          <w:i/>
          <w:iCs/>
          <w:lang w:val="en-HK"/>
        </w:rPr>
        <w:t>Commission v. Italy</w:t>
      </w:r>
      <w:r w:rsidRPr="00BC299D">
        <w:rPr>
          <w:rFonts w:ascii="Times New Roman" w:hAnsi="Times New Roman"/>
          <w:b/>
          <w:bCs/>
          <w:lang w:val="en-HK"/>
        </w:rPr>
        <w:t xml:space="preserve"> (Trailers Case)</w:t>
      </w:r>
      <w:r w:rsidRPr="00BC299D">
        <w:rPr>
          <w:rFonts w:ascii="Times New Roman" w:hAnsi="Times New Roman"/>
          <w:lang w:val="en-HK"/>
        </w:rPr>
        <w:t>:</w:t>
      </w:r>
    </w:p>
    <w:p w14:paraId="289124A6"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Italy’s ban on motorcycles towing trailers was deemed an MEQR despite being non-discriminatory.</w:t>
      </w:r>
    </w:p>
    <w:p w14:paraId="6337BD48"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lastRenderedPageBreak/>
        <w:t>Market Access Test</w:t>
      </w:r>
      <w:r w:rsidRPr="00BC299D">
        <w:rPr>
          <w:rFonts w:ascii="Times New Roman" w:hAnsi="Times New Roman"/>
          <w:lang w:val="en-HK"/>
        </w:rPr>
        <w:t>:</w:t>
      </w:r>
    </w:p>
    <w:p w14:paraId="6C657036"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ruled that the measure restricted market access because it reduced the potential demand for trailers designed for motorcycles.</w:t>
      </w:r>
    </w:p>
    <w:p w14:paraId="0A8EA787"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Scholarly Commentary</w:t>
      </w:r>
      <w:r w:rsidRPr="00BC299D">
        <w:rPr>
          <w:rFonts w:ascii="Times New Roman" w:hAnsi="Times New Roman"/>
          <w:lang w:val="en-HK"/>
        </w:rPr>
        <w:t>:</w:t>
      </w:r>
    </w:p>
    <w:p w14:paraId="1DBDACB4" w14:textId="77777777" w:rsidR="00BC299D" w:rsidRPr="00BC299D" w:rsidRDefault="00BC299D" w:rsidP="00BC299D">
      <w:p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lang w:val="en-HK"/>
        </w:rPr>
        <w:t>Lianos</w:t>
      </w:r>
      <w:proofErr w:type="spellEnd"/>
      <w:r w:rsidRPr="00BC299D">
        <w:rPr>
          <w:rFonts w:ascii="Times New Roman" w:hAnsi="Times New Roman"/>
          <w:lang w:val="en-HK"/>
        </w:rPr>
        <w:t xml:space="preserve"> emphasizes that this case marks the Court's full departure from </w:t>
      </w:r>
      <w:r w:rsidRPr="00BC299D">
        <w:rPr>
          <w:rFonts w:ascii="Times New Roman" w:hAnsi="Times New Roman"/>
          <w:i/>
          <w:iCs/>
          <w:lang w:val="en-HK"/>
        </w:rPr>
        <w:t>Keck</w:t>
      </w:r>
      <w:r w:rsidRPr="00BC299D">
        <w:rPr>
          <w:rFonts w:ascii="Times New Roman" w:hAnsi="Times New Roman"/>
          <w:lang w:val="en-HK"/>
        </w:rPr>
        <w:t xml:space="preserve">. It reintroduces </w:t>
      </w:r>
      <w:proofErr w:type="spellStart"/>
      <w:r w:rsidRPr="00BC299D">
        <w:rPr>
          <w:rFonts w:ascii="Times New Roman" w:hAnsi="Times New Roman"/>
          <w:i/>
          <w:iCs/>
          <w:lang w:val="en-HK"/>
        </w:rPr>
        <w:t>Dassonville</w:t>
      </w:r>
      <w:r w:rsidRPr="00BC299D">
        <w:rPr>
          <w:rFonts w:ascii="Times New Roman" w:hAnsi="Times New Roman"/>
          <w:lang w:val="en-HK"/>
        </w:rPr>
        <w:t>’s</w:t>
      </w:r>
      <w:proofErr w:type="spellEnd"/>
      <w:r w:rsidRPr="00BC299D">
        <w:rPr>
          <w:rFonts w:ascii="Times New Roman" w:hAnsi="Times New Roman"/>
          <w:lang w:val="en-HK"/>
        </w:rPr>
        <w:t xml:space="preserve"> principle of examining the effects of measures on market access.</w:t>
      </w:r>
    </w:p>
    <w:p w14:paraId="109733E2" w14:textId="77777777" w:rsidR="00BC299D" w:rsidRPr="00BC299D" w:rsidRDefault="00BC299D" w:rsidP="00BC299D">
      <w:pPr>
        <w:numPr>
          <w:ilvl w:val="0"/>
          <w:numId w:val="14"/>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 xml:space="preserve">Case C-142/05 </w:t>
      </w:r>
      <w:proofErr w:type="spellStart"/>
      <w:r w:rsidRPr="00BC299D">
        <w:rPr>
          <w:rFonts w:ascii="Times New Roman" w:hAnsi="Times New Roman"/>
          <w:b/>
          <w:bCs/>
          <w:i/>
          <w:iCs/>
          <w:lang w:val="en-HK"/>
        </w:rPr>
        <w:t>Mickelsson</w:t>
      </w:r>
      <w:proofErr w:type="spellEnd"/>
      <w:r w:rsidRPr="00BC299D">
        <w:rPr>
          <w:rFonts w:ascii="Times New Roman" w:hAnsi="Times New Roman"/>
          <w:b/>
          <w:bCs/>
          <w:i/>
          <w:iCs/>
          <w:lang w:val="en-HK"/>
        </w:rPr>
        <w:t xml:space="preserve"> and </w:t>
      </w:r>
      <w:proofErr w:type="spellStart"/>
      <w:r w:rsidRPr="00BC299D">
        <w:rPr>
          <w:rFonts w:ascii="Times New Roman" w:hAnsi="Times New Roman"/>
          <w:b/>
          <w:bCs/>
          <w:i/>
          <w:iCs/>
          <w:lang w:val="en-HK"/>
        </w:rPr>
        <w:t>Roos</w:t>
      </w:r>
      <w:proofErr w:type="spellEnd"/>
      <w:r w:rsidRPr="00BC299D">
        <w:rPr>
          <w:rFonts w:ascii="Times New Roman" w:hAnsi="Times New Roman"/>
          <w:lang w:val="en-HK"/>
        </w:rPr>
        <w:t>:</w:t>
      </w:r>
    </w:p>
    <w:p w14:paraId="13AE2B50"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Swedish regulations limited the use of jet skis, indirectly discouraging their sale.</w:t>
      </w:r>
    </w:p>
    <w:p w14:paraId="1BC0571C"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Impact on Market Access</w:t>
      </w:r>
      <w:r w:rsidRPr="00BC299D">
        <w:rPr>
          <w:rFonts w:ascii="Times New Roman" w:hAnsi="Times New Roman"/>
          <w:lang w:val="en-HK"/>
        </w:rPr>
        <w:t>:</w:t>
      </w:r>
    </w:p>
    <w:p w14:paraId="3CDA85BE" w14:textId="77777777" w:rsidR="00BC299D" w:rsidRPr="00BC299D" w:rsidRDefault="00BC299D" w:rsidP="00BC299D">
      <w:pPr>
        <w:numPr>
          <w:ilvl w:val="2"/>
          <w:numId w:val="14"/>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assessed the rules' effects on consumer demand, finding that they hindered cross-border trade.</w:t>
      </w:r>
    </w:p>
    <w:p w14:paraId="2649A92F" w14:textId="77777777" w:rsidR="00BC299D" w:rsidRPr="00BC299D" w:rsidRDefault="00BC299D" w:rsidP="00BC299D">
      <w:pPr>
        <w:numPr>
          <w:ilvl w:val="2"/>
          <w:numId w:val="14"/>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This highlighted the importance of demand-side considerations in evaluating MEQRs.</w:t>
      </w:r>
    </w:p>
    <w:p w14:paraId="72EC3DC6" w14:textId="77777777" w:rsidR="00BC299D" w:rsidRPr="00BC299D" w:rsidRDefault="00BC299D" w:rsidP="00BC299D">
      <w:pPr>
        <w:numPr>
          <w:ilvl w:val="0"/>
          <w:numId w:val="14"/>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 xml:space="preserve">Case C-333/14 </w:t>
      </w:r>
      <w:r w:rsidRPr="00BC299D">
        <w:rPr>
          <w:rFonts w:ascii="Times New Roman" w:hAnsi="Times New Roman"/>
          <w:b/>
          <w:bCs/>
          <w:i/>
          <w:iCs/>
          <w:lang w:val="en-HK"/>
        </w:rPr>
        <w:t>Scotch Whisky Association</w:t>
      </w:r>
      <w:r w:rsidRPr="00BC299D">
        <w:rPr>
          <w:rFonts w:ascii="Times New Roman" w:hAnsi="Times New Roman"/>
          <w:lang w:val="en-HK"/>
        </w:rPr>
        <w:t>:</w:t>
      </w:r>
    </w:p>
    <w:p w14:paraId="6C0ABCA1"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Scotland’s minimum pricing laws for alcohol were challenged as trade restrictions.</w:t>
      </w:r>
    </w:p>
    <w:p w14:paraId="72F3554F"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Market Access and Proportionality</w:t>
      </w:r>
      <w:r w:rsidRPr="00BC299D">
        <w:rPr>
          <w:rFonts w:ascii="Times New Roman" w:hAnsi="Times New Roman"/>
          <w:lang w:val="en-HK"/>
        </w:rPr>
        <w:t>:</w:t>
      </w:r>
    </w:p>
    <w:p w14:paraId="7C1CBC65"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upheld the broad market access principle by examining whether less trade-restrictive measures could achieve public health objectives.</w:t>
      </w:r>
    </w:p>
    <w:p w14:paraId="757462E7"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Proportionality Analysis</w:t>
      </w:r>
      <w:r w:rsidRPr="00BC299D">
        <w:rPr>
          <w:rFonts w:ascii="Times New Roman" w:hAnsi="Times New Roman"/>
          <w:lang w:val="en-HK"/>
        </w:rPr>
        <w:t>:</w:t>
      </w:r>
    </w:p>
    <w:p w14:paraId="0D032DA2"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This case demonstrates the Court’s increasing reliance on proportionality as a balancing tool for national regulations and EU trade freedoms.</w:t>
      </w:r>
    </w:p>
    <w:p w14:paraId="4DFA611D"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0671B947">
          <v:rect id="_x0000_i1037" alt="" style="width:451.3pt;height:.05pt;mso-width-percent:0;mso-height-percent:0;mso-width-percent:0;mso-height-percent:0" o:hralign="center" o:hrstd="t" o:hr="t" fillcolor="#a0a0a0" stroked="f"/>
        </w:pict>
      </w:r>
    </w:p>
    <w:p w14:paraId="196C7765"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 xml:space="preserve">Return to </w:t>
      </w:r>
      <w:r w:rsidRPr="00BC299D">
        <w:rPr>
          <w:rFonts w:ascii="Times New Roman" w:hAnsi="Times New Roman"/>
          <w:b/>
          <w:bCs/>
          <w:i/>
          <w:iCs/>
          <w:lang w:val="en-HK"/>
        </w:rPr>
        <w:t>Cassis de Dijon</w:t>
      </w:r>
      <w:r w:rsidRPr="00BC299D">
        <w:rPr>
          <w:rFonts w:ascii="Times New Roman" w:hAnsi="Times New Roman"/>
          <w:b/>
          <w:bCs/>
          <w:lang w:val="en-HK"/>
        </w:rPr>
        <w:t>:</w:t>
      </w:r>
    </w:p>
    <w:p w14:paraId="712D19B5" w14:textId="77777777" w:rsidR="00BC299D" w:rsidRPr="00BC299D" w:rsidRDefault="00BC299D" w:rsidP="00BC299D">
      <w:pPr>
        <w:numPr>
          <w:ilvl w:val="0"/>
          <w:numId w:val="15"/>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Market Access Beyond Discrimination</w:t>
      </w:r>
      <w:r w:rsidRPr="00BC299D">
        <w:rPr>
          <w:rFonts w:ascii="Times New Roman" w:hAnsi="Times New Roman"/>
          <w:lang w:val="en-HK"/>
        </w:rPr>
        <w:t>:</w:t>
      </w:r>
    </w:p>
    <w:p w14:paraId="6A40218C"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Court moves away from focusing solely on discriminatory measures. It broadens the scope to include measures that hinder the free movement of goods, even when applied equally to domestic and foreign products.</w:t>
      </w:r>
    </w:p>
    <w:p w14:paraId="3953EE2C" w14:textId="77777777" w:rsidR="00BC299D" w:rsidRPr="00BC299D" w:rsidRDefault="00BC299D" w:rsidP="00BC299D">
      <w:pPr>
        <w:numPr>
          <w:ilvl w:val="0"/>
          <w:numId w:val="15"/>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Mutual Recognition Principle</w:t>
      </w:r>
      <w:r w:rsidRPr="00BC299D">
        <w:rPr>
          <w:rFonts w:ascii="Times New Roman" w:hAnsi="Times New Roman"/>
          <w:lang w:val="en-HK"/>
        </w:rPr>
        <w:t>:</w:t>
      </w:r>
    </w:p>
    <w:p w14:paraId="63E4E08E"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i/>
          <w:iCs/>
          <w:lang w:val="en-HK"/>
        </w:rPr>
        <w:lastRenderedPageBreak/>
        <w:t>Cassis de Dijon</w:t>
      </w:r>
      <w:r w:rsidRPr="00BC299D">
        <w:rPr>
          <w:rFonts w:ascii="Times New Roman" w:hAnsi="Times New Roman"/>
          <w:lang w:val="en-HK"/>
        </w:rPr>
        <w:t xml:space="preserve"> emphasized mutual recognition, allowing goods lawfully produced in one Member State to circulate freely across the EU.</w:t>
      </w:r>
    </w:p>
    <w:p w14:paraId="5E8787DE"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market access doctrine strengthens this principle by removing indirect barriers that discourage market entry.</w:t>
      </w:r>
    </w:p>
    <w:p w14:paraId="10743927"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53DD9BC7">
          <v:rect id="_x0000_i1036" alt="" style="width:451.3pt;height:.05pt;mso-width-percent:0;mso-height-percent:0;mso-width-percent:0;mso-height-percent:0" o:hralign="center" o:hrstd="t" o:hr="t" fillcolor="#a0a0a0" stroked="f"/>
        </w:pict>
      </w:r>
    </w:p>
    <w:p w14:paraId="55C1370D"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Proportionality as the Cornerstone of Market Access</w:t>
      </w:r>
    </w:p>
    <w:p w14:paraId="7069DC2A" w14:textId="77777777" w:rsidR="00BC299D" w:rsidRPr="00BC299D" w:rsidRDefault="00BC299D" w:rsidP="00BC299D">
      <w:pPr>
        <w:numPr>
          <w:ilvl w:val="0"/>
          <w:numId w:val="16"/>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Test for Justification</w:t>
      </w:r>
      <w:r w:rsidRPr="00BC299D">
        <w:rPr>
          <w:rFonts w:ascii="Times New Roman" w:hAnsi="Times New Roman"/>
          <w:lang w:val="en-HK"/>
        </w:rPr>
        <w:t>:</w:t>
      </w:r>
    </w:p>
    <w:p w14:paraId="28302D6C"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proportionality principle requires that restrictions serve legitimate public interests (e.g., health, safety) and that less restrictive means are unavailable.</w:t>
      </w:r>
    </w:p>
    <w:p w14:paraId="5B4B4CF1" w14:textId="77777777" w:rsidR="00BC299D" w:rsidRPr="00BC299D" w:rsidRDefault="00BC299D" w:rsidP="00BC299D">
      <w:pPr>
        <w:numPr>
          <w:ilvl w:val="0"/>
          <w:numId w:val="16"/>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Balancing Trade and Policy Goals</w:t>
      </w:r>
      <w:r w:rsidRPr="00BC299D">
        <w:rPr>
          <w:rFonts w:ascii="Times New Roman" w:hAnsi="Times New Roman"/>
          <w:lang w:val="en-HK"/>
        </w:rPr>
        <w:t>:</w:t>
      </w:r>
    </w:p>
    <w:p w14:paraId="72D3A90B"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market access approach integrates proportionality to ensure that Member States cannot use public policy exceptions to disguise protectionist measures.</w:t>
      </w:r>
    </w:p>
    <w:p w14:paraId="3D08EFA0"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77AE09F7">
          <v:rect id="_x0000_i1035" alt="" style="width:451.3pt;height:.05pt;mso-width-percent:0;mso-height-percent:0;mso-width-percent:0;mso-height-percent:0" o:hralign="center" o:hrstd="t" o:hr="t" fillcolor="#a0a0a0" stroked="f"/>
        </w:pict>
      </w:r>
    </w:p>
    <w:p w14:paraId="1ADDA4DE"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Critiques and Concerns</w:t>
      </w:r>
    </w:p>
    <w:p w14:paraId="440AA706" w14:textId="77777777" w:rsidR="00BC299D" w:rsidRPr="00BC299D" w:rsidRDefault="00BC299D" w:rsidP="00BC299D">
      <w:pPr>
        <w:numPr>
          <w:ilvl w:val="0"/>
          <w:numId w:val="17"/>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Legal Uncertainty</w:t>
      </w:r>
      <w:r w:rsidRPr="00BC299D">
        <w:rPr>
          <w:rFonts w:ascii="Times New Roman" w:hAnsi="Times New Roman"/>
          <w:lang w:val="en-HK"/>
        </w:rPr>
        <w:t>:</w:t>
      </w:r>
    </w:p>
    <w:p w14:paraId="67B66ADE" w14:textId="77777777" w:rsidR="00BC299D" w:rsidRPr="00BC299D" w:rsidRDefault="00BC299D" w:rsidP="00BC299D">
      <w:pPr>
        <w:numPr>
          <w:ilvl w:val="1"/>
          <w:numId w:val="17"/>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broad market access test introduces interpretative uncertainty, making it harder for Member States to predict whether their measures will be deemed incompatible with EU law.</w:t>
      </w:r>
    </w:p>
    <w:p w14:paraId="5C2EB0BF" w14:textId="77777777" w:rsidR="00BC299D" w:rsidRPr="00BC299D" w:rsidRDefault="00BC299D" w:rsidP="00BC299D">
      <w:pPr>
        <w:numPr>
          <w:ilvl w:val="1"/>
          <w:numId w:val="17"/>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move away from categorisation creates a more fluid legal framework, which can be challenging for national legislatures and businesses.</w:t>
      </w:r>
    </w:p>
    <w:p w14:paraId="063F7106" w14:textId="77777777" w:rsidR="00BC299D" w:rsidRPr="00BC299D" w:rsidRDefault="00BC299D" w:rsidP="00BC299D">
      <w:pPr>
        <w:numPr>
          <w:ilvl w:val="0"/>
          <w:numId w:val="17"/>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Impact on National Regulatory Autonomy</w:t>
      </w:r>
      <w:r w:rsidRPr="00BC299D">
        <w:rPr>
          <w:rFonts w:ascii="Times New Roman" w:hAnsi="Times New Roman"/>
          <w:lang w:val="en-HK"/>
        </w:rPr>
        <w:t>:</w:t>
      </w:r>
    </w:p>
    <w:p w14:paraId="4ADF9A4B" w14:textId="77777777" w:rsidR="00BC299D" w:rsidRPr="00BC299D" w:rsidRDefault="00BC299D" w:rsidP="00BC299D">
      <w:pPr>
        <w:numPr>
          <w:ilvl w:val="1"/>
          <w:numId w:val="17"/>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By broadening the scope of Article 34, the CJEU reduces Member States' ability to regulate their internal markets.</w:t>
      </w:r>
    </w:p>
    <w:p w14:paraId="7F2F020A" w14:textId="77777777" w:rsidR="00BC299D" w:rsidRPr="00BC299D" w:rsidRDefault="00BC299D" w:rsidP="00BC299D">
      <w:pPr>
        <w:numPr>
          <w:ilvl w:val="1"/>
          <w:numId w:val="17"/>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proportionality test, while essential, places the burden of proof on Member States to justify trade-restrictive measures.</w:t>
      </w:r>
    </w:p>
    <w:p w14:paraId="496E2ED2"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6AC13F6A">
          <v:rect id="_x0000_i1034" alt="" style="width:451.3pt;height:.05pt;mso-width-percent:0;mso-height-percent:0;mso-width-percent:0;mso-height-percent:0" o:hralign="center" o:hrstd="t" o:hr="t" fillcolor="#a0a0a0" stroked="f"/>
        </w:pict>
      </w:r>
    </w:p>
    <w:p w14:paraId="23070B6D"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Scholarly Opinions</w:t>
      </w:r>
    </w:p>
    <w:p w14:paraId="604E25F8" w14:textId="77777777" w:rsidR="00BC299D" w:rsidRPr="00BC299D" w:rsidRDefault="00BC299D" w:rsidP="00BC299D">
      <w:pPr>
        <w:numPr>
          <w:ilvl w:val="0"/>
          <w:numId w:val="18"/>
        </w:num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b/>
          <w:bCs/>
          <w:lang w:val="en-HK"/>
        </w:rPr>
        <w:t>Lianos</w:t>
      </w:r>
      <w:proofErr w:type="spellEnd"/>
      <w:r w:rsidRPr="00BC299D">
        <w:rPr>
          <w:rFonts w:ascii="Times New Roman" w:hAnsi="Times New Roman"/>
          <w:b/>
          <w:bCs/>
          <w:lang w:val="en-HK"/>
        </w:rPr>
        <w:t>’ Perspective</w:t>
      </w:r>
      <w:r w:rsidRPr="00BC299D">
        <w:rPr>
          <w:rFonts w:ascii="Times New Roman" w:hAnsi="Times New Roman"/>
          <w:lang w:val="en-HK"/>
        </w:rPr>
        <w:t>:</w:t>
      </w:r>
    </w:p>
    <w:p w14:paraId="31137EF9" w14:textId="77777777" w:rsidR="00BC299D" w:rsidRPr="00BC299D" w:rsidRDefault="00BC299D" w:rsidP="00BC299D">
      <w:pPr>
        <w:numPr>
          <w:ilvl w:val="1"/>
          <w:numId w:val="18"/>
        </w:num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lang w:val="en-HK"/>
        </w:rPr>
        <w:t>Lianos</w:t>
      </w:r>
      <w:proofErr w:type="spellEnd"/>
      <w:r w:rsidRPr="00BC299D">
        <w:rPr>
          <w:rFonts w:ascii="Times New Roman" w:hAnsi="Times New Roman"/>
          <w:lang w:val="en-HK"/>
        </w:rPr>
        <w:t xml:space="preserve"> views the return to market access as a "back to the future" moment for EU law. It revitalizes the economic integration goals of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and </w:t>
      </w:r>
      <w:r w:rsidRPr="00BC299D">
        <w:rPr>
          <w:rFonts w:ascii="Times New Roman" w:hAnsi="Times New Roman"/>
          <w:i/>
          <w:iCs/>
          <w:lang w:val="en-HK"/>
        </w:rPr>
        <w:t>Cassis de Dijon</w:t>
      </w:r>
      <w:r w:rsidRPr="00BC299D">
        <w:rPr>
          <w:rFonts w:ascii="Times New Roman" w:hAnsi="Times New Roman"/>
          <w:lang w:val="en-HK"/>
        </w:rPr>
        <w:t xml:space="preserve"> while adapting to contemporary trade dynamics.</w:t>
      </w:r>
    </w:p>
    <w:p w14:paraId="53FAF52A" w14:textId="77777777" w:rsidR="00BC299D" w:rsidRPr="00BC299D" w:rsidRDefault="00BC299D" w:rsidP="00BC299D">
      <w:pPr>
        <w:numPr>
          <w:ilvl w:val="1"/>
          <w:numId w:val="18"/>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lastRenderedPageBreak/>
        <w:t>He notes, however, that the new approach increases reliance on judicial discretion, which can undermine legal predictability.</w:t>
      </w:r>
    </w:p>
    <w:p w14:paraId="5D9C3CE0" w14:textId="77777777" w:rsidR="00BC299D" w:rsidRPr="00BC299D" w:rsidRDefault="00BC299D" w:rsidP="00BC299D">
      <w:pPr>
        <w:numPr>
          <w:ilvl w:val="0"/>
          <w:numId w:val="18"/>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Judicial Observations</w:t>
      </w:r>
      <w:r w:rsidRPr="00BC299D">
        <w:rPr>
          <w:rFonts w:ascii="Times New Roman" w:hAnsi="Times New Roman"/>
          <w:lang w:val="en-HK"/>
        </w:rPr>
        <w:t>:</w:t>
      </w:r>
    </w:p>
    <w:p w14:paraId="4DD83770"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CJEU’s emphasis on market access reflects its commitment to preserving the internal market’s efficiency. However, it risks overstepping into the domain of national regulatory competence.</w:t>
      </w:r>
    </w:p>
    <w:p w14:paraId="7AD3AA43"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12AABAEC">
          <v:rect id="_x0000_i1033" alt="" style="width:451.3pt;height:.05pt;mso-width-percent:0;mso-height-percent:0;mso-width-percent:0;mso-height-percent:0" o:hralign="center" o:hrstd="t" o:hr="t" fillcolor="#a0a0a0" stroked="f"/>
        </w:pict>
      </w:r>
    </w:p>
    <w:p w14:paraId="2537BFBB"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Practical Implications</w:t>
      </w:r>
    </w:p>
    <w:p w14:paraId="66C33848" w14:textId="77777777" w:rsidR="00BC299D" w:rsidRPr="00BC299D" w:rsidRDefault="00BC299D" w:rsidP="00BC299D">
      <w:pPr>
        <w:numPr>
          <w:ilvl w:val="0"/>
          <w:numId w:val="19"/>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For Member States</w:t>
      </w:r>
      <w:r w:rsidRPr="00BC299D">
        <w:rPr>
          <w:rFonts w:ascii="Times New Roman" w:hAnsi="Times New Roman"/>
          <w:lang w:val="en-HK"/>
        </w:rPr>
        <w:t>:</w:t>
      </w:r>
    </w:p>
    <w:p w14:paraId="6A5309B4"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Governments must carefully design regulations to withstand market access scrutiny. Measures must not create unjustified trade barriers, even indirectly.</w:t>
      </w:r>
    </w:p>
    <w:p w14:paraId="0EA83FA5" w14:textId="77777777" w:rsidR="00BC299D" w:rsidRPr="00BC299D" w:rsidRDefault="00BC299D" w:rsidP="00BC299D">
      <w:pPr>
        <w:numPr>
          <w:ilvl w:val="0"/>
          <w:numId w:val="19"/>
        </w:num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For Businesses</w:t>
      </w:r>
      <w:r w:rsidRPr="00BC299D">
        <w:rPr>
          <w:rFonts w:ascii="Times New Roman" w:hAnsi="Times New Roman"/>
          <w:lang w:val="en-HK"/>
        </w:rPr>
        <w:t>:</w:t>
      </w:r>
    </w:p>
    <w:p w14:paraId="679E5D14"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market access approach ensures a more level playing field, reducing the likelihood of hidden protectionism.</w:t>
      </w:r>
    </w:p>
    <w:p w14:paraId="4165B4B0"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3AD1BB6A">
          <v:rect id="_x0000_i1032" alt="" style="width:451.3pt;height:.05pt;mso-width-percent:0;mso-height-percent:0;mso-width-percent:0;mso-height-percent:0" o:hralign="center" o:hrstd="t" o:hr="t" fillcolor="#a0a0a0" stroked="f"/>
        </w:pict>
      </w:r>
    </w:p>
    <w:p w14:paraId="01592F70" w14:textId="77777777" w:rsidR="00BC299D" w:rsidRPr="00BC299D" w:rsidRDefault="00BC299D" w:rsidP="00BC299D">
      <w:pPr>
        <w:spacing w:before="100" w:beforeAutospacing="1" w:after="100" w:afterAutospacing="1" w:line="276" w:lineRule="auto"/>
        <w:outlineLvl w:val="2"/>
        <w:rPr>
          <w:rFonts w:ascii="Times New Roman" w:hAnsi="Times New Roman"/>
          <w:b/>
          <w:bCs/>
          <w:lang w:val="en-HK"/>
        </w:rPr>
      </w:pPr>
      <w:r w:rsidRPr="00BC299D">
        <w:rPr>
          <w:rFonts w:ascii="Times New Roman" w:hAnsi="Times New Roman"/>
          <w:b/>
          <w:bCs/>
          <w:lang w:val="en-HK"/>
        </w:rPr>
        <w:t>Section 5: Conclusion</w:t>
      </w:r>
    </w:p>
    <w:p w14:paraId="557D886B"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Key Themes</w:t>
      </w:r>
    </w:p>
    <w:p w14:paraId="05B0C829" w14:textId="5027F9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conclusion synthesizes the discussion on the reformulation of EU law on the free movement of goods, specifically addressing the shift from the rigid categorisation approach of </w:t>
      </w:r>
      <w:r w:rsidRPr="00BC299D">
        <w:rPr>
          <w:rFonts w:ascii="Times New Roman" w:hAnsi="Times New Roman"/>
          <w:i/>
          <w:iCs/>
          <w:lang w:val="en-HK"/>
        </w:rPr>
        <w:t>Keck</w:t>
      </w:r>
      <w:r w:rsidRPr="00BC299D">
        <w:rPr>
          <w:rFonts w:ascii="Times New Roman" w:hAnsi="Times New Roman"/>
          <w:lang w:val="en-HK"/>
        </w:rPr>
        <w:t xml:space="preserve"> towards a broader market access principle. It underscores the implications of this transition for legal coherence, market integration, and Member State autonomy.</w:t>
      </w:r>
    </w:p>
    <w:p w14:paraId="69FB7162"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 xml:space="preserve">1. Reaffirming the Importance of </w:t>
      </w:r>
      <w:proofErr w:type="spellStart"/>
      <w:r w:rsidRPr="00BC299D">
        <w:rPr>
          <w:rFonts w:ascii="Times New Roman" w:hAnsi="Times New Roman"/>
          <w:b/>
          <w:bCs/>
          <w:i/>
          <w:iCs/>
          <w:lang w:val="en-HK"/>
        </w:rPr>
        <w:t>Dassonville</w:t>
      </w:r>
      <w:proofErr w:type="spellEnd"/>
      <w:r w:rsidRPr="00BC299D">
        <w:rPr>
          <w:rFonts w:ascii="Times New Roman" w:hAnsi="Times New Roman"/>
          <w:b/>
          <w:bCs/>
          <w:lang w:val="en-HK"/>
        </w:rPr>
        <w:t xml:space="preserve"> and </w:t>
      </w:r>
      <w:r w:rsidRPr="00BC299D">
        <w:rPr>
          <w:rFonts w:ascii="Times New Roman" w:hAnsi="Times New Roman"/>
          <w:b/>
          <w:bCs/>
          <w:i/>
          <w:iCs/>
          <w:lang w:val="en-HK"/>
        </w:rPr>
        <w:t>Cassis de Dijon</w:t>
      </w:r>
    </w:p>
    <w:p w14:paraId="6E39A80C" w14:textId="77777777" w:rsidR="00BC299D" w:rsidRPr="00BC299D" w:rsidRDefault="00BC299D" w:rsidP="00BC299D">
      <w:pPr>
        <w:numPr>
          <w:ilvl w:val="0"/>
          <w:numId w:val="20"/>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document highlights that the broad market access approach marks a "return to the origins" of Article 34 TFEU, as first articulated in </w:t>
      </w:r>
      <w:proofErr w:type="spellStart"/>
      <w:r w:rsidRPr="00BC299D">
        <w:rPr>
          <w:rFonts w:ascii="Times New Roman" w:hAnsi="Times New Roman"/>
          <w:i/>
          <w:iCs/>
          <w:lang w:val="en-HK"/>
        </w:rPr>
        <w:t>Dassonville</w:t>
      </w:r>
      <w:proofErr w:type="spellEnd"/>
      <w:r w:rsidRPr="00BC299D">
        <w:rPr>
          <w:rFonts w:ascii="Times New Roman" w:hAnsi="Times New Roman"/>
          <w:lang w:val="en-HK"/>
        </w:rPr>
        <w:t>.</w:t>
      </w:r>
    </w:p>
    <w:p w14:paraId="34F0C055" w14:textId="77777777" w:rsidR="00BC299D" w:rsidRPr="00BC299D" w:rsidRDefault="00BC299D" w:rsidP="00BC299D">
      <w:pPr>
        <w:numPr>
          <w:ilvl w:val="0"/>
          <w:numId w:val="20"/>
        </w:num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i/>
          <w:iCs/>
          <w:lang w:val="en-HK"/>
        </w:rPr>
        <w:t>Dassonville</w:t>
      </w:r>
      <w:proofErr w:type="spellEnd"/>
      <w:r w:rsidRPr="00BC299D">
        <w:rPr>
          <w:rFonts w:ascii="Times New Roman" w:hAnsi="Times New Roman"/>
          <w:lang w:val="en-HK"/>
        </w:rPr>
        <w:t xml:space="preserve"> emphasized that any measure capable of hindering intra-EU trade, directly or indirectly, should fall within the scope of Article 34. This approach remains relevant in addressing both discriminatory and non-discriminatory measures that affect market access.</w:t>
      </w:r>
    </w:p>
    <w:p w14:paraId="130F4CFB" w14:textId="77777777" w:rsidR="00BC299D" w:rsidRPr="00BC299D" w:rsidRDefault="00BC299D" w:rsidP="00BC299D">
      <w:pPr>
        <w:numPr>
          <w:ilvl w:val="0"/>
          <w:numId w:val="20"/>
        </w:numPr>
        <w:spacing w:before="100" w:beforeAutospacing="1" w:after="100" w:afterAutospacing="1" w:line="276" w:lineRule="auto"/>
        <w:rPr>
          <w:rFonts w:ascii="Times New Roman" w:hAnsi="Times New Roman"/>
          <w:lang w:val="en-HK"/>
        </w:rPr>
      </w:pPr>
      <w:r w:rsidRPr="00BC299D">
        <w:rPr>
          <w:rFonts w:ascii="Times New Roman" w:hAnsi="Times New Roman"/>
          <w:i/>
          <w:iCs/>
          <w:lang w:val="en-HK"/>
        </w:rPr>
        <w:t>Cassis de Dijon</w:t>
      </w:r>
      <w:r w:rsidRPr="00BC299D">
        <w:rPr>
          <w:rFonts w:ascii="Times New Roman" w:hAnsi="Times New Roman"/>
          <w:lang w:val="en-HK"/>
        </w:rPr>
        <w:t xml:space="preserve"> is equally central, especially its principle of mutual recognition, which fosters market integration by allowing products lawfully produced in one Member State to circulate freely across the EU without additional barriers.</w:t>
      </w:r>
    </w:p>
    <w:p w14:paraId="4D08F354"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lastRenderedPageBreak/>
        <w:pict w14:anchorId="319FC89F">
          <v:rect id="_x0000_i1031" alt="" style="width:451.3pt;height:.05pt;mso-width-percent:0;mso-height-percent:0;mso-width-percent:0;mso-height-percent:0" o:hralign="center" o:hrstd="t" o:hr="t" fillcolor="#a0a0a0" stroked="f"/>
        </w:pict>
      </w:r>
    </w:p>
    <w:p w14:paraId="6B6BB58E"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 xml:space="preserve">2. The Demise of </w:t>
      </w:r>
      <w:r w:rsidRPr="00BC299D">
        <w:rPr>
          <w:rFonts w:ascii="Times New Roman" w:hAnsi="Times New Roman"/>
          <w:b/>
          <w:bCs/>
          <w:i/>
          <w:iCs/>
          <w:lang w:val="en-HK"/>
        </w:rPr>
        <w:t>Keck’s</w:t>
      </w:r>
      <w:r w:rsidRPr="00BC299D">
        <w:rPr>
          <w:rFonts w:ascii="Times New Roman" w:hAnsi="Times New Roman"/>
          <w:b/>
          <w:bCs/>
          <w:lang w:val="en-HK"/>
        </w:rPr>
        <w:t xml:space="preserve"> Categorisation Approach</w:t>
      </w:r>
    </w:p>
    <w:p w14:paraId="1E20F2D6" w14:textId="77777777" w:rsidR="00BC299D" w:rsidRPr="00BC299D" w:rsidRDefault="00BC299D" w:rsidP="00BC299D">
      <w:pPr>
        <w:numPr>
          <w:ilvl w:val="0"/>
          <w:numId w:val="21"/>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categorisation introduced in </w:t>
      </w:r>
      <w:r w:rsidRPr="00BC299D">
        <w:rPr>
          <w:rFonts w:ascii="Times New Roman" w:hAnsi="Times New Roman"/>
          <w:i/>
          <w:iCs/>
          <w:lang w:val="en-HK"/>
        </w:rPr>
        <w:t>Keck</w:t>
      </w:r>
      <w:r w:rsidRPr="00BC299D">
        <w:rPr>
          <w:rFonts w:ascii="Times New Roman" w:hAnsi="Times New Roman"/>
          <w:lang w:val="en-HK"/>
        </w:rPr>
        <w:t>—which distinguished product requirements from selling arrangements—was seen as a means to limit the expansive reach of Article 34 TFEU. However, the conclusion emphasizes that this framework created more legal uncertainty than clarity.</w:t>
      </w:r>
    </w:p>
    <w:p w14:paraId="7110C4F2" w14:textId="77777777" w:rsidR="00BC299D" w:rsidRPr="00BC299D" w:rsidRDefault="00BC299D" w:rsidP="00BC299D">
      <w:pPr>
        <w:numPr>
          <w:ilvl w:val="0"/>
          <w:numId w:val="21"/>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By excluding certain selling arrangements from Article 34, </w:t>
      </w:r>
      <w:r w:rsidRPr="00BC299D">
        <w:rPr>
          <w:rFonts w:ascii="Times New Roman" w:hAnsi="Times New Roman"/>
          <w:i/>
          <w:iCs/>
          <w:lang w:val="en-HK"/>
        </w:rPr>
        <w:t>Keck</w:t>
      </w:r>
      <w:r w:rsidRPr="00BC299D">
        <w:rPr>
          <w:rFonts w:ascii="Times New Roman" w:hAnsi="Times New Roman"/>
          <w:lang w:val="en-HK"/>
        </w:rPr>
        <w:t xml:space="preserve"> effectively allowed Member States to impose regulations that could indirectly hinder cross-border trade. This led to criticism of the case as undermining the principle of market integration.</w:t>
      </w:r>
    </w:p>
    <w:p w14:paraId="2B606383" w14:textId="77777777" w:rsidR="00BC299D" w:rsidRPr="00BC299D" w:rsidRDefault="00BC299D" w:rsidP="00BC299D">
      <w:pPr>
        <w:numPr>
          <w:ilvl w:val="0"/>
          <w:numId w:val="21"/>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broader market access approach, as seen in cases like </w:t>
      </w:r>
      <w:r w:rsidRPr="00BC299D">
        <w:rPr>
          <w:rFonts w:ascii="Times New Roman" w:hAnsi="Times New Roman"/>
          <w:i/>
          <w:iCs/>
          <w:lang w:val="en-HK"/>
        </w:rPr>
        <w:t>Commission v. Italy (Trailers)</w:t>
      </w:r>
      <w:r w:rsidRPr="00BC299D">
        <w:rPr>
          <w:rFonts w:ascii="Times New Roman" w:hAnsi="Times New Roman"/>
          <w:lang w:val="en-HK"/>
        </w:rPr>
        <w:t xml:space="preserve"> and </w:t>
      </w:r>
      <w:proofErr w:type="spellStart"/>
      <w:r w:rsidRPr="00BC299D">
        <w:rPr>
          <w:rFonts w:ascii="Times New Roman" w:hAnsi="Times New Roman"/>
          <w:i/>
          <w:iCs/>
          <w:lang w:val="en-HK"/>
        </w:rPr>
        <w:t>Mickelsson</w:t>
      </w:r>
      <w:proofErr w:type="spellEnd"/>
      <w:r w:rsidRPr="00BC299D">
        <w:rPr>
          <w:rFonts w:ascii="Times New Roman" w:hAnsi="Times New Roman"/>
          <w:i/>
          <w:iCs/>
          <w:lang w:val="en-HK"/>
        </w:rPr>
        <w:t xml:space="preserve"> and </w:t>
      </w:r>
      <w:proofErr w:type="spellStart"/>
      <w:r w:rsidRPr="00BC299D">
        <w:rPr>
          <w:rFonts w:ascii="Times New Roman" w:hAnsi="Times New Roman"/>
          <w:i/>
          <w:iCs/>
          <w:lang w:val="en-HK"/>
        </w:rPr>
        <w:t>Roos</w:t>
      </w:r>
      <w:proofErr w:type="spellEnd"/>
      <w:r w:rsidRPr="00BC299D">
        <w:rPr>
          <w:rFonts w:ascii="Times New Roman" w:hAnsi="Times New Roman"/>
          <w:lang w:val="en-HK"/>
        </w:rPr>
        <w:t xml:space="preserve">, effectively dismantles </w:t>
      </w:r>
      <w:r w:rsidRPr="00BC299D">
        <w:rPr>
          <w:rFonts w:ascii="Times New Roman" w:hAnsi="Times New Roman"/>
          <w:i/>
          <w:iCs/>
          <w:lang w:val="en-HK"/>
        </w:rPr>
        <w:t>Keck’s</w:t>
      </w:r>
      <w:r w:rsidRPr="00BC299D">
        <w:rPr>
          <w:rFonts w:ascii="Times New Roman" w:hAnsi="Times New Roman"/>
          <w:lang w:val="en-HK"/>
        </w:rPr>
        <w:t xml:space="preserve"> rigid distinctions, focusing instead on the practical effects of measures on trade.</w:t>
      </w:r>
    </w:p>
    <w:p w14:paraId="2BD66C23"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59E04B7C">
          <v:rect id="_x0000_i1030" alt="" style="width:451.3pt;height:.05pt;mso-width-percent:0;mso-height-percent:0;mso-width-percent:0;mso-height-percent:0" o:hralign="center" o:hrstd="t" o:hr="t" fillcolor="#a0a0a0" stroked="f"/>
        </w:pict>
      </w:r>
    </w:p>
    <w:p w14:paraId="5BFF427F"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3. The Broad Market Access Principle: Pros and Cons</w:t>
      </w:r>
    </w:p>
    <w:p w14:paraId="6AA6DC6C"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Pros</w:t>
      </w:r>
      <w:r w:rsidRPr="00BC299D">
        <w:rPr>
          <w:rFonts w:ascii="Times New Roman" w:hAnsi="Times New Roman"/>
          <w:lang w:val="en-HK"/>
        </w:rPr>
        <w:t>:</w:t>
      </w:r>
    </w:p>
    <w:p w14:paraId="1E6316B8"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broad market access approach ensures comprehensive scrutiny of measures affecting intra-EU trade, promoting greater legal consistency with the fundamental objectives of the internal market.</w:t>
      </w:r>
    </w:p>
    <w:p w14:paraId="5A6B5181"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It emphasizes economic realities over formalistic legal distinctions, addressing barriers that are both direct and indirect.</w:t>
      </w:r>
    </w:p>
    <w:p w14:paraId="6222B8B3"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Cons</w:t>
      </w:r>
      <w:r w:rsidRPr="00BC299D">
        <w:rPr>
          <w:rFonts w:ascii="Times New Roman" w:hAnsi="Times New Roman"/>
          <w:lang w:val="en-HK"/>
        </w:rPr>
        <w:t>:</w:t>
      </w:r>
    </w:p>
    <w:p w14:paraId="69148803"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abandonment of categorisation increases reliance on judicial discretion, potentially leading to legal unpredictability.</w:t>
      </w:r>
    </w:p>
    <w:p w14:paraId="53B2C4E3"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By broadening the scope of Article 34, the approach risks encroaching on Member States' regulatory autonomy, particularly in areas like public health, safety, and consumer protection.</w:t>
      </w:r>
    </w:p>
    <w:p w14:paraId="0C382497"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0CBCB814">
          <v:rect id="_x0000_i1029" alt="" style="width:451.3pt;height:.05pt;mso-width-percent:0;mso-height-percent:0;mso-width-percent:0;mso-height-percent:0" o:hralign="center" o:hrstd="t" o:hr="t" fillcolor="#a0a0a0" stroked="f"/>
        </w:pict>
      </w:r>
    </w:p>
    <w:p w14:paraId="60E06C73"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4. The Role of Proportionality</w:t>
      </w:r>
    </w:p>
    <w:p w14:paraId="1CAD6F71" w14:textId="77777777" w:rsidR="00BC299D" w:rsidRPr="00BC299D" w:rsidRDefault="00BC299D" w:rsidP="00BC299D">
      <w:pPr>
        <w:numPr>
          <w:ilvl w:val="0"/>
          <w:numId w:val="23"/>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conclusion underscores the importance of proportionality as a balancing tool. It allows Member States to justify trade-restrictive measures if they pursue legitimate public interest objectives (e.g., public health, environmental protection) and are proportionate to those objectives.</w:t>
      </w:r>
    </w:p>
    <w:p w14:paraId="4498F899" w14:textId="77777777" w:rsidR="00BC299D" w:rsidRPr="00BC299D" w:rsidRDefault="00BC299D" w:rsidP="00BC299D">
      <w:pPr>
        <w:numPr>
          <w:ilvl w:val="0"/>
          <w:numId w:val="23"/>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lastRenderedPageBreak/>
        <w:t>This ensures that the broad market access principle does not result in unchecked judicial intervention. Instead, it provides a framework for balancing trade freedoms with national regulatory goals.</w:t>
      </w:r>
    </w:p>
    <w:p w14:paraId="3B85E86A"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3EEE9D8C">
          <v:rect id="_x0000_i1028" alt="" style="width:451.3pt;height:.05pt;mso-width-percent:0;mso-height-percent:0;mso-width-percent:0;mso-height-percent:0" o:hralign="center" o:hrstd="t" o:hr="t" fillcolor="#a0a0a0" stroked="f"/>
        </w:pict>
      </w:r>
    </w:p>
    <w:p w14:paraId="1B31F464"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5. Implications for Member States and Businesses</w:t>
      </w:r>
    </w:p>
    <w:p w14:paraId="6679578C"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For Member States</w:t>
      </w:r>
      <w:r w:rsidRPr="00BC299D">
        <w:rPr>
          <w:rFonts w:ascii="Times New Roman" w:hAnsi="Times New Roman"/>
          <w:lang w:val="en-HK"/>
        </w:rPr>
        <w:t>:</w:t>
      </w:r>
    </w:p>
    <w:p w14:paraId="5820910A"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National governments must carefully design regulations to ensure they do not create unnecessary barriers to market access.</w:t>
      </w:r>
    </w:p>
    <w:p w14:paraId="74691E25"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proportionality test places a significant burden on Member States to justify their measures, requiring robust evidence and careful drafting of laws.</w:t>
      </w:r>
    </w:p>
    <w:p w14:paraId="7FB678C2"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For Businesses</w:t>
      </w:r>
      <w:r w:rsidRPr="00BC299D">
        <w:rPr>
          <w:rFonts w:ascii="Times New Roman" w:hAnsi="Times New Roman"/>
          <w:lang w:val="en-HK"/>
        </w:rPr>
        <w:t>:</w:t>
      </w:r>
    </w:p>
    <w:p w14:paraId="1643AC55"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broad market access approach offers greater protection against hidden protectionism, ensuring a level playing field within the internal market.</w:t>
      </w:r>
    </w:p>
    <w:p w14:paraId="3D36E41D"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lang w:val="en-HK"/>
        </w:rPr>
        <w:t>However, businesses operating across multiple Member States may still face challenges due to legal uncertainty arising from judicial discretion.</w:t>
      </w:r>
    </w:p>
    <w:p w14:paraId="7DD9FEF4"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631EEC3C">
          <v:rect id="_x0000_i1027" alt="" style="width:451.3pt;height:.05pt;mso-width-percent:0;mso-height-percent:0;mso-width-percent:0;mso-height-percent:0" o:hralign="center" o:hrstd="t" o:hr="t" fillcolor="#a0a0a0" stroked="f"/>
        </w:pict>
      </w:r>
    </w:p>
    <w:p w14:paraId="2F16CF5A"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6. Scholarly Reflections and Critiques</w:t>
      </w:r>
    </w:p>
    <w:p w14:paraId="191D7B27" w14:textId="77777777" w:rsidR="00BC299D" w:rsidRPr="00BC299D" w:rsidRDefault="00BC299D" w:rsidP="00BC299D">
      <w:pPr>
        <w:spacing w:before="100" w:beforeAutospacing="1" w:after="100" w:afterAutospacing="1" w:line="276" w:lineRule="auto"/>
        <w:rPr>
          <w:rFonts w:ascii="Times New Roman" w:hAnsi="Times New Roman"/>
          <w:lang w:val="en-HK"/>
        </w:rPr>
      </w:pPr>
      <w:proofErr w:type="spellStart"/>
      <w:r w:rsidRPr="00BC299D">
        <w:rPr>
          <w:rFonts w:ascii="Times New Roman" w:hAnsi="Times New Roman"/>
          <w:b/>
          <w:bCs/>
          <w:lang w:val="en-HK"/>
        </w:rPr>
        <w:t>Lianos</w:t>
      </w:r>
      <w:proofErr w:type="spellEnd"/>
      <w:r w:rsidRPr="00BC299D">
        <w:rPr>
          <w:rFonts w:ascii="Times New Roman" w:hAnsi="Times New Roman"/>
          <w:b/>
          <w:bCs/>
          <w:lang w:val="en-HK"/>
        </w:rPr>
        <w:t>’ Perspective</w:t>
      </w:r>
      <w:r w:rsidRPr="00BC299D">
        <w:rPr>
          <w:rFonts w:ascii="Times New Roman" w:hAnsi="Times New Roman"/>
          <w:lang w:val="en-HK"/>
        </w:rPr>
        <w:t>:</w:t>
      </w:r>
    </w:p>
    <w:p w14:paraId="1B0A3746" w14:textId="77777777" w:rsidR="00BC299D" w:rsidRPr="00BC299D" w:rsidRDefault="00BC299D" w:rsidP="00BC299D">
      <w:pPr>
        <w:numPr>
          <w:ilvl w:val="1"/>
          <w:numId w:val="25"/>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shift towards a market access approach is described as a necessary evolution in EU trade law, reflecting the economic realities of the internal market.</w:t>
      </w:r>
    </w:p>
    <w:p w14:paraId="71F7436E" w14:textId="77777777" w:rsidR="00BC299D" w:rsidRPr="00BC299D" w:rsidRDefault="00BC299D" w:rsidP="00BC299D">
      <w:pPr>
        <w:numPr>
          <w:ilvl w:val="1"/>
          <w:numId w:val="25"/>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However, </w:t>
      </w:r>
      <w:proofErr w:type="spellStart"/>
      <w:r w:rsidRPr="00BC299D">
        <w:rPr>
          <w:rFonts w:ascii="Times New Roman" w:hAnsi="Times New Roman"/>
          <w:lang w:val="en-HK"/>
        </w:rPr>
        <w:t>Lianos</w:t>
      </w:r>
      <w:proofErr w:type="spellEnd"/>
      <w:r w:rsidRPr="00BC299D">
        <w:rPr>
          <w:rFonts w:ascii="Times New Roman" w:hAnsi="Times New Roman"/>
          <w:lang w:val="en-HK"/>
        </w:rPr>
        <w:t xml:space="preserve"> notes that the approach’s reliance on proportionality introduces a degree of subjectivity, which could undermine legal certainty for Member States and businesses alike.</w:t>
      </w:r>
    </w:p>
    <w:p w14:paraId="35E2CC59" w14:textId="77777777" w:rsidR="00BC299D" w:rsidRPr="00BC299D" w:rsidRDefault="00BC299D" w:rsidP="00BC299D">
      <w:pPr>
        <w:numPr>
          <w:ilvl w:val="1"/>
          <w:numId w:val="25"/>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He argues that the success of the market access approach depends on the Court’s ability to strike a balance between promoting trade and respecting national regulatory autonomy.</w:t>
      </w:r>
    </w:p>
    <w:p w14:paraId="58C62FB2" w14:textId="77777777" w:rsidR="00BC299D" w:rsidRPr="00BC299D" w:rsidRDefault="00BC299D" w:rsidP="00BC299D">
      <w:pPr>
        <w:spacing w:before="100" w:beforeAutospacing="1" w:after="100" w:afterAutospacing="1" w:line="276" w:lineRule="auto"/>
        <w:rPr>
          <w:rFonts w:ascii="Times New Roman" w:hAnsi="Times New Roman"/>
          <w:lang w:val="en-HK"/>
        </w:rPr>
      </w:pPr>
      <w:r w:rsidRPr="00BC299D">
        <w:rPr>
          <w:rFonts w:ascii="Times New Roman" w:hAnsi="Times New Roman"/>
          <w:b/>
          <w:bCs/>
          <w:lang w:val="en-HK"/>
        </w:rPr>
        <w:t>Judicial Observations</w:t>
      </w:r>
      <w:r w:rsidRPr="00BC299D">
        <w:rPr>
          <w:rFonts w:ascii="Times New Roman" w:hAnsi="Times New Roman"/>
          <w:lang w:val="en-HK"/>
        </w:rPr>
        <w:t>:</w:t>
      </w:r>
    </w:p>
    <w:p w14:paraId="4620B6CD" w14:textId="77777777" w:rsidR="00BC299D" w:rsidRPr="00BC299D" w:rsidRDefault="00BC299D" w:rsidP="00BC299D">
      <w:pPr>
        <w:numPr>
          <w:ilvl w:val="1"/>
          <w:numId w:val="25"/>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 xml:space="preserve">The Court of Justice has demonstrated a commitment to integrating market access principles into its case law, as seen in </w:t>
      </w:r>
      <w:r w:rsidRPr="00BC299D">
        <w:rPr>
          <w:rFonts w:ascii="Times New Roman" w:hAnsi="Times New Roman"/>
          <w:i/>
          <w:iCs/>
          <w:lang w:val="en-HK"/>
        </w:rPr>
        <w:t>Trailers</w:t>
      </w:r>
      <w:r w:rsidRPr="00BC299D">
        <w:rPr>
          <w:rFonts w:ascii="Times New Roman" w:hAnsi="Times New Roman"/>
          <w:lang w:val="en-HK"/>
        </w:rPr>
        <w:t xml:space="preserve"> and </w:t>
      </w:r>
      <w:r w:rsidRPr="00BC299D">
        <w:rPr>
          <w:rFonts w:ascii="Times New Roman" w:hAnsi="Times New Roman"/>
          <w:i/>
          <w:iCs/>
          <w:lang w:val="en-HK"/>
        </w:rPr>
        <w:t>Scotch Whisky Association</w:t>
      </w:r>
      <w:r w:rsidRPr="00BC299D">
        <w:rPr>
          <w:rFonts w:ascii="Times New Roman" w:hAnsi="Times New Roman"/>
          <w:lang w:val="en-HK"/>
        </w:rPr>
        <w:t>.</w:t>
      </w:r>
    </w:p>
    <w:p w14:paraId="7011A8F7" w14:textId="77777777" w:rsidR="00BC299D" w:rsidRPr="00BC299D" w:rsidRDefault="00BC299D" w:rsidP="00BC299D">
      <w:pPr>
        <w:numPr>
          <w:ilvl w:val="1"/>
          <w:numId w:val="25"/>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lastRenderedPageBreak/>
        <w:t>This reflects a broader trend towards prioritizing economic integration while maintaining safeguards for legitimate public interest objectives.</w:t>
      </w:r>
    </w:p>
    <w:p w14:paraId="708C0B68"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3459949C">
          <v:rect id="_x0000_i1026" alt="" style="width:451.3pt;height:.05pt;mso-width-percent:0;mso-height-percent:0;mso-width-percent:0;mso-height-percent:0" o:hralign="center" o:hrstd="t" o:hr="t" fillcolor="#a0a0a0" stroked="f"/>
        </w:pict>
      </w:r>
    </w:p>
    <w:p w14:paraId="479E8267" w14:textId="77777777" w:rsidR="00BC299D" w:rsidRPr="00BC299D" w:rsidRDefault="00BC299D" w:rsidP="00BC299D">
      <w:pPr>
        <w:spacing w:before="100" w:beforeAutospacing="1" w:after="100" w:afterAutospacing="1" w:line="276" w:lineRule="auto"/>
        <w:outlineLvl w:val="3"/>
        <w:rPr>
          <w:rFonts w:ascii="Times New Roman" w:hAnsi="Times New Roman"/>
          <w:b/>
          <w:bCs/>
          <w:lang w:val="en-HK"/>
        </w:rPr>
      </w:pPr>
      <w:r w:rsidRPr="00BC299D">
        <w:rPr>
          <w:rFonts w:ascii="Times New Roman" w:hAnsi="Times New Roman"/>
          <w:b/>
          <w:bCs/>
          <w:lang w:val="en-HK"/>
        </w:rPr>
        <w:t>7. Future Directions</w:t>
      </w:r>
    </w:p>
    <w:p w14:paraId="26FD795E" w14:textId="77777777" w:rsidR="00BC299D" w:rsidRPr="00BC299D" w:rsidRDefault="00BC299D" w:rsidP="00BC299D">
      <w:pPr>
        <w:numPr>
          <w:ilvl w:val="0"/>
          <w:numId w:val="26"/>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The conclusion suggests that the market access approach will continue to shape the interpretation of Article 34 TFEU, ensuring that it remains aligned with the evolving needs of the internal market.</w:t>
      </w:r>
    </w:p>
    <w:p w14:paraId="6525DDB8" w14:textId="77777777" w:rsidR="00BC299D" w:rsidRPr="00BC299D" w:rsidRDefault="00BC299D" w:rsidP="00BC299D">
      <w:pPr>
        <w:numPr>
          <w:ilvl w:val="0"/>
          <w:numId w:val="26"/>
        </w:numPr>
        <w:spacing w:before="100" w:beforeAutospacing="1" w:after="100" w:afterAutospacing="1" w:line="276" w:lineRule="auto"/>
        <w:rPr>
          <w:rFonts w:ascii="Times New Roman" w:hAnsi="Times New Roman"/>
          <w:lang w:val="en-HK"/>
        </w:rPr>
      </w:pPr>
      <w:r w:rsidRPr="00BC299D">
        <w:rPr>
          <w:rFonts w:ascii="Times New Roman" w:hAnsi="Times New Roman"/>
          <w:lang w:val="en-HK"/>
        </w:rPr>
        <w:t>It calls for greater clarity and consistency in the application of proportionality, emphasizing the need for a predictable legal framework that balances trade freedoms with national interests.</w:t>
      </w:r>
    </w:p>
    <w:p w14:paraId="78B7BC20" w14:textId="77777777" w:rsidR="00BC299D" w:rsidRPr="00BC299D" w:rsidRDefault="00784BFA" w:rsidP="00BC299D">
      <w:pPr>
        <w:spacing w:line="276" w:lineRule="auto"/>
        <w:rPr>
          <w:rFonts w:ascii="Times New Roman" w:hAnsi="Times New Roman"/>
          <w:lang w:val="en-HK"/>
        </w:rPr>
      </w:pPr>
      <w:r w:rsidRPr="00784BFA">
        <w:rPr>
          <w:rFonts w:ascii="Times New Roman" w:hAnsi="Times New Roman"/>
          <w:noProof/>
          <w:lang w:val="en-HK"/>
          <w14:ligatures w14:val="standardContextual"/>
        </w:rPr>
        <w:pict w14:anchorId="6BA70434">
          <v:rect id="_x0000_i1025" alt="" style="width:451.3pt;height:.05pt;mso-width-percent:0;mso-height-percent:0;mso-width-percent:0;mso-height-percent:0" o:hralign="center" o:hrstd="t" o:hr="t" fillcolor="#a0a0a0" stroked="f"/>
        </w:pict>
      </w:r>
    </w:p>
    <w:p w14:paraId="3DCFDF21" w14:textId="77777777" w:rsidR="00CD39F1" w:rsidRPr="00BC299D" w:rsidRDefault="00CD39F1" w:rsidP="00BC299D">
      <w:pPr>
        <w:spacing w:line="276" w:lineRule="auto"/>
        <w:rPr>
          <w:rFonts w:ascii="Times New Roman" w:hAnsi="Times New Roman"/>
        </w:rPr>
      </w:pPr>
    </w:p>
    <w:sectPr w:rsidR="00CD39F1" w:rsidRPr="00BC2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7813"/>
    <w:multiLevelType w:val="multilevel"/>
    <w:tmpl w:val="85F824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080D2A"/>
    <w:multiLevelType w:val="multilevel"/>
    <w:tmpl w:val="659A59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500E81"/>
    <w:multiLevelType w:val="multilevel"/>
    <w:tmpl w:val="57CA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E576F"/>
    <w:multiLevelType w:val="multilevel"/>
    <w:tmpl w:val="2A3C99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CC051D"/>
    <w:multiLevelType w:val="multilevel"/>
    <w:tmpl w:val="8CEA848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55B698F"/>
    <w:multiLevelType w:val="multilevel"/>
    <w:tmpl w:val="D3E8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34584"/>
    <w:multiLevelType w:val="multilevel"/>
    <w:tmpl w:val="2DDC9D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8BA5B39"/>
    <w:multiLevelType w:val="multilevel"/>
    <w:tmpl w:val="D0C2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30BEF"/>
    <w:multiLevelType w:val="multilevel"/>
    <w:tmpl w:val="099880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A4B69D9"/>
    <w:multiLevelType w:val="multilevel"/>
    <w:tmpl w:val="F75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E3E3B"/>
    <w:multiLevelType w:val="multilevel"/>
    <w:tmpl w:val="5C5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211A5"/>
    <w:multiLevelType w:val="multilevel"/>
    <w:tmpl w:val="3BE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3209"/>
    <w:multiLevelType w:val="multilevel"/>
    <w:tmpl w:val="77EC092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32B7491"/>
    <w:multiLevelType w:val="multilevel"/>
    <w:tmpl w:val="5FF6DA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BB62BEA"/>
    <w:multiLevelType w:val="multilevel"/>
    <w:tmpl w:val="C8E46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C28F2"/>
    <w:multiLevelType w:val="multilevel"/>
    <w:tmpl w:val="FB42D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A5AB7"/>
    <w:multiLevelType w:val="multilevel"/>
    <w:tmpl w:val="DF5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40F0E"/>
    <w:multiLevelType w:val="multilevel"/>
    <w:tmpl w:val="7C9E1A3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66D2196"/>
    <w:multiLevelType w:val="multilevel"/>
    <w:tmpl w:val="701C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97C2E"/>
    <w:multiLevelType w:val="multilevel"/>
    <w:tmpl w:val="7B0AB2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7A5446F"/>
    <w:multiLevelType w:val="multilevel"/>
    <w:tmpl w:val="138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A2F3F"/>
    <w:multiLevelType w:val="multilevel"/>
    <w:tmpl w:val="9D4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75CDE"/>
    <w:multiLevelType w:val="multilevel"/>
    <w:tmpl w:val="EA16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C4595"/>
    <w:multiLevelType w:val="multilevel"/>
    <w:tmpl w:val="B0262EB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755232A"/>
    <w:multiLevelType w:val="multilevel"/>
    <w:tmpl w:val="6DAAB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F83756E"/>
    <w:multiLevelType w:val="multilevel"/>
    <w:tmpl w:val="920AF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B0394"/>
    <w:multiLevelType w:val="multilevel"/>
    <w:tmpl w:val="4DA878F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ED53C78"/>
    <w:multiLevelType w:val="multilevel"/>
    <w:tmpl w:val="FD64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97E14"/>
    <w:multiLevelType w:val="multilevel"/>
    <w:tmpl w:val="1F0EC4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1837890"/>
    <w:multiLevelType w:val="multilevel"/>
    <w:tmpl w:val="0D9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E2B6B"/>
    <w:multiLevelType w:val="multilevel"/>
    <w:tmpl w:val="ACAA7F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33C0F02"/>
    <w:multiLevelType w:val="multilevel"/>
    <w:tmpl w:val="C8A61DB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46F2995"/>
    <w:multiLevelType w:val="multilevel"/>
    <w:tmpl w:val="F9D64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23E4E"/>
    <w:multiLevelType w:val="multilevel"/>
    <w:tmpl w:val="DC2292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5F474FD"/>
    <w:multiLevelType w:val="multilevel"/>
    <w:tmpl w:val="AF8E84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35448643">
    <w:abstractNumId w:val="4"/>
  </w:num>
  <w:num w:numId="2" w16cid:durableId="95754067">
    <w:abstractNumId w:val="25"/>
  </w:num>
  <w:num w:numId="3" w16cid:durableId="38870449">
    <w:abstractNumId w:val="2"/>
  </w:num>
  <w:num w:numId="4" w16cid:durableId="414981530">
    <w:abstractNumId w:val="21"/>
  </w:num>
  <w:num w:numId="5" w16cid:durableId="580530969">
    <w:abstractNumId w:val="20"/>
  </w:num>
  <w:num w:numId="6" w16cid:durableId="1386102642">
    <w:abstractNumId w:val="29"/>
  </w:num>
  <w:num w:numId="7" w16cid:durableId="482283551">
    <w:abstractNumId w:val="14"/>
  </w:num>
  <w:num w:numId="8" w16cid:durableId="1172377488">
    <w:abstractNumId w:val="12"/>
  </w:num>
  <w:num w:numId="9" w16cid:durableId="877353452">
    <w:abstractNumId w:val="19"/>
  </w:num>
  <w:num w:numId="10" w16cid:durableId="1313749823">
    <w:abstractNumId w:val="31"/>
  </w:num>
  <w:num w:numId="11" w16cid:durableId="1484273456">
    <w:abstractNumId w:val="7"/>
  </w:num>
  <w:num w:numId="12" w16cid:durableId="1985087865">
    <w:abstractNumId w:val="30"/>
  </w:num>
  <w:num w:numId="13" w16cid:durableId="1793791774">
    <w:abstractNumId w:val="26"/>
  </w:num>
  <w:num w:numId="14" w16cid:durableId="303049043">
    <w:abstractNumId w:val="3"/>
  </w:num>
  <w:num w:numId="15" w16cid:durableId="418915165">
    <w:abstractNumId w:val="0"/>
  </w:num>
  <w:num w:numId="16" w16cid:durableId="383062255">
    <w:abstractNumId w:val="24"/>
  </w:num>
  <w:num w:numId="17" w16cid:durableId="790511200">
    <w:abstractNumId w:val="23"/>
  </w:num>
  <w:num w:numId="18" w16cid:durableId="605772178">
    <w:abstractNumId w:val="17"/>
  </w:num>
  <w:num w:numId="19" w16cid:durableId="721831625">
    <w:abstractNumId w:val="1"/>
  </w:num>
  <w:num w:numId="20" w16cid:durableId="916480317">
    <w:abstractNumId w:val="5"/>
  </w:num>
  <w:num w:numId="21" w16cid:durableId="1332681283">
    <w:abstractNumId w:val="9"/>
  </w:num>
  <w:num w:numId="22" w16cid:durableId="356930495">
    <w:abstractNumId w:val="18"/>
  </w:num>
  <w:num w:numId="23" w16cid:durableId="2092501838">
    <w:abstractNumId w:val="11"/>
  </w:num>
  <w:num w:numId="24" w16cid:durableId="460879385">
    <w:abstractNumId w:val="22"/>
  </w:num>
  <w:num w:numId="25" w16cid:durableId="1661229431">
    <w:abstractNumId w:val="32"/>
  </w:num>
  <w:num w:numId="26" w16cid:durableId="2050259435">
    <w:abstractNumId w:val="28"/>
  </w:num>
  <w:num w:numId="27" w16cid:durableId="1696347512">
    <w:abstractNumId w:val="13"/>
  </w:num>
  <w:num w:numId="28" w16cid:durableId="1824589049">
    <w:abstractNumId w:val="33"/>
  </w:num>
  <w:num w:numId="29" w16cid:durableId="894313328">
    <w:abstractNumId w:val="34"/>
  </w:num>
  <w:num w:numId="30" w16cid:durableId="72238528">
    <w:abstractNumId w:val="16"/>
  </w:num>
  <w:num w:numId="31" w16cid:durableId="72121900">
    <w:abstractNumId w:val="10"/>
  </w:num>
  <w:num w:numId="32" w16cid:durableId="631715316">
    <w:abstractNumId w:val="15"/>
  </w:num>
  <w:num w:numId="33" w16cid:durableId="1894346532">
    <w:abstractNumId w:val="8"/>
  </w:num>
  <w:num w:numId="34" w16cid:durableId="309018206">
    <w:abstractNumId w:val="6"/>
  </w:num>
  <w:num w:numId="35" w16cid:durableId="14390628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84"/>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58F3"/>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B3377"/>
    <w:rsid w:val="002D715D"/>
    <w:rsid w:val="002E3864"/>
    <w:rsid w:val="002E46F2"/>
    <w:rsid w:val="002F1298"/>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4BFA"/>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299D"/>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0D84"/>
    <w:rsid w:val="00EF3EF4"/>
    <w:rsid w:val="00F012E4"/>
    <w:rsid w:val="00F248D2"/>
    <w:rsid w:val="00F27F00"/>
    <w:rsid w:val="00F33570"/>
    <w:rsid w:val="00F655F4"/>
    <w:rsid w:val="00F71153"/>
    <w:rsid w:val="00F858D4"/>
    <w:rsid w:val="00FA4E8A"/>
    <w:rsid w:val="00FB2653"/>
    <w:rsid w:val="00FC7B56"/>
    <w:rsid w:val="00FE3E59"/>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0C8E"/>
  <w15:chartTrackingRefBased/>
  <w15:docId w15:val="{2A40F866-C16B-9D46-A55B-481D27AE5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F0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0D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F0D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0D8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0D8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0D8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0D8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0D8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8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F0D8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F0D8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F0D8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F0D8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F0D8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F0D8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F0D8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F0D8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F0D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8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F0D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8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F0D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D8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F0D84"/>
    <w:pPr>
      <w:ind w:left="720"/>
      <w:contextualSpacing/>
    </w:pPr>
  </w:style>
  <w:style w:type="character" w:styleId="IntenseEmphasis">
    <w:name w:val="Intense Emphasis"/>
    <w:basedOn w:val="DefaultParagraphFont"/>
    <w:uiPriority w:val="21"/>
    <w:qFormat/>
    <w:rsid w:val="00EF0D84"/>
    <w:rPr>
      <w:i/>
      <w:iCs/>
      <w:color w:val="2F5496" w:themeColor="accent1" w:themeShade="BF"/>
    </w:rPr>
  </w:style>
  <w:style w:type="paragraph" w:styleId="IntenseQuote">
    <w:name w:val="Intense Quote"/>
    <w:basedOn w:val="Normal"/>
    <w:next w:val="Normal"/>
    <w:link w:val="IntenseQuoteChar"/>
    <w:uiPriority w:val="30"/>
    <w:qFormat/>
    <w:rsid w:val="00EF0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D8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F0D84"/>
    <w:rPr>
      <w:b/>
      <w:bCs/>
      <w:smallCaps/>
      <w:color w:val="2F5496" w:themeColor="accent1" w:themeShade="BF"/>
      <w:spacing w:val="5"/>
    </w:rPr>
  </w:style>
  <w:style w:type="character" w:styleId="Strong">
    <w:name w:val="Strong"/>
    <w:basedOn w:val="DefaultParagraphFont"/>
    <w:uiPriority w:val="22"/>
    <w:qFormat/>
    <w:rsid w:val="00BC299D"/>
    <w:rPr>
      <w:b/>
      <w:bCs/>
    </w:rPr>
  </w:style>
  <w:style w:type="paragraph" w:styleId="NormalWeb">
    <w:name w:val="Normal (Web)"/>
    <w:basedOn w:val="Normal"/>
    <w:uiPriority w:val="99"/>
    <w:semiHidden/>
    <w:unhideWhenUsed/>
    <w:rsid w:val="00BC299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BC29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66987">
      <w:bodyDiv w:val="1"/>
      <w:marLeft w:val="0"/>
      <w:marRight w:val="0"/>
      <w:marTop w:val="0"/>
      <w:marBottom w:val="0"/>
      <w:divBdr>
        <w:top w:val="none" w:sz="0" w:space="0" w:color="auto"/>
        <w:left w:val="none" w:sz="0" w:space="0" w:color="auto"/>
        <w:bottom w:val="none" w:sz="0" w:space="0" w:color="auto"/>
        <w:right w:val="none" w:sz="0" w:space="0" w:color="auto"/>
      </w:divBdr>
    </w:div>
    <w:div w:id="101534088">
      <w:bodyDiv w:val="1"/>
      <w:marLeft w:val="0"/>
      <w:marRight w:val="0"/>
      <w:marTop w:val="0"/>
      <w:marBottom w:val="0"/>
      <w:divBdr>
        <w:top w:val="none" w:sz="0" w:space="0" w:color="auto"/>
        <w:left w:val="none" w:sz="0" w:space="0" w:color="auto"/>
        <w:bottom w:val="none" w:sz="0" w:space="0" w:color="auto"/>
        <w:right w:val="none" w:sz="0" w:space="0" w:color="auto"/>
      </w:divBdr>
    </w:div>
    <w:div w:id="714817754">
      <w:bodyDiv w:val="1"/>
      <w:marLeft w:val="0"/>
      <w:marRight w:val="0"/>
      <w:marTop w:val="0"/>
      <w:marBottom w:val="0"/>
      <w:divBdr>
        <w:top w:val="none" w:sz="0" w:space="0" w:color="auto"/>
        <w:left w:val="none" w:sz="0" w:space="0" w:color="auto"/>
        <w:bottom w:val="none" w:sz="0" w:space="0" w:color="auto"/>
        <w:right w:val="none" w:sz="0" w:space="0" w:color="auto"/>
      </w:divBdr>
    </w:div>
    <w:div w:id="1440182097">
      <w:bodyDiv w:val="1"/>
      <w:marLeft w:val="0"/>
      <w:marRight w:val="0"/>
      <w:marTop w:val="0"/>
      <w:marBottom w:val="0"/>
      <w:divBdr>
        <w:top w:val="none" w:sz="0" w:space="0" w:color="auto"/>
        <w:left w:val="none" w:sz="0" w:space="0" w:color="auto"/>
        <w:bottom w:val="none" w:sz="0" w:space="0" w:color="auto"/>
        <w:right w:val="none" w:sz="0" w:space="0" w:color="auto"/>
      </w:divBdr>
    </w:div>
    <w:div w:id="198503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3306</Words>
  <Characters>18848</Characters>
  <Application>Microsoft Office Word</Application>
  <DocSecurity>0</DocSecurity>
  <Lines>157</Lines>
  <Paragraphs>44</Paragraphs>
  <ScaleCrop>false</ScaleCrop>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2025-01-24T09:51:00Z</dcterms:created>
  <dcterms:modified xsi:type="dcterms:W3CDTF">2025-01-24T09:51:00Z</dcterms:modified>
</cp:coreProperties>
</file>