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AAEF7" w14:textId="77777777" w:rsidR="00926760" w:rsidRPr="00926760" w:rsidRDefault="00926760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926760">
        <w:rPr>
          <w:rFonts w:ascii="Times New Roman" w:hAnsi="Times New Roman"/>
          <w:b/>
          <w:bCs/>
          <w:lang w:val="en-HK"/>
        </w:rPr>
        <w:t>Introduction</w:t>
      </w:r>
    </w:p>
    <w:p w14:paraId="4BE6E557" w14:textId="77777777" w:rsidR="00926760" w:rsidRPr="00926760" w:rsidRDefault="00926760" w:rsidP="001E3EF6">
      <w:p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926760">
        <w:rPr>
          <w:rFonts w:ascii="Times New Roman" w:hAnsi="Times New Roman"/>
          <w:lang w:val="en-HK"/>
        </w:rPr>
        <w:t>Schütze</w:t>
      </w:r>
      <w:proofErr w:type="spellEnd"/>
      <w:r w:rsidRPr="00926760">
        <w:rPr>
          <w:rFonts w:ascii="Times New Roman" w:hAnsi="Times New Roman"/>
          <w:lang w:val="en-HK"/>
        </w:rPr>
        <w:t xml:space="preserve"> examines the theoretical and practical evolution of Article 34 TFEU concerning free movement of goods, highlighting its jurisprudential challenges and inconsistencies.</w:t>
      </w:r>
    </w:p>
    <w:p w14:paraId="73F90981" w14:textId="77777777" w:rsidR="00926760" w:rsidRPr="00926760" w:rsidRDefault="00926760" w:rsidP="001E3EF6">
      <w:p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926760">
        <w:rPr>
          <w:rFonts w:ascii="Times New Roman" w:hAnsi="Times New Roman"/>
          <w:lang w:val="en-HK"/>
        </w:rPr>
        <w:t>He identifies three distinct market models influencing the interpretation of Article 34:</w:t>
      </w:r>
    </w:p>
    <w:p w14:paraId="33EE94F9" w14:textId="77777777" w:rsidR="00926760" w:rsidRPr="00926760" w:rsidRDefault="00926760" w:rsidP="001E3EF6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926760">
        <w:rPr>
          <w:rFonts w:ascii="Times New Roman" w:hAnsi="Times New Roman"/>
          <w:b/>
          <w:bCs/>
          <w:lang w:val="en-HK"/>
        </w:rPr>
        <w:t>International Market Model</w:t>
      </w:r>
      <w:r w:rsidRPr="00926760">
        <w:rPr>
          <w:rFonts w:ascii="Times New Roman" w:hAnsi="Times New Roman"/>
          <w:lang w:val="en-HK"/>
        </w:rPr>
        <w:t>: States retain internal sovereignty but open borders to avoid discrimination against imports.</w:t>
      </w:r>
    </w:p>
    <w:p w14:paraId="62D5D8B7" w14:textId="77777777" w:rsidR="00926760" w:rsidRPr="00926760" w:rsidRDefault="00926760" w:rsidP="001E3EF6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926760">
        <w:rPr>
          <w:rFonts w:ascii="Times New Roman" w:hAnsi="Times New Roman"/>
          <w:b/>
          <w:bCs/>
          <w:lang w:val="en-HK"/>
        </w:rPr>
        <w:t>Federal Market Model</w:t>
      </w:r>
      <w:r w:rsidRPr="00926760">
        <w:rPr>
          <w:rFonts w:ascii="Times New Roman" w:hAnsi="Times New Roman"/>
          <w:lang w:val="en-HK"/>
        </w:rPr>
        <w:t>: Mutual recognition ensures that goods complying with home state laws can freely circulate in other states.</w:t>
      </w:r>
    </w:p>
    <w:p w14:paraId="40E7D087" w14:textId="77777777" w:rsidR="00926760" w:rsidRPr="00926760" w:rsidRDefault="00926760" w:rsidP="001E3EF6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926760">
        <w:rPr>
          <w:rFonts w:ascii="Times New Roman" w:hAnsi="Times New Roman"/>
          <w:b/>
          <w:bCs/>
          <w:lang w:val="en-HK"/>
        </w:rPr>
        <w:t>National Market Model</w:t>
      </w:r>
      <w:r w:rsidRPr="00926760">
        <w:rPr>
          <w:rFonts w:ascii="Times New Roman" w:hAnsi="Times New Roman"/>
          <w:lang w:val="en-HK"/>
        </w:rPr>
        <w:t>: All trade restrictions exceeding EU standards are eliminated, even when applied to domestic goods.</w:t>
      </w:r>
    </w:p>
    <w:p w14:paraId="1837A20A" w14:textId="2762435A" w:rsidR="00926760" w:rsidRPr="00926760" w:rsidRDefault="00926760" w:rsidP="001E3EF6">
      <w:p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926760">
        <w:rPr>
          <w:rFonts w:ascii="Times New Roman" w:hAnsi="Times New Roman"/>
          <w:lang w:val="en-HK"/>
        </w:rPr>
        <w:t>Article 34's evolution from a purely international to a federal model culminates in the</w:t>
      </w:r>
      <w:r w:rsidRPr="001E3EF6">
        <w:rPr>
          <w:rFonts w:ascii="Times New Roman" w:hAnsi="Times New Roman"/>
          <w:lang w:val="en-HK"/>
        </w:rPr>
        <w:t xml:space="preserve"> </w:t>
      </w:r>
      <w:r w:rsidRPr="00926760">
        <w:rPr>
          <w:rFonts w:ascii="Times New Roman" w:hAnsi="Times New Roman"/>
          <w:lang w:val="en-HK"/>
        </w:rPr>
        <w:t>creation of a national market model post-Keck, fostering debates on its application.</w:t>
      </w:r>
    </w:p>
    <w:p w14:paraId="3599CE47" w14:textId="030810BE" w:rsidR="00446216" w:rsidRPr="00446216" w:rsidRDefault="00342F93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67770005">
          <v:rect id="_x0000_i1060" alt="" style="width:451.3pt;height:.05pt;mso-width-percent:0;mso-height-percent:0;mso-width-percent:0;mso-height-percent:0" o:hralign="center" o:hrstd="t" o:hr="t" fillcolor="#a0a0a0" stroked="f"/>
        </w:pict>
      </w:r>
      <w:r w:rsidR="00446216" w:rsidRPr="00446216">
        <w:rPr>
          <w:rFonts w:ascii="Times New Roman" w:hAnsi="Times New Roman"/>
          <w:b/>
          <w:bCs/>
          <w:lang w:val="en-HK"/>
        </w:rPr>
        <w:t>1. Diverging Jurisprudential Lines: Different Tests for Different Categories</w:t>
      </w:r>
    </w:p>
    <w:p w14:paraId="688B38F5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Overview</w:t>
      </w:r>
    </w:p>
    <w:p w14:paraId="4014ED90" w14:textId="77777777" w:rsidR="00446216" w:rsidRPr="00446216" w:rsidRDefault="00446216" w:rsidP="001E3EF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b/>
          <w:bCs/>
          <w:highlight w:val="yellow"/>
          <w:lang w:val="en-HK"/>
        </w:rPr>
      </w:pPr>
      <w:proofErr w:type="spellStart"/>
      <w:r w:rsidRPr="00446216">
        <w:rPr>
          <w:rFonts w:ascii="Times New Roman" w:hAnsi="Times New Roman"/>
          <w:lang w:val="en-HK"/>
        </w:rPr>
        <w:t>Schütze</w:t>
      </w:r>
      <w:proofErr w:type="spellEnd"/>
      <w:r w:rsidRPr="00446216">
        <w:rPr>
          <w:rFonts w:ascii="Times New Roman" w:hAnsi="Times New Roman"/>
          <w:lang w:val="en-HK"/>
        </w:rPr>
        <w:t xml:space="preserve"> identifies </w:t>
      </w:r>
      <w:r w:rsidRPr="00446216">
        <w:rPr>
          <w:rFonts w:ascii="Times New Roman" w:hAnsi="Times New Roman"/>
          <w:b/>
          <w:bCs/>
          <w:highlight w:val="yellow"/>
          <w:lang w:val="en-HK"/>
        </w:rPr>
        <w:t>three distinct categories of national measures subjected to different legal tests under Article 34 TFEU:</w:t>
      </w:r>
    </w:p>
    <w:p w14:paraId="7DEA8FFD" w14:textId="77777777" w:rsidR="00446216" w:rsidRPr="00446216" w:rsidRDefault="00446216" w:rsidP="001E3EF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highlight w:val="yellow"/>
          <w:lang w:val="en-HK"/>
        </w:rPr>
      </w:pPr>
      <w:r w:rsidRPr="00446216">
        <w:rPr>
          <w:rFonts w:ascii="Times New Roman" w:hAnsi="Times New Roman"/>
          <w:b/>
          <w:bCs/>
          <w:highlight w:val="yellow"/>
          <w:lang w:val="en-HK"/>
        </w:rPr>
        <w:t>Product Requirements</w:t>
      </w:r>
    </w:p>
    <w:p w14:paraId="2AA2E595" w14:textId="77777777" w:rsidR="00446216" w:rsidRPr="00446216" w:rsidRDefault="00446216" w:rsidP="001E3EF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highlight w:val="yellow"/>
          <w:lang w:val="en-HK"/>
        </w:rPr>
      </w:pPr>
      <w:r w:rsidRPr="00446216">
        <w:rPr>
          <w:rFonts w:ascii="Times New Roman" w:hAnsi="Times New Roman"/>
          <w:b/>
          <w:bCs/>
          <w:highlight w:val="yellow"/>
          <w:lang w:val="en-HK"/>
        </w:rPr>
        <w:t>Selling Arrangements</w:t>
      </w:r>
    </w:p>
    <w:p w14:paraId="464E4498" w14:textId="77777777" w:rsidR="00446216" w:rsidRPr="00446216" w:rsidRDefault="00446216" w:rsidP="001E3EF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highlight w:val="yellow"/>
          <w:lang w:val="en-HK"/>
        </w:rPr>
      </w:pPr>
      <w:r w:rsidRPr="00446216">
        <w:rPr>
          <w:rFonts w:ascii="Times New Roman" w:hAnsi="Times New Roman"/>
          <w:b/>
          <w:bCs/>
          <w:highlight w:val="yellow"/>
          <w:lang w:val="en-HK"/>
        </w:rPr>
        <w:t>Consumer-Use Restrictions</w:t>
      </w:r>
    </w:p>
    <w:p w14:paraId="77B09C13" w14:textId="72A4A64E" w:rsidR="00446216" w:rsidRPr="00446216" w:rsidRDefault="00446216" w:rsidP="001E3EF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Each category reflects a specific phase in the evolution of Article 34 jurisprudence, showcasing the CJEU's attempts to reconcile market integration with Member State regulatory autonomy.</w:t>
      </w:r>
    </w:p>
    <w:p w14:paraId="4D608F12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1.1 Product Requirements</w:t>
      </w:r>
    </w:p>
    <w:p w14:paraId="0C5D7D49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Definition</w:t>
      </w:r>
    </w:p>
    <w:p w14:paraId="799C0187" w14:textId="77777777" w:rsidR="00446216" w:rsidRPr="00446216" w:rsidRDefault="00446216" w:rsidP="001E3EF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 xml:space="preserve">Product requirements refer to rules governing the physical, technical, or qualitative characteristics of goods, such as packaging, </w:t>
      </w:r>
      <w:proofErr w:type="spellStart"/>
      <w:r w:rsidRPr="00446216">
        <w:rPr>
          <w:rFonts w:ascii="Times New Roman" w:hAnsi="Times New Roman"/>
          <w:lang w:val="en-HK"/>
        </w:rPr>
        <w:t>labeling</w:t>
      </w:r>
      <w:proofErr w:type="spellEnd"/>
      <w:r w:rsidRPr="00446216">
        <w:rPr>
          <w:rFonts w:ascii="Times New Roman" w:hAnsi="Times New Roman"/>
          <w:lang w:val="en-HK"/>
        </w:rPr>
        <w:t>, or composition.</w:t>
      </w:r>
    </w:p>
    <w:p w14:paraId="70F39818" w14:textId="77777777" w:rsidR="00446216" w:rsidRPr="00446216" w:rsidRDefault="00446216" w:rsidP="001E3EF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These measures fall squarely under Article 34 if they create obstacles to intra-EU trade.</w:t>
      </w:r>
    </w:p>
    <w:p w14:paraId="4C1EBAE4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Key Case: Cassis de Dijon (Case 120/78)</w:t>
      </w:r>
    </w:p>
    <w:p w14:paraId="51F4A581" w14:textId="77777777" w:rsidR="00446216" w:rsidRPr="00446216" w:rsidRDefault="00446216" w:rsidP="001E3EF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Facts</w:t>
      </w:r>
      <w:r w:rsidRPr="00446216">
        <w:rPr>
          <w:rFonts w:ascii="Times New Roman" w:hAnsi="Times New Roman"/>
          <w:lang w:val="en-HK"/>
        </w:rPr>
        <w:t>:</w:t>
      </w:r>
    </w:p>
    <w:p w14:paraId="317E1630" w14:textId="77777777" w:rsidR="00446216" w:rsidRPr="00446216" w:rsidRDefault="00446216" w:rsidP="001E3EF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Germany prohibited the marketing of a French liqueur, Cassis de Dijon, because it did not meet Germany’s minimum alcohol content requirement.</w:t>
      </w:r>
    </w:p>
    <w:p w14:paraId="4D25FE7D" w14:textId="77777777" w:rsidR="00446216" w:rsidRPr="00446216" w:rsidRDefault="00446216" w:rsidP="001E3EF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lastRenderedPageBreak/>
        <w:t>Ruling</w:t>
      </w:r>
      <w:r w:rsidRPr="00446216">
        <w:rPr>
          <w:rFonts w:ascii="Times New Roman" w:hAnsi="Times New Roman"/>
          <w:lang w:val="en-HK"/>
        </w:rPr>
        <w:t>:</w:t>
      </w:r>
    </w:p>
    <w:p w14:paraId="45A0CD16" w14:textId="77777777" w:rsidR="00446216" w:rsidRPr="00446216" w:rsidRDefault="00446216" w:rsidP="001E3EF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The CJEU held that such rules constitute measures having equivalent effect (MEQRs) under Article 34.</w:t>
      </w:r>
    </w:p>
    <w:p w14:paraId="44E8B05D" w14:textId="77777777" w:rsidR="00446216" w:rsidRPr="00446216" w:rsidRDefault="00446216" w:rsidP="001E3EF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 xml:space="preserve">However, the Court introduced the principle of </w:t>
      </w:r>
      <w:r w:rsidRPr="00446216">
        <w:rPr>
          <w:rFonts w:ascii="Times New Roman" w:hAnsi="Times New Roman"/>
          <w:b/>
          <w:bCs/>
          <w:lang w:val="en-HK"/>
        </w:rPr>
        <w:t>mutual recognition</w:t>
      </w:r>
      <w:r w:rsidRPr="00446216">
        <w:rPr>
          <w:rFonts w:ascii="Times New Roman" w:hAnsi="Times New Roman"/>
          <w:lang w:val="en-HK"/>
        </w:rPr>
        <w:t>: products lawfully produced and marketed in one Member State must be accepted in others unless justified by overriding public interest (e.g., public health).</w:t>
      </w:r>
    </w:p>
    <w:p w14:paraId="2DC2C4CA" w14:textId="77777777" w:rsidR="00446216" w:rsidRPr="00446216" w:rsidRDefault="00446216" w:rsidP="001E3EF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Principle of Rule of Reason</w:t>
      </w:r>
      <w:r w:rsidRPr="00446216">
        <w:rPr>
          <w:rFonts w:ascii="Times New Roman" w:hAnsi="Times New Roman"/>
          <w:lang w:val="en-HK"/>
        </w:rPr>
        <w:t>:</w:t>
      </w:r>
    </w:p>
    <w:p w14:paraId="24044D88" w14:textId="77777777" w:rsidR="00446216" w:rsidRPr="00446216" w:rsidRDefault="00446216" w:rsidP="001E3EF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The Court allowed certain national measures to restrict trade if:</w:t>
      </w:r>
    </w:p>
    <w:p w14:paraId="541F0D35" w14:textId="77777777" w:rsidR="00446216" w:rsidRPr="00446216" w:rsidRDefault="00446216" w:rsidP="001E3EF6">
      <w:pPr>
        <w:numPr>
          <w:ilvl w:val="2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They served a legitimate objective (e.g., consumer protection or public health).</w:t>
      </w:r>
    </w:p>
    <w:p w14:paraId="464A89F0" w14:textId="77777777" w:rsidR="00446216" w:rsidRPr="00446216" w:rsidRDefault="00446216" w:rsidP="001E3EF6">
      <w:pPr>
        <w:numPr>
          <w:ilvl w:val="2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They were proportionate and necessary to achieve that objective.</w:t>
      </w:r>
    </w:p>
    <w:p w14:paraId="349A944E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Scholarly Commentary</w:t>
      </w:r>
    </w:p>
    <w:p w14:paraId="29383F31" w14:textId="77777777" w:rsidR="00446216" w:rsidRPr="00446216" w:rsidRDefault="00446216" w:rsidP="001E3EF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446216">
        <w:rPr>
          <w:rFonts w:ascii="Times New Roman" w:hAnsi="Times New Roman"/>
          <w:b/>
          <w:bCs/>
          <w:lang w:val="en-HK"/>
        </w:rPr>
        <w:t>Mortelmans</w:t>
      </w:r>
      <w:proofErr w:type="spellEnd"/>
      <w:r w:rsidRPr="00446216">
        <w:rPr>
          <w:rFonts w:ascii="Times New Roman" w:hAnsi="Times New Roman"/>
          <w:lang w:val="en-HK"/>
        </w:rPr>
        <w:t xml:space="preserve"> describes Cassis as the "federal moment" in Article 34 jurisprudence, where mutual recognition curtailed the ability of host states to impose stricter internal standards on imports.</w:t>
      </w:r>
    </w:p>
    <w:p w14:paraId="6DDCFFE2" w14:textId="77777777" w:rsidR="00446216" w:rsidRPr="00446216" w:rsidRDefault="00446216" w:rsidP="001E3EF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446216">
        <w:rPr>
          <w:rFonts w:ascii="Times New Roman" w:hAnsi="Times New Roman"/>
          <w:b/>
          <w:bCs/>
          <w:lang w:val="en-HK"/>
        </w:rPr>
        <w:t>Weatherill</w:t>
      </w:r>
      <w:proofErr w:type="spellEnd"/>
      <w:r w:rsidRPr="00446216">
        <w:rPr>
          <w:rFonts w:ascii="Times New Roman" w:hAnsi="Times New Roman"/>
          <w:lang w:val="en-HK"/>
        </w:rPr>
        <w:t xml:space="preserve"> praises the mutual recognition principle for fostering market integration without requiring full harmonization of national laws.</w:t>
      </w:r>
    </w:p>
    <w:p w14:paraId="52516D13" w14:textId="77777777" w:rsidR="00446216" w:rsidRPr="00446216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68B2A5D4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8D24201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1.2 Selling Arrangements</w:t>
      </w:r>
    </w:p>
    <w:p w14:paraId="553ADA82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Definition</w:t>
      </w:r>
    </w:p>
    <w:p w14:paraId="4DDD8544" w14:textId="77777777" w:rsidR="00446216" w:rsidRPr="00446216" w:rsidRDefault="00446216" w:rsidP="001E3EF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Selling arrangements refer to rules regulating how, where, or when goods are sold (e.g., shop opening hours, advertising restrictions).</w:t>
      </w:r>
    </w:p>
    <w:p w14:paraId="464E6BF4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 xml:space="preserve">Key Case: Keck and </w:t>
      </w:r>
      <w:proofErr w:type="spellStart"/>
      <w:r w:rsidRPr="00446216">
        <w:rPr>
          <w:rFonts w:ascii="Times New Roman" w:hAnsi="Times New Roman"/>
          <w:b/>
          <w:bCs/>
          <w:lang w:val="en-HK"/>
        </w:rPr>
        <w:t>Mithouard</w:t>
      </w:r>
      <w:proofErr w:type="spellEnd"/>
      <w:r w:rsidRPr="00446216">
        <w:rPr>
          <w:rFonts w:ascii="Times New Roman" w:hAnsi="Times New Roman"/>
          <w:b/>
          <w:bCs/>
          <w:lang w:val="en-HK"/>
        </w:rPr>
        <w:t xml:space="preserve"> (Joined Cases C-267/91 and C-268/91)</w:t>
      </w:r>
    </w:p>
    <w:p w14:paraId="499038D8" w14:textId="77777777" w:rsidR="00446216" w:rsidRPr="00446216" w:rsidRDefault="00446216" w:rsidP="001E3EF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Facts</w:t>
      </w:r>
      <w:r w:rsidRPr="00446216">
        <w:rPr>
          <w:rFonts w:ascii="Times New Roman" w:hAnsi="Times New Roman"/>
          <w:lang w:val="en-HK"/>
        </w:rPr>
        <w:t>:</w:t>
      </w:r>
    </w:p>
    <w:p w14:paraId="3CE1A211" w14:textId="77777777" w:rsidR="00446216" w:rsidRPr="00446216" w:rsidRDefault="00446216" w:rsidP="001E3EF6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French law prohibited resale below cost, affecting both domestic and imported goods.</w:t>
      </w:r>
    </w:p>
    <w:p w14:paraId="371339B9" w14:textId="77777777" w:rsidR="00446216" w:rsidRPr="00446216" w:rsidRDefault="00446216" w:rsidP="001E3EF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Ruling</w:t>
      </w:r>
      <w:r w:rsidRPr="00446216">
        <w:rPr>
          <w:rFonts w:ascii="Times New Roman" w:hAnsi="Times New Roman"/>
          <w:lang w:val="en-HK"/>
        </w:rPr>
        <w:t>:</w:t>
      </w:r>
    </w:p>
    <w:p w14:paraId="779A35FC" w14:textId="77777777" w:rsidR="00446216" w:rsidRPr="00446216" w:rsidRDefault="00446216" w:rsidP="001E3EF6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The Court introduced a new distinction between:</w:t>
      </w:r>
    </w:p>
    <w:p w14:paraId="72160532" w14:textId="77777777" w:rsidR="00446216" w:rsidRPr="00446216" w:rsidRDefault="00446216" w:rsidP="001E3EF6">
      <w:pPr>
        <w:numPr>
          <w:ilvl w:val="2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Product requirements</w:t>
      </w:r>
      <w:r w:rsidRPr="00446216">
        <w:rPr>
          <w:rFonts w:ascii="Times New Roman" w:hAnsi="Times New Roman"/>
          <w:lang w:val="en-HK"/>
        </w:rPr>
        <w:t>, which fall under Article 34.</w:t>
      </w:r>
    </w:p>
    <w:p w14:paraId="51D24AB8" w14:textId="77777777" w:rsidR="00446216" w:rsidRPr="00446216" w:rsidRDefault="00446216" w:rsidP="001E3EF6">
      <w:pPr>
        <w:numPr>
          <w:ilvl w:val="2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Selling arrangements</w:t>
      </w:r>
      <w:r w:rsidRPr="00446216">
        <w:rPr>
          <w:rFonts w:ascii="Times New Roman" w:hAnsi="Times New Roman"/>
          <w:lang w:val="en-HK"/>
        </w:rPr>
        <w:t>, which are excluded if they:</w:t>
      </w:r>
    </w:p>
    <w:p w14:paraId="0B8962EB" w14:textId="77777777" w:rsidR="00446216" w:rsidRPr="00446216" w:rsidRDefault="00446216" w:rsidP="001E3EF6">
      <w:pPr>
        <w:numPr>
          <w:ilvl w:val="3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Apply equally to all traders (domestic and imported goods) in law and fact.</w:t>
      </w:r>
    </w:p>
    <w:p w14:paraId="30A47E54" w14:textId="77777777" w:rsidR="00446216" w:rsidRPr="00446216" w:rsidRDefault="00446216" w:rsidP="001E3EF6">
      <w:pPr>
        <w:numPr>
          <w:ilvl w:val="3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Do not create an indirect disadvantage for imported goods.</w:t>
      </w:r>
    </w:p>
    <w:p w14:paraId="318F35C2" w14:textId="77777777" w:rsidR="00446216" w:rsidRPr="00446216" w:rsidRDefault="00446216" w:rsidP="001E3EF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Objective</w:t>
      </w:r>
      <w:r w:rsidRPr="00446216">
        <w:rPr>
          <w:rFonts w:ascii="Times New Roman" w:hAnsi="Times New Roman"/>
          <w:lang w:val="en-HK"/>
        </w:rPr>
        <w:t>:</w:t>
      </w:r>
    </w:p>
    <w:p w14:paraId="5E0E13C3" w14:textId="77777777" w:rsidR="00446216" w:rsidRPr="00446216" w:rsidRDefault="00446216" w:rsidP="001E3EF6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 xml:space="preserve">The Court sought to limit the overreach of the </w:t>
      </w:r>
      <w:proofErr w:type="spellStart"/>
      <w:r w:rsidRPr="00446216">
        <w:rPr>
          <w:rFonts w:ascii="Times New Roman" w:hAnsi="Times New Roman"/>
          <w:lang w:val="en-HK"/>
        </w:rPr>
        <w:t>Dassonville</w:t>
      </w:r>
      <w:proofErr w:type="spellEnd"/>
      <w:r w:rsidRPr="00446216">
        <w:rPr>
          <w:rFonts w:ascii="Times New Roman" w:hAnsi="Times New Roman"/>
          <w:lang w:val="en-HK"/>
        </w:rPr>
        <w:t xml:space="preserve"> formula and prevent Article 34 from becoming a tool to challenge non-discriminatory national rules.</w:t>
      </w:r>
    </w:p>
    <w:p w14:paraId="5D191A32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lastRenderedPageBreak/>
        <w:t>Post-Keck Developments</w:t>
      </w:r>
    </w:p>
    <w:p w14:paraId="270EE1C2" w14:textId="77777777" w:rsidR="00446216" w:rsidRPr="00446216" w:rsidRDefault="00446216" w:rsidP="001E3EF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Leclerc-</w:t>
      </w:r>
      <w:proofErr w:type="spellStart"/>
      <w:r w:rsidRPr="00446216">
        <w:rPr>
          <w:rFonts w:ascii="Times New Roman" w:hAnsi="Times New Roman"/>
          <w:b/>
          <w:bCs/>
          <w:lang w:val="en-HK"/>
        </w:rPr>
        <w:t>Siplec</w:t>
      </w:r>
      <w:proofErr w:type="spellEnd"/>
      <w:r w:rsidRPr="00446216">
        <w:rPr>
          <w:rFonts w:ascii="Times New Roman" w:hAnsi="Times New Roman"/>
          <w:b/>
          <w:bCs/>
          <w:lang w:val="en-HK"/>
        </w:rPr>
        <w:t xml:space="preserve"> (Case C-412/93)</w:t>
      </w:r>
      <w:r w:rsidRPr="00446216">
        <w:rPr>
          <w:rFonts w:ascii="Times New Roman" w:hAnsi="Times New Roman"/>
          <w:lang w:val="en-HK"/>
        </w:rPr>
        <w:t>:</w:t>
      </w:r>
    </w:p>
    <w:p w14:paraId="00F7910B" w14:textId="77777777" w:rsidR="00446216" w:rsidRPr="00446216" w:rsidRDefault="00446216" w:rsidP="001E3EF6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French restrictions on TV advertising for large supermarkets were upheld as a non-discriminatory selling arrangement.</w:t>
      </w:r>
    </w:p>
    <w:p w14:paraId="34840400" w14:textId="77777777" w:rsidR="00446216" w:rsidRPr="00446216" w:rsidRDefault="00446216" w:rsidP="001E3EF6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The Court emphasized that the restrictions did not disproportionately disadvantage imports.</w:t>
      </w:r>
    </w:p>
    <w:p w14:paraId="479A45E6" w14:textId="77777777" w:rsidR="00446216" w:rsidRPr="00446216" w:rsidRDefault="00446216" w:rsidP="001E3EF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De Agostini (Case C-34/95)</w:t>
      </w:r>
      <w:r w:rsidRPr="00446216">
        <w:rPr>
          <w:rFonts w:ascii="Times New Roman" w:hAnsi="Times New Roman"/>
          <w:lang w:val="en-HK"/>
        </w:rPr>
        <w:t>:</w:t>
      </w:r>
    </w:p>
    <w:p w14:paraId="04785BFE" w14:textId="77777777" w:rsidR="00446216" w:rsidRPr="00446216" w:rsidRDefault="00446216" w:rsidP="001E3EF6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Swedish rules prohibiting TV advertising directed at children were challenged under Article 34.</w:t>
      </w:r>
    </w:p>
    <w:p w14:paraId="186DC976" w14:textId="77777777" w:rsidR="00446216" w:rsidRPr="00446216" w:rsidRDefault="00446216" w:rsidP="001E3EF6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The Court found that the rules disproportionately affected imported goods, as domestic producers could rely on other advertising channels.</w:t>
      </w:r>
    </w:p>
    <w:p w14:paraId="46D67175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Scholarly Critiques</w:t>
      </w:r>
    </w:p>
    <w:p w14:paraId="2BCB7B2F" w14:textId="77777777" w:rsidR="00446216" w:rsidRPr="00446216" w:rsidRDefault="00446216" w:rsidP="001E3EF6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446216">
        <w:rPr>
          <w:rFonts w:ascii="Times New Roman" w:hAnsi="Times New Roman"/>
          <w:b/>
          <w:bCs/>
          <w:lang w:val="en-HK"/>
        </w:rPr>
        <w:t>Weatherill</w:t>
      </w:r>
      <w:proofErr w:type="spellEnd"/>
      <w:r w:rsidRPr="00446216">
        <w:rPr>
          <w:rFonts w:ascii="Times New Roman" w:hAnsi="Times New Roman"/>
          <w:lang w:val="en-HK"/>
        </w:rPr>
        <w:t xml:space="preserve"> (2014): Criticized Keck for its rigidity and failure to account for the complex realities of market access.</w:t>
      </w:r>
    </w:p>
    <w:p w14:paraId="38418035" w14:textId="77777777" w:rsidR="00446216" w:rsidRPr="00446216" w:rsidRDefault="00446216" w:rsidP="001E3EF6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Barnard</w:t>
      </w:r>
      <w:r w:rsidRPr="00446216">
        <w:rPr>
          <w:rFonts w:ascii="Times New Roman" w:hAnsi="Times New Roman"/>
          <w:lang w:val="en-HK"/>
        </w:rPr>
        <w:t xml:space="preserve"> (2017): Describes Keck as a “necessary correction” to the overly broad </w:t>
      </w:r>
      <w:proofErr w:type="spellStart"/>
      <w:r w:rsidRPr="00446216">
        <w:rPr>
          <w:rFonts w:ascii="Times New Roman" w:hAnsi="Times New Roman"/>
          <w:lang w:val="en-HK"/>
        </w:rPr>
        <w:t>Dassonville</w:t>
      </w:r>
      <w:proofErr w:type="spellEnd"/>
      <w:r w:rsidRPr="00446216">
        <w:rPr>
          <w:rFonts w:ascii="Times New Roman" w:hAnsi="Times New Roman"/>
          <w:lang w:val="en-HK"/>
        </w:rPr>
        <w:t xml:space="preserve"> formula but notes its inconsistent application in later case law.</w:t>
      </w:r>
    </w:p>
    <w:p w14:paraId="43E04BB1" w14:textId="77777777" w:rsidR="00446216" w:rsidRPr="00446216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2890A3B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EC4A85C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1.3 Consumer-Use Restrictions</w:t>
      </w:r>
    </w:p>
    <w:p w14:paraId="297B89D8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Definition</w:t>
      </w:r>
    </w:p>
    <w:p w14:paraId="0363F4B2" w14:textId="77777777" w:rsidR="00446216" w:rsidRPr="00446216" w:rsidRDefault="00446216" w:rsidP="001E3EF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lang w:val="en-HK"/>
        </w:rPr>
        <w:t xml:space="preserve">Consumer-use restrictions </w:t>
      </w:r>
      <w:r w:rsidRPr="00446216">
        <w:rPr>
          <w:rFonts w:ascii="Times New Roman" w:hAnsi="Times New Roman"/>
          <w:b/>
          <w:bCs/>
          <w:lang w:val="en-HK"/>
        </w:rPr>
        <w:t>regulate how consumers can use goods within a Member State.</w:t>
      </w:r>
    </w:p>
    <w:p w14:paraId="2CAF003F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Key Case: Commission v Italy (Italian Trailers, Case C-110/05)</w:t>
      </w:r>
    </w:p>
    <w:p w14:paraId="50A93179" w14:textId="77777777" w:rsidR="00446216" w:rsidRPr="00446216" w:rsidRDefault="00446216" w:rsidP="001E3EF6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Facts</w:t>
      </w:r>
      <w:r w:rsidRPr="00446216">
        <w:rPr>
          <w:rFonts w:ascii="Times New Roman" w:hAnsi="Times New Roman"/>
          <w:lang w:val="en-HK"/>
        </w:rPr>
        <w:t>:</w:t>
      </w:r>
    </w:p>
    <w:p w14:paraId="05DBDED4" w14:textId="77777777" w:rsidR="00446216" w:rsidRPr="00446216" w:rsidRDefault="00446216" w:rsidP="001E3EF6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Italy prohibited motorcycles from towing trailers, effectively excluding certain trailers from the market.</w:t>
      </w:r>
    </w:p>
    <w:p w14:paraId="5F0025C2" w14:textId="77777777" w:rsidR="00446216" w:rsidRPr="00446216" w:rsidRDefault="00446216" w:rsidP="001E3EF6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Ruling</w:t>
      </w:r>
      <w:r w:rsidRPr="00446216">
        <w:rPr>
          <w:rFonts w:ascii="Times New Roman" w:hAnsi="Times New Roman"/>
          <w:lang w:val="en-HK"/>
        </w:rPr>
        <w:t>:</w:t>
      </w:r>
    </w:p>
    <w:p w14:paraId="23B56CE7" w14:textId="77777777" w:rsidR="00446216" w:rsidRPr="00446216" w:rsidRDefault="00446216" w:rsidP="001E3EF6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The Court held that the measure hindered market access for trailers and thus constituted an MEQR under Article 34.</w:t>
      </w:r>
    </w:p>
    <w:p w14:paraId="021FA334" w14:textId="77777777" w:rsidR="00446216" w:rsidRPr="00446216" w:rsidRDefault="00446216" w:rsidP="001E3EF6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Unlike Keck, the Court did not distinguish between selling arrangements and product rules but focused on whether the measure hindered market access.</w:t>
      </w:r>
    </w:p>
    <w:p w14:paraId="12C4A7BC" w14:textId="77777777" w:rsidR="00446216" w:rsidRPr="00446216" w:rsidRDefault="00446216" w:rsidP="001E3EF6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Introduction of the Market Access Test</w:t>
      </w:r>
      <w:r w:rsidRPr="00446216">
        <w:rPr>
          <w:rFonts w:ascii="Times New Roman" w:hAnsi="Times New Roman"/>
          <w:lang w:val="en-HK"/>
        </w:rPr>
        <w:t>:</w:t>
      </w:r>
    </w:p>
    <w:p w14:paraId="1D63805D" w14:textId="77777777" w:rsidR="00446216" w:rsidRPr="00446216" w:rsidRDefault="00446216" w:rsidP="001E3EF6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The Court broadened the scope of Article 34 to include non-discriminatory measures that impede access to the market.</w:t>
      </w:r>
    </w:p>
    <w:p w14:paraId="0D402896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Post-Italian Trailers Cases</w:t>
      </w:r>
    </w:p>
    <w:p w14:paraId="7161A9D4" w14:textId="77777777" w:rsidR="00446216" w:rsidRPr="00446216" w:rsidRDefault="00446216" w:rsidP="001E3EF6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446216">
        <w:rPr>
          <w:rFonts w:ascii="Times New Roman" w:hAnsi="Times New Roman"/>
          <w:b/>
          <w:bCs/>
          <w:lang w:val="en-HK"/>
        </w:rPr>
        <w:lastRenderedPageBreak/>
        <w:t>Mickelsson</w:t>
      </w:r>
      <w:proofErr w:type="spellEnd"/>
      <w:r w:rsidRPr="00446216">
        <w:rPr>
          <w:rFonts w:ascii="Times New Roman" w:hAnsi="Times New Roman"/>
          <w:b/>
          <w:bCs/>
          <w:lang w:val="en-HK"/>
        </w:rPr>
        <w:t xml:space="preserve"> &amp; </w:t>
      </w:r>
      <w:proofErr w:type="spellStart"/>
      <w:r w:rsidRPr="00446216">
        <w:rPr>
          <w:rFonts w:ascii="Times New Roman" w:hAnsi="Times New Roman"/>
          <w:b/>
          <w:bCs/>
          <w:lang w:val="en-HK"/>
        </w:rPr>
        <w:t>Roos</w:t>
      </w:r>
      <w:proofErr w:type="spellEnd"/>
      <w:r w:rsidRPr="00446216">
        <w:rPr>
          <w:rFonts w:ascii="Times New Roman" w:hAnsi="Times New Roman"/>
          <w:b/>
          <w:bCs/>
          <w:lang w:val="en-HK"/>
        </w:rPr>
        <w:t xml:space="preserve"> (Case C-142/05)</w:t>
      </w:r>
      <w:r w:rsidRPr="00446216">
        <w:rPr>
          <w:rFonts w:ascii="Times New Roman" w:hAnsi="Times New Roman"/>
          <w:lang w:val="en-HK"/>
        </w:rPr>
        <w:t>:</w:t>
      </w:r>
    </w:p>
    <w:p w14:paraId="4ABD11B7" w14:textId="77777777" w:rsidR="00446216" w:rsidRPr="00446216" w:rsidRDefault="00446216" w:rsidP="001E3EF6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Swedish restrictions on jet ski use were found to hinder market access, as they limited the use and, consequently, the demand for imported jet skis.</w:t>
      </w:r>
    </w:p>
    <w:p w14:paraId="525D824E" w14:textId="77777777" w:rsidR="00446216" w:rsidRPr="00446216" w:rsidRDefault="00446216" w:rsidP="001E3EF6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Ker-</w:t>
      </w:r>
      <w:proofErr w:type="spellStart"/>
      <w:r w:rsidRPr="00446216">
        <w:rPr>
          <w:rFonts w:ascii="Times New Roman" w:hAnsi="Times New Roman"/>
          <w:b/>
          <w:bCs/>
          <w:lang w:val="en-HK"/>
        </w:rPr>
        <w:t>Optika</w:t>
      </w:r>
      <w:proofErr w:type="spellEnd"/>
      <w:r w:rsidRPr="00446216">
        <w:rPr>
          <w:rFonts w:ascii="Times New Roman" w:hAnsi="Times New Roman"/>
          <w:b/>
          <w:bCs/>
          <w:lang w:val="en-HK"/>
        </w:rPr>
        <w:t xml:space="preserve"> (Case C-108/09)</w:t>
      </w:r>
      <w:r w:rsidRPr="00446216">
        <w:rPr>
          <w:rFonts w:ascii="Times New Roman" w:hAnsi="Times New Roman"/>
          <w:lang w:val="en-HK"/>
        </w:rPr>
        <w:t>:</w:t>
      </w:r>
    </w:p>
    <w:p w14:paraId="685CC898" w14:textId="77777777" w:rsidR="00446216" w:rsidRPr="00446216" w:rsidRDefault="00446216" w:rsidP="001E3EF6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Hungarian rules prohibiting the online sale of contact lenses were deemed market access barriers, disproportionately affecting imported goods.</w:t>
      </w:r>
    </w:p>
    <w:p w14:paraId="4A885C64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Scholarly Opinions</w:t>
      </w:r>
    </w:p>
    <w:p w14:paraId="6C4D34C1" w14:textId="77777777" w:rsidR="00446216" w:rsidRPr="00446216" w:rsidRDefault="00446216" w:rsidP="001E3EF6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Oliver</w:t>
      </w:r>
      <w:r w:rsidRPr="00446216">
        <w:rPr>
          <w:rFonts w:ascii="Times New Roman" w:hAnsi="Times New Roman"/>
          <w:lang w:val="en-HK"/>
        </w:rPr>
        <w:t xml:space="preserve"> (2007): Warns that the market access test risks reintroducing the broad reach of the </w:t>
      </w:r>
      <w:proofErr w:type="spellStart"/>
      <w:r w:rsidRPr="00446216">
        <w:rPr>
          <w:rFonts w:ascii="Times New Roman" w:hAnsi="Times New Roman"/>
          <w:lang w:val="en-HK"/>
        </w:rPr>
        <w:t>Dassonville</w:t>
      </w:r>
      <w:proofErr w:type="spellEnd"/>
      <w:r w:rsidRPr="00446216">
        <w:rPr>
          <w:rFonts w:ascii="Times New Roman" w:hAnsi="Times New Roman"/>
          <w:lang w:val="en-HK"/>
        </w:rPr>
        <w:t xml:space="preserve"> formula, undermining the clarity provided by Keck.</w:t>
      </w:r>
    </w:p>
    <w:p w14:paraId="68EDB471" w14:textId="77777777" w:rsidR="00446216" w:rsidRPr="00446216" w:rsidRDefault="00446216" w:rsidP="001E3EF6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446216">
        <w:rPr>
          <w:rFonts w:ascii="Times New Roman" w:hAnsi="Times New Roman"/>
          <w:b/>
          <w:bCs/>
          <w:lang w:val="en-HK"/>
        </w:rPr>
        <w:t>Spaventa</w:t>
      </w:r>
      <w:proofErr w:type="spellEnd"/>
      <w:r w:rsidRPr="00446216">
        <w:rPr>
          <w:rFonts w:ascii="Times New Roman" w:hAnsi="Times New Roman"/>
          <w:lang w:val="en-HK"/>
        </w:rPr>
        <w:t xml:space="preserve"> (2009): Critiques the market access test for its potential to blur the distinctions between product rules, selling arrangements, and consumer-use restrictions.</w:t>
      </w:r>
    </w:p>
    <w:p w14:paraId="02303549" w14:textId="77777777" w:rsidR="00446216" w:rsidRPr="00446216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4FE553F5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0E78EA05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1.4 Relationship Between the Categories</w:t>
      </w:r>
    </w:p>
    <w:p w14:paraId="4FB673A5" w14:textId="77777777" w:rsidR="00446216" w:rsidRPr="00446216" w:rsidRDefault="00446216" w:rsidP="001E3EF6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446216">
        <w:rPr>
          <w:rFonts w:ascii="Times New Roman" w:hAnsi="Times New Roman"/>
          <w:lang w:val="en-HK"/>
        </w:rPr>
        <w:t>Schütze</w:t>
      </w:r>
      <w:proofErr w:type="spellEnd"/>
      <w:r w:rsidRPr="00446216">
        <w:rPr>
          <w:rFonts w:ascii="Times New Roman" w:hAnsi="Times New Roman"/>
          <w:lang w:val="en-HK"/>
        </w:rPr>
        <w:t xml:space="preserve"> observes that the CJEU has applied different tests to these categories, creating doctrinal fragmentation:</w:t>
      </w:r>
    </w:p>
    <w:p w14:paraId="257F69C5" w14:textId="77777777" w:rsidR="00446216" w:rsidRPr="00446216" w:rsidRDefault="00446216" w:rsidP="001E3EF6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Product Requirements</w:t>
      </w:r>
      <w:r w:rsidRPr="00446216">
        <w:rPr>
          <w:rFonts w:ascii="Times New Roman" w:hAnsi="Times New Roman"/>
          <w:lang w:val="en-HK"/>
        </w:rPr>
        <w:t>: Assessed under the principles of mutual recognition and proportionality.</w:t>
      </w:r>
    </w:p>
    <w:p w14:paraId="24096277" w14:textId="77777777" w:rsidR="00446216" w:rsidRPr="00446216" w:rsidRDefault="00446216" w:rsidP="001E3EF6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Selling Arrangements</w:t>
      </w:r>
      <w:r w:rsidRPr="00446216">
        <w:rPr>
          <w:rFonts w:ascii="Times New Roman" w:hAnsi="Times New Roman"/>
          <w:lang w:val="en-HK"/>
        </w:rPr>
        <w:t>: Excluded if they meet the Keck criteria.</w:t>
      </w:r>
    </w:p>
    <w:p w14:paraId="1713360A" w14:textId="77777777" w:rsidR="00446216" w:rsidRPr="00446216" w:rsidRDefault="00446216" w:rsidP="001E3EF6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Consumer-Use Restrictions</w:t>
      </w:r>
      <w:r w:rsidRPr="00446216">
        <w:rPr>
          <w:rFonts w:ascii="Times New Roman" w:hAnsi="Times New Roman"/>
          <w:lang w:val="en-HK"/>
        </w:rPr>
        <w:t>: Assessed under the market access test.</w:t>
      </w:r>
    </w:p>
    <w:p w14:paraId="570CEA0F" w14:textId="77777777" w:rsidR="00446216" w:rsidRPr="00446216" w:rsidRDefault="00446216" w:rsidP="001E3EF6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This fragmentation, while reflecting the complexity of modern trade, has led to legal uncertainty and calls for a unitary framework.</w:t>
      </w:r>
    </w:p>
    <w:p w14:paraId="257C25C8" w14:textId="77777777" w:rsidR="00446216" w:rsidRPr="00446216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2BD2CBD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6C22573" w14:textId="77777777" w:rsidR="00446216" w:rsidRPr="00446216" w:rsidRDefault="00446216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446216">
        <w:rPr>
          <w:rFonts w:ascii="Times New Roman" w:hAnsi="Times New Roman"/>
          <w:b/>
          <w:bCs/>
          <w:lang w:val="en-HK"/>
        </w:rPr>
        <w:t>Conclusion of Section 1</w:t>
      </w:r>
    </w:p>
    <w:p w14:paraId="012384AC" w14:textId="77777777" w:rsidR="00446216" w:rsidRPr="00446216" w:rsidRDefault="00446216" w:rsidP="001E3EF6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446216">
        <w:rPr>
          <w:rFonts w:ascii="Times New Roman" w:hAnsi="Times New Roman"/>
          <w:lang w:val="en-HK"/>
        </w:rPr>
        <w:t>Schütze</w:t>
      </w:r>
      <w:proofErr w:type="spellEnd"/>
      <w:r w:rsidRPr="00446216">
        <w:rPr>
          <w:rFonts w:ascii="Times New Roman" w:hAnsi="Times New Roman"/>
          <w:lang w:val="en-HK"/>
        </w:rPr>
        <w:t xml:space="preserve"> highlights the divergence in Article 34 jurisprudence, with different categories of measures subjected to distinct tests. While the Court’s approach reflects a pragmatic effort to balance market integration with Member State autonomy, it has created significant doctrinal inconsistencies.</w:t>
      </w:r>
    </w:p>
    <w:p w14:paraId="4AA5706F" w14:textId="77777777" w:rsidR="00446216" w:rsidRPr="00446216" w:rsidRDefault="00446216" w:rsidP="001E3EF6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446216">
        <w:rPr>
          <w:rFonts w:ascii="Times New Roman" w:hAnsi="Times New Roman"/>
          <w:lang w:val="en-HK"/>
        </w:rPr>
        <w:t>He argues that these inconsistencies undermine the predictability and coherence of EU trade law, calling for a unified doctrinal framework to streamline the application of Article 34.</w:t>
      </w:r>
    </w:p>
    <w:p w14:paraId="47D723C6" w14:textId="77777777" w:rsidR="00446216" w:rsidRPr="00446216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50E3289C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1A3A678F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2. Converging Jurisprudential Lines: Two Doctrinal Possibilities</w:t>
      </w:r>
    </w:p>
    <w:p w14:paraId="4DA38E73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Overview</w:t>
      </w:r>
    </w:p>
    <w:p w14:paraId="169C9FC8" w14:textId="77777777" w:rsidR="00307B1B" w:rsidRPr="00307B1B" w:rsidRDefault="00307B1B" w:rsidP="001E3EF6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lastRenderedPageBreak/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examines whether the CJEU's distinct tests for Article 34 (e.g., product requirements, selling arrangements, and consumer-use restrictions) can be reconciled into a </w:t>
      </w:r>
      <w:r w:rsidRPr="00307B1B">
        <w:rPr>
          <w:rFonts w:ascii="Times New Roman" w:hAnsi="Times New Roman"/>
          <w:b/>
          <w:bCs/>
          <w:lang w:val="en-HK"/>
        </w:rPr>
        <w:t>unitary framework</w:t>
      </w:r>
      <w:r w:rsidRPr="00307B1B">
        <w:rPr>
          <w:rFonts w:ascii="Times New Roman" w:hAnsi="Times New Roman"/>
          <w:lang w:val="en-HK"/>
        </w:rPr>
        <w:t xml:space="preserve"> or whether they remain irreconcilable doctrinal categories.</w:t>
      </w:r>
    </w:p>
    <w:p w14:paraId="11AA7282" w14:textId="77777777" w:rsidR="00307B1B" w:rsidRPr="00307B1B" w:rsidRDefault="00307B1B" w:rsidP="001E3EF6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He highlights the Court’s attempts to clarify the relationship between these tests, leading to two potential approaches:</w:t>
      </w:r>
    </w:p>
    <w:p w14:paraId="52F79734" w14:textId="77777777" w:rsidR="00307B1B" w:rsidRPr="00307B1B" w:rsidRDefault="00307B1B" w:rsidP="001E3EF6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Category Approach</w:t>
      </w:r>
    </w:p>
    <w:p w14:paraId="7F7085A5" w14:textId="77777777" w:rsidR="00307B1B" w:rsidRPr="00307B1B" w:rsidRDefault="00307B1B" w:rsidP="001E3EF6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Unitary Approach</w:t>
      </w:r>
    </w:p>
    <w:p w14:paraId="1AC41064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13A45884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EB59322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2.1 Category Approach</w:t>
      </w:r>
    </w:p>
    <w:p w14:paraId="46DA7224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Definition</w:t>
      </w:r>
    </w:p>
    <w:p w14:paraId="4559B368" w14:textId="77777777" w:rsidR="00307B1B" w:rsidRPr="00307B1B" w:rsidRDefault="00307B1B" w:rsidP="001E3EF6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category approach treats product requirements, selling arrangements, and consumer-use restrictions as separate jurisprudential categories, each governed by a distinct legal test.</w:t>
      </w:r>
    </w:p>
    <w:p w14:paraId="1D447EF1" w14:textId="77777777" w:rsidR="00307B1B" w:rsidRPr="00307B1B" w:rsidRDefault="00307B1B" w:rsidP="001E3EF6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This approach emphasizes conceptual clarity and respects the differences between the types of measures.</w:t>
      </w:r>
    </w:p>
    <w:p w14:paraId="67C69514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Keck and the Rise of Categories</w:t>
      </w:r>
    </w:p>
    <w:p w14:paraId="4851FC94" w14:textId="77777777" w:rsidR="00307B1B" w:rsidRPr="00307B1B" w:rsidRDefault="00307B1B" w:rsidP="001E3EF6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 xml:space="preserve">Keck and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Mithouard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(Joined Cases C-267/91 and C-268/91)</w:t>
      </w:r>
      <w:r w:rsidRPr="00307B1B">
        <w:rPr>
          <w:rFonts w:ascii="Times New Roman" w:hAnsi="Times New Roman"/>
          <w:lang w:val="en-HK"/>
        </w:rPr>
        <w:t>:</w:t>
      </w:r>
    </w:p>
    <w:p w14:paraId="0C538B37" w14:textId="77777777" w:rsidR="00307B1B" w:rsidRPr="00307B1B" w:rsidRDefault="00307B1B" w:rsidP="001E3EF6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Keck judgment introduced the distinction between product requirements and selling arrangements, carving out a separate category for the latter.</w:t>
      </w:r>
    </w:p>
    <w:p w14:paraId="7C108176" w14:textId="77777777" w:rsidR="00307B1B" w:rsidRPr="00307B1B" w:rsidRDefault="00307B1B" w:rsidP="001E3EF6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Court excluded selling arrangements from Article 34 if they:</w:t>
      </w:r>
    </w:p>
    <w:p w14:paraId="20438CD2" w14:textId="77777777" w:rsidR="00307B1B" w:rsidRPr="00307B1B" w:rsidRDefault="00307B1B" w:rsidP="001E3EF6">
      <w:pPr>
        <w:numPr>
          <w:ilvl w:val="2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Apply equally to domestic and imported goods in law and fact.</w:t>
      </w:r>
    </w:p>
    <w:p w14:paraId="5A7E1EFE" w14:textId="77777777" w:rsidR="00307B1B" w:rsidRPr="00307B1B" w:rsidRDefault="00307B1B" w:rsidP="001E3EF6">
      <w:pPr>
        <w:numPr>
          <w:ilvl w:val="2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Do not disproportionately disadvantage imports.</w:t>
      </w:r>
    </w:p>
    <w:p w14:paraId="3377D3C9" w14:textId="77777777" w:rsidR="00307B1B" w:rsidRPr="00307B1B" w:rsidRDefault="00307B1B" w:rsidP="001E3EF6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This categorical distinction was a reaction to the overly broad </w:t>
      </w:r>
      <w:proofErr w:type="spellStart"/>
      <w:r w:rsidRPr="00307B1B">
        <w:rPr>
          <w:rFonts w:ascii="Times New Roman" w:hAnsi="Times New Roman"/>
          <w:lang w:val="en-HK"/>
        </w:rPr>
        <w:t>Dassonville</w:t>
      </w:r>
      <w:proofErr w:type="spellEnd"/>
      <w:r w:rsidRPr="00307B1B">
        <w:rPr>
          <w:rFonts w:ascii="Times New Roman" w:hAnsi="Times New Roman"/>
          <w:lang w:val="en-HK"/>
        </w:rPr>
        <w:t xml:space="preserve"> formula, which threatened to encompass all national regulations.</w:t>
      </w:r>
    </w:p>
    <w:p w14:paraId="170493DF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Advantages of the Category Approach</w:t>
      </w:r>
    </w:p>
    <w:p w14:paraId="25A9A14A" w14:textId="77777777" w:rsidR="00307B1B" w:rsidRPr="00307B1B" w:rsidRDefault="00307B1B" w:rsidP="001E3EF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Legal Certainty</w:t>
      </w:r>
      <w:r w:rsidRPr="00307B1B">
        <w:rPr>
          <w:rFonts w:ascii="Times New Roman" w:hAnsi="Times New Roman"/>
          <w:lang w:val="en-HK"/>
        </w:rPr>
        <w:t>:</w:t>
      </w:r>
    </w:p>
    <w:p w14:paraId="779D4E19" w14:textId="77777777" w:rsidR="00307B1B" w:rsidRPr="00307B1B" w:rsidRDefault="00307B1B" w:rsidP="001E3EF6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By defining clear boundaries for different types of measures, the category approach provides traders and regulators with a predictable framework for assessing the compatibility of national rules with EU law.</w:t>
      </w:r>
    </w:p>
    <w:p w14:paraId="68CA1A74" w14:textId="77777777" w:rsidR="00307B1B" w:rsidRPr="00307B1B" w:rsidRDefault="00307B1B" w:rsidP="001E3EF6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For example, product requirements are always subject to mutual recognition under </w:t>
      </w:r>
      <w:r w:rsidRPr="00307B1B">
        <w:rPr>
          <w:rFonts w:ascii="Times New Roman" w:hAnsi="Times New Roman"/>
          <w:b/>
          <w:bCs/>
          <w:lang w:val="en-HK"/>
        </w:rPr>
        <w:t>Cassis de Dijon (Case 120/78)</w:t>
      </w:r>
      <w:r w:rsidRPr="00307B1B">
        <w:rPr>
          <w:rFonts w:ascii="Times New Roman" w:hAnsi="Times New Roman"/>
          <w:lang w:val="en-HK"/>
        </w:rPr>
        <w:t>, while selling arrangements are excluded if they meet the Keck criteria.</w:t>
      </w:r>
    </w:p>
    <w:p w14:paraId="2C65BA45" w14:textId="77777777" w:rsidR="00307B1B" w:rsidRPr="00307B1B" w:rsidRDefault="00307B1B" w:rsidP="001E3EF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Respect for Subsidiarity</w:t>
      </w:r>
      <w:r w:rsidRPr="00307B1B">
        <w:rPr>
          <w:rFonts w:ascii="Times New Roman" w:hAnsi="Times New Roman"/>
          <w:lang w:val="en-HK"/>
        </w:rPr>
        <w:t>:</w:t>
      </w:r>
    </w:p>
    <w:p w14:paraId="55A7B2A5" w14:textId="77777777" w:rsidR="00307B1B" w:rsidRPr="00307B1B" w:rsidRDefault="00307B1B" w:rsidP="001E3EF6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category approach allows Member States greater regulatory autonomy in areas like selling arrangements, aligning with the principle of subsidiarity (Article 5(3) TEU).</w:t>
      </w:r>
    </w:p>
    <w:p w14:paraId="1D7D4C05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lastRenderedPageBreak/>
        <w:t>Criticism of the Category Approach</w:t>
      </w:r>
    </w:p>
    <w:p w14:paraId="6ADA1AC1" w14:textId="77777777" w:rsidR="00307B1B" w:rsidRPr="00307B1B" w:rsidRDefault="00307B1B" w:rsidP="001E3EF6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Fragmentation</w:t>
      </w:r>
      <w:r w:rsidRPr="00307B1B">
        <w:rPr>
          <w:rFonts w:ascii="Times New Roman" w:hAnsi="Times New Roman"/>
          <w:lang w:val="en-HK"/>
        </w:rPr>
        <w:t>:</w:t>
      </w:r>
    </w:p>
    <w:p w14:paraId="4C414E21" w14:textId="77777777" w:rsidR="00307B1B" w:rsidRPr="00307B1B" w:rsidRDefault="00307B1B" w:rsidP="001E3EF6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criticizes the category approach for creating artificial distinctions between measures, leading to inconsistent case law.</w:t>
      </w:r>
    </w:p>
    <w:p w14:paraId="005F371C" w14:textId="77777777" w:rsidR="00307B1B" w:rsidRPr="00307B1B" w:rsidRDefault="00307B1B" w:rsidP="001E3EF6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For instance, some selling arrangements (e.g., advertising restrictions) may have the same economic impact as product requirements but are excluded from Article 34 under Keck.</w:t>
      </w:r>
    </w:p>
    <w:p w14:paraId="5FD1EEF5" w14:textId="77777777" w:rsidR="00307B1B" w:rsidRPr="00307B1B" w:rsidRDefault="00307B1B" w:rsidP="001E3EF6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Judicial Ambiguity</w:t>
      </w:r>
      <w:r w:rsidRPr="00307B1B">
        <w:rPr>
          <w:rFonts w:ascii="Times New Roman" w:hAnsi="Times New Roman"/>
          <w:lang w:val="en-HK"/>
        </w:rPr>
        <w:t>:</w:t>
      </w:r>
    </w:p>
    <w:p w14:paraId="13C91948" w14:textId="77777777" w:rsidR="00307B1B" w:rsidRPr="00307B1B" w:rsidRDefault="00307B1B" w:rsidP="001E3EF6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Cases like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Mickelsson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&amp;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Roos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(Case C-142/05)</w:t>
      </w:r>
      <w:r w:rsidRPr="00307B1B">
        <w:rPr>
          <w:rFonts w:ascii="Times New Roman" w:hAnsi="Times New Roman"/>
          <w:lang w:val="en-HK"/>
        </w:rPr>
        <w:t xml:space="preserve"> and </w:t>
      </w:r>
      <w:r w:rsidRPr="00307B1B">
        <w:rPr>
          <w:rFonts w:ascii="Times New Roman" w:hAnsi="Times New Roman"/>
          <w:b/>
          <w:bCs/>
          <w:lang w:val="en-HK"/>
        </w:rPr>
        <w:t>Ker-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Optika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(Case C-108/09)</w:t>
      </w:r>
      <w:r w:rsidRPr="00307B1B">
        <w:rPr>
          <w:rFonts w:ascii="Times New Roman" w:hAnsi="Times New Roman"/>
          <w:lang w:val="en-HK"/>
        </w:rPr>
        <w:t xml:space="preserve"> blur the line between product requirements and consumer-use restrictions, challenging the clarity of the category approach.</w:t>
      </w:r>
    </w:p>
    <w:p w14:paraId="24DB8CB7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22E46C8A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5B20CBE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2.2 Unitary Approach</w:t>
      </w:r>
    </w:p>
    <w:p w14:paraId="6A9F9AB4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Definition</w:t>
      </w:r>
    </w:p>
    <w:p w14:paraId="07FEE8C0" w14:textId="77777777" w:rsidR="00307B1B" w:rsidRPr="00307B1B" w:rsidRDefault="00307B1B" w:rsidP="001E3EF6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The unitary approach seeks to unify all types of measures under a single test, focusing on their </w:t>
      </w:r>
      <w:r w:rsidRPr="00307B1B">
        <w:rPr>
          <w:rFonts w:ascii="Times New Roman" w:hAnsi="Times New Roman"/>
          <w:b/>
          <w:bCs/>
          <w:lang w:val="en-HK"/>
        </w:rPr>
        <w:t>market access effects</w:t>
      </w:r>
      <w:r w:rsidRPr="00307B1B">
        <w:rPr>
          <w:rFonts w:ascii="Times New Roman" w:hAnsi="Times New Roman"/>
          <w:lang w:val="en-HK"/>
        </w:rPr>
        <w:t xml:space="preserve"> rather than their formal classification.</w:t>
      </w:r>
    </w:p>
    <w:p w14:paraId="5933BCCE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Market Access Test</w:t>
      </w:r>
    </w:p>
    <w:p w14:paraId="30DF0760" w14:textId="77777777" w:rsidR="00307B1B" w:rsidRPr="00307B1B" w:rsidRDefault="00307B1B" w:rsidP="001E3EF6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The market access test, introduced in </w:t>
      </w:r>
      <w:r w:rsidRPr="00307B1B">
        <w:rPr>
          <w:rFonts w:ascii="Times New Roman" w:hAnsi="Times New Roman"/>
          <w:b/>
          <w:bCs/>
          <w:lang w:val="en-HK"/>
        </w:rPr>
        <w:t>Commission v Italy (Motorcycle Trailers, Case C-110/05)</w:t>
      </w:r>
      <w:r w:rsidRPr="00307B1B">
        <w:rPr>
          <w:rFonts w:ascii="Times New Roman" w:hAnsi="Times New Roman"/>
          <w:lang w:val="en-HK"/>
        </w:rPr>
        <w:t>, assesses whether a measure hinders market access for goods from other Member States, regardless of its classification.</w:t>
      </w:r>
    </w:p>
    <w:p w14:paraId="772AADDC" w14:textId="77777777" w:rsidR="00307B1B" w:rsidRPr="00307B1B" w:rsidRDefault="00307B1B" w:rsidP="001E3EF6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This test has been applied broadly, including to product requirements, selling arrangements, and consumer-use restrictions.</w:t>
      </w:r>
    </w:p>
    <w:p w14:paraId="3B5CD5C5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Advantages of the Unitary Approach</w:t>
      </w:r>
    </w:p>
    <w:p w14:paraId="7381C25A" w14:textId="77777777" w:rsidR="00307B1B" w:rsidRPr="00307B1B" w:rsidRDefault="00307B1B" w:rsidP="001E3EF6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Focus on Economic Impact</w:t>
      </w:r>
      <w:r w:rsidRPr="00307B1B">
        <w:rPr>
          <w:rFonts w:ascii="Times New Roman" w:hAnsi="Times New Roman"/>
          <w:lang w:val="en-HK"/>
        </w:rPr>
        <w:t>:</w:t>
      </w:r>
    </w:p>
    <w:p w14:paraId="5409E417" w14:textId="77777777" w:rsidR="00307B1B" w:rsidRPr="00307B1B" w:rsidRDefault="00307B1B" w:rsidP="001E3EF6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unitary approach shifts attention from formal distinctions (e.g., product rules vs. selling arrangements) to the real-world impact of national measures on trade.</w:t>
      </w:r>
    </w:p>
    <w:p w14:paraId="1A8027B1" w14:textId="77777777" w:rsidR="00307B1B" w:rsidRPr="00307B1B" w:rsidRDefault="00307B1B" w:rsidP="001E3EF6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This aligns with the purpose of Article 34: eliminating barriers to intra-EU trade.</w:t>
      </w:r>
    </w:p>
    <w:p w14:paraId="417F62E7" w14:textId="77777777" w:rsidR="00307B1B" w:rsidRPr="00307B1B" w:rsidRDefault="00307B1B" w:rsidP="001E3EF6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Flexibility</w:t>
      </w:r>
      <w:r w:rsidRPr="00307B1B">
        <w:rPr>
          <w:rFonts w:ascii="Times New Roman" w:hAnsi="Times New Roman"/>
          <w:lang w:val="en-HK"/>
        </w:rPr>
        <w:t>:</w:t>
      </w:r>
    </w:p>
    <w:p w14:paraId="4F021B33" w14:textId="77777777" w:rsidR="00307B1B" w:rsidRPr="00307B1B" w:rsidRDefault="00307B1B" w:rsidP="001E3EF6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unitary approach accommodates the complexities of modern trade, where the distinction between categories is often unclear.</w:t>
      </w:r>
    </w:p>
    <w:p w14:paraId="1EDA40DB" w14:textId="77777777" w:rsidR="00307B1B" w:rsidRPr="00307B1B" w:rsidRDefault="00307B1B" w:rsidP="001E3EF6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For example, restrictions on online sales, as in </w:t>
      </w:r>
      <w:r w:rsidRPr="00307B1B">
        <w:rPr>
          <w:rFonts w:ascii="Times New Roman" w:hAnsi="Times New Roman"/>
          <w:b/>
          <w:bCs/>
          <w:lang w:val="en-HK"/>
        </w:rPr>
        <w:t>Ker-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Optika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(Case C-108/09)</w:t>
      </w:r>
      <w:r w:rsidRPr="00307B1B">
        <w:rPr>
          <w:rFonts w:ascii="Times New Roman" w:hAnsi="Times New Roman"/>
          <w:lang w:val="en-HK"/>
        </w:rPr>
        <w:t>, may simultaneously affect market access and selling conditions.</w:t>
      </w:r>
    </w:p>
    <w:p w14:paraId="35F6D66B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Criticism of the Unitary Approach</w:t>
      </w:r>
    </w:p>
    <w:p w14:paraId="598C9DF0" w14:textId="77777777" w:rsidR="00307B1B" w:rsidRPr="00307B1B" w:rsidRDefault="00307B1B" w:rsidP="001E3EF6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lastRenderedPageBreak/>
        <w:t>Overreach</w:t>
      </w:r>
      <w:r w:rsidRPr="00307B1B">
        <w:rPr>
          <w:rFonts w:ascii="Times New Roman" w:hAnsi="Times New Roman"/>
          <w:lang w:val="en-HK"/>
        </w:rPr>
        <w:t>:</w:t>
      </w:r>
    </w:p>
    <w:p w14:paraId="0293DC94" w14:textId="77777777" w:rsidR="00307B1B" w:rsidRPr="00307B1B" w:rsidRDefault="00307B1B" w:rsidP="001E3EF6">
      <w:pPr>
        <w:numPr>
          <w:ilvl w:val="1"/>
          <w:numId w:val="2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Critics argue that the market access test risks reintroducing the broad reach of the </w:t>
      </w:r>
      <w:proofErr w:type="spellStart"/>
      <w:r w:rsidRPr="00307B1B">
        <w:rPr>
          <w:rFonts w:ascii="Times New Roman" w:hAnsi="Times New Roman"/>
          <w:lang w:val="en-HK"/>
        </w:rPr>
        <w:t>Dassonville</w:t>
      </w:r>
      <w:proofErr w:type="spellEnd"/>
      <w:r w:rsidRPr="00307B1B">
        <w:rPr>
          <w:rFonts w:ascii="Times New Roman" w:hAnsi="Times New Roman"/>
          <w:lang w:val="en-HK"/>
        </w:rPr>
        <w:t xml:space="preserve"> formula, undermining the legal certainty provided by Keck.</w:t>
      </w:r>
    </w:p>
    <w:p w14:paraId="7D81CBD0" w14:textId="77777777" w:rsidR="00307B1B" w:rsidRPr="00307B1B" w:rsidRDefault="00307B1B" w:rsidP="001E3EF6">
      <w:pPr>
        <w:numPr>
          <w:ilvl w:val="1"/>
          <w:numId w:val="2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Oliver</w:t>
      </w:r>
      <w:r w:rsidRPr="00307B1B">
        <w:rPr>
          <w:rFonts w:ascii="Times New Roman" w:hAnsi="Times New Roman"/>
          <w:lang w:val="en-HK"/>
        </w:rPr>
        <w:t>: Warns that the unitary approach may subject all national measures to Article 34 scrutiny, even those with minimal trade effects.</w:t>
      </w:r>
    </w:p>
    <w:p w14:paraId="7774F7A7" w14:textId="77777777" w:rsidR="00307B1B" w:rsidRPr="00307B1B" w:rsidRDefault="00307B1B" w:rsidP="001E3EF6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Judicial Inconsistency</w:t>
      </w:r>
      <w:r w:rsidRPr="00307B1B">
        <w:rPr>
          <w:rFonts w:ascii="Times New Roman" w:hAnsi="Times New Roman"/>
          <w:lang w:val="en-HK"/>
        </w:rPr>
        <w:t>:</w:t>
      </w:r>
    </w:p>
    <w:p w14:paraId="5D4DB3A2" w14:textId="77777777" w:rsidR="00307B1B" w:rsidRPr="00307B1B" w:rsidRDefault="00307B1B" w:rsidP="001E3EF6">
      <w:pPr>
        <w:numPr>
          <w:ilvl w:val="1"/>
          <w:numId w:val="2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CJEU has applied the market access test inconsistently, leading to uncertainty about its relationship with the Keck criteria and other exclusionary rules.</w:t>
      </w:r>
    </w:p>
    <w:p w14:paraId="08F13256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Scholarly Commentary</w:t>
      </w:r>
    </w:p>
    <w:p w14:paraId="2824B09C" w14:textId="77777777" w:rsidR="00307B1B" w:rsidRPr="00307B1B" w:rsidRDefault="00307B1B" w:rsidP="001E3EF6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b/>
          <w:bCs/>
          <w:lang w:val="en-HK"/>
        </w:rPr>
        <w:t>Weatherill</w:t>
      </w:r>
      <w:proofErr w:type="spellEnd"/>
      <w:r w:rsidRPr="00307B1B">
        <w:rPr>
          <w:rFonts w:ascii="Times New Roman" w:hAnsi="Times New Roman"/>
          <w:lang w:val="en-HK"/>
        </w:rPr>
        <w:t xml:space="preserve"> (2014): Supports the unitary approach for its focus on market integration but cautions against its potential to erode Member State autonomy.</w:t>
      </w:r>
    </w:p>
    <w:p w14:paraId="22982053" w14:textId="77777777" w:rsidR="00307B1B" w:rsidRPr="00307B1B" w:rsidRDefault="00307B1B" w:rsidP="001E3EF6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Barnard</w:t>
      </w:r>
      <w:r w:rsidRPr="00307B1B">
        <w:rPr>
          <w:rFonts w:ascii="Times New Roman" w:hAnsi="Times New Roman"/>
          <w:lang w:val="en-HK"/>
        </w:rPr>
        <w:t xml:space="preserve"> (2017): Critiques the lack of clear guidance on how to apply the market access test, particularly in cases involving non-discriminatory measures.</w:t>
      </w:r>
    </w:p>
    <w:p w14:paraId="411CC6DA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3024A088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805639A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2.3 Comparative Analysis</w:t>
      </w:r>
    </w:p>
    <w:p w14:paraId="51CACC95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Tensions Between the Approaches</w:t>
      </w:r>
    </w:p>
    <w:p w14:paraId="6C174E76" w14:textId="77777777" w:rsidR="00307B1B" w:rsidRPr="00307B1B" w:rsidRDefault="00307B1B" w:rsidP="001E3EF6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identifies the central tension between the category and unitary approaches:</w:t>
      </w:r>
    </w:p>
    <w:p w14:paraId="5529F901" w14:textId="77777777" w:rsidR="00307B1B" w:rsidRPr="00307B1B" w:rsidRDefault="00307B1B" w:rsidP="001E3EF6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category approach prioritizes legal certainty and subsidiarity by excluding certain types of measures from Article 34.</w:t>
      </w:r>
    </w:p>
    <w:p w14:paraId="46428A08" w14:textId="77777777" w:rsidR="00307B1B" w:rsidRPr="00307B1B" w:rsidRDefault="00307B1B" w:rsidP="001E3EF6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unitary approach promotes market integration by subjecting all measures to a single, flexible test.</w:t>
      </w:r>
    </w:p>
    <w:p w14:paraId="01B6399D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Judicial Ambiguity</w:t>
      </w:r>
    </w:p>
    <w:p w14:paraId="46CCF44E" w14:textId="77777777" w:rsidR="00307B1B" w:rsidRPr="00307B1B" w:rsidRDefault="00307B1B" w:rsidP="001E3EF6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CJEU has not explicitly resolved the tension between these approaches, leading to doctrinal inconsistencies.</w:t>
      </w:r>
    </w:p>
    <w:p w14:paraId="3FC53DFD" w14:textId="77777777" w:rsidR="00307B1B" w:rsidRPr="00307B1B" w:rsidRDefault="00307B1B" w:rsidP="001E3EF6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For example:</w:t>
      </w:r>
    </w:p>
    <w:p w14:paraId="0CE7E1BD" w14:textId="77777777" w:rsidR="00307B1B" w:rsidRPr="00307B1B" w:rsidRDefault="00307B1B" w:rsidP="001E3EF6">
      <w:pPr>
        <w:numPr>
          <w:ilvl w:val="1"/>
          <w:numId w:val="2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Italian Trailers (Case C-110/05)</w:t>
      </w:r>
      <w:r w:rsidRPr="00307B1B">
        <w:rPr>
          <w:rFonts w:ascii="Times New Roman" w:hAnsi="Times New Roman"/>
          <w:lang w:val="en-HK"/>
        </w:rPr>
        <w:t xml:space="preserve"> applied the market access test to consumer-use restrictions, challenging the categorical distinction established in Keck.</w:t>
      </w:r>
    </w:p>
    <w:p w14:paraId="36CBC66F" w14:textId="77777777" w:rsidR="00307B1B" w:rsidRPr="00307B1B" w:rsidRDefault="00307B1B" w:rsidP="001E3EF6">
      <w:pPr>
        <w:numPr>
          <w:ilvl w:val="1"/>
          <w:numId w:val="2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Scotch Whisky Association v Lord Advocate (Case C-333/14)</w:t>
      </w:r>
      <w:r w:rsidRPr="00307B1B">
        <w:rPr>
          <w:rFonts w:ascii="Times New Roman" w:hAnsi="Times New Roman"/>
          <w:lang w:val="en-HK"/>
        </w:rPr>
        <w:t xml:space="preserve"> blurred the line between selling arrangements and market access issues by applying both tests to the same measure.</w:t>
      </w:r>
    </w:p>
    <w:p w14:paraId="428861B2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082F564E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518CD8C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Conclusion of Section 2</w:t>
      </w:r>
    </w:p>
    <w:p w14:paraId="23922C35" w14:textId="77777777" w:rsidR="00307B1B" w:rsidRPr="00307B1B" w:rsidRDefault="00307B1B" w:rsidP="001E3EF6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lastRenderedPageBreak/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argues that the category and unitary approaches represent competing visions for Article 34 TFEU:</w:t>
      </w:r>
    </w:p>
    <w:p w14:paraId="39B6B782" w14:textId="77777777" w:rsidR="00307B1B" w:rsidRPr="00307B1B" w:rsidRDefault="00307B1B" w:rsidP="001E3EF6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category approach reflects a more traditional, rule-based framework that respects Member State autonomy.</w:t>
      </w:r>
    </w:p>
    <w:p w14:paraId="31AAD04B" w14:textId="77777777" w:rsidR="00307B1B" w:rsidRPr="00307B1B" w:rsidRDefault="00307B1B" w:rsidP="001E3EF6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unitary approach offers a modern, impact-based perspective that prioritizes market integration.</w:t>
      </w:r>
    </w:p>
    <w:p w14:paraId="01058D77" w14:textId="77777777" w:rsidR="00307B1B" w:rsidRPr="00307B1B" w:rsidRDefault="00307B1B" w:rsidP="001E3EF6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He suggests that the Court must clarify its position to ensure consistency and predictability in Article 34 jurisprudence.</w:t>
      </w:r>
    </w:p>
    <w:p w14:paraId="4D10B4E5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1B0E9A1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AA57E0A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3. Jurisprudential Inconsistencies: The Rise of the Market Access Test</w:t>
      </w:r>
    </w:p>
    <w:p w14:paraId="09E1028E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Introduction to the Market Access Test</w:t>
      </w:r>
    </w:p>
    <w:p w14:paraId="182BA88D" w14:textId="77777777" w:rsidR="00307B1B" w:rsidRPr="00307B1B" w:rsidRDefault="00307B1B" w:rsidP="001E3EF6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The </w:t>
      </w:r>
      <w:r w:rsidRPr="00307B1B">
        <w:rPr>
          <w:rFonts w:ascii="Times New Roman" w:hAnsi="Times New Roman"/>
          <w:b/>
          <w:bCs/>
          <w:lang w:val="en-HK"/>
        </w:rPr>
        <w:t>market access test</w:t>
      </w:r>
      <w:r w:rsidRPr="00307B1B">
        <w:rPr>
          <w:rFonts w:ascii="Times New Roman" w:hAnsi="Times New Roman"/>
          <w:lang w:val="en-HK"/>
        </w:rPr>
        <w:t xml:space="preserve"> focuses on whether a national measure hinders access to a Member State’s market, regardless of whether the measure is discriminatory or neutral in application.</w:t>
      </w:r>
    </w:p>
    <w:p w14:paraId="5DEDEE15" w14:textId="77777777" w:rsidR="00307B1B" w:rsidRPr="00307B1B" w:rsidRDefault="00307B1B" w:rsidP="001E3EF6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This test emerged as a broader and more flexible tool for evaluating national measures, departing from the categorical distinctions established in </w:t>
      </w:r>
      <w:r w:rsidRPr="00307B1B">
        <w:rPr>
          <w:rFonts w:ascii="Times New Roman" w:hAnsi="Times New Roman"/>
          <w:b/>
          <w:bCs/>
          <w:lang w:val="en-HK"/>
        </w:rPr>
        <w:t xml:space="preserve">Keck and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Mithouard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(Joined Cases C-267/91 and C-268/91)</w:t>
      </w:r>
      <w:r w:rsidRPr="00307B1B">
        <w:rPr>
          <w:rFonts w:ascii="Times New Roman" w:hAnsi="Times New Roman"/>
          <w:lang w:val="en-HK"/>
        </w:rPr>
        <w:t>.</w:t>
      </w:r>
    </w:p>
    <w:p w14:paraId="0BD372B3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Key Developments in Case Law</w:t>
      </w:r>
    </w:p>
    <w:p w14:paraId="49E3F30D" w14:textId="77777777" w:rsidR="00307B1B" w:rsidRPr="00307B1B" w:rsidRDefault="00307B1B" w:rsidP="001E3EF6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Commission v Italy (Italian Trailers, Case C-110/05)</w:t>
      </w:r>
      <w:r w:rsidRPr="00307B1B">
        <w:rPr>
          <w:rFonts w:ascii="Times New Roman" w:hAnsi="Times New Roman"/>
          <w:lang w:val="en-HK"/>
        </w:rPr>
        <w:t>:</w:t>
      </w:r>
    </w:p>
    <w:p w14:paraId="48F01223" w14:textId="77777777" w:rsidR="00307B1B" w:rsidRPr="00307B1B" w:rsidRDefault="00307B1B" w:rsidP="001E3EF6">
      <w:pPr>
        <w:numPr>
          <w:ilvl w:val="1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Facts</w:t>
      </w:r>
      <w:r w:rsidRPr="00307B1B">
        <w:rPr>
          <w:rFonts w:ascii="Times New Roman" w:hAnsi="Times New Roman"/>
          <w:lang w:val="en-HK"/>
        </w:rPr>
        <w:t>:</w:t>
      </w:r>
    </w:p>
    <w:p w14:paraId="3CF4AF71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Italy prohibited motorcycles from towing trailers, effectively excluding certain trailers from the market.</w:t>
      </w:r>
    </w:p>
    <w:p w14:paraId="11FB5D04" w14:textId="77777777" w:rsidR="00307B1B" w:rsidRPr="00307B1B" w:rsidRDefault="00307B1B" w:rsidP="001E3EF6">
      <w:pPr>
        <w:numPr>
          <w:ilvl w:val="1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Court’s Ruling</w:t>
      </w:r>
      <w:r w:rsidRPr="00307B1B">
        <w:rPr>
          <w:rFonts w:ascii="Times New Roman" w:hAnsi="Times New Roman"/>
          <w:lang w:val="en-HK"/>
        </w:rPr>
        <w:t>:</w:t>
      </w:r>
    </w:p>
    <w:p w14:paraId="732C298F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CJEU held that the measure restricted market access for trailers, constituting a measure having equivalent effect (MEQR) under Article 34.</w:t>
      </w:r>
    </w:p>
    <w:p w14:paraId="00433B41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It broadened Article 34’s scope beyond discriminatory measures or those targeting product characteristics.</w:t>
      </w:r>
    </w:p>
    <w:p w14:paraId="2E44DA19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Court introduced a market access standard: measures hindering the use or availability of products in a Member State's market may breach Article 34.</w:t>
      </w:r>
    </w:p>
    <w:p w14:paraId="226FAE61" w14:textId="77777777" w:rsidR="00307B1B" w:rsidRPr="00307B1B" w:rsidRDefault="00307B1B" w:rsidP="001E3EF6">
      <w:pPr>
        <w:numPr>
          <w:ilvl w:val="1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Significance</w:t>
      </w:r>
      <w:r w:rsidRPr="00307B1B">
        <w:rPr>
          <w:rFonts w:ascii="Times New Roman" w:hAnsi="Times New Roman"/>
          <w:lang w:val="en-HK"/>
        </w:rPr>
        <w:t>:</w:t>
      </w:r>
    </w:p>
    <w:p w14:paraId="31817111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This marked a departure from the Keck framework by emphasizing the practical effects of measures on market access rather than their formal classification.</w:t>
      </w:r>
    </w:p>
    <w:p w14:paraId="4DDB6AFF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describes this case as “a reassertion of </w:t>
      </w:r>
      <w:proofErr w:type="spellStart"/>
      <w:r w:rsidRPr="00307B1B">
        <w:rPr>
          <w:rFonts w:ascii="Times New Roman" w:hAnsi="Times New Roman"/>
          <w:lang w:val="en-HK"/>
        </w:rPr>
        <w:t>Dassonville’s</w:t>
      </w:r>
      <w:proofErr w:type="spellEnd"/>
      <w:r w:rsidRPr="00307B1B">
        <w:rPr>
          <w:rFonts w:ascii="Times New Roman" w:hAnsi="Times New Roman"/>
          <w:lang w:val="en-HK"/>
        </w:rPr>
        <w:t xml:space="preserve"> expansive spirit.”</w:t>
      </w:r>
    </w:p>
    <w:p w14:paraId="75A49FF6" w14:textId="77777777" w:rsidR="00307B1B" w:rsidRPr="00307B1B" w:rsidRDefault="00307B1B" w:rsidP="001E3EF6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b/>
          <w:bCs/>
          <w:lang w:val="en-HK"/>
        </w:rPr>
        <w:t>Mickelsson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&amp;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Roos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(Case C-142/05)</w:t>
      </w:r>
      <w:r w:rsidRPr="00307B1B">
        <w:rPr>
          <w:rFonts w:ascii="Times New Roman" w:hAnsi="Times New Roman"/>
          <w:lang w:val="en-HK"/>
        </w:rPr>
        <w:t>:</w:t>
      </w:r>
    </w:p>
    <w:p w14:paraId="47998CB7" w14:textId="77777777" w:rsidR="00307B1B" w:rsidRPr="00307B1B" w:rsidRDefault="00307B1B" w:rsidP="001E3EF6">
      <w:pPr>
        <w:numPr>
          <w:ilvl w:val="1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lastRenderedPageBreak/>
        <w:t>Facts</w:t>
      </w:r>
      <w:r w:rsidRPr="00307B1B">
        <w:rPr>
          <w:rFonts w:ascii="Times New Roman" w:hAnsi="Times New Roman"/>
          <w:lang w:val="en-HK"/>
        </w:rPr>
        <w:t>:</w:t>
      </w:r>
    </w:p>
    <w:p w14:paraId="68B814FB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Swedish rules restricted the use of jet skis to designated waterways, effectively limiting the demand for imported jet skis.</w:t>
      </w:r>
    </w:p>
    <w:p w14:paraId="7909CC7A" w14:textId="77777777" w:rsidR="00307B1B" w:rsidRPr="00307B1B" w:rsidRDefault="00307B1B" w:rsidP="001E3EF6">
      <w:pPr>
        <w:numPr>
          <w:ilvl w:val="1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Court’s Ruling</w:t>
      </w:r>
      <w:r w:rsidRPr="00307B1B">
        <w:rPr>
          <w:rFonts w:ascii="Times New Roman" w:hAnsi="Times New Roman"/>
          <w:lang w:val="en-HK"/>
        </w:rPr>
        <w:t>:</w:t>
      </w:r>
    </w:p>
    <w:p w14:paraId="07F668B9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Court applied the market access test, holding that measures restricting the use of a product could indirectly hinder market access, even if non-discriminatory.</w:t>
      </w:r>
    </w:p>
    <w:p w14:paraId="131C3330" w14:textId="77777777" w:rsidR="00307B1B" w:rsidRPr="00307B1B" w:rsidRDefault="00307B1B" w:rsidP="001E3EF6">
      <w:pPr>
        <w:numPr>
          <w:ilvl w:val="1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Judgment Explanation</w:t>
      </w:r>
      <w:r w:rsidRPr="00307B1B">
        <w:rPr>
          <w:rFonts w:ascii="Times New Roman" w:hAnsi="Times New Roman"/>
          <w:lang w:val="en-HK"/>
        </w:rPr>
        <w:t>:</w:t>
      </w:r>
    </w:p>
    <w:p w14:paraId="3BE471D5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CJEU found that the restrictions affected the economic viability of importing and marketing jet skis, thus constituting an MEQR under Article 34.</w:t>
      </w:r>
    </w:p>
    <w:p w14:paraId="45EFD776" w14:textId="77777777" w:rsidR="00307B1B" w:rsidRPr="00307B1B" w:rsidRDefault="00307B1B" w:rsidP="001E3EF6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Ker-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Optika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v ÀNTSZ (Case C-108/09)</w:t>
      </w:r>
      <w:r w:rsidRPr="00307B1B">
        <w:rPr>
          <w:rFonts w:ascii="Times New Roman" w:hAnsi="Times New Roman"/>
          <w:lang w:val="en-HK"/>
        </w:rPr>
        <w:t>:</w:t>
      </w:r>
    </w:p>
    <w:p w14:paraId="1D29B6F7" w14:textId="77777777" w:rsidR="00307B1B" w:rsidRPr="00307B1B" w:rsidRDefault="00307B1B" w:rsidP="001E3EF6">
      <w:pPr>
        <w:numPr>
          <w:ilvl w:val="1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Facts</w:t>
      </w:r>
      <w:r w:rsidRPr="00307B1B">
        <w:rPr>
          <w:rFonts w:ascii="Times New Roman" w:hAnsi="Times New Roman"/>
          <w:lang w:val="en-HK"/>
        </w:rPr>
        <w:t>:</w:t>
      </w:r>
    </w:p>
    <w:p w14:paraId="645CE730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Hungarian law prohibited the online sale of contact lenses, requiring consumers to purchase them in person.</w:t>
      </w:r>
    </w:p>
    <w:p w14:paraId="5B1E04E3" w14:textId="77777777" w:rsidR="00307B1B" w:rsidRPr="00307B1B" w:rsidRDefault="00307B1B" w:rsidP="001E3EF6">
      <w:pPr>
        <w:numPr>
          <w:ilvl w:val="1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Court’s Ruling</w:t>
      </w:r>
      <w:r w:rsidRPr="00307B1B">
        <w:rPr>
          <w:rFonts w:ascii="Times New Roman" w:hAnsi="Times New Roman"/>
          <w:lang w:val="en-HK"/>
        </w:rPr>
        <w:t>:</w:t>
      </w:r>
    </w:p>
    <w:p w14:paraId="29AE5A3F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Court ruled that this restriction hindered market access for online traders, particularly those based in other Member States, and thus violated Article 34.</w:t>
      </w:r>
    </w:p>
    <w:p w14:paraId="20C8FE4D" w14:textId="77777777" w:rsidR="00307B1B" w:rsidRPr="00307B1B" w:rsidRDefault="00307B1B" w:rsidP="001E3EF6">
      <w:pPr>
        <w:numPr>
          <w:ilvl w:val="1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Key Principle</w:t>
      </w:r>
      <w:r w:rsidRPr="00307B1B">
        <w:rPr>
          <w:rFonts w:ascii="Times New Roman" w:hAnsi="Times New Roman"/>
          <w:lang w:val="en-HK"/>
        </w:rPr>
        <w:t>:</w:t>
      </w:r>
    </w:p>
    <w:p w14:paraId="59D09A86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market access test applies even to measures regulating selling arrangements if they disproportionately affect cross-border trade.</w:t>
      </w:r>
    </w:p>
    <w:p w14:paraId="32C4FC9E" w14:textId="77777777" w:rsidR="00307B1B" w:rsidRPr="00307B1B" w:rsidRDefault="00307B1B" w:rsidP="001E3EF6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Scotch Whisky Association v Lord Advocate (Case C-333/14)</w:t>
      </w:r>
      <w:r w:rsidRPr="00307B1B">
        <w:rPr>
          <w:rFonts w:ascii="Times New Roman" w:hAnsi="Times New Roman"/>
          <w:lang w:val="en-HK"/>
        </w:rPr>
        <w:t>:</w:t>
      </w:r>
    </w:p>
    <w:p w14:paraId="4A1C0F7E" w14:textId="77777777" w:rsidR="00307B1B" w:rsidRPr="00307B1B" w:rsidRDefault="00307B1B" w:rsidP="001E3EF6">
      <w:pPr>
        <w:numPr>
          <w:ilvl w:val="1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Facts</w:t>
      </w:r>
      <w:r w:rsidRPr="00307B1B">
        <w:rPr>
          <w:rFonts w:ascii="Times New Roman" w:hAnsi="Times New Roman"/>
          <w:lang w:val="en-HK"/>
        </w:rPr>
        <w:t>:</w:t>
      </w:r>
    </w:p>
    <w:p w14:paraId="318B234D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Scotland introduced minimum alcohol pricing, which had a greater impact on imported products than domestic ones.</w:t>
      </w:r>
    </w:p>
    <w:p w14:paraId="41D6023C" w14:textId="77777777" w:rsidR="00307B1B" w:rsidRPr="00307B1B" w:rsidRDefault="00307B1B" w:rsidP="001E3EF6">
      <w:pPr>
        <w:numPr>
          <w:ilvl w:val="1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Court’s Ruling</w:t>
      </w:r>
      <w:r w:rsidRPr="00307B1B">
        <w:rPr>
          <w:rFonts w:ascii="Times New Roman" w:hAnsi="Times New Roman"/>
          <w:lang w:val="en-HK"/>
        </w:rPr>
        <w:t>:</w:t>
      </w:r>
    </w:p>
    <w:p w14:paraId="4A2099A7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CJEU considered whether the measure disproportionately hindered market access for imports.</w:t>
      </w:r>
    </w:p>
    <w:p w14:paraId="5FB37E0C" w14:textId="77777777" w:rsidR="00307B1B" w:rsidRPr="00307B1B" w:rsidRDefault="00307B1B" w:rsidP="001E3EF6">
      <w:pPr>
        <w:numPr>
          <w:ilvl w:val="2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While the measure was ultimately justified under Article 36 TFEU (public health), the judgment reinforced the market access principle.</w:t>
      </w:r>
    </w:p>
    <w:p w14:paraId="03F77F29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33B4E436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8D5F17B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proofErr w:type="spellStart"/>
      <w:r w:rsidRPr="00307B1B">
        <w:rPr>
          <w:rFonts w:ascii="Times New Roman" w:hAnsi="Times New Roman"/>
          <w:b/>
          <w:bCs/>
          <w:lang w:val="en-HK"/>
        </w:rPr>
        <w:t>Schütze’s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Analysis of Market Access Test</w:t>
      </w:r>
    </w:p>
    <w:p w14:paraId="529DCE41" w14:textId="77777777" w:rsidR="00307B1B" w:rsidRPr="00307B1B" w:rsidRDefault="00307B1B" w:rsidP="001E3EF6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Broader Scope of Article 34</w:t>
      </w:r>
      <w:r w:rsidRPr="00307B1B">
        <w:rPr>
          <w:rFonts w:ascii="Times New Roman" w:hAnsi="Times New Roman"/>
          <w:lang w:val="en-HK"/>
        </w:rPr>
        <w:t>:</w:t>
      </w:r>
    </w:p>
    <w:p w14:paraId="0AFE73E6" w14:textId="77777777" w:rsidR="00307B1B" w:rsidRPr="00307B1B" w:rsidRDefault="00307B1B" w:rsidP="001E3EF6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argues that the market access test broadens the scope of Article 34 to encompass non-discriminatory measures that do not fit neatly into existing categories (e.g., product requirements, selling arrangements).</w:t>
      </w:r>
    </w:p>
    <w:p w14:paraId="5EB101B0" w14:textId="77777777" w:rsidR="00307B1B" w:rsidRPr="00307B1B" w:rsidRDefault="00307B1B" w:rsidP="001E3EF6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focus shifts from the formal classification of measures to their practical economic impact on cross-border trade.</w:t>
      </w:r>
    </w:p>
    <w:p w14:paraId="479AB38D" w14:textId="77777777" w:rsidR="00307B1B" w:rsidRPr="00307B1B" w:rsidRDefault="00307B1B" w:rsidP="001E3EF6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Tension with Keck Jurisprudence</w:t>
      </w:r>
      <w:r w:rsidRPr="00307B1B">
        <w:rPr>
          <w:rFonts w:ascii="Times New Roman" w:hAnsi="Times New Roman"/>
          <w:lang w:val="en-HK"/>
        </w:rPr>
        <w:t>:</w:t>
      </w:r>
    </w:p>
    <w:p w14:paraId="14E6F04E" w14:textId="77777777" w:rsidR="00307B1B" w:rsidRPr="00307B1B" w:rsidRDefault="00307B1B" w:rsidP="001E3EF6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lastRenderedPageBreak/>
        <w:t>The market access test undermines the clarity provided by Keck, which excluded certain selling arrangements from Article 34.</w:t>
      </w:r>
    </w:p>
    <w:p w14:paraId="7A9DB022" w14:textId="77777777" w:rsidR="00307B1B" w:rsidRPr="00307B1B" w:rsidRDefault="00307B1B" w:rsidP="001E3EF6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Cases like </w:t>
      </w:r>
      <w:r w:rsidRPr="00307B1B">
        <w:rPr>
          <w:rFonts w:ascii="Times New Roman" w:hAnsi="Times New Roman"/>
          <w:b/>
          <w:bCs/>
          <w:lang w:val="en-HK"/>
        </w:rPr>
        <w:t>Ker-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Optika</w:t>
      </w:r>
      <w:proofErr w:type="spellEnd"/>
      <w:r w:rsidRPr="00307B1B">
        <w:rPr>
          <w:rFonts w:ascii="Times New Roman" w:hAnsi="Times New Roman"/>
          <w:lang w:val="en-HK"/>
        </w:rPr>
        <w:t xml:space="preserve"> and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Mickelsson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&amp;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Roos</w:t>
      </w:r>
      <w:proofErr w:type="spellEnd"/>
      <w:r w:rsidRPr="00307B1B">
        <w:rPr>
          <w:rFonts w:ascii="Times New Roman" w:hAnsi="Times New Roman"/>
          <w:lang w:val="en-HK"/>
        </w:rPr>
        <w:t xml:space="preserve"> demonstrate that even non-discriminatory selling arrangements can be scrutinized under the market access test if they impede trade.</w:t>
      </w:r>
    </w:p>
    <w:p w14:paraId="0E7AF35A" w14:textId="77777777" w:rsidR="00307B1B" w:rsidRPr="00307B1B" w:rsidRDefault="00307B1B" w:rsidP="001E3EF6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Lack of Clear Criteria</w:t>
      </w:r>
      <w:r w:rsidRPr="00307B1B">
        <w:rPr>
          <w:rFonts w:ascii="Times New Roman" w:hAnsi="Times New Roman"/>
          <w:lang w:val="en-HK"/>
        </w:rPr>
        <w:t>:</w:t>
      </w:r>
    </w:p>
    <w:p w14:paraId="1DD685DC" w14:textId="77777777" w:rsidR="00307B1B" w:rsidRPr="00307B1B" w:rsidRDefault="00307B1B" w:rsidP="001E3EF6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criticizes the CJEU for failing to establish clear criteria for applying the market access test, leading to inconsistent outcomes.</w:t>
      </w:r>
    </w:p>
    <w:p w14:paraId="49DA0B4F" w14:textId="77777777" w:rsidR="00307B1B" w:rsidRPr="00307B1B" w:rsidRDefault="00307B1B" w:rsidP="001E3EF6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For instance:</w:t>
      </w:r>
    </w:p>
    <w:p w14:paraId="4CF0ACFD" w14:textId="77777777" w:rsidR="00307B1B" w:rsidRPr="00307B1B" w:rsidRDefault="00307B1B" w:rsidP="001E3EF6">
      <w:pPr>
        <w:numPr>
          <w:ilvl w:val="2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In </w:t>
      </w:r>
      <w:r w:rsidRPr="00307B1B">
        <w:rPr>
          <w:rFonts w:ascii="Times New Roman" w:hAnsi="Times New Roman"/>
          <w:b/>
          <w:bCs/>
          <w:lang w:val="en-HK"/>
        </w:rPr>
        <w:t>De Agostini (Case C-34/95)</w:t>
      </w:r>
      <w:r w:rsidRPr="00307B1B">
        <w:rPr>
          <w:rFonts w:ascii="Times New Roman" w:hAnsi="Times New Roman"/>
          <w:lang w:val="en-HK"/>
        </w:rPr>
        <w:t xml:space="preserve">, advertising restrictions were excluded as selling arrangements, while similar restrictions in </w:t>
      </w:r>
      <w:r w:rsidRPr="00307B1B">
        <w:rPr>
          <w:rFonts w:ascii="Times New Roman" w:hAnsi="Times New Roman"/>
          <w:b/>
          <w:bCs/>
          <w:lang w:val="en-HK"/>
        </w:rPr>
        <w:t>Ker-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Optika</w:t>
      </w:r>
      <w:proofErr w:type="spellEnd"/>
      <w:r w:rsidRPr="00307B1B">
        <w:rPr>
          <w:rFonts w:ascii="Times New Roman" w:hAnsi="Times New Roman"/>
          <w:lang w:val="en-HK"/>
        </w:rPr>
        <w:t xml:space="preserve"> were deemed barriers to market access.</w:t>
      </w:r>
    </w:p>
    <w:p w14:paraId="48295734" w14:textId="77777777" w:rsidR="00307B1B" w:rsidRPr="00307B1B" w:rsidRDefault="00307B1B" w:rsidP="001E3EF6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Judicial Overreach</w:t>
      </w:r>
      <w:r w:rsidRPr="00307B1B">
        <w:rPr>
          <w:rFonts w:ascii="Times New Roman" w:hAnsi="Times New Roman"/>
          <w:lang w:val="en-HK"/>
        </w:rPr>
        <w:t>:</w:t>
      </w:r>
    </w:p>
    <w:p w14:paraId="750331F1" w14:textId="77777777" w:rsidR="00307B1B" w:rsidRPr="00307B1B" w:rsidRDefault="00307B1B" w:rsidP="001E3EF6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warns that the market access test risks reintroducing the overreach of the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Dassonville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formula</w:t>
      </w:r>
      <w:r w:rsidRPr="00307B1B">
        <w:rPr>
          <w:rFonts w:ascii="Times New Roman" w:hAnsi="Times New Roman"/>
          <w:lang w:val="en-HK"/>
        </w:rPr>
        <w:t>, where virtually any national measure could be challenged under Article 34.</w:t>
      </w:r>
    </w:p>
    <w:p w14:paraId="169FD267" w14:textId="77777777" w:rsidR="00307B1B" w:rsidRPr="00307B1B" w:rsidRDefault="00307B1B" w:rsidP="001E3EF6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This undermines the subsidiarity principle (Article 5(3) TEU) by subjecting Member State regulations to excessive EU scrutiny.</w:t>
      </w:r>
    </w:p>
    <w:p w14:paraId="0C5789D2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3DA3C94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54EECF2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Criticism of the Market Access Test</w:t>
      </w:r>
    </w:p>
    <w:p w14:paraId="0FE4C779" w14:textId="77777777" w:rsidR="00307B1B" w:rsidRPr="00307B1B" w:rsidRDefault="00307B1B" w:rsidP="001E3EF6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Erosion of Legal Certainty</w:t>
      </w:r>
      <w:r w:rsidRPr="00307B1B">
        <w:rPr>
          <w:rFonts w:ascii="Times New Roman" w:hAnsi="Times New Roman"/>
          <w:lang w:val="en-HK"/>
        </w:rPr>
        <w:t>:</w:t>
      </w:r>
    </w:p>
    <w:p w14:paraId="56C53257" w14:textId="77777777" w:rsidR="00307B1B" w:rsidRPr="00307B1B" w:rsidRDefault="00307B1B" w:rsidP="001E3EF6">
      <w:pPr>
        <w:numPr>
          <w:ilvl w:val="1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Critics, including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Weatherill</w:t>
      </w:r>
      <w:proofErr w:type="spellEnd"/>
      <w:r w:rsidRPr="00307B1B">
        <w:rPr>
          <w:rFonts w:ascii="Times New Roman" w:hAnsi="Times New Roman"/>
          <w:lang w:val="en-HK"/>
        </w:rPr>
        <w:t>, argue that the market access test blurs the distinction between legitimate national measures and genuine trade barriers, creating legal uncertainty.</w:t>
      </w:r>
    </w:p>
    <w:p w14:paraId="66291516" w14:textId="77777777" w:rsidR="00307B1B" w:rsidRPr="00307B1B" w:rsidRDefault="00307B1B" w:rsidP="001E3EF6">
      <w:pPr>
        <w:numPr>
          <w:ilvl w:val="1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observes that traders and regulators struggle to predict when a measure will be deemed a restriction under Article 34.</w:t>
      </w:r>
    </w:p>
    <w:p w14:paraId="511AD2E5" w14:textId="77777777" w:rsidR="00307B1B" w:rsidRPr="00307B1B" w:rsidRDefault="00307B1B" w:rsidP="001E3EF6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Impact on Member State Sovereignty</w:t>
      </w:r>
      <w:r w:rsidRPr="00307B1B">
        <w:rPr>
          <w:rFonts w:ascii="Times New Roman" w:hAnsi="Times New Roman"/>
          <w:lang w:val="en-HK"/>
        </w:rPr>
        <w:t>:</w:t>
      </w:r>
    </w:p>
    <w:p w14:paraId="0D19763C" w14:textId="77777777" w:rsidR="00307B1B" w:rsidRPr="00307B1B" w:rsidRDefault="00307B1B" w:rsidP="001E3EF6">
      <w:pPr>
        <w:numPr>
          <w:ilvl w:val="1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market access test imposes stricter limits on Member States' ability to regulate their domestic markets, even in areas unrelated to trade discrimination.</w:t>
      </w:r>
    </w:p>
    <w:p w14:paraId="24D98383" w14:textId="77777777" w:rsidR="00307B1B" w:rsidRPr="00307B1B" w:rsidRDefault="00307B1B" w:rsidP="001E3EF6">
      <w:pPr>
        <w:numPr>
          <w:ilvl w:val="1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For example, consumer-use restrictions like those in </w:t>
      </w:r>
      <w:r w:rsidRPr="00307B1B">
        <w:rPr>
          <w:rFonts w:ascii="Times New Roman" w:hAnsi="Times New Roman"/>
          <w:b/>
          <w:bCs/>
          <w:lang w:val="en-HK"/>
        </w:rPr>
        <w:t>Italian Trailers</w:t>
      </w:r>
      <w:r w:rsidRPr="00307B1B">
        <w:rPr>
          <w:rFonts w:ascii="Times New Roman" w:hAnsi="Times New Roman"/>
          <w:lang w:val="en-HK"/>
        </w:rPr>
        <w:t xml:space="preserve"> challenge Member States' discretion in setting public safety standards.</w:t>
      </w:r>
    </w:p>
    <w:p w14:paraId="4796F668" w14:textId="77777777" w:rsidR="00307B1B" w:rsidRPr="00307B1B" w:rsidRDefault="00307B1B" w:rsidP="001E3EF6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Inconsistent Application</w:t>
      </w:r>
      <w:r w:rsidRPr="00307B1B">
        <w:rPr>
          <w:rFonts w:ascii="Times New Roman" w:hAnsi="Times New Roman"/>
          <w:lang w:val="en-HK"/>
        </w:rPr>
        <w:t>:</w:t>
      </w:r>
    </w:p>
    <w:p w14:paraId="0577C801" w14:textId="77777777" w:rsidR="00307B1B" w:rsidRPr="00307B1B" w:rsidRDefault="00307B1B" w:rsidP="001E3EF6">
      <w:pPr>
        <w:numPr>
          <w:ilvl w:val="1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CJEU’s inconsistent use of the market access test has led to doctrinal confusion:</w:t>
      </w:r>
    </w:p>
    <w:p w14:paraId="5F408822" w14:textId="77777777" w:rsidR="00307B1B" w:rsidRPr="00307B1B" w:rsidRDefault="00307B1B" w:rsidP="001E3EF6">
      <w:pPr>
        <w:numPr>
          <w:ilvl w:val="2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In </w:t>
      </w:r>
      <w:r w:rsidRPr="00307B1B">
        <w:rPr>
          <w:rFonts w:ascii="Times New Roman" w:hAnsi="Times New Roman"/>
          <w:b/>
          <w:bCs/>
          <w:lang w:val="en-HK"/>
        </w:rPr>
        <w:t>Leclerc-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Siplec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(Case C-412/93)</w:t>
      </w:r>
      <w:r w:rsidRPr="00307B1B">
        <w:rPr>
          <w:rFonts w:ascii="Times New Roman" w:hAnsi="Times New Roman"/>
          <w:lang w:val="en-HK"/>
        </w:rPr>
        <w:t>, the Court excluded advertising restrictions as selling arrangements.</w:t>
      </w:r>
    </w:p>
    <w:p w14:paraId="49B35BEA" w14:textId="77777777" w:rsidR="00307B1B" w:rsidRPr="00307B1B" w:rsidRDefault="00307B1B" w:rsidP="001E3EF6">
      <w:pPr>
        <w:numPr>
          <w:ilvl w:val="2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In </w:t>
      </w:r>
      <w:r w:rsidRPr="00307B1B">
        <w:rPr>
          <w:rFonts w:ascii="Times New Roman" w:hAnsi="Times New Roman"/>
          <w:b/>
          <w:bCs/>
          <w:lang w:val="en-HK"/>
        </w:rPr>
        <w:t>Scotch Whisky Association</w:t>
      </w:r>
      <w:r w:rsidRPr="00307B1B">
        <w:rPr>
          <w:rFonts w:ascii="Times New Roman" w:hAnsi="Times New Roman"/>
          <w:lang w:val="en-HK"/>
        </w:rPr>
        <w:t>, similar restrictions were subjected to the market access test, creating ambiguity about the scope of Keck.</w:t>
      </w:r>
    </w:p>
    <w:p w14:paraId="00D9F881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4F6D849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51F0DD5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lastRenderedPageBreak/>
        <w:t>Scholarly Commentary</w:t>
      </w:r>
    </w:p>
    <w:p w14:paraId="53627B39" w14:textId="77777777" w:rsidR="00307B1B" w:rsidRPr="00307B1B" w:rsidRDefault="00307B1B" w:rsidP="001E3EF6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Support for the Test</w:t>
      </w:r>
      <w:r w:rsidRPr="00307B1B">
        <w:rPr>
          <w:rFonts w:ascii="Times New Roman" w:hAnsi="Times New Roman"/>
          <w:lang w:val="en-HK"/>
        </w:rPr>
        <w:t>:</w:t>
      </w:r>
    </w:p>
    <w:p w14:paraId="041E0CA8" w14:textId="77777777" w:rsidR="00307B1B" w:rsidRPr="00307B1B" w:rsidRDefault="00307B1B" w:rsidP="001E3EF6">
      <w:pPr>
        <w:numPr>
          <w:ilvl w:val="1"/>
          <w:numId w:val="3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Oliver</w:t>
      </w:r>
      <w:r w:rsidRPr="00307B1B">
        <w:rPr>
          <w:rFonts w:ascii="Times New Roman" w:hAnsi="Times New Roman"/>
          <w:lang w:val="en-HK"/>
        </w:rPr>
        <w:t xml:space="preserve"> praises the market access test for addressing gaps in the Keck framework, particularly for measures that indirectly hinder trade.</w:t>
      </w:r>
    </w:p>
    <w:p w14:paraId="0FD83F6F" w14:textId="77777777" w:rsidR="00307B1B" w:rsidRPr="00307B1B" w:rsidRDefault="00307B1B" w:rsidP="001E3EF6">
      <w:pPr>
        <w:numPr>
          <w:ilvl w:val="1"/>
          <w:numId w:val="3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b/>
          <w:bCs/>
          <w:lang w:val="en-HK"/>
        </w:rPr>
        <w:t>Weatherill</w:t>
      </w:r>
      <w:proofErr w:type="spellEnd"/>
      <w:r w:rsidRPr="00307B1B">
        <w:rPr>
          <w:rFonts w:ascii="Times New Roman" w:hAnsi="Times New Roman"/>
          <w:lang w:val="en-HK"/>
        </w:rPr>
        <w:t xml:space="preserve"> acknowledges the test’s potential to promote market integration but warns against its excessive use.</w:t>
      </w:r>
    </w:p>
    <w:p w14:paraId="760633DA" w14:textId="77777777" w:rsidR="00307B1B" w:rsidRPr="00307B1B" w:rsidRDefault="00307B1B" w:rsidP="001E3EF6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Criticism</w:t>
      </w:r>
      <w:r w:rsidRPr="00307B1B">
        <w:rPr>
          <w:rFonts w:ascii="Times New Roman" w:hAnsi="Times New Roman"/>
          <w:lang w:val="en-HK"/>
        </w:rPr>
        <w:t>:</w:t>
      </w:r>
    </w:p>
    <w:p w14:paraId="67002AAE" w14:textId="77777777" w:rsidR="00307B1B" w:rsidRPr="00307B1B" w:rsidRDefault="00307B1B" w:rsidP="001E3EF6">
      <w:pPr>
        <w:numPr>
          <w:ilvl w:val="1"/>
          <w:numId w:val="3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Barnard</w:t>
      </w:r>
      <w:r w:rsidRPr="00307B1B">
        <w:rPr>
          <w:rFonts w:ascii="Times New Roman" w:hAnsi="Times New Roman"/>
          <w:lang w:val="en-HK"/>
        </w:rPr>
        <w:t xml:space="preserve"> critiques the test for its lack of precision, arguing that it undermines the proportionality and subsidiarity principles.</w:t>
      </w:r>
    </w:p>
    <w:p w14:paraId="0C72320D" w14:textId="77777777" w:rsidR="00307B1B" w:rsidRPr="00307B1B" w:rsidRDefault="00307B1B" w:rsidP="001E3EF6">
      <w:pPr>
        <w:numPr>
          <w:ilvl w:val="1"/>
          <w:numId w:val="3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b/>
          <w:bCs/>
          <w:lang w:val="en-HK"/>
        </w:rPr>
        <w:t>Spaventa</w:t>
      </w:r>
      <w:proofErr w:type="spellEnd"/>
      <w:r w:rsidRPr="00307B1B">
        <w:rPr>
          <w:rFonts w:ascii="Times New Roman" w:hAnsi="Times New Roman"/>
          <w:lang w:val="en-HK"/>
        </w:rPr>
        <w:t xml:space="preserve"> highlights the risk of judicial overreach, where the CJEU may encroach on Member State autonomy in non-trade matters.</w:t>
      </w:r>
    </w:p>
    <w:p w14:paraId="13F6D239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37840F2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EEBA2B4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Conclusion of Section 3</w:t>
      </w:r>
    </w:p>
    <w:p w14:paraId="30CDD6F7" w14:textId="77777777" w:rsidR="00307B1B" w:rsidRPr="00307B1B" w:rsidRDefault="00307B1B" w:rsidP="001E3EF6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highlights the jurisprudential inconsistencies introduced by the market access test, which broadens the scope of Article 34 but challenges the clarity and coherence of earlier frameworks like Keck.</w:t>
      </w:r>
    </w:p>
    <w:p w14:paraId="63BC9A12" w14:textId="77777777" w:rsidR="00307B1B" w:rsidRPr="00307B1B" w:rsidRDefault="00307B1B" w:rsidP="001E3EF6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While the test addresses modern trade barriers, its lack of clear criteria and tension with existing exclusionary rules create significant legal uncertainty.</w:t>
      </w:r>
    </w:p>
    <w:p w14:paraId="556F844C" w14:textId="77777777" w:rsidR="00307B1B" w:rsidRPr="00307B1B" w:rsidRDefault="00307B1B" w:rsidP="001E3EF6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calls for a more systematic approach to reconcile the market access test with the foundational principles of EU law, ensuring a balance between market integration and Member State sovereignty.</w:t>
      </w:r>
    </w:p>
    <w:p w14:paraId="323336B2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6046793A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2AB0DFD" w14:textId="722D3AB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4. Dogmatic Uncertainty</w:t>
      </w:r>
      <w:r w:rsidRPr="001E3EF6">
        <w:rPr>
          <w:rFonts w:ascii="Times New Roman" w:hAnsi="Times New Roman"/>
          <w:b/>
          <w:bCs/>
          <w:lang w:val="en-HK"/>
        </w:rPr>
        <w:t xml:space="preserve"> </w:t>
      </w:r>
      <w:r w:rsidRPr="001E3EF6">
        <w:rPr>
          <w:rFonts w:ascii="Microsoft Jhenghei" w:eastAsia="Microsoft Jhenghei" w:hAnsi="Microsoft Jhenghei" w:hint="eastAsia"/>
          <w:color w:val="000000"/>
          <w:shd w:val="clear" w:color="auto" w:fill="EFF6FF"/>
        </w:rPr>
        <w:t>教條式的不確定性</w:t>
      </w:r>
      <w:r w:rsidRPr="00307B1B">
        <w:rPr>
          <w:rFonts w:ascii="Times New Roman" w:hAnsi="Times New Roman"/>
          <w:b/>
          <w:bCs/>
          <w:lang w:val="en-HK"/>
        </w:rPr>
        <w:t>: Relationship Between the Tests</w:t>
      </w:r>
    </w:p>
    <w:p w14:paraId="7744527D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Overview</w:t>
      </w:r>
    </w:p>
    <w:p w14:paraId="131D6C5E" w14:textId="77777777" w:rsidR="00307B1B" w:rsidRPr="00307B1B" w:rsidRDefault="00307B1B" w:rsidP="001E3EF6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explores the doctrinal uncertainty surrounding the interplay between the various tests used by the Court of Justice of the European Union (CJEU) to evaluate national measures under Article 34 TFEU.</w:t>
      </w:r>
    </w:p>
    <w:p w14:paraId="6AD30C37" w14:textId="77777777" w:rsidR="00307B1B" w:rsidRPr="00307B1B" w:rsidRDefault="00307B1B" w:rsidP="001E3EF6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While the Court has developed distinct tests for product requirements, selling arrangements, and market access, their interaction and boundaries remain unclear, creating significant legal ambiguity.</w:t>
      </w:r>
    </w:p>
    <w:p w14:paraId="3D88916B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01F7DDAF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B3F7DE1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4.1 Fragmented Nature of the Tests</w:t>
      </w:r>
    </w:p>
    <w:p w14:paraId="0DCCE992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Product Requirements and Mutual Recognition</w:t>
      </w:r>
    </w:p>
    <w:p w14:paraId="09294ECC" w14:textId="77777777" w:rsidR="00307B1B" w:rsidRPr="00307B1B" w:rsidRDefault="00307B1B" w:rsidP="001E3EF6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lastRenderedPageBreak/>
        <w:t xml:space="preserve">Product requirements (e.g., </w:t>
      </w:r>
      <w:proofErr w:type="spellStart"/>
      <w:r w:rsidRPr="00307B1B">
        <w:rPr>
          <w:rFonts w:ascii="Times New Roman" w:hAnsi="Times New Roman"/>
          <w:lang w:val="en-HK"/>
        </w:rPr>
        <w:t>labeling</w:t>
      </w:r>
      <w:proofErr w:type="spellEnd"/>
      <w:r w:rsidRPr="00307B1B">
        <w:rPr>
          <w:rFonts w:ascii="Times New Roman" w:hAnsi="Times New Roman"/>
          <w:lang w:val="en-HK"/>
        </w:rPr>
        <w:t xml:space="preserve">, packaging, composition rules) are assessed under the principle of </w:t>
      </w:r>
      <w:r w:rsidRPr="00307B1B">
        <w:rPr>
          <w:rFonts w:ascii="Times New Roman" w:hAnsi="Times New Roman"/>
          <w:b/>
          <w:bCs/>
          <w:lang w:val="en-HK"/>
        </w:rPr>
        <w:t>mutual recognition</w:t>
      </w:r>
      <w:r w:rsidRPr="00307B1B">
        <w:rPr>
          <w:rFonts w:ascii="Times New Roman" w:hAnsi="Times New Roman"/>
          <w:lang w:val="en-HK"/>
        </w:rPr>
        <w:t xml:space="preserve">, introduced in </w:t>
      </w:r>
      <w:r w:rsidRPr="00307B1B">
        <w:rPr>
          <w:rFonts w:ascii="Times New Roman" w:hAnsi="Times New Roman"/>
          <w:b/>
          <w:bCs/>
          <w:lang w:val="en-HK"/>
        </w:rPr>
        <w:t>Cassis de Dijon (Case 120/78)</w:t>
      </w:r>
      <w:r w:rsidRPr="00307B1B">
        <w:rPr>
          <w:rFonts w:ascii="Times New Roman" w:hAnsi="Times New Roman"/>
          <w:lang w:val="en-HK"/>
        </w:rPr>
        <w:t>.</w:t>
      </w:r>
    </w:p>
    <w:p w14:paraId="10C0A9E6" w14:textId="77777777" w:rsidR="00307B1B" w:rsidRPr="00307B1B" w:rsidRDefault="00307B1B" w:rsidP="001E3EF6">
      <w:pPr>
        <w:numPr>
          <w:ilvl w:val="1"/>
          <w:numId w:val="36"/>
        </w:numPr>
        <w:spacing w:before="100" w:beforeAutospacing="1" w:after="100" w:afterAutospacing="1" w:line="276" w:lineRule="auto"/>
        <w:rPr>
          <w:rFonts w:ascii="Times New Roman" w:hAnsi="Times New Roman"/>
          <w:b/>
          <w:bCs/>
          <w:highlight w:val="yellow"/>
          <w:lang w:val="en-HK"/>
        </w:rPr>
      </w:pPr>
      <w:r w:rsidRPr="00307B1B">
        <w:rPr>
          <w:rFonts w:ascii="Times New Roman" w:hAnsi="Times New Roman"/>
          <w:b/>
          <w:bCs/>
          <w:highlight w:val="yellow"/>
          <w:lang w:val="en-HK"/>
        </w:rPr>
        <w:t>Mutual recognition requires that goods lawfully produced and marketed in one Member State must be accepted in others unless justified by overriding public interest objectives.</w:t>
      </w:r>
    </w:p>
    <w:p w14:paraId="4A42A276" w14:textId="77777777" w:rsidR="00307B1B" w:rsidRPr="00307B1B" w:rsidRDefault="00307B1B" w:rsidP="001E3EF6">
      <w:pPr>
        <w:numPr>
          <w:ilvl w:val="1"/>
          <w:numId w:val="3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The Court uses the </w:t>
      </w:r>
      <w:r w:rsidRPr="00307B1B">
        <w:rPr>
          <w:rFonts w:ascii="Times New Roman" w:hAnsi="Times New Roman"/>
          <w:b/>
          <w:bCs/>
          <w:lang w:val="en-HK"/>
        </w:rPr>
        <w:t>rule of reason</w:t>
      </w:r>
      <w:r w:rsidRPr="00307B1B">
        <w:rPr>
          <w:rFonts w:ascii="Times New Roman" w:hAnsi="Times New Roman"/>
          <w:lang w:val="en-HK"/>
        </w:rPr>
        <w:t xml:space="preserve"> to assess whether such measures are </w:t>
      </w:r>
      <w:r w:rsidRPr="00307B1B">
        <w:rPr>
          <w:rFonts w:ascii="Times New Roman" w:hAnsi="Times New Roman"/>
          <w:b/>
          <w:bCs/>
          <w:color w:val="FF0000"/>
          <w:lang w:val="en-HK"/>
        </w:rPr>
        <w:t>proportionate and necessary to achieve legitimate aims</w:t>
      </w:r>
      <w:r w:rsidRPr="00307B1B">
        <w:rPr>
          <w:rFonts w:ascii="Times New Roman" w:hAnsi="Times New Roman"/>
          <w:lang w:val="en-HK"/>
        </w:rPr>
        <w:t>, such as public health or consumer protection.</w:t>
      </w:r>
    </w:p>
    <w:p w14:paraId="795F74C3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Selling Arrangements and Keck</w:t>
      </w:r>
    </w:p>
    <w:p w14:paraId="5E0F4C42" w14:textId="77777777" w:rsidR="00307B1B" w:rsidRPr="00307B1B" w:rsidRDefault="00307B1B" w:rsidP="001E3EF6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Selling arrangements are evaluated under the </w:t>
      </w:r>
      <w:r w:rsidRPr="00307B1B">
        <w:rPr>
          <w:rFonts w:ascii="Times New Roman" w:hAnsi="Times New Roman"/>
          <w:b/>
          <w:bCs/>
          <w:lang w:val="en-HK"/>
        </w:rPr>
        <w:t xml:space="preserve">Keck and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Mithouard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(Joined Cases C-267/91 and C-268/91)</w:t>
      </w:r>
      <w:r w:rsidRPr="00307B1B">
        <w:rPr>
          <w:rFonts w:ascii="Times New Roman" w:hAnsi="Times New Roman"/>
          <w:lang w:val="en-HK"/>
        </w:rPr>
        <w:t xml:space="preserve"> framework, which excludes certain non-discriminatory measures from Article 34.</w:t>
      </w:r>
    </w:p>
    <w:p w14:paraId="0BED5DB7" w14:textId="77777777" w:rsidR="00307B1B" w:rsidRPr="00307B1B" w:rsidRDefault="00307B1B" w:rsidP="001E3EF6">
      <w:pPr>
        <w:numPr>
          <w:ilvl w:val="1"/>
          <w:numId w:val="37"/>
        </w:numPr>
        <w:spacing w:before="100" w:beforeAutospacing="1" w:after="100" w:afterAutospacing="1" w:line="276" w:lineRule="auto"/>
        <w:rPr>
          <w:rFonts w:ascii="Times New Roman" w:hAnsi="Times New Roman"/>
          <w:b/>
          <w:bCs/>
          <w:color w:val="FF0000"/>
          <w:lang w:val="en-HK"/>
        </w:rPr>
      </w:pPr>
      <w:r w:rsidRPr="00307B1B">
        <w:rPr>
          <w:rFonts w:ascii="Times New Roman" w:hAnsi="Times New Roman"/>
          <w:b/>
          <w:bCs/>
          <w:color w:val="FF0000"/>
          <w:lang w:val="en-HK"/>
        </w:rPr>
        <w:t>Conditions:</w:t>
      </w:r>
    </w:p>
    <w:p w14:paraId="2C30F1E0" w14:textId="77777777" w:rsidR="00307B1B" w:rsidRPr="00307B1B" w:rsidRDefault="00307B1B" w:rsidP="001E3EF6">
      <w:pPr>
        <w:numPr>
          <w:ilvl w:val="2"/>
          <w:numId w:val="37"/>
        </w:numPr>
        <w:spacing w:before="100" w:beforeAutospacing="1" w:after="100" w:afterAutospacing="1" w:line="276" w:lineRule="auto"/>
        <w:rPr>
          <w:rFonts w:ascii="Times New Roman" w:hAnsi="Times New Roman"/>
          <w:b/>
          <w:bCs/>
          <w:color w:val="FF0000"/>
          <w:lang w:val="en-HK"/>
        </w:rPr>
      </w:pPr>
      <w:r w:rsidRPr="00307B1B">
        <w:rPr>
          <w:rFonts w:ascii="Times New Roman" w:hAnsi="Times New Roman"/>
          <w:b/>
          <w:bCs/>
          <w:color w:val="FF0000"/>
          <w:lang w:val="en-HK"/>
        </w:rPr>
        <w:t>The measure must apply equally to domestic and imported goods in law and fact.</w:t>
      </w:r>
    </w:p>
    <w:p w14:paraId="6CBBE149" w14:textId="77777777" w:rsidR="00307B1B" w:rsidRPr="00307B1B" w:rsidRDefault="00307B1B" w:rsidP="001E3EF6">
      <w:pPr>
        <w:numPr>
          <w:ilvl w:val="2"/>
          <w:numId w:val="37"/>
        </w:numPr>
        <w:spacing w:before="100" w:beforeAutospacing="1" w:after="100" w:afterAutospacing="1" w:line="276" w:lineRule="auto"/>
        <w:rPr>
          <w:rFonts w:ascii="Times New Roman" w:hAnsi="Times New Roman"/>
          <w:b/>
          <w:bCs/>
          <w:color w:val="FF0000"/>
          <w:lang w:val="en-HK"/>
        </w:rPr>
      </w:pPr>
      <w:r w:rsidRPr="00307B1B">
        <w:rPr>
          <w:rFonts w:ascii="Times New Roman" w:hAnsi="Times New Roman"/>
          <w:b/>
          <w:bCs/>
          <w:color w:val="FF0000"/>
          <w:lang w:val="en-HK"/>
        </w:rPr>
        <w:t>It must not disproportionately affect imports.</w:t>
      </w:r>
    </w:p>
    <w:p w14:paraId="7EBE8F39" w14:textId="77777777" w:rsidR="00307B1B" w:rsidRPr="00307B1B" w:rsidRDefault="00307B1B" w:rsidP="001E3EF6">
      <w:pPr>
        <w:numPr>
          <w:ilvl w:val="1"/>
          <w:numId w:val="3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Example: In </w:t>
      </w:r>
      <w:r w:rsidRPr="00307B1B">
        <w:rPr>
          <w:rFonts w:ascii="Times New Roman" w:hAnsi="Times New Roman"/>
          <w:b/>
          <w:bCs/>
          <w:lang w:val="en-HK"/>
        </w:rPr>
        <w:t>Leclerc-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Siplec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(Case C-412/93)</w:t>
      </w:r>
      <w:r w:rsidRPr="00307B1B">
        <w:rPr>
          <w:rFonts w:ascii="Times New Roman" w:hAnsi="Times New Roman"/>
          <w:lang w:val="en-HK"/>
        </w:rPr>
        <w:t>, the Court excluded restrictions on television advertising as selling arrangements under Keck.</w:t>
      </w:r>
    </w:p>
    <w:p w14:paraId="6F897883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Market Access</w:t>
      </w:r>
    </w:p>
    <w:p w14:paraId="07E12EB5" w14:textId="77777777" w:rsidR="00307B1B" w:rsidRPr="00307B1B" w:rsidRDefault="00307B1B" w:rsidP="001E3EF6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The </w:t>
      </w:r>
      <w:r w:rsidRPr="00307B1B">
        <w:rPr>
          <w:rFonts w:ascii="Times New Roman" w:hAnsi="Times New Roman"/>
          <w:b/>
          <w:bCs/>
          <w:lang w:val="en-HK"/>
        </w:rPr>
        <w:t>market access test</w:t>
      </w:r>
      <w:r w:rsidRPr="00307B1B">
        <w:rPr>
          <w:rFonts w:ascii="Times New Roman" w:hAnsi="Times New Roman"/>
          <w:lang w:val="en-HK"/>
        </w:rPr>
        <w:t xml:space="preserve">, developed in </w:t>
      </w:r>
      <w:r w:rsidRPr="00307B1B">
        <w:rPr>
          <w:rFonts w:ascii="Times New Roman" w:hAnsi="Times New Roman"/>
          <w:b/>
          <w:bCs/>
          <w:lang w:val="en-HK"/>
        </w:rPr>
        <w:t>Commission v Italy (Italian Trailers, Case C-110/05)</w:t>
      </w:r>
      <w:r w:rsidRPr="00307B1B">
        <w:rPr>
          <w:rFonts w:ascii="Times New Roman" w:hAnsi="Times New Roman"/>
          <w:lang w:val="en-HK"/>
        </w:rPr>
        <w:t>, evaluates whether a measure hinders access to the market for goods from other Member States.</w:t>
      </w:r>
    </w:p>
    <w:p w14:paraId="64C985A2" w14:textId="77777777" w:rsidR="00307B1B" w:rsidRPr="00307B1B" w:rsidRDefault="00307B1B" w:rsidP="001E3EF6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lang w:val="en-HK"/>
        </w:rPr>
        <w:t xml:space="preserve">Unlike the Keck framework, </w:t>
      </w:r>
      <w:r w:rsidRPr="00307B1B">
        <w:rPr>
          <w:rFonts w:ascii="Times New Roman" w:hAnsi="Times New Roman"/>
          <w:b/>
          <w:bCs/>
          <w:lang w:val="en-HK"/>
        </w:rPr>
        <w:t>the market access test applies to all types of measures, including consumer-use restrictions and some selling arrangements.</w:t>
      </w:r>
    </w:p>
    <w:p w14:paraId="22187451" w14:textId="77777777" w:rsidR="00307B1B" w:rsidRPr="00307B1B" w:rsidRDefault="00307B1B" w:rsidP="001E3EF6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In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Mickelsson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&amp;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Roos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(Case C-142/05)</w:t>
      </w:r>
      <w:r w:rsidRPr="00307B1B">
        <w:rPr>
          <w:rFonts w:ascii="Times New Roman" w:hAnsi="Times New Roman"/>
          <w:lang w:val="en-HK"/>
        </w:rPr>
        <w:t xml:space="preserve">, the Court </w:t>
      </w:r>
      <w:r w:rsidRPr="00307B1B">
        <w:rPr>
          <w:rFonts w:ascii="Times New Roman" w:hAnsi="Times New Roman"/>
          <w:b/>
          <w:bCs/>
          <w:color w:val="FF0000"/>
          <w:lang w:val="en-HK"/>
        </w:rPr>
        <w:t>applied the market access test to Swedish jet ski restrictions, finding them to hinder market access even though they were non-discriminatory</w:t>
      </w:r>
      <w:r w:rsidRPr="00307B1B">
        <w:rPr>
          <w:rFonts w:ascii="Times New Roman" w:hAnsi="Times New Roman"/>
          <w:lang w:val="en-HK"/>
        </w:rPr>
        <w:t>.</w:t>
      </w:r>
    </w:p>
    <w:p w14:paraId="1F330073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1D002CB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2A4F806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u w:val="single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 xml:space="preserve">4.2 </w:t>
      </w:r>
      <w:r w:rsidRPr="00307B1B">
        <w:rPr>
          <w:rFonts w:ascii="Times New Roman" w:hAnsi="Times New Roman"/>
          <w:b/>
          <w:bCs/>
          <w:u w:val="single"/>
          <w:lang w:val="en-HK"/>
        </w:rPr>
        <w:t>Overlaps and Conflicts Between Tests</w:t>
      </w:r>
    </w:p>
    <w:p w14:paraId="0DCBB328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Blurring of Distinctions</w:t>
      </w:r>
    </w:p>
    <w:p w14:paraId="5AA4C91E" w14:textId="77777777" w:rsidR="00307B1B" w:rsidRPr="00307B1B" w:rsidRDefault="00307B1B" w:rsidP="001E3EF6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hAnsi="Times New Roman"/>
          <w:b/>
          <w:bCs/>
          <w:color w:val="FF0000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highlights the growing </w:t>
      </w:r>
      <w:r w:rsidRPr="00307B1B">
        <w:rPr>
          <w:rFonts w:ascii="Times New Roman" w:hAnsi="Times New Roman"/>
          <w:b/>
          <w:bCs/>
          <w:color w:val="FF0000"/>
          <w:lang w:val="en-HK"/>
        </w:rPr>
        <w:t>overlap between product requirements, selling arrangements, and market access.</w:t>
      </w:r>
    </w:p>
    <w:p w14:paraId="7EC46E98" w14:textId="77777777" w:rsidR="00307B1B" w:rsidRPr="00307B1B" w:rsidRDefault="00307B1B" w:rsidP="001E3EF6">
      <w:pPr>
        <w:numPr>
          <w:ilvl w:val="1"/>
          <w:numId w:val="39"/>
        </w:numPr>
        <w:spacing w:before="100" w:beforeAutospacing="1" w:after="100" w:afterAutospacing="1" w:line="276" w:lineRule="auto"/>
        <w:rPr>
          <w:rFonts w:ascii="Times New Roman" w:hAnsi="Times New Roman"/>
          <w:b/>
          <w:bCs/>
          <w:color w:val="FF0000"/>
          <w:lang w:val="en-HK"/>
        </w:rPr>
      </w:pPr>
      <w:r w:rsidRPr="00307B1B">
        <w:rPr>
          <w:rFonts w:ascii="Times New Roman" w:hAnsi="Times New Roman"/>
          <w:lang w:val="en-HK"/>
        </w:rPr>
        <w:t xml:space="preserve">Example: Restrictions on online sales (e.g., </w:t>
      </w:r>
      <w:r w:rsidRPr="00307B1B">
        <w:rPr>
          <w:rFonts w:ascii="Times New Roman" w:hAnsi="Times New Roman"/>
          <w:b/>
          <w:bCs/>
          <w:lang w:val="en-HK"/>
        </w:rPr>
        <w:t>Ker-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Optika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v ÀNTSZ, Case C-108/09</w:t>
      </w:r>
      <w:r w:rsidRPr="00307B1B">
        <w:rPr>
          <w:rFonts w:ascii="Times New Roman" w:hAnsi="Times New Roman"/>
          <w:lang w:val="en-HK"/>
        </w:rPr>
        <w:t xml:space="preserve">) may simultaneously affect selling conditions, product availability, and market access, </w:t>
      </w:r>
      <w:r w:rsidRPr="00307B1B">
        <w:rPr>
          <w:rFonts w:ascii="Times New Roman" w:hAnsi="Times New Roman"/>
          <w:b/>
          <w:bCs/>
          <w:color w:val="FF0000"/>
          <w:lang w:val="en-HK"/>
        </w:rPr>
        <w:t>making it difficult to apply a single test.</w:t>
      </w:r>
    </w:p>
    <w:p w14:paraId="50D3B03C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lastRenderedPageBreak/>
        <w:t>Tension Between Keck and Market Access</w:t>
      </w:r>
    </w:p>
    <w:p w14:paraId="641CC0BE" w14:textId="77777777" w:rsidR="00307B1B" w:rsidRPr="00307B1B" w:rsidRDefault="00307B1B" w:rsidP="001E3EF6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The </w:t>
      </w:r>
      <w:r w:rsidRPr="00307B1B">
        <w:rPr>
          <w:rFonts w:ascii="Times New Roman" w:hAnsi="Times New Roman"/>
          <w:b/>
          <w:bCs/>
          <w:lang w:val="en-HK"/>
        </w:rPr>
        <w:t>market access test</w:t>
      </w:r>
      <w:r w:rsidRPr="00307B1B">
        <w:rPr>
          <w:rFonts w:ascii="Times New Roman" w:hAnsi="Times New Roman"/>
          <w:lang w:val="en-HK"/>
        </w:rPr>
        <w:t xml:space="preserve"> challenges the categorical exclusion of selling arrangements under Keck.</w:t>
      </w:r>
    </w:p>
    <w:p w14:paraId="3E1B15C9" w14:textId="77777777" w:rsidR="00307B1B" w:rsidRPr="00307B1B" w:rsidRDefault="00307B1B" w:rsidP="001E3EF6">
      <w:pPr>
        <w:numPr>
          <w:ilvl w:val="1"/>
          <w:numId w:val="4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In </w:t>
      </w:r>
      <w:r w:rsidRPr="00307B1B">
        <w:rPr>
          <w:rFonts w:ascii="Times New Roman" w:hAnsi="Times New Roman"/>
          <w:b/>
          <w:bCs/>
          <w:lang w:val="en-HK"/>
        </w:rPr>
        <w:t>De Agostini (Case C-34/95)</w:t>
      </w:r>
      <w:r w:rsidRPr="00307B1B">
        <w:rPr>
          <w:rFonts w:ascii="Times New Roman" w:hAnsi="Times New Roman"/>
          <w:lang w:val="en-HK"/>
        </w:rPr>
        <w:t>, advertising restrictions were excluded as selling arrangements.</w:t>
      </w:r>
    </w:p>
    <w:p w14:paraId="301F94EA" w14:textId="77777777" w:rsidR="00307B1B" w:rsidRPr="00307B1B" w:rsidRDefault="00307B1B" w:rsidP="001E3EF6">
      <w:pPr>
        <w:numPr>
          <w:ilvl w:val="1"/>
          <w:numId w:val="4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In </w:t>
      </w:r>
      <w:r w:rsidRPr="00307B1B">
        <w:rPr>
          <w:rFonts w:ascii="Times New Roman" w:hAnsi="Times New Roman"/>
          <w:b/>
          <w:bCs/>
          <w:lang w:val="en-HK"/>
        </w:rPr>
        <w:t>Scotch Whisky Association v Lord Advocate (Case C-333/14)</w:t>
      </w:r>
      <w:r w:rsidRPr="00307B1B">
        <w:rPr>
          <w:rFonts w:ascii="Times New Roman" w:hAnsi="Times New Roman"/>
          <w:lang w:val="en-HK"/>
        </w:rPr>
        <w:t>, similar restrictions were evaluated under the market access test, leading to inconsistent outcomes.</w:t>
      </w:r>
    </w:p>
    <w:p w14:paraId="46A0A721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 xml:space="preserve">Inconsistent Application of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Dassonville</w:t>
      </w:r>
      <w:proofErr w:type="spellEnd"/>
    </w:p>
    <w:p w14:paraId="1C3879D4" w14:textId="77777777" w:rsidR="00307B1B" w:rsidRPr="00307B1B" w:rsidRDefault="00307B1B" w:rsidP="001E3EF6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The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Dassonville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formula</w:t>
      </w:r>
      <w:r w:rsidRPr="00307B1B">
        <w:rPr>
          <w:rFonts w:ascii="Times New Roman" w:hAnsi="Times New Roman"/>
          <w:lang w:val="en-HK"/>
        </w:rPr>
        <w:t>, which defines measures having equivalent effect (MEQRs) as "all trading rules... capable of hindering, directly or indirectly, actually or potentially, intra-Community trade," has been inconsistently applied.</w:t>
      </w:r>
    </w:p>
    <w:p w14:paraId="3DA66F84" w14:textId="77777777" w:rsidR="00307B1B" w:rsidRPr="00307B1B" w:rsidRDefault="00307B1B" w:rsidP="001E3EF6">
      <w:pPr>
        <w:numPr>
          <w:ilvl w:val="1"/>
          <w:numId w:val="4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Some cases (e.g., </w:t>
      </w:r>
      <w:r w:rsidRPr="00307B1B">
        <w:rPr>
          <w:rFonts w:ascii="Times New Roman" w:hAnsi="Times New Roman"/>
          <w:b/>
          <w:bCs/>
          <w:lang w:val="en-HK"/>
        </w:rPr>
        <w:t>Krantz GmbH v Netherlands, Case C-69/88</w:t>
      </w:r>
      <w:r w:rsidRPr="00307B1B">
        <w:rPr>
          <w:rFonts w:ascii="Times New Roman" w:hAnsi="Times New Roman"/>
          <w:lang w:val="en-HK"/>
        </w:rPr>
        <w:t>) exclude measures with "effects too uncertain and indirect."</w:t>
      </w:r>
    </w:p>
    <w:p w14:paraId="3510E8F4" w14:textId="77777777" w:rsidR="00307B1B" w:rsidRPr="00307B1B" w:rsidRDefault="00307B1B" w:rsidP="001E3EF6">
      <w:pPr>
        <w:numPr>
          <w:ilvl w:val="1"/>
          <w:numId w:val="4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Others (e.g.,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Mickelsson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&amp;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Roos</w:t>
      </w:r>
      <w:proofErr w:type="spellEnd"/>
      <w:r w:rsidRPr="00307B1B">
        <w:rPr>
          <w:rFonts w:ascii="Times New Roman" w:hAnsi="Times New Roman"/>
          <w:lang w:val="en-HK"/>
        </w:rPr>
        <w:t xml:space="preserve">) adopt a broader interpretation, applying </w:t>
      </w:r>
      <w:proofErr w:type="spellStart"/>
      <w:r w:rsidRPr="00307B1B">
        <w:rPr>
          <w:rFonts w:ascii="Times New Roman" w:hAnsi="Times New Roman"/>
          <w:lang w:val="en-HK"/>
        </w:rPr>
        <w:t>Dassonville</w:t>
      </w:r>
      <w:proofErr w:type="spellEnd"/>
      <w:r w:rsidRPr="00307B1B">
        <w:rPr>
          <w:rFonts w:ascii="Times New Roman" w:hAnsi="Times New Roman"/>
          <w:lang w:val="en-HK"/>
        </w:rPr>
        <w:t xml:space="preserve"> to non-discriminatory use restrictions.</w:t>
      </w:r>
    </w:p>
    <w:p w14:paraId="64C5B5D9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2ABF129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FDE448A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4.3 Scholarly Critiques of Dogmatic Uncertainty</w:t>
      </w:r>
    </w:p>
    <w:p w14:paraId="5CF81B87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Judicial Ambiguity</w:t>
      </w:r>
    </w:p>
    <w:p w14:paraId="3544E921" w14:textId="77777777" w:rsidR="00307B1B" w:rsidRPr="00307B1B" w:rsidRDefault="00307B1B" w:rsidP="001E3EF6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b/>
          <w:bCs/>
          <w:lang w:val="en-HK"/>
        </w:rPr>
        <w:t>Weatherill</w:t>
      </w:r>
      <w:proofErr w:type="spellEnd"/>
      <w:r w:rsidRPr="00307B1B">
        <w:rPr>
          <w:rFonts w:ascii="Times New Roman" w:hAnsi="Times New Roman"/>
          <w:lang w:val="en-HK"/>
        </w:rPr>
        <w:t xml:space="preserve"> (2017): Criticizes the CJEU for failing to establish clear boundaries between the tests, leading to unpredictable outcomes for traders and regulators.</w:t>
      </w:r>
    </w:p>
    <w:p w14:paraId="2FB05DB9" w14:textId="77777777" w:rsidR="00307B1B" w:rsidRPr="00307B1B" w:rsidRDefault="00307B1B" w:rsidP="001E3EF6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Quote: “The Court’s willingness to oscillate between Keck and market access principles undermines the coherence of its jurisprudence.”</w:t>
      </w:r>
    </w:p>
    <w:p w14:paraId="1C0847AB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Erosion of Legal Certainty</w:t>
      </w:r>
    </w:p>
    <w:p w14:paraId="04B22D36" w14:textId="77777777" w:rsidR="00307B1B" w:rsidRPr="00307B1B" w:rsidRDefault="00307B1B" w:rsidP="001E3EF6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Barnard</w:t>
      </w:r>
      <w:r w:rsidRPr="00307B1B">
        <w:rPr>
          <w:rFonts w:ascii="Times New Roman" w:hAnsi="Times New Roman"/>
          <w:lang w:val="en-HK"/>
        </w:rPr>
        <w:t xml:space="preserve"> (2017): Notes that the lack of clear criteria for applying the tests creates legal uncertainty, particularly for businesses seeking to challenge national measures.</w:t>
      </w:r>
    </w:p>
    <w:p w14:paraId="427D2C09" w14:textId="77777777" w:rsidR="00307B1B" w:rsidRPr="00307B1B" w:rsidRDefault="00307B1B" w:rsidP="001E3EF6">
      <w:pPr>
        <w:numPr>
          <w:ilvl w:val="1"/>
          <w:numId w:val="4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Example: In </w:t>
      </w:r>
      <w:r w:rsidRPr="00307B1B">
        <w:rPr>
          <w:rFonts w:ascii="Times New Roman" w:hAnsi="Times New Roman"/>
          <w:b/>
          <w:bCs/>
          <w:lang w:val="en-HK"/>
        </w:rPr>
        <w:t>Ker-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Optika</w:t>
      </w:r>
      <w:proofErr w:type="spellEnd"/>
      <w:r w:rsidRPr="00307B1B">
        <w:rPr>
          <w:rFonts w:ascii="Times New Roman" w:hAnsi="Times New Roman"/>
          <w:lang w:val="en-HK"/>
        </w:rPr>
        <w:t>, the restriction on online sales was treated as a market access issue, while similar restrictions in earlier cases were excluded as selling arrangements.</w:t>
      </w:r>
    </w:p>
    <w:p w14:paraId="570F30AE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Impact on Subsidiarity</w:t>
      </w:r>
    </w:p>
    <w:p w14:paraId="7CCB7420" w14:textId="77777777" w:rsidR="00307B1B" w:rsidRPr="00307B1B" w:rsidRDefault="00307B1B" w:rsidP="001E3EF6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b/>
          <w:bCs/>
          <w:lang w:val="en-HK"/>
        </w:rPr>
        <w:t>Spaventa</w:t>
      </w:r>
      <w:proofErr w:type="spellEnd"/>
      <w:r w:rsidRPr="00307B1B">
        <w:rPr>
          <w:rFonts w:ascii="Times New Roman" w:hAnsi="Times New Roman"/>
          <w:lang w:val="en-HK"/>
        </w:rPr>
        <w:t xml:space="preserve"> (2009): Warns that the broad application of the market access test risks undermining the subsidiarity principle (Article 5(3) TEU), as it subjects a wide range of national measures to EU scrutiny.</w:t>
      </w:r>
    </w:p>
    <w:p w14:paraId="2432E590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7F37F8B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F9D9B68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4.4 Calls for a Unified Framework</w:t>
      </w:r>
    </w:p>
    <w:p w14:paraId="6C5FB34E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Proposal for a Unitary Approach</w:t>
      </w:r>
    </w:p>
    <w:p w14:paraId="2E6E9EF7" w14:textId="77777777" w:rsidR="00307B1B" w:rsidRPr="00307B1B" w:rsidRDefault="00307B1B" w:rsidP="001E3EF6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argues for a unified doctrinal framework that integrates the different tests under a single market access principle.</w:t>
      </w:r>
    </w:p>
    <w:p w14:paraId="64D5254C" w14:textId="77777777" w:rsidR="00307B1B" w:rsidRPr="00307B1B" w:rsidRDefault="00307B1B" w:rsidP="001E3EF6">
      <w:pPr>
        <w:numPr>
          <w:ilvl w:val="1"/>
          <w:numId w:val="4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This approach would assess all measures based on their practical impact on market access, eliminating the need for categorical distinctions.</w:t>
      </w:r>
    </w:p>
    <w:p w14:paraId="6004BDF5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Advantages of a Unitary Framework</w:t>
      </w:r>
    </w:p>
    <w:p w14:paraId="30F848AE" w14:textId="77777777" w:rsidR="00307B1B" w:rsidRPr="00307B1B" w:rsidRDefault="00307B1B" w:rsidP="001E3EF6">
      <w:pPr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Clarity and Consistency</w:t>
      </w:r>
      <w:r w:rsidRPr="00307B1B">
        <w:rPr>
          <w:rFonts w:ascii="Times New Roman" w:hAnsi="Times New Roman"/>
          <w:lang w:val="en-HK"/>
        </w:rPr>
        <w:t>:</w:t>
      </w:r>
    </w:p>
    <w:p w14:paraId="40090B89" w14:textId="77777777" w:rsidR="00307B1B" w:rsidRPr="00307B1B" w:rsidRDefault="00307B1B" w:rsidP="001E3EF6">
      <w:pPr>
        <w:numPr>
          <w:ilvl w:val="1"/>
          <w:numId w:val="4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A single test would provide a more predictable framework for evaluating national measures, reducing legal uncertainty.</w:t>
      </w:r>
    </w:p>
    <w:p w14:paraId="360C55D2" w14:textId="77777777" w:rsidR="00307B1B" w:rsidRPr="00307B1B" w:rsidRDefault="00307B1B" w:rsidP="001E3EF6">
      <w:pPr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Focus on Economic Impact</w:t>
      </w:r>
      <w:r w:rsidRPr="00307B1B">
        <w:rPr>
          <w:rFonts w:ascii="Times New Roman" w:hAnsi="Times New Roman"/>
          <w:lang w:val="en-HK"/>
        </w:rPr>
        <w:t>:</w:t>
      </w:r>
    </w:p>
    <w:p w14:paraId="124524F8" w14:textId="77777777" w:rsidR="00307B1B" w:rsidRPr="00307B1B" w:rsidRDefault="00307B1B" w:rsidP="001E3EF6">
      <w:pPr>
        <w:numPr>
          <w:ilvl w:val="1"/>
          <w:numId w:val="4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By prioritizing market access effects, the unitary approach aligns with the purpose of Article 34: ensuring the free movement of goods.</w:t>
      </w:r>
    </w:p>
    <w:p w14:paraId="01A8031B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214EC0C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58BE173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Conclusion of Section 4</w:t>
      </w:r>
    </w:p>
    <w:p w14:paraId="0254CCED" w14:textId="77777777" w:rsidR="00307B1B" w:rsidRPr="00307B1B" w:rsidRDefault="00307B1B" w:rsidP="001E3EF6">
      <w:pPr>
        <w:numPr>
          <w:ilvl w:val="0"/>
          <w:numId w:val="4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highlights the CJEU’s failure to clarify the relationship between the various tests under Article 34, leading to doctrinal fragmentation and legal uncertainty.</w:t>
      </w:r>
    </w:p>
    <w:p w14:paraId="0A465E67" w14:textId="77777777" w:rsidR="00307B1B" w:rsidRPr="00307B1B" w:rsidRDefault="00307B1B" w:rsidP="001E3EF6">
      <w:pPr>
        <w:numPr>
          <w:ilvl w:val="0"/>
          <w:numId w:val="4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He argues that the Court must resolve the tension between Keck and the market access test, potentially adopting a unified framework to streamline its jurisprudence.</w:t>
      </w:r>
    </w:p>
    <w:p w14:paraId="48A05D64" w14:textId="77777777" w:rsidR="00307B1B" w:rsidRPr="00307B1B" w:rsidRDefault="00307B1B" w:rsidP="001E3EF6">
      <w:pPr>
        <w:numPr>
          <w:ilvl w:val="0"/>
          <w:numId w:val="4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Such a framework would prioritize the economic impact of measures while respecting Member State autonomy, ensuring a balanced approach to market integration.</w:t>
      </w:r>
    </w:p>
    <w:p w14:paraId="2CA232E2" w14:textId="171D0536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65477D9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586E157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5. Recommendations for a Unitary Framework</w:t>
      </w:r>
    </w:p>
    <w:p w14:paraId="027FAD43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Overview</w:t>
      </w:r>
    </w:p>
    <w:p w14:paraId="772690F8" w14:textId="77777777" w:rsidR="00307B1B" w:rsidRPr="00307B1B" w:rsidRDefault="00307B1B" w:rsidP="001E3EF6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critiques the fragmented nature of the CJEU’s jurisprudence on Article 34 TFEU and proposes a </w:t>
      </w:r>
      <w:r w:rsidRPr="00307B1B">
        <w:rPr>
          <w:rFonts w:ascii="Times New Roman" w:hAnsi="Times New Roman"/>
          <w:b/>
          <w:bCs/>
          <w:lang w:val="en-HK"/>
        </w:rPr>
        <w:t>unitary doctrinal framework</w:t>
      </w:r>
      <w:r w:rsidRPr="00307B1B">
        <w:rPr>
          <w:rFonts w:ascii="Times New Roman" w:hAnsi="Times New Roman"/>
          <w:lang w:val="en-HK"/>
        </w:rPr>
        <w:t>.</w:t>
      </w:r>
    </w:p>
    <w:p w14:paraId="1D946BB1" w14:textId="77777777" w:rsidR="00307B1B" w:rsidRPr="00307B1B" w:rsidRDefault="00307B1B" w:rsidP="001E3EF6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He suggests that the Court adopt a single, coherent test for assessing all national measures, prioritizing the principle of market access while integrating elements of non-discrimination and mutual recognition.</w:t>
      </w:r>
    </w:p>
    <w:p w14:paraId="61F4176D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788ED47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C339E4A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highlight w:val="yellow"/>
          <w:lang w:val="en-HK"/>
        </w:rPr>
        <w:lastRenderedPageBreak/>
        <w:t>5.1 Critique of the Current Framework</w:t>
      </w:r>
    </w:p>
    <w:p w14:paraId="134C7A17" w14:textId="65866D34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Fragmentation of Tests</w:t>
      </w:r>
      <w:r w:rsidRPr="001E3EF6">
        <w:rPr>
          <w:rFonts w:ascii="Times New Roman" w:hAnsi="Times New Roman"/>
          <w:b/>
          <w:bCs/>
          <w:lang w:val="en-HK"/>
        </w:rPr>
        <w:t xml:space="preserve"> </w:t>
      </w:r>
      <w:r w:rsidRPr="001E3EF6">
        <w:rPr>
          <w:rFonts w:ascii="Microsoft Jhenghei" w:eastAsia="Microsoft Jhenghei" w:hAnsi="Microsoft Jhenghei" w:hint="eastAsia"/>
          <w:color w:val="000000"/>
          <w:shd w:val="clear" w:color="auto" w:fill="EFF6FF"/>
        </w:rPr>
        <w:t>測試碎片化</w:t>
      </w:r>
    </w:p>
    <w:p w14:paraId="77F48BE9" w14:textId="77777777" w:rsidR="00307B1B" w:rsidRPr="00307B1B" w:rsidRDefault="00307B1B" w:rsidP="001E3EF6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identifies three main tests applied by the CJEU:</w:t>
      </w:r>
    </w:p>
    <w:p w14:paraId="7BA85563" w14:textId="77777777" w:rsidR="00307B1B" w:rsidRPr="00307B1B" w:rsidRDefault="00307B1B" w:rsidP="001E3EF6">
      <w:pPr>
        <w:numPr>
          <w:ilvl w:val="1"/>
          <w:numId w:val="4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Mutual Recognition</w:t>
      </w:r>
      <w:r w:rsidRPr="00307B1B">
        <w:rPr>
          <w:rFonts w:ascii="Times New Roman" w:hAnsi="Times New Roman"/>
          <w:lang w:val="en-HK"/>
        </w:rPr>
        <w:t xml:space="preserve">: Applies to product requirements (e.g., </w:t>
      </w:r>
      <w:proofErr w:type="spellStart"/>
      <w:r w:rsidRPr="00307B1B">
        <w:rPr>
          <w:rFonts w:ascii="Times New Roman" w:hAnsi="Times New Roman"/>
          <w:lang w:val="en-HK"/>
        </w:rPr>
        <w:t>labeling</w:t>
      </w:r>
      <w:proofErr w:type="spellEnd"/>
      <w:r w:rsidRPr="00307B1B">
        <w:rPr>
          <w:rFonts w:ascii="Times New Roman" w:hAnsi="Times New Roman"/>
          <w:lang w:val="en-HK"/>
        </w:rPr>
        <w:t xml:space="preserve">, packaging) as established in </w:t>
      </w:r>
      <w:r w:rsidRPr="00307B1B">
        <w:rPr>
          <w:rFonts w:ascii="Times New Roman" w:hAnsi="Times New Roman"/>
          <w:b/>
          <w:bCs/>
          <w:lang w:val="en-HK"/>
        </w:rPr>
        <w:t>Cassis de Dijon (Case 120/78)</w:t>
      </w:r>
      <w:r w:rsidRPr="00307B1B">
        <w:rPr>
          <w:rFonts w:ascii="Times New Roman" w:hAnsi="Times New Roman"/>
          <w:lang w:val="en-HK"/>
        </w:rPr>
        <w:t>.</w:t>
      </w:r>
    </w:p>
    <w:p w14:paraId="03E0BED0" w14:textId="77777777" w:rsidR="00307B1B" w:rsidRPr="00307B1B" w:rsidRDefault="00307B1B" w:rsidP="001E3EF6">
      <w:pPr>
        <w:numPr>
          <w:ilvl w:val="1"/>
          <w:numId w:val="4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Keck Framework</w:t>
      </w:r>
      <w:r w:rsidRPr="00307B1B">
        <w:rPr>
          <w:rFonts w:ascii="Times New Roman" w:hAnsi="Times New Roman"/>
          <w:lang w:val="en-HK"/>
        </w:rPr>
        <w:t>: Excludes non-discriminatory selling arrangements from Article 34, provided they apply equally to domestic and imported goods (</w:t>
      </w:r>
      <w:r w:rsidRPr="00307B1B">
        <w:rPr>
          <w:rFonts w:ascii="Times New Roman" w:hAnsi="Times New Roman"/>
          <w:b/>
          <w:bCs/>
          <w:lang w:val="en-HK"/>
        </w:rPr>
        <w:t xml:space="preserve">Keck and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Mithouard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>, Joined Cases C-267/91 and C-268/91</w:t>
      </w:r>
      <w:r w:rsidRPr="00307B1B">
        <w:rPr>
          <w:rFonts w:ascii="Times New Roman" w:hAnsi="Times New Roman"/>
          <w:lang w:val="en-HK"/>
        </w:rPr>
        <w:t>).</w:t>
      </w:r>
    </w:p>
    <w:p w14:paraId="6004F12D" w14:textId="77777777" w:rsidR="00307B1B" w:rsidRPr="00307B1B" w:rsidRDefault="00307B1B" w:rsidP="001E3EF6">
      <w:pPr>
        <w:numPr>
          <w:ilvl w:val="1"/>
          <w:numId w:val="4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Market Access Test</w:t>
      </w:r>
      <w:r w:rsidRPr="00307B1B">
        <w:rPr>
          <w:rFonts w:ascii="Times New Roman" w:hAnsi="Times New Roman"/>
          <w:lang w:val="en-HK"/>
        </w:rPr>
        <w:t xml:space="preserve">: Considers whether a measure hinders access to a Member State’s market, as developed in </w:t>
      </w:r>
      <w:r w:rsidRPr="00307B1B">
        <w:rPr>
          <w:rFonts w:ascii="Times New Roman" w:hAnsi="Times New Roman"/>
          <w:b/>
          <w:bCs/>
          <w:lang w:val="en-HK"/>
        </w:rPr>
        <w:t>Commission v Italy (Italian Trailers, Case C-110/05)</w:t>
      </w:r>
      <w:r w:rsidRPr="00307B1B">
        <w:rPr>
          <w:rFonts w:ascii="Times New Roman" w:hAnsi="Times New Roman"/>
          <w:lang w:val="en-HK"/>
        </w:rPr>
        <w:t>.</w:t>
      </w:r>
    </w:p>
    <w:p w14:paraId="38A52D5B" w14:textId="77777777" w:rsidR="00307B1B" w:rsidRPr="00307B1B" w:rsidRDefault="00307B1B" w:rsidP="001E3EF6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Problem of Inconsistency</w:t>
      </w:r>
      <w:r w:rsidRPr="00307B1B">
        <w:rPr>
          <w:rFonts w:ascii="Times New Roman" w:hAnsi="Times New Roman"/>
          <w:lang w:val="en-HK"/>
        </w:rPr>
        <w:t>:</w:t>
      </w:r>
    </w:p>
    <w:p w14:paraId="33C9C604" w14:textId="77777777" w:rsidR="00307B1B" w:rsidRPr="00307B1B" w:rsidRDefault="00307B1B" w:rsidP="001E3EF6">
      <w:p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argues that these tests are inconsistently applied, creating uncertainty about when a national measure constitutes a restriction under Article 34.</w:t>
      </w:r>
    </w:p>
    <w:p w14:paraId="5EBE45A4" w14:textId="33E806DA" w:rsidR="00307B1B" w:rsidRPr="00307B1B" w:rsidRDefault="00307B1B" w:rsidP="001E3EF6">
      <w:p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For example, restrictions on advertising have been excluded under Keck in </w:t>
      </w:r>
      <w:r w:rsidRPr="00307B1B">
        <w:rPr>
          <w:rFonts w:ascii="Times New Roman" w:hAnsi="Times New Roman"/>
          <w:b/>
          <w:bCs/>
          <w:lang w:val="en-HK"/>
        </w:rPr>
        <w:t>Leclerc-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Siplec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(Case C-412/93)</w:t>
      </w:r>
      <w:r w:rsidRPr="00307B1B">
        <w:rPr>
          <w:rFonts w:ascii="Times New Roman" w:hAnsi="Times New Roman"/>
          <w:lang w:val="en-HK"/>
        </w:rPr>
        <w:t xml:space="preserve"> but scrutinized under the market access test in </w:t>
      </w:r>
      <w:r w:rsidRPr="00307B1B">
        <w:rPr>
          <w:rFonts w:ascii="Times New Roman" w:hAnsi="Times New Roman"/>
          <w:b/>
          <w:bCs/>
          <w:lang w:val="en-HK"/>
        </w:rPr>
        <w:t>Scotch Whisky Association v Lord Advocate (Case C-333/14)</w:t>
      </w:r>
      <w:r w:rsidRPr="00307B1B">
        <w:rPr>
          <w:rFonts w:ascii="Times New Roman" w:hAnsi="Times New Roman"/>
          <w:lang w:val="en-HK"/>
        </w:rPr>
        <w:t>.</w:t>
      </w:r>
      <w:r w:rsidRPr="001E3EF6">
        <w:rPr>
          <w:rFonts w:ascii="Times New Roman" w:hAnsi="Times New Roman"/>
          <w:lang w:val="en-HK"/>
        </w:rPr>
        <w:t xml:space="preserve"> </w:t>
      </w:r>
      <w:r w:rsidRPr="001E3EF6">
        <w:rPr>
          <w:rFonts w:ascii="Microsoft Jhenghei" w:eastAsia="Microsoft Jhenghei" w:hAnsi="Microsoft Jhenghei" w:hint="eastAsia"/>
          <w:color w:val="000000"/>
          <w:shd w:val="clear" w:color="auto" w:fill="EFF6FF"/>
        </w:rPr>
        <w:t>在 Leclerc-</w:t>
      </w:r>
      <w:proofErr w:type="spellStart"/>
      <w:r w:rsidRPr="001E3EF6">
        <w:rPr>
          <w:rFonts w:ascii="Microsoft Jhenghei" w:eastAsia="Microsoft Jhenghei" w:hAnsi="Microsoft Jhenghei" w:hint="eastAsia"/>
          <w:color w:val="000000"/>
          <w:shd w:val="clear" w:color="auto" w:fill="EFF6FF"/>
        </w:rPr>
        <w:t>Siplec</w:t>
      </w:r>
      <w:proofErr w:type="spellEnd"/>
      <w:r w:rsidRPr="001E3EF6">
        <w:rPr>
          <w:rFonts w:ascii="Microsoft Jhenghei" w:eastAsia="Microsoft Jhenghei" w:hAnsi="Microsoft Jhenghei" w:hint="eastAsia"/>
          <w:color w:val="000000"/>
          <w:shd w:val="clear" w:color="auto" w:fill="EFF6FF"/>
        </w:rPr>
        <w:t xml:space="preserve"> 案（案件 C-412/93）中，凱克案排除了對廣告的限制，但在 Scotch Whisky Association 訴 Lord Advocate（案件 C-333/14）的市場准入測試中受到了審查</w:t>
      </w:r>
    </w:p>
    <w:p w14:paraId="44829BA4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Blurred Boundaries</w:t>
      </w:r>
    </w:p>
    <w:p w14:paraId="6199AE1B" w14:textId="77777777" w:rsidR="00307B1B" w:rsidRPr="00307B1B" w:rsidRDefault="00307B1B" w:rsidP="001E3EF6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distinction between product requirements, selling arrangements, and consumer-use restrictions has become increasingly unclear:</w:t>
      </w:r>
    </w:p>
    <w:p w14:paraId="5FB91F3E" w14:textId="77777777" w:rsidR="00307B1B" w:rsidRPr="00307B1B" w:rsidRDefault="00307B1B" w:rsidP="001E3EF6">
      <w:pPr>
        <w:numPr>
          <w:ilvl w:val="1"/>
          <w:numId w:val="5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In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Mickelsson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&amp;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Roos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(Case C-142/05)</w:t>
      </w:r>
      <w:r w:rsidRPr="00307B1B">
        <w:rPr>
          <w:rFonts w:ascii="Times New Roman" w:hAnsi="Times New Roman"/>
          <w:lang w:val="en-HK"/>
        </w:rPr>
        <w:t>, restrictions on the use of jet skis were classified as market access barriers, even though they resembled selling arrangements.</w:t>
      </w:r>
    </w:p>
    <w:p w14:paraId="5BF07AC4" w14:textId="77777777" w:rsidR="00307B1B" w:rsidRPr="00307B1B" w:rsidRDefault="00307B1B" w:rsidP="001E3EF6">
      <w:pPr>
        <w:numPr>
          <w:ilvl w:val="1"/>
          <w:numId w:val="5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In </w:t>
      </w:r>
      <w:r w:rsidRPr="00307B1B">
        <w:rPr>
          <w:rFonts w:ascii="Times New Roman" w:hAnsi="Times New Roman"/>
          <w:b/>
          <w:bCs/>
          <w:lang w:val="en-HK"/>
        </w:rPr>
        <w:t>Ker-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Optika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v ÀNTSZ (Case C-108/09)</w:t>
      </w:r>
      <w:r w:rsidRPr="00307B1B">
        <w:rPr>
          <w:rFonts w:ascii="Times New Roman" w:hAnsi="Times New Roman"/>
          <w:lang w:val="en-HK"/>
        </w:rPr>
        <w:t>, a restriction on online sales was treated as a market access issue, challenging the Keck framework.</w:t>
      </w:r>
    </w:p>
    <w:p w14:paraId="33A2AAF6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Judicial Overreach</w:t>
      </w:r>
    </w:p>
    <w:p w14:paraId="02857F94" w14:textId="77777777" w:rsidR="00307B1B" w:rsidRPr="00307B1B" w:rsidRDefault="00307B1B" w:rsidP="001E3EF6">
      <w:pPr>
        <w:numPr>
          <w:ilvl w:val="0"/>
          <w:numId w:val="5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warns that the </w:t>
      </w:r>
      <w:r w:rsidRPr="00307B1B">
        <w:rPr>
          <w:rFonts w:ascii="Times New Roman" w:hAnsi="Times New Roman"/>
          <w:b/>
          <w:bCs/>
          <w:lang w:val="en-HK"/>
        </w:rPr>
        <w:t>market access test</w:t>
      </w:r>
      <w:r w:rsidRPr="00307B1B">
        <w:rPr>
          <w:rFonts w:ascii="Times New Roman" w:hAnsi="Times New Roman"/>
          <w:lang w:val="en-HK"/>
        </w:rPr>
        <w:t xml:space="preserve"> risks expanding Article 34’s scope excessively, subjecting non-discriminatory measures to EU scrutiny and undermining Member State autonomy.</w:t>
      </w:r>
    </w:p>
    <w:p w14:paraId="567C0CEF" w14:textId="77777777" w:rsidR="00307B1B" w:rsidRPr="00307B1B" w:rsidRDefault="00307B1B" w:rsidP="001E3EF6">
      <w:pPr>
        <w:numPr>
          <w:ilvl w:val="0"/>
          <w:numId w:val="5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This overreach challenges the principles of </w:t>
      </w:r>
      <w:r w:rsidRPr="00307B1B">
        <w:rPr>
          <w:rFonts w:ascii="Times New Roman" w:hAnsi="Times New Roman"/>
          <w:b/>
          <w:bCs/>
          <w:lang w:val="en-HK"/>
        </w:rPr>
        <w:t>subsidiarity</w:t>
      </w:r>
      <w:r w:rsidRPr="00307B1B">
        <w:rPr>
          <w:rFonts w:ascii="Times New Roman" w:hAnsi="Times New Roman"/>
          <w:lang w:val="en-HK"/>
        </w:rPr>
        <w:t xml:space="preserve"> (Article 5(3) TEU) and </w:t>
      </w:r>
      <w:r w:rsidRPr="00307B1B">
        <w:rPr>
          <w:rFonts w:ascii="Times New Roman" w:hAnsi="Times New Roman"/>
          <w:b/>
          <w:bCs/>
          <w:lang w:val="en-HK"/>
        </w:rPr>
        <w:t>proportionality</w:t>
      </w:r>
      <w:r w:rsidRPr="00307B1B">
        <w:rPr>
          <w:rFonts w:ascii="Times New Roman" w:hAnsi="Times New Roman"/>
          <w:lang w:val="en-HK"/>
        </w:rPr>
        <w:t xml:space="preserve"> (Article 5(4) TEU), which aim to limit EU intervention to cases where it is genuinely necessary.</w:t>
      </w:r>
    </w:p>
    <w:p w14:paraId="70090131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1A7ADDA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47FB9E0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5.2 Proposal for a Unitary Framework</w:t>
      </w:r>
    </w:p>
    <w:p w14:paraId="530A90A1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Core Principle: Market Access</w:t>
      </w:r>
    </w:p>
    <w:p w14:paraId="575B4A8D" w14:textId="77777777" w:rsidR="00307B1B" w:rsidRPr="00307B1B" w:rsidRDefault="00307B1B" w:rsidP="001E3EF6">
      <w:pPr>
        <w:numPr>
          <w:ilvl w:val="0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advocates for a unitary framework that assesses all national measures based on their impact on </w:t>
      </w:r>
      <w:r w:rsidRPr="00307B1B">
        <w:rPr>
          <w:rFonts w:ascii="Times New Roman" w:hAnsi="Times New Roman"/>
          <w:b/>
          <w:bCs/>
          <w:lang w:val="en-HK"/>
        </w:rPr>
        <w:t>market access</w:t>
      </w:r>
      <w:r w:rsidRPr="00307B1B">
        <w:rPr>
          <w:rFonts w:ascii="Times New Roman" w:hAnsi="Times New Roman"/>
          <w:lang w:val="en-HK"/>
        </w:rPr>
        <w:t>.</w:t>
      </w:r>
    </w:p>
    <w:p w14:paraId="6447E9CC" w14:textId="77777777" w:rsidR="00307B1B" w:rsidRPr="00307B1B" w:rsidRDefault="00307B1B" w:rsidP="001E3EF6">
      <w:pPr>
        <w:numPr>
          <w:ilvl w:val="0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Key Features</w:t>
      </w:r>
      <w:r w:rsidRPr="00307B1B">
        <w:rPr>
          <w:rFonts w:ascii="Times New Roman" w:hAnsi="Times New Roman"/>
          <w:lang w:val="en-HK"/>
        </w:rPr>
        <w:t>:</w:t>
      </w:r>
    </w:p>
    <w:p w14:paraId="35E12A80" w14:textId="77777777" w:rsidR="00307B1B" w:rsidRPr="00307B1B" w:rsidRDefault="00307B1B" w:rsidP="001E3EF6">
      <w:pPr>
        <w:numPr>
          <w:ilvl w:val="1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Broad Scope</w:t>
      </w:r>
      <w:r w:rsidRPr="00307B1B">
        <w:rPr>
          <w:rFonts w:ascii="Times New Roman" w:hAnsi="Times New Roman"/>
          <w:lang w:val="en-HK"/>
        </w:rPr>
        <w:t>:</w:t>
      </w:r>
    </w:p>
    <w:p w14:paraId="1A283FDA" w14:textId="77777777" w:rsidR="00307B1B" w:rsidRPr="00307B1B" w:rsidRDefault="00307B1B" w:rsidP="001E3EF6">
      <w:pPr>
        <w:numPr>
          <w:ilvl w:val="2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framework would apply to all measures, regardless of their classification as product requirements, selling arrangements, or consumer-use restrictions.</w:t>
      </w:r>
    </w:p>
    <w:p w14:paraId="15264F63" w14:textId="77777777" w:rsidR="00307B1B" w:rsidRPr="00307B1B" w:rsidRDefault="00307B1B" w:rsidP="001E3EF6">
      <w:pPr>
        <w:numPr>
          <w:ilvl w:val="1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Focus on Economic Effects</w:t>
      </w:r>
      <w:r w:rsidRPr="00307B1B">
        <w:rPr>
          <w:rFonts w:ascii="Times New Roman" w:hAnsi="Times New Roman"/>
          <w:lang w:val="en-HK"/>
        </w:rPr>
        <w:t>:</w:t>
      </w:r>
    </w:p>
    <w:p w14:paraId="79C03D7D" w14:textId="77777777" w:rsidR="00307B1B" w:rsidRPr="00307B1B" w:rsidRDefault="00307B1B" w:rsidP="001E3EF6">
      <w:pPr>
        <w:numPr>
          <w:ilvl w:val="2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Instead of formal distinctions, the test would evaluate the practical impact of a measure on cross-border trade.</w:t>
      </w:r>
    </w:p>
    <w:p w14:paraId="5F03CAE9" w14:textId="77777777" w:rsidR="00307B1B" w:rsidRPr="00307B1B" w:rsidRDefault="00307B1B" w:rsidP="001E3EF6">
      <w:pPr>
        <w:numPr>
          <w:ilvl w:val="1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Integration of Non-Discrimination and Mutual Recognition</w:t>
      </w:r>
      <w:r w:rsidRPr="00307B1B">
        <w:rPr>
          <w:rFonts w:ascii="Times New Roman" w:hAnsi="Times New Roman"/>
          <w:lang w:val="en-HK"/>
        </w:rPr>
        <w:t>:</w:t>
      </w:r>
    </w:p>
    <w:p w14:paraId="2F8C3911" w14:textId="77777777" w:rsidR="00307B1B" w:rsidRPr="00307B1B" w:rsidRDefault="00307B1B" w:rsidP="001E3EF6">
      <w:pPr>
        <w:numPr>
          <w:ilvl w:val="2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While market access would serve as the overarching principle, elements of non-discrimination and mutual recognition would provide additional safeguards.</w:t>
      </w:r>
    </w:p>
    <w:p w14:paraId="317614A6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Advantages of the Unitary Framework</w:t>
      </w:r>
    </w:p>
    <w:p w14:paraId="1A02E51F" w14:textId="77777777" w:rsidR="00307B1B" w:rsidRPr="00307B1B" w:rsidRDefault="00307B1B" w:rsidP="001E3EF6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Clarity and Predictability</w:t>
      </w:r>
      <w:r w:rsidRPr="00307B1B">
        <w:rPr>
          <w:rFonts w:ascii="Times New Roman" w:hAnsi="Times New Roman"/>
          <w:lang w:val="en-HK"/>
        </w:rPr>
        <w:t>:</w:t>
      </w:r>
    </w:p>
    <w:p w14:paraId="7C1C8E4E" w14:textId="77777777" w:rsidR="00307B1B" w:rsidRPr="00307B1B" w:rsidRDefault="00307B1B" w:rsidP="001E3EF6">
      <w:pPr>
        <w:numPr>
          <w:ilvl w:val="1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A single test would simplify the analysis of national measures, providing businesses and regulators with a more predictable legal framework.</w:t>
      </w:r>
    </w:p>
    <w:p w14:paraId="6E8C4171" w14:textId="77777777" w:rsidR="00307B1B" w:rsidRPr="00307B1B" w:rsidRDefault="00307B1B" w:rsidP="001E3EF6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Flexibility</w:t>
      </w:r>
      <w:r w:rsidRPr="00307B1B">
        <w:rPr>
          <w:rFonts w:ascii="Times New Roman" w:hAnsi="Times New Roman"/>
          <w:lang w:val="en-HK"/>
        </w:rPr>
        <w:t>:</w:t>
      </w:r>
    </w:p>
    <w:p w14:paraId="15B776AD" w14:textId="77777777" w:rsidR="00307B1B" w:rsidRPr="00307B1B" w:rsidRDefault="00307B1B" w:rsidP="001E3EF6">
      <w:pPr>
        <w:numPr>
          <w:ilvl w:val="1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By focusing on market access, the framework could accommodate the complexities of modern trade, such as online commerce and digital services.</w:t>
      </w:r>
    </w:p>
    <w:p w14:paraId="3A50909B" w14:textId="77777777" w:rsidR="00307B1B" w:rsidRPr="00307B1B" w:rsidRDefault="00307B1B" w:rsidP="001E3EF6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Alignment with EU Objectives</w:t>
      </w:r>
      <w:r w:rsidRPr="00307B1B">
        <w:rPr>
          <w:rFonts w:ascii="Times New Roman" w:hAnsi="Times New Roman"/>
          <w:lang w:val="en-HK"/>
        </w:rPr>
        <w:t>:</w:t>
      </w:r>
    </w:p>
    <w:p w14:paraId="3FC86845" w14:textId="77777777" w:rsidR="00307B1B" w:rsidRPr="00307B1B" w:rsidRDefault="00307B1B" w:rsidP="001E3EF6">
      <w:pPr>
        <w:numPr>
          <w:ilvl w:val="1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framework would align with the Treaty’s goal of promoting market integration while respecting Member State autonomy in areas unrelated to trade.</w:t>
      </w:r>
    </w:p>
    <w:p w14:paraId="0654F05E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769667D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395FCB3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5.3 Application of the Unitary Framework</w:t>
      </w:r>
    </w:p>
    <w:p w14:paraId="2C0C1B7F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General Test for Market Access</w:t>
      </w:r>
    </w:p>
    <w:p w14:paraId="6787A104" w14:textId="77777777" w:rsidR="00307B1B" w:rsidRPr="00307B1B" w:rsidRDefault="00307B1B" w:rsidP="001E3EF6">
      <w:pPr>
        <w:numPr>
          <w:ilvl w:val="0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proposes a two-step test for assessing market access:</w:t>
      </w:r>
    </w:p>
    <w:p w14:paraId="5938F40A" w14:textId="77777777" w:rsidR="00307B1B" w:rsidRPr="00307B1B" w:rsidRDefault="00307B1B" w:rsidP="001E3EF6">
      <w:pPr>
        <w:numPr>
          <w:ilvl w:val="1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Does the Measure Hinder Market Access?</w:t>
      </w:r>
    </w:p>
    <w:p w14:paraId="78F6F873" w14:textId="77777777" w:rsidR="00307B1B" w:rsidRPr="00307B1B" w:rsidRDefault="00307B1B" w:rsidP="001E3EF6">
      <w:pPr>
        <w:numPr>
          <w:ilvl w:val="2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This includes both direct barriers (e.g., import bans) and indirect barriers (e.g., restrictions on use or sale).</w:t>
      </w:r>
    </w:p>
    <w:p w14:paraId="35A6454B" w14:textId="77777777" w:rsidR="00307B1B" w:rsidRPr="00307B1B" w:rsidRDefault="00307B1B" w:rsidP="001E3EF6">
      <w:pPr>
        <w:numPr>
          <w:ilvl w:val="2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lastRenderedPageBreak/>
        <w:t xml:space="preserve">Example: In </w:t>
      </w:r>
      <w:r w:rsidRPr="00307B1B">
        <w:rPr>
          <w:rFonts w:ascii="Times New Roman" w:hAnsi="Times New Roman"/>
          <w:b/>
          <w:bCs/>
          <w:lang w:val="en-HK"/>
        </w:rPr>
        <w:t>Italian Trailers</w:t>
      </w:r>
      <w:r w:rsidRPr="00307B1B">
        <w:rPr>
          <w:rFonts w:ascii="Times New Roman" w:hAnsi="Times New Roman"/>
          <w:lang w:val="en-HK"/>
        </w:rPr>
        <w:t>, the prohibition on towing trailers with motorcycles clearly hindered market access.</w:t>
      </w:r>
    </w:p>
    <w:p w14:paraId="46BD2F47" w14:textId="77777777" w:rsidR="00307B1B" w:rsidRPr="00307B1B" w:rsidRDefault="00307B1B" w:rsidP="001E3EF6">
      <w:pPr>
        <w:numPr>
          <w:ilvl w:val="1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Is the Measure Justified and Proportionate?</w:t>
      </w:r>
    </w:p>
    <w:p w14:paraId="62CB993F" w14:textId="77777777" w:rsidR="00307B1B" w:rsidRPr="00307B1B" w:rsidRDefault="00307B1B" w:rsidP="001E3EF6">
      <w:pPr>
        <w:numPr>
          <w:ilvl w:val="2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Legitimate justifications include public health, safety, and environmental protection (as recognized in </w:t>
      </w:r>
      <w:r w:rsidRPr="00307B1B">
        <w:rPr>
          <w:rFonts w:ascii="Times New Roman" w:hAnsi="Times New Roman"/>
          <w:b/>
          <w:bCs/>
          <w:lang w:val="en-HK"/>
        </w:rPr>
        <w:t>Article 36 TFEU</w:t>
      </w:r>
      <w:r w:rsidRPr="00307B1B">
        <w:rPr>
          <w:rFonts w:ascii="Times New Roman" w:hAnsi="Times New Roman"/>
          <w:lang w:val="en-HK"/>
        </w:rPr>
        <w:t>).</w:t>
      </w:r>
    </w:p>
    <w:p w14:paraId="37C2F9A7" w14:textId="77777777" w:rsidR="00307B1B" w:rsidRPr="00307B1B" w:rsidRDefault="00307B1B" w:rsidP="001E3EF6">
      <w:pPr>
        <w:numPr>
          <w:ilvl w:val="2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measure must be proportionate, meaning it is suitable and necessary to achieve its objective without unnecessarily restricting trade.</w:t>
      </w:r>
    </w:p>
    <w:p w14:paraId="4DF0477F" w14:textId="77777777" w:rsidR="00307B1B" w:rsidRPr="00307B1B" w:rsidRDefault="00307B1B" w:rsidP="001E3EF6">
      <w:pPr>
        <w:numPr>
          <w:ilvl w:val="2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Example: In </w:t>
      </w:r>
      <w:r w:rsidRPr="00307B1B">
        <w:rPr>
          <w:rFonts w:ascii="Times New Roman" w:hAnsi="Times New Roman"/>
          <w:b/>
          <w:bCs/>
          <w:lang w:val="en-HK"/>
        </w:rPr>
        <w:t>Scotch Whisky Association</w:t>
      </w:r>
      <w:r w:rsidRPr="00307B1B">
        <w:rPr>
          <w:rFonts w:ascii="Times New Roman" w:hAnsi="Times New Roman"/>
          <w:lang w:val="en-HK"/>
        </w:rPr>
        <w:t>, minimum alcohol pricing was justified under Article 36 but required a proportionality analysis.</w:t>
      </w:r>
    </w:p>
    <w:p w14:paraId="15F3A616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Integration of Exclusionary Rules</w:t>
      </w:r>
    </w:p>
    <w:p w14:paraId="3F375064" w14:textId="77777777" w:rsidR="00307B1B" w:rsidRPr="00307B1B" w:rsidRDefault="00307B1B" w:rsidP="001E3EF6">
      <w:pPr>
        <w:numPr>
          <w:ilvl w:val="0"/>
          <w:numId w:val="5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While the unitary framework prioritizes market access, </w:t>
      </w: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acknowledges the continued relevance of exclusionary rules:</w:t>
      </w:r>
    </w:p>
    <w:p w14:paraId="4813E139" w14:textId="77777777" w:rsidR="00307B1B" w:rsidRPr="00307B1B" w:rsidRDefault="00307B1B" w:rsidP="001E3EF6">
      <w:pPr>
        <w:numPr>
          <w:ilvl w:val="1"/>
          <w:numId w:val="5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Effects Too Uncertain and Indirect</w:t>
      </w:r>
      <w:r w:rsidRPr="00307B1B">
        <w:rPr>
          <w:rFonts w:ascii="Times New Roman" w:hAnsi="Times New Roman"/>
          <w:lang w:val="en-HK"/>
        </w:rPr>
        <w:t>:</w:t>
      </w:r>
    </w:p>
    <w:p w14:paraId="3DB419D4" w14:textId="77777777" w:rsidR="00307B1B" w:rsidRPr="00307B1B" w:rsidRDefault="00307B1B" w:rsidP="001E3EF6">
      <w:pPr>
        <w:numPr>
          <w:ilvl w:val="2"/>
          <w:numId w:val="5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Measures with minimal or speculative effects on trade should be excluded, as in </w:t>
      </w:r>
      <w:r w:rsidRPr="00307B1B">
        <w:rPr>
          <w:rFonts w:ascii="Times New Roman" w:hAnsi="Times New Roman"/>
          <w:b/>
          <w:bCs/>
          <w:lang w:val="en-HK"/>
        </w:rPr>
        <w:t>Krantz GmbH v Netherlands (Case C-69/88)</w:t>
      </w:r>
      <w:r w:rsidRPr="00307B1B">
        <w:rPr>
          <w:rFonts w:ascii="Times New Roman" w:hAnsi="Times New Roman"/>
          <w:lang w:val="en-HK"/>
        </w:rPr>
        <w:t>.</w:t>
      </w:r>
    </w:p>
    <w:p w14:paraId="414FB6DA" w14:textId="77777777" w:rsidR="00307B1B" w:rsidRPr="00307B1B" w:rsidRDefault="00307B1B" w:rsidP="001E3EF6">
      <w:pPr>
        <w:numPr>
          <w:ilvl w:val="1"/>
          <w:numId w:val="5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Insignificant Effects</w:t>
      </w:r>
      <w:r w:rsidRPr="00307B1B">
        <w:rPr>
          <w:rFonts w:ascii="Times New Roman" w:hAnsi="Times New Roman"/>
          <w:lang w:val="en-HK"/>
        </w:rPr>
        <w:t>:</w:t>
      </w:r>
    </w:p>
    <w:p w14:paraId="2A26A50F" w14:textId="77777777" w:rsidR="00307B1B" w:rsidRPr="00307B1B" w:rsidRDefault="00307B1B" w:rsidP="001E3EF6">
      <w:pPr>
        <w:numPr>
          <w:ilvl w:val="2"/>
          <w:numId w:val="5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Trivial measures should not fall within Article 34, preserving Member State autonomy for minor regulations.</w:t>
      </w:r>
    </w:p>
    <w:p w14:paraId="2796FE74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031AC64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6AC5EFC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5.4 Challenges to Implementing the Unitary Framework</w:t>
      </w:r>
    </w:p>
    <w:p w14:paraId="7DC4E83F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Balancing Integration and Sovereignty</w:t>
      </w:r>
    </w:p>
    <w:p w14:paraId="060EBF03" w14:textId="77777777" w:rsidR="00307B1B" w:rsidRPr="00307B1B" w:rsidRDefault="00307B1B" w:rsidP="001E3EF6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unitary framework must strike a delicate balance between:</w:t>
      </w:r>
    </w:p>
    <w:p w14:paraId="7EC28ECF" w14:textId="77777777" w:rsidR="00307B1B" w:rsidRPr="00307B1B" w:rsidRDefault="00307B1B" w:rsidP="001E3EF6">
      <w:pPr>
        <w:numPr>
          <w:ilvl w:val="1"/>
          <w:numId w:val="5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Market Integration</w:t>
      </w:r>
      <w:r w:rsidRPr="00307B1B">
        <w:rPr>
          <w:rFonts w:ascii="Times New Roman" w:hAnsi="Times New Roman"/>
          <w:lang w:val="en-HK"/>
        </w:rPr>
        <w:t>:</w:t>
      </w:r>
    </w:p>
    <w:p w14:paraId="08ED884C" w14:textId="77777777" w:rsidR="00307B1B" w:rsidRPr="00307B1B" w:rsidRDefault="00307B1B" w:rsidP="001E3EF6">
      <w:pPr>
        <w:numPr>
          <w:ilvl w:val="2"/>
          <w:numId w:val="5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Ensuring that national measures do not create unnecessary barriers to intra-EU trade.</w:t>
      </w:r>
    </w:p>
    <w:p w14:paraId="1B929112" w14:textId="77777777" w:rsidR="00307B1B" w:rsidRPr="00307B1B" w:rsidRDefault="00307B1B" w:rsidP="001E3EF6">
      <w:pPr>
        <w:numPr>
          <w:ilvl w:val="1"/>
          <w:numId w:val="5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Member State Sovereignty</w:t>
      </w:r>
      <w:r w:rsidRPr="00307B1B">
        <w:rPr>
          <w:rFonts w:ascii="Times New Roman" w:hAnsi="Times New Roman"/>
          <w:lang w:val="en-HK"/>
        </w:rPr>
        <w:t>:</w:t>
      </w:r>
    </w:p>
    <w:p w14:paraId="60D421A0" w14:textId="77777777" w:rsidR="00307B1B" w:rsidRPr="00307B1B" w:rsidRDefault="00307B1B" w:rsidP="001E3EF6">
      <w:pPr>
        <w:numPr>
          <w:ilvl w:val="2"/>
          <w:numId w:val="5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Respecting the subsidiarity principle by allowing states to regulate areas not explicitly harmonized by EU law.</w:t>
      </w:r>
    </w:p>
    <w:p w14:paraId="451AD8E8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Judicial Reluctance</w:t>
      </w:r>
    </w:p>
    <w:p w14:paraId="320017B2" w14:textId="77777777" w:rsidR="00307B1B" w:rsidRPr="00307B1B" w:rsidRDefault="00307B1B" w:rsidP="001E3EF6">
      <w:pPr>
        <w:numPr>
          <w:ilvl w:val="0"/>
          <w:numId w:val="5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acknowledges that the CJEU may resist abandoning its established tests, particularly the Keck framework, which has provided a degree of legal certainty.</w:t>
      </w:r>
    </w:p>
    <w:p w14:paraId="4899D238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353642F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0227DEB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5.5 Scholarly Commentary</w:t>
      </w:r>
    </w:p>
    <w:p w14:paraId="56457676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lastRenderedPageBreak/>
        <w:t>Support for the Unitary Framework</w:t>
      </w:r>
    </w:p>
    <w:p w14:paraId="41DE81C1" w14:textId="77777777" w:rsidR="00307B1B" w:rsidRPr="00307B1B" w:rsidRDefault="00307B1B" w:rsidP="001E3EF6">
      <w:pPr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b/>
          <w:bCs/>
          <w:lang w:val="en-HK"/>
        </w:rPr>
        <w:t>Weatherill</w:t>
      </w:r>
      <w:proofErr w:type="spellEnd"/>
      <w:r w:rsidRPr="00307B1B">
        <w:rPr>
          <w:rFonts w:ascii="Times New Roman" w:hAnsi="Times New Roman"/>
          <w:lang w:val="en-HK"/>
        </w:rPr>
        <w:t xml:space="preserve"> (2017): Supports the shift toward a market access principle, arguing that it reflects the economic realities of modern trade.</w:t>
      </w:r>
    </w:p>
    <w:p w14:paraId="1024B0BE" w14:textId="77777777" w:rsidR="00307B1B" w:rsidRPr="00307B1B" w:rsidRDefault="00307B1B" w:rsidP="001E3EF6">
      <w:pPr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Barnard</w:t>
      </w:r>
      <w:r w:rsidRPr="00307B1B">
        <w:rPr>
          <w:rFonts w:ascii="Times New Roman" w:hAnsi="Times New Roman"/>
          <w:lang w:val="en-HK"/>
        </w:rPr>
        <w:t xml:space="preserve"> (2017): Praises the focus on economic effects, noting that it aligns with the EU’s internal market objectives.</w:t>
      </w:r>
    </w:p>
    <w:p w14:paraId="6A9D2484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Criticism</w:t>
      </w:r>
    </w:p>
    <w:p w14:paraId="298EBE56" w14:textId="77777777" w:rsidR="00307B1B" w:rsidRPr="00307B1B" w:rsidRDefault="00307B1B" w:rsidP="001E3EF6">
      <w:pPr>
        <w:numPr>
          <w:ilvl w:val="0"/>
          <w:numId w:val="6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b/>
          <w:bCs/>
          <w:lang w:val="en-HK"/>
        </w:rPr>
        <w:t>Spaventa</w:t>
      </w:r>
      <w:proofErr w:type="spellEnd"/>
      <w:r w:rsidRPr="00307B1B">
        <w:rPr>
          <w:rFonts w:ascii="Times New Roman" w:hAnsi="Times New Roman"/>
          <w:lang w:val="en-HK"/>
        </w:rPr>
        <w:t xml:space="preserve"> (2009): Warns that a market access test could lead to judicial overreach, subjecting legitimate national measures to unnecessary scrutiny.</w:t>
      </w:r>
    </w:p>
    <w:p w14:paraId="6428AFAC" w14:textId="77777777" w:rsidR="00307B1B" w:rsidRPr="00307B1B" w:rsidRDefault="00307B1B" w:rsidP="001E3EF6">
      <w:pPr>
        <w:numPr>
          <w:ilvl w:val="0"/>
          <w:numId w:val="6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Oliver</w:t>
      </w:r>
      <w:r w:rsidRPr="00307B1B">
        <w:rPr>
          <w:rFonts w:ascii="Times New Roman" w:hAnsi="Times New Roman"/>
          <w:lang w:val="en-HK"/>
        </w:rPr>
        <w:t xml:space="preserve"> (2007): Critiques the lack of clear criteria for assessing market access, which risks undermining legal certainty.</w:t>
      </w:r>
    </w:p>
    <w:p w14:paraId="07E84FCD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7DB443D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64A17AD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Conclusion of Section 5</w:t>
      </w:r>
    </w:p>
    <w:p w14:paraId="137B4E7F" w14:textId="77777777" w:rsidR="00307B1B" w:rsidRPr="00307B1B" w:rsidRDefault="00307B1B" w:rsidP="001E3EF6">
      <w:pPr>
        <w:numPr>
          <w:ilvl w:val="0"/>
          <w:numId w:val="6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advocates for a unitary doctrinal framework </w:t>
      </w:r>
      <w:proofErr w:type="spellStart"/>
      <w:r w:rsidRPr="00307B1B">
        <w:rPr>
          <w:rFonts w:ascii="Times New Roman" w:hAnsi="Times New Roman"/>
          <w:lang w:val="en-HK"/>
        </w:rPr>
        <w:t>centered</w:t>
      </w:r>
      <w:proofErr w:type="spellEnd"/>
      <w:r w:rsidRPr="00307B1B">
        <w:rPr>
          <w:rFonts w:ascii="Times New Roman" w:hAnsi="Times New Roman"/>
          <w:lang w:val="en-HK"/>
        </w:rPr>
        <w:t xml:space="preserve"> on the principle of market access, integrating elements of non-discrimination and mutual recognition.</w:t>
      </w:r>
    </w:p>
    <w:p w14:paraId="7C7F2158" w14:textId="77777777" w:rsidR="00307B1B" w:rsidRPr="00307B1B" w:rsidRDefault="00307B1B" w:rsidP="001E3EF6">
      <w:pPr>
        <w:numPr>
          <w:ilvl w:val="0"/>
          <w:numId w:val="6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While this approach offers clarity, flexibility, and alignment with EU objectives, it must balance market integration with Member State sovereignty to ensure legitimacy and proportionality.</w:t>
      </w:r>
    </w:p>
    <w:p w14:paraId="342F2A8D" w14:textId="77777777" w:rsidR="00307B1B" w:rsidRPr="00307B1B" w:rsidRDefault="00307B1B" w:rsidP="001E3EF6">
      <w:pPr>
        <w:numPr>
          <w:ilvl w:val="0"/>
          <w:numId w:val="6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concludes that adopting a unitary framework would resolve many of the inconsistencies and ambiguities in Article 34 jurisprudence, fostering a more coherent and predictable legal environment.</w:t>
      </w:r>
    </w:p>
    <w:p w14:paraId="10802730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079B89D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770383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6. Conclusion</w:t>
      </w:r>
    </w:p>
    <w:p w14:paraId="03CE8971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Overview</w:t>
      </w:r>
    </w:p>
    <w:p w14:paraId="257B6727" w14:textId="77777777" w:rsidR="00307B1B" w:rsidRPr="00307B1B" w:rsidRDefault="00307B1B" w:rsidP="001E3EF6">
      <w:pPr>
        <w:numPr>
          <w:ilvl w:val="0"/>
          <w:numId w:val="6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concludes that the Court of Justice of the European Union (CJEU) has developed fragmented jurisprudence under Article 34 TFEU, characterized by inconsistent tests and unclear doctrinal boundaries.</w:t>
      </w:r>
    </w:p>
    <w:p w14:paraId="0A31185D" w14:textId="77777777" w:rsidR="00307B1B" w:rsidRPr="00307B1B" w:rsidRDefault="00307B1B" w:rsidP="001E3EF6">
      <w:pPr>
        <w:numPr>
          <w:ilvl w:val="0"/>
          <w:numId w:val="6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He argues that the lack of a coherent framework undermines the predictability and effectiveness of Article 34 as a legal tool for fostering the internal market.</w:t>
      </w:r>
    </w:p>
    <w:p w14:paraId="18806F6B" w14:textId="77777777" w:rsidR="00307B1B" w:rsidRPr="00307B1B" w:rsidRDefault="00307B1B" w:rsidP="001E3EF6">
      <w:pPr>
        <w:numPr>
          <w:ilvl w:val="0"/>
          <w:numId w:val="6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The central thesis of </w:t>
      </w:r>
      <w:proofErr w:type="spellStart"/>
      <w:r w:rsidRPr="00307B1B">
        <w:rPr>
          <w:rFonts w:ascii="Times New Roman" w:hAnsi="Times New Roman"/>
          <w:lang w:val="en-HK"/>
        </w:rPr>
        <w:t>Schütze’s</w:t>
      </w:r>
      <w:proofErr w:type="spellEnd"/>
      <w:r w:rsidRPr="00307B1B">
        <w:rPr>
          <w:rFonts w:ascii="Times New Roman" w:hAnsi="Times New Roman"/>
          <w:lang w:val="en-HK"/>
        </w:rPr>
        <w:t xml:space="preserve"> conclusion is the need for a </w:t>
      </w:r>
      <w:r w:rsidRPr="00307B1B">
        <w:rPr>
          <w:rFonts w:ascii="Times New Roman" w:hAnsi="Times New Roman"/>
          <w:b/>
          <w:bCs/>
          <w:lang w:val="en-HK"/>
        </w:rPr>
        <w:t>unitary doctrinal framework</w:t>
      </w:r>
      <w:r w:rsidRPr="00307B1B">
        <w:rPr>
          <w:rFonts w:ascii="Times New Roman" w:hAnsi="Times New Roman"/>
          <w:lang w:val="en-HK"/>
        </w:rPr>
        <w:t xml:space="preserve"> to resolve these ambiguities and balance the competing principles of </w:t>
      </w:r>
      <w:r w:rsidRPr="00307B1B">
        <w:rPr>
          <w:rFonts w:ascii="Times New Roman" w:hAnsi="Times New Roman"/>
          <w:b/>
          <w:bCs/>
          <w:lang w:val="en-HK"/>
        </w:rPr>
        <w:t>market integration</w:t>
      </w:r>
      <w:r w:rsidRPr="00307B1B">
        <w:rPr>
          <w:rFonts w:ascii="Times New Roman" w:hAnsi="Times New Roman"/>
          <w:lang w:val="en-HK"/>
        </w:rPr>
        <w:t xml:space="preserve"> and </w:t>
      </w:r>
      <w:r w:rsidRPr="00307B1B">
        <w:rPr>
          <w:rFonts w:ascii="Times New Roman" w:hAnsi="Times New Roman"/>
          <w:b/>
          <w:bCs/>
          <w:lang w:val="en-HK"/>
        </w:rPr>
        <w:t>Member State autonomy</w:t>
      </w:r>
      <w:r w:rsidRPr="00307B1B">
        <w:rPr>
          <w:rFonts w:ascii="Times New Roman" w:hAnsi="Times New Roman"/>
          <w:lang w:val="en-HK"/>
        </w:rPr>
        <w:t>.</w:t>
      </w:r>
    </w:p>
    <w:p w14:paraId="123F283A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146D0B6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BF6F012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6.1 Critique of Current Jurisprudence</w:t>
      </w:r>
    </w:p>
    <w:p w14:paraId="6B64A273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lastRenderedPageBreak/>
        <w:t>Fragmentation of Tests</w:t>
      </w:r>
    </w:p>
    <w:p w14:paraId="0EB913A9" w14:textId="77777777" w:rsidR="00307B1B" w:rsidRPr="00307B1B" w:rsidRDefault="00307B1B" w:rsidP="001E3EF6">
      <w:pPr>
        <w:numPr>
          <w:ilvl w:val="0"/>
          <w:numId w:val="6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reiterates that the CJEU has applied three distinct tests under Article 34:</w:t>
      </w:r>
    </w:p>
    <w:p w14:paraId="6D33F3DD" w14:textId="77777777" w:rsidR="00307B1B" w:rsidRPr="00307B1B" w:rsidRDefault="00307B1B" w:rsidP="001E3EF6">
      <w:pPr>
        <w:numPr>
          <w:ilvl w:val="1"/>
          <w:numId w:val="6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Mutual Recognition Test</w:t>
      </w:r>
      <w:r w:rsidRPr="00307B1B">
        <w:rPr>
          <w:rFonts w:ascii="Times New Roman" w:hAnsi="Times New Roman"/>
          <w:lang w:val="en-HK"/>
        </w:rPr>
        <w:t xml:space="preserve"> (Cassis de Dijon, Case 120/78):</w:t>
      </w:r>
    </w:p>
    <w:p w14:paraId="7D1F4B56" w14:textId="77777777" w:rsidR="00307B1B" w:rsidRPr="00307B1B" w:rsidRDefault="00307B1B" w:rsidP="001E3EF6">
      <w:pPr>
        <w:numPr>
          <w:ilvl w:val="2"/>
          <w:numId w:val="6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Product requirements (e.g., rules on </w:t>
      </w:r>
      <w:proofErr w:type="spellStart"/>
      <w:r w:rsidRPr="00307B1B">
        <w:rPr>
          <w:rFonts w:ascii="Times New Roman" w:hAnsi="Times New Roman"/>
          <w:lang w:val="en-HK"/>
        </w:rPr>
        <w:t>labeling</w:t>
      </w:r>
      <w:proofErr w:type="spellEnd"/>
      <w:r w:rsidRPr="00307B1B">
        <w:rPr>
          <w:rFonts w:ascii="Times New Roman" w:hAnsi="Times New Roman"/>
          <w:lang w:val="en-HK"/>
        </w:rPr>
        <w:t>, packaging) are assessed under the principle of mutual recognition.</w:t>
      </w:r>
    </w:p>
    <w:p w14:paraId="349A0B38" w14:textId="77777777" w:rsidR="00307B1B" w:rsidRPr="00307B1B" w:rsidRDefault="00307B1B" w:rsidP="001E3EF6">
      <w:pPr>
        <w:numPr>
          <w:ilvl w:val="1"/>
          <w:numId w:val="6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Keck Framework</w:t>
      </w:r>
      <w:r w:rsidRPr="00307B1B">
        <w:rPr>
          <w:rFonts w:ascii="Times New Roman" w:hAnsi="Times New Roman"/>
          <w:lang w:val="en-HK"/>
        </w:rPr>
        <w:t xml:space="preserve"> (Keck and </w:t>
      </w:r>
      <w:proofErr w:type="spellStart"/>
      <w:r w:rsidRPr="00307B1B">
        <w:rPr>
          <w:rFonts w:ascii="Times New Roman" w:hAnsi="Times New Roman"/>
          <w:lang w:val="en-HK"/>
        </w:rPr>
        <w:t>Mithouard</w:t>
      </w:r>
      <w:proofErr w:type="spellEnd"/>
      <w:r w:rsidRPr="00307B1B">
        <w:rPr>
          <w:rFonts w:ascii="Times New Roman" w:hAnsi="Times New Roman"/>
          <w:lang w:val="en-HK"/>
        </w:rPr>
        <w:t>, Joined Cases C-267/91 and C-268/91):</w:t>
      </w:r>
    </w:p>
    <w:p w14:paraId="14AD2941" w14:textId="77777777" w:rsidR="00307B1B" w:rsidRPr="00307B1B" w:rsidRDefault="00307B1B" w:rsidP="001E3EF6">
      <w:pPr>
        <w:numPr>
          <w:ilvl w:val="2"/>
          <w:numId w:val="6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Selling arrangements are excluded from Article 34 if they apply equally to domestic and imported goods and do not hinder market access.</w:t>
      </w:r>
    </w:p>
    <w:p w14:paraId="52146825" w14:textId="77777777" w:rsidR="00307B1B" w:rsidRPr="00307B1B" w:rsidRDefault="00307B1B" w:rsidP="001E3EF6">
      <w:pPr>
        <w:numPr>
          <w:ilvl w:val="1"/>
          <w:numId w:val="6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Market Access Test</w:t>
      </w:r>
      <w:r w:rsidRPr="00307B1B">
        <w:rPr>
          <w:rFonts w:ascii="Times New Roman" w:hAnsi="Times New Roman"/>
          <w:lang w:val="en-HK"/>
        </w:rPr>
        <w:t xml:space="preserve"> (Commission v Italy, Italian Trailers, Case C-110/05):</w:t>
      </w:r>
    </w:p>
    <w:p w14:paraId="73EC42DB" w14:textId="77777777" w:rsidR="00307B1B" w:rsidRPr="00307B1B" w:rsidRDefault="00307B1B" w:rsidP="001E3EF6">
      <w:pPr>
        <w:numPr>
          <w:ilvl w:val="2"/>
          <w:numId w:val="6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Measures that hinder market access, even if non-discriminatory, are scrutinized under Article 34.</w:t>
      </w:r>
    </w:p>
    <w:p w14:paraId="49CDCF95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Inconsistencies</w:t>
      </w:r>
    </w:p>
    <w:p w14:paraId="77A162EA" w14:textId="77777777" w:rsidR="00307B1B" w:rsidRPr="00307B1B" w:rsidRDefault="00307B1B" w:rsidP="001E3EF6">
      <w:pPr>
        <w:numPr>
          <w:ilvl w:val="0"/>
          <w:numId w:val="6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relationship between these tests remains unclear, with significant overlap and doctrinal confusion:</w:t>
      </w:r>
    </w:p>
    <w:p w14:paraId="055C9868" w14:textId="77777777" w:rsidR="00307B1B" w:rsidRPr="00307B1B" w:rsidRDefault="00307B1B" w:rsidP="001E3EF6">
      <w:pPr>
        <w:numPr>
          <w:ilvl w:val="1"/>
          <w:numId w:val="6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Blurred Boundaries</w:t>
      </w:r>
      <w:r w:rsidRPr="00307B1B">
        <w:rPr>
          <w:rFonts w:ascii="Times New Roman" w:hAnsi="Times New Roman"/>
          <w:lang w:val="en-HK"/>
        </w:rPr>
        <w:t>:</w:t>
      </w:r>
    </w:p>
    <w:p w14:paraId="4C4F88C0" w14:textId="77777777" w:rsidR="00307B1B" w:rsidRPr="00307B1B" w:rsidRDefault="00307B1B" w:rsidP="001E3EF6">
      <w:pPr>
        <w:numPr>
          <w:ilvl w:val="2"/>
          <w:numId w:val="6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Restrictions on advertising and online sales have been inconsistently classified as either selling arrangements or market access barriers (e.g., </w:t>
      </w:r>
      <w:r w:rsidRPr="00307B1B">
        <w:rPr>
          <w:rFonts w:ascii="Times New Roman" w:hAnsi="Times New Roman"/>
          <w:b/>
          <w:bCs/>
          <w:lang w:val="en-HK"/>
        </w:rPr>
        <w:t>De Agostini, Case C-34/95</w:t>
      </w:r>
      <w:r w:rsidRPr="00307B1B">
        <w:rPr>
          <w:rFonts w:ascii="Times New Roman" w:hAnsi="Times New Roman"/>
          <w:lang w:val="en-HK"/>
        </w:rPr>
        <w:t xml:space="preserve"> vs. </w:t>
      </w:r>
      <w:r w:rsidRPr="00307B1B">
        <w:rPr>
          <w:rFonts w:ascii="Times New Roman" w:hAnsi="Times New Roman"/>
          <w:b/>
          <w:bCs/>
          <w:lang w:val="en-HK"/>
        </w:rPr>
        <w:t>Ker-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Optika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>, Case C-108/09</w:t>
      </w:r>
      <w:r w:rsidRPr="00307B1B">
        <w:rPr>
          <w:rFonts w:ascii="Times New Roman" w:hAnsi="Times New Roman"/>
          <w:lang w:val="en-HK"/>
        </w:rPr>
        <w:t>).</w:t>
      </w:r>
    </w:p>
    <w:p w14:paraId="223E05B8" w14:textId="77777777" w:rsidR="00307B1B" w:rsidRPr="00307B1B" w:rsidRDefault="00307B1B" w:rsidP="001E3EF6">
      <w:pPr>
        <w:numPr>
          <w:ilvl w:val="1"/>
          <w:numId w:val="6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Unpredictable Outcomes</w:t>
      </w:r>
      <w:r w:rsidRPr="00307B1B">
        <w:rPr>
          <w:rFonts w:ascii="Times New Roman" w:hAnsi="Times New Roman"/>
          <w:lang w:val="en-HK"/>
        </w:rPr>
        <w:t>:</w:t>
      </w:r>
    </w:p>
    <w:p w14:paraId="406E20C3" w14:textId="77777777" w:rsidR="00307B1B" w:rsidRPr="00307B1B" w:rsidRDefault="00307B1B" w:rsidP="001E3EF6">
      <w:pPr>
        <w:numPr>
          <w:ilvl w:val="2"/>
          <w:numId w:val="6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Court has failed to provide clear criteria for applying the tests, leading to legal uncertainty for traders and regulators.</w:t>
      </w:r>
    </w:p>
    <w:p w14:paraId="5BEBA62A" w14:textId="77777777" w:rsidR="00307B1B" w:rsidRPr="00307B1B" w:rsidRDefault="00307B1B" w:rsidP="001E3EF6">
      <w:pPr>
        <w:numPr>
          <w:ilvl w:val="2"/>
          <w:numId w:val="6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Example: In </w:t>
      </w:r>
      <w:r w:rsidRPr="00307B1B">
        <w:rPr>
          <w:rFonts w:ascii="Times New Roman" w:hAnsi="Times New Roman"/>
          <w:b/>
          <w:bCs/>
          <w:lang w:val="en-HK"/>
        </w:rPr>
        <w:t>Scotch Whisky Association v Lord Advocate (Case C-333/14)</w:t>
      </w:r>
      <w:r w:rsidRPr="00307B1B">
        <w:rPr>
          <w:rFonts w:ascii="Times New Roman" w:hAnsi="Times New Roman"/>
          <w:lang w:val="en-HK"/>
        </w:rPr>
        <w:t>, minimum alcohol pricing was subjected to a market access test, despite being a measure of social policy.</w:t>
      </w:r>
    </w:p>
    <w:p w14:paraId="7A52847A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Judicial Overreach</w:t>
      </w:r>
    </w:p>
    <w:p w14:paraId="4AB139C0" w14:textId="77777777" w:rsidR="00307B1B" w:rsidRPr="00307B1B" w:rsidRDefault="00307B1B" w:rsidP="001E3EF6">
      <w:pPr>
        <w:numPr>
          <w:ilvl w:val="0"/>
          <w:numId w:val="6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criticizes the </w:t>
      </w:r>
      <w:r w:rsidRPr="00307B1B">
        <w:rPr>
          <w:rFonts w:ascii="Times New Roman" w:hAnsi="Times New Roman"/>
          <w:b/>
          <w:bCs/>
          <w:lang w:val="en-HK"/>
        </w:rPr>
        <w:t>market access test</w:t>
      </w:r>
      <w:r w:rsidRPr="00307B1B">
        <w:rPr>
          <w:rFonts w:ascii="Times New Roman" w:hAnsi="Times New Roman"/>
          <w:lang w:val="en-HK"/>
        </w:rPr>
        <w:t xml:space="preserve"> for reintroducing the overreach of the </w:t>
      </w:r>
      <w:proofErr w:type="spellStart"/>
      <w:r w:rsidRPr="00307B1B">
        <w:rPr>
          <w:rFonts w:ascii="Times New Roman" w:hAnsi="Times New Roman"/>
          <w:b/>
          <w:bCs/>
          <w:lang w:val="en-HK"/>
        </w:rPr>
        <w:t>Dassonville</w:t>
      </w:r>
      <w:proofErr w:type="spellEnd"/>
      <w:r w:rsidRPr="00307B1B">
        <w:rPr>
          <w:rFonts w:ascii="Times New Roman" w:hAnsi="Times New Roman"/>
          <w:b/>
          <w:bCs/>
          <w:lang w:val="en-HK"/>
        </w:rPr>
        <w:t xml:space="preserve"> formula</w:t>
      </w:r>
      <w:r w:rsidRPr="00307B1B">
        <w:rPr>
          <w:rFonts w:ascii="Times New Roman" w:hAnsi="Times New Roman"/>
          <w:lang w:val="en-HK"/>
        </w:rPr>
        <w:t>, where nearly any national measure could fall within Article 34.</w:t>
      </w:r>
    </w:p>
    <w:p w14:paraId="0C015724" w14:textId="77777777" w:rsidR="00307B1B" w:rsidRPr="00307B1B" w:rsidRDefault="00307B1B" w:rsidP="001E3EF6">
      <w:pPr>
        <w:numPr>
          <w:ilvl w:val="1"/>
          <w:numId w:val="6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This approach risks undermining Member State sovereignty, violating the subsidiarity principle (Article 5(3) TEU).</w:t>
      </w:r>
    </w:p>
    <w:p w14:paraId="2A78B222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365B4E7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5682B6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highlight w:val="yellow"/>
          <w:lang w:val="en-HK"/>
        </w:rPr>
        <w:t>6.2 The Case for a Unitary Framework</w:t>
      </w:r>
    </w:p>
    <w:p w14:paraId="58E18171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Core Principle: Market Access</w:t>
      </w:r>
    </w:p>
    <w:p w14:paraId="5E2FB985" w14:textId="77777777" w:rsidR="00307B1B" w:rsidRPr="00307B1B" w:rsidRDefault="00307B1B" w:rsidP="001E3EF6">
      <w:p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highlight w:val="yellow"/>
          <w:lang w:val="en-HK"/>
        </w:rPr>
        <w:t>Schütze</w:t>
      </w:r>
      <w:proofErr w:type="spellEnd"/>
      <w:r w:rsidRPr="00307B1B">
        <w:rPr>
          <w:rFonts w:ascii="Times New Roman" w:hAnsi="Times New Roman"/>
          <w:highlight w:val="yellow"/>
          <w:lang w:val="en-HK"/>
        </w:rPr>
        <w:t xml:space="preserve"> proposes a unitary framework </w:t>
      </w:r>
      <w:proofErr w:type="spellStart"/>
      <w:r w:rsidRPr="00307B1B">
        <w:rPr>
          <w:rFonts w:ascii="Times New Roman" w:hAnsi="Times New Roman"/>
          <w:highlight w:val="yellow"/>
          <w:lang w:val="en-HK"/>
        </w:rPr>
        <w:t>centered</w:t>
      </w:r>
      <w:proofErr w:type="spellEnd"/>
      <w:r w:rsidRPr="00307B1B">
        <w:rPr>
          <w:rFonts w:ascii="Times New Roman" w:hAnsi="Times New Roman"/>
          <w:highlight w:val="yellow"/>
          <w:lang w:val="en-HK"/>
        </w:rPr>
        <w:t xml:space="preserve"> on </w:t>
      </w:r>
      <w:r w:rsidRPr="00307B1B">
        <w:rPr>
          <w:rFonts w:ascii="Times New Roman" w:hAnsi="Times New Roman"/>
          <w:b/>
          <w:bCs/>
          <w:highlight w:val="yellow"/>
          <w:lang w:val="en-HK"/>
        </w:rPr>
        <w:t>market access</w:t>
      </w:r>
      <w:r w:rsidRPr="00307B1B">
        <w:rPr>
          <w:rFonts w:ascii="Times New Roman" w:hAnsi="Times New Roman"/>
          <w:lang w:val="en-HK"/>
        </w:rPr>
        <w:t>, where all national measures are assessed based on their impact on cross-border trade.</w:t>
      </w:r>
    </w:p>
    <w:p w14:paraId="67ED0B9D" w14:textId="77777777" w:rsidR="00307B1B" w:rsidRPr="00307B1B" w:rsidRDefault="00307B1B" w:rsidP="001E3EF6">
      <w:pPr>
        <w:numPr>
          <w:ilvl w:val="1"/>
          <w:numId w:val="6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lastRenderedPageBreak/>
        <w:t>This approach eliminates the need for formal distinctions between product requirements, selling arrangements, and consumer-use restrictions.</w:t>
      </w:r>
    </w:p>
    <w:p w14:paraId="0BE3803F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Integration of Other Principles</w:t>
      </w:r>
    </w:p>
    <w:p w14:paraId="31BBAE2E" w14:textId="77777777" w:rsidR="00307B1B" w:rsidRPr="00307B1B" w:rsidRDefault="00307B1B" w:rsidP="001E3EF6">
      <w:p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highlight w:val="yellow"/>
          <w:lang w:val="en-HK"/>
        </w:rPr>
        <w:t xml:space="preserve">While market access would serve as the primary test, </w:t>
      </w:r>
      <w:proofErr w:type="spellStart"/>
      <w:r w:rsidRPr="00307B1B">
        <w:rPr>
          <w:rFonts w:ascii="Times New Roman" w:hAnsi="Times New Roman"/>
          <w:highlight w:val="yellow"/>
          <w:lang w:val="en-HK"/>
        </w:rPr>
        <w:t>Schütze</w:t>
      </w:r>
      <w:proofErr w:type="spellEnd"/>
      <w:r w:rsidRPr="00307B1B">
        <w:rPr>
          <w:rFonts w:ascii="Times New Roman" w:hAnsi="Times New Roman"/>
          <w:highlight w:val="yellow"/>
          <w:lang w:val="en-HK"/>
        </w:rPr>
        <w:t xml:space="preserve"> suggests integrating elements of </w:t>
      </w:r>
      <w:r w:rsidRPr="00307B1B">
        <w:rPr>
          <w:rFonts w:ascii="Times New Roman" w:hAnsi="Times New Roman"/>
          <w:b/>
          <w:bCs/>
          <w:highlight w:val="yellow"/>
          <w:lang w:val="en-HK"/>
        </w:rPr>
        <w:t>non-discrimination</w:t>
      </w:r>
      <w:r w:rsidRPr="00307B1B">
        <w:rPr>
          <w:rFonts w:ascii="Times New Roman" w:hAnsi="Times New Roman"/>
          <w:highlight w:val="yellow"/>
          <w:lang w:val="en-HK"/>
        </w:rPr>
        <w:t xml:space="preserve"> and </w:t>
      </w:r>
      <w:r w:rsidRPr="00307B1B">
        <w:rPr>
          <w:rFonts w:ascii="Times New Roman" w:hAnsi="Times New Roman"/>
          <w:b/>
          <w:bCs/>
          <w:highlight w:val="yellow"/>
          <w:lang w:val="en-HK"/>
        </w:rPr>
        <w:t>mutual recognition</w:t>
      </w:r>
      <w:r w:rsidRPr="00307B1B">
        <w:rPr>
          <w:rFonts w:ascii="Times New Roman" w:hAnsi="Times New Roman"/>
          <w:highlight w:val="yellow"/>
          <w:lang w:val="en-HK"/>
        </w:rPr>
        <w:t>:</w:t>
      </w:r>
    </w:p>
    <w:p w14:paraId="0815E485" w14:textId="77777777" w:rsidR="00307B1B" w:rsidRPr="00307B1B" w:rsidRDefault="00307B1B" w:rsidP="001E3EF6">
      <w:pPr>
        <w:numPr>
          <w:ilvl w:val="1"/>
          <w:numId w:val="6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Non-Discrimination</w:t>
      </w:r>
      <w:r w:rsidRPr="00307B1B">
        <w:rPr>
          <w:rFonts w:ascii="Times New Roman" w:hAnsi="Times New Roman"/>
          <w:lang w:val="en-HK"/>
        </w:rPr>
        <w:t>:</w:t>
      </w:r>
    </w:p>
    <w:p w14:paraId="4AEC7292" w14:textId="77777777" w:rsidR="00307B1B" w:rsidRPr="00307B1B" w:rsidRDefault="00307B1B" w:rsidP="001E3EF6">
      <w:pPr>
        <w:numPr>
          <w:ilvl w:val="2"/>
          <w:numId w:val="6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National measures must not discriminate against imported goods, either directly or indirectly.</w:t>
      </w:r>
    </w:p>
    <w:p w14:paraId="6BF423FA" w14:textId="77777777" w:rsidR="00307B1B" w:rsidRPr="00307B1B" w:rsidRDefault="00307B1B" w:rsidP="001E3EF6">
      <w:pPr>
        <w:numPr>
          <w:ilvl w:val="2"/>
          <w:numId w:val="6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Example: In </w:t>
      </w:r>
      <w:r w:rsidRPr="00307B1B">
        <w:rPr>
          <w:rFonts w:ascii="Times New Roman" w:hAnsi="Times New Roman"/>
          <w:b/>
          <w:bCs/>
          <w:lang w:val="en-HK"/>
        </w:rPr>
        <w:t>Cassis de Dijon</w:t>
      </w:r>
      <w:r w:rsidRPr="00307B1B">
        <w:rPr>
          <w:rFonts w:ascii="Times New Roman" w:hAnsi="Times New Roman"/>
          <w:lang w:val="en-HK"/>
        </w:rPr>
        <w:t>, Germany’s minimum alcohol content rule disproportionately affected imported liqueurs.</w:t>
      </w:r>
    </w:p>
    <w:p w14:paraId="10151EF7" w14:textId="77777777" w:rsidR="00307B1B" w:rsidRPr="00307B1B" w:rsidRDefault="00307B1B" w:rsidP="001E3EF6">
      <w:pPr>
        <w:numPr>
          <w:ilvl w:val="1"/>
          <w:numId w:val="6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Mutual Recognition</w:t>
      </w:r>
      <w:r w:rsidRPr="00307B1B">
        <w:rPr>
          <w:rFonts w:ascii="Times New Roman" w:hAnsi="Times New Roman"/>
          <w:lang w:val="en-HK"/>
        </w:rPr>
        <w:t>:</w:t>
      </w:r>
    </w:p>
    <w:p w14:paraId="1551A7D9" w14:textId="77777777" w:rsidR="00307B1B" w:rsidRPr="00307B1B" w:rsidRDefault="00307B1B" w:rsidP="001E3EF6">
      <w:pPr>
        <w:numPr>
          <w:ilvl w:val="2"/>
          <w:numId w:val="6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Goods lawfully marketed in one Member State should be accepted in others, unless justified by overriding public interest.</w:t>
      </w:r>
    </w:p>
    <w:p w14:paraId="78A0F98F" w14:textId="77777777" w:rsidR="00307B1B" w:rsidRPr="00307B1B" w:rsidRDefault="00307B1B" w:rsidP="001E3EF6">
      <w:pPr>
        <w:numPr>
          <w:ilvl w:val="2"/>
          <w:numId w:val="6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Example: In </w:t>
      </w:r>
      <w:r w:rsidRPr="00307B1B">
        <w:rPr>
          <w:rFonts w:ascii="Times New Roman" w:hAnsi="Times New Roman"/>
          <w:b/>
          <w:bCs/>
          <w:lang w:val="en-HK"/>
        </w:rPr>
        <w:t>Cassis de Dijon</w:t>
      </w:r>
      <w:r w:rsidRPr="00307B1B">
        <w:rPr>
          <w:rFonts w:ascii="Times New Roman" w:hAnsi="Times New Roman"/>
          <w:lang w:val="en-HK"/>
        </w:rPr>
        <w:t>, the Court upheld mutual recognition as a fundamental principle of the internal market.</w:t>
      </w:r>
    </w:p>
    <w:p w14:paraId="5292D8F6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Two-Step Test</w:t>
      </w:r>
    </w:p>
    <w:p w14:paraId="669A3280" w14:textId="77777777" w:rsidR="00307B1B" w:rsidRPr="00307B1B" w:rsidRDefault="00307B1B" w:rsidP="001E3EF6">
      <w:pPr>
        <w:numPr>
          <w:ilvl w:val="0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outlines a two-step test for applying the unitary framework:</w:t>
      </w:r>
    </w:p>
    <w:p w14:paraId="4490503C" w14:textId="77777777" w:rsidR="00307B1B" w:rsidRPr="00307B1B" w:rsidRDefault="00307B1B" w:rsidP="001E3EF6">
      <w:pPr>
        <w:numPr>
          <w:ilvl w:val="1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Does the Measure Hinder Market Access?</w:t>
      </w:r>
    </w:p>
    <w:p w14:paraId="6F62F1AC" w14:textId="77777777" w:rsidR="00307B1B" w:rsidRPr="00307B1B" w:rsidRDefault="00307B1B" w:rsidP="001E3EF6">
      <w:pPr>
        <w:numPr>
          <w:ilvl w:val="2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Any measure that creates barriers to market entry or access would fall within Article 34.</w:t>
      </w:r>
    </w:p>
    <w:p w14:paraId="41DE588F" w14:textId="77777777" w:rsidR="00307B1B" w:rsidRPr="00307B1B" w:rsidRDefault="00307B1B" w:rsidP="001E3EF6">
      <w:pPr>
        <w:numPr>
          <w:ilvl w:val="2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This includes both direct barriers (e.g., import bans) and indirect barriers (e.g., use restrictions, advertising bans).</w:t>
      </w:r>
    </w:p>
    <w:p w14:paraId="09F83035" w14:textId="77777777" w:rsidR="00307B1B" w:rsidRPr="00307B1B" w:rsidRDefault="00307B1B" w:rsidP="001E3EF6">
      <w:pPr>
        <w:numPr>
          <w:ilvl w:val="1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Is the Measure Justified and Proportionate?</w:t>
      </w:r>
    </w:p>
    <w:p w14:paraId="115E14F5" w14:textId="77777777" w:rsidR="00307B1B" w:rsidRPr="00307B1B" w:rsidRDefault="00307B1B" w:rsidP="001E3EF6">
      <w:pPr>
        <w:numPr>
          <w:ilvl w:val="2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Measures that serve legitimate objectives (e.g., public health, consumer protection) can be justified under </w:t>
      </w:r>
      <w:r w:rsidRPr="00307B1B">
        <w:rPr>
          <w:rFonts w:ascii="Times New Roman" w:hAnsi="Times New Roman"/>
          <w:b/>
          <w:bCs/>
          <w:lang w:val="en-HK"/>
        </w:rPr>
        <w:t>Article 36 TFEU</w:t>
      </w:r>
      <w:r w:rsidRPr="00307B1B">
        <w:rPr>
          <w:rFonts w:ascii="Times New Roman" w:hAnsi="Times New Roman"/>
          <w:lang w:val="en-HK"/>
        </w:rPr>
        <w:t>, provided they are proportionate.</w:t>
      </w:r>
    </w:p>
    <w:p w14:paraId="6156BB37" w14:textId="77777777" w:rsidR="00307B1B" w:rsidRPr="00307B1B" w:rsidRDefault="00307B1B" w:rsidP="001E3EF6">
      <w:pPr>
        <w:numPr>
          <w:ilvl w:val="2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Example: In </w:t>
      </w:r>
      <w:r w:rsidRPr="00307B1B">
        <w:rPr>
          <w:rFonts w:ascii="Times New Roman" w:hAnsi="Times New Roman"/>
          <w:b/>
          <w:bCs/>
          <w:lang w:val="en-HK"/>
        </w:rPr>
        <w:t>Scotch Whisky Association</w:t>
      </w:r>
      <w:r w:rsidRPr="00307B1B">
        <w:rPr>
          <w:rFonts w:ascii="Times New Roman" w:hAnsi="Times New Roman"/>
          <w:lang w:val="en-HK"/>
        </w:rPr>
        <w:t>, minimum alcohol pricing was justified on public health grounds but required a proportionality analysis.</w:t>
      </w:r>
    </w:p>
    <w:p w14:paraId="5759205E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67DE72E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3BABDD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 xml:space="preserve">6.3 </w:t>
      </w:r>
      <w:r w:rsidRPr="00307B1B">
        <w:rPr>
          <w:rFonts w:ascii="Times New Roman" w:hAnsi="Times New Roman"/>
          <w:b/>
          <w:bCs/>
          <w:highlight w:val="yellow"/>
          <w:lang w:val="en-HK"/>
        </w:rPr>
        <w:t>Normative Justification for a Unitary Framework</w:t>
      </w:r>
    </w:p>
    <w:p w14:paraId="393CFE79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Promoting Market Integration</w:t>
      </w:r>
    </w:p>
    <w:p w14:paraId="73FB42D8" w14:textId="77777777" w:rsidR="00307B1B" w:rsidRPr="00307B1B" w:rsidRDefault="00307B1B" w:rsidP="001E3EF6">
      <w:pPr>
        <w:numPr>
          <w:ilvl w:val="0"/>
          <w:numId w:val="6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argues that a unitary framework would align with the EU’s objective of creating a single market by removing all significant barriers to trade.</w:t>
      </w:r>
    </w:p>
    <w:p w14:paraId="09403EF9" w14:textId="77777777" w:rsidR="00307B1B" w:rsidRPr="00307B1B" w:rsidRDefault="00307B1B" w:rsidP="001E3EF6">
      <w:pPr>
        <w:numPr>
          <w:ilvl w:val="0"/>
          <w:numId w:val="6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By focusing on the economic effects of measures, the framework prioritizes the practical realities of cross-border trade.</w:t>
      </w:r>
    </w:p>
    <w:p w14:paraId="00BC9C85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lastRenderedPageBreak/>
        <w:t>Balancing Market Integration and Sovereignty</w:t>
      </w:r>
    </w:p>
    <w:p w14:paraId="5ECD476C" w14:textId="77777777" w:rsidR="00307B1B" w:rsidRPr="00307B1B" w:rsidRDefault="00307B1B" w:rsidP="001E3EF6">
      <w:pPr>
        <w:numPr>
          <w:ilvl w:val="0"/>
          <w:numId w:val="7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The framework respects Member State autonomy by incorporating the principles of subsidiarity (Article 5(3) TEU) and proportionality (Article 5(4) TEU):</w:t>
      </w:r>
    </w:p>
    <w:p w14:paraId="0439E16A" w14:textId="77777777" w:rsidR="00307B1B" w:rsidRPr="00307B1B" w:rsidRDefault="00307B1B" w:rsidP="001E3EF6">
      <w:pPr>
        <w:numPr>
          <w:ilvl w:val="1"/>
          <w:numId w:val="7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Subsidiarity ensures that EU intervention is limited to cases where Member States cannot achieve the desired objectives effectively.</w:t>
      </w:r>
    </w:p>
    <w:p w14:paraId="3B896305" w14:textId="77777777" w:rsidR="00307B1B" w:rsidRPr="00307B1B" w:rsidRDefault="00307B1B" w:rsidP="001E3EF6">
      <w:pPr>
        <w:numPr>
          <w:ilvl w:val="1"/>
          <w:numId w:val="7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Proportionality ensures that national measures are not excessively restrictive of trade.</w:t>
      </w:r>
    </w:p>
    <w:p w14:paraId="20A8838C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5BEB579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BCB4555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6.4 Challenges to Implementation</w:t>
      </w:r>
    </w:p>
    <w:p w14:paraId="402FC5EA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Judicial Resistance</w:t>
      </w:r>
    </w:p>
    <w:p w14:paraId="03C87B67" w14:textId="77777777" w:rsidR="00307B1B" w:rsidRPr="00307B1B" w:rsidRDefault="00307B1B" w:rsidP="001E3EF6">
      <w:pPr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acknowledges that the CJEU may be reluctant to abandon its established jurisprudence, particularly the </w:t>
      </w:r>
      <w:r w:rsidRPr="00307B1B">
        <w:rPr>
          <w:rFonts w:ascii="Times New Roman" w:hAnsi="Times New Roman"/>
          <w:b/>
          <w:bCs/>
          <w:lang w:val="en-HK"/>
        </w:rPr>
        <w:t>Keck framework</w:t>
      </w:r>
      <w:r w:rsidRPr="00307B1B">
        <w:rPr>
          <w:rFonts w:ascii="Times New Roman" w:hAnsi="Times New Roman"/>
          <w:lang w:val="en-HK"/>
        </w:rPr>
        <w:t>, which has provided a degree of legal certainty.</w:t>
      </w:r>
    </w:p>
    <w:p w14:paraId="3D32C648" w14:textId="77777777" w:rsidR="00307B1B" w:rsidRPr="00307B1B" w:rsidRDefault="00307B1B" w:rsidP="001E3EF6">
      <w:pPr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He emphasizes the need for judicial leadership to reconcile existing tests under a coherent framework.</w:t>
      </w:r>
    </w:p>
    <w:p w14:paraId="5FED83E8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Defining Market Access</w:t>
      </w:r>
    </w:p>
    <w:p w14:paraId="35EA4D9F" w14:textId="77777777" w:rsidR="00307B1B" w:rsidRPr="00307B1B" w:rsidRDefault="00307B1B" w:rsidP="001E3EF6">
      <w:pPr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A key challenge is establishing clear criteria for assessing market access:</w:t>
      </w:r>
    </w:p>
    <w:p w14:paraId="78B0ADA4" w14:textId="77777777" w:rsidR="00307B1B" w:rsidRPr="00307B1B" w:rsidRDefault="00307B1B" w:rsidP="001E3EF6">
      <w:pPr>
        <w:numPr>
          <w:ilvl w:val="1"/>
          <w:numId w:val="7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What constitutes a “significant” barrier to market entry?</w:t>
      </w:r>
    </w:p>
    <w:p w14:paraId="2D026776" w14:textId="77777777" w:rsidR="00307B1B" w:rsidRPr="00307B1B" w:rsidRDefault="00307B1B" w:rsidP="001E3EF6">
      <w:pPr>
        <w:numPr>
          <w:ilvl w:val="1"/>
          <w:numId w:val="7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How should measures affecting online commerce or digital services be classified?</w:t>
      </w:r>
    </w:p>
    <w:p w14:paraId="5047EF82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6E8D35B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BC3FAA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6.5 Final Reflections</w:t>
      </w:r>
    </w:p>
    <w:p w14:paraId="3AE35D1C" w14:textId="77777777" w:rsidR="00307B1B" w:rsidRPr="00307B1B" w:rsidRDefault="00307B1B" w:rsidP="001E3EF6">
      <w:pPr>
        <w:numPr>
          <w:ilvl w:val="0"/>
          <w:numId w:val="7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concludes that the current fragmentation of Article 34 jurisprudence undermines its effectiveness as a legal tool for market integration.</w:t>
      </w:r>
    </w:p>
    <w:p w14:paraId="3F77DADB" w14:textId="77777777" w:rsidR="00307B1B" w:rsidRPr="00307B1B" w:rsidRDefault="00307B1B" w:rsidP="001E3EF6">
      <w:pPr>
        <w:numPr>
          <w:ilvl w:val="0"/>
          <w:numId w:val="7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 xml:space="preserve">A </w:t>
      </w:r>
      <w:r w:rsidRPr="00307B1B">
        <w:rPr>
          <w:rFonts w:ascii="Times New Roman" w:hAnsi="Times New Roman"/>
          <w:b/>
          <w:bCs/>
          <w:lang w:val="en-HK"/>
        </w:rPr>
        <w:t>unitary doctrinal framework</w:t>
      </w:r>
      <w:r w:rsidRPr="00307B1B">
        <w:rPr>
          <w:rFonts w:ascii="Times New Roman" w:hAnsi="Times New Roman"/>
          <w:lang w:val="en-HK"/>
        </w:rPr>
        <w:t xml:space="preserve">, </w:t>
      </w:r>
      <w:proofErr w:type="spellStart"/>
      <w:r w:rsidRPr="00307B1B">
        <w:rPr>
          <w:rFonts w:ascii="Times New Roman" w:hAnsi="Times New Roman"/>
          <w:lang w:val="en-HK"/>
        </w:rPr>
        <w:t>centered</w:t>
      </w:r>
      <w:proofErr w:type="spellEnd"/>
      <w:r w:rsidRPr="00307B1B">
        <w:rPr>
          <w:rFonts w:ascii="Times New Roman" w:hAnsi="Times New Roman"/>
          <w:lang w:val="en-HK"/>
        </w:rPr>
        <w:t xml:space="preserve"> on market access and integrating elements of non-discrimination and mutual recognition, would resolve many of the inconsistencies and ambiguities in the Court’s case law.</w:t>
      </w:r>
    </w:p>
    <w:p w14:paraId="7413DBAC" w14:textId="77777777" w:rsidR="00307B1B" w:rsidRPr="00307B1B" w:rsidRDefault="00307B1B" w:rsidP="001E3EF6">
      <w:pPr>
        <w:numPr>
          <w:ilvl w:val="0"/>
          <w:numId w:val="7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This approach would provide greater clarity, predictability, and balance, ensuring that Article 34 remains a cornerstone of the EU’s internal market.</w:t>
      </w:r>
    </w:p>
    <w:p w14:paraId="38DF46B4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3A52AE3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A82C8C" w14:textId="77777777" w:rsidR="00307B1B" w:rsidRPr="00307B1B" w:rsidRDefault="00307B1B" w:rsidP="001E3EF6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307B1B">
        <w:rPr>
          <w:rFonts w:ascii="Times New Roman" w:hAnsi="Times New Roman"/>
          <w:b/>
          <w:bCs/>
          <w:lang w:val="en-HK"/>
        </w:rPr>
        <w:t>Conclusion of Section 6</w:t>
      </w:r>
    </w:p>
    <w:p w14:paraId="16C1E9CD" w14:textId="77777777" w:rsidR="00307B1B" w:rsidRPr="00307B1B" w:rsidRDefault="00307B1B" w:rsidP="001E3EF6">
      <w:pPr>
        <w:numPr>
          <w:ilvl w:val="0"/>
          <w:numId w:val="7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307B1B">
        <w:rPr>
          <w:rFonts w:ascii="Times New Roman" w:hAnsi="Times New Roman"/>
          <w:lang w:val="en-HK"/>
        </w:rPr>
        <w:lastRenderedPageBreak/>
        <w:t>Schütze</w:t>
      </w:r>
      <w:proofErr w:type="spellEnd"/>
      <w:r w:rsidRPr="00307B1B">
        <w:rPr>
          <w:rFonts w:ascii="Times New Roman" w:hAnsi="Times New Roman"/>
          <w:lang w:val="en-HK"/>
        </w:rPr>
        <w:t xml:space="preserve"> calls for the CJEU to adopt a unitary framework for Article 34 TFEU, prioritizing market access while respecting Member State autonomy through principles of subsidiarity and proportionality.</w:t>
      </w:r>
    </w:p>
    <w:p w14:paraId="28332960" w14:textId="77777777" w:rsidR="00307B1B" w:rsidRPr="00307B1B" w:rsidRDefault="00307B1B" w:rsidP="001E3EF6">
      <w:pPr>
        <w:numPr>
          <w:ilvl w:val="0"/>
          <w:numId w:val="7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He emphasizes that this framework would not only promote market integration but also address the doctrinal fragmentation and legal uncertainty caused by the current multiplicity of tests.</w:t>
      </w:r>
    </w:p>
    <w:p w14:paraId="4DC721CA" w14:textId="77777777" w:rsidR="00307B1B" w:rsidRPr="00307B1B" w:rsidRDefault="00307B1B" w:rsidP="001E3EF6">
      <w:pPr>
        <w:numPr>
          <w:ilvl w:val="0"/>
          <w:numId w:val="7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307B1B">
        <w:rPr>
          <w:rFonts w:ascii="Times New Roman" w:hAnsi="Times New Roman"/>
          <w:lang w:val="en-HK"/>
        </w:rPr>
        <w:t>By reconciling existing jurisprudence, the unitary framework would enhance the coherence and legitimacy of Article 34 as a legal instrument for achieving the EU’s internal market objectives.</w:t>
      </w:r>
    </w:p>
    <w:p w14:paraId="6B681B05" w14:textId="77777777" w:rsidR="00307B1B" w:rsidRPr="00307B1B" w:rsidRDefault="00342F93" w:rsidP="001E3EF6">
      <w:pPr>
        <w:spacing w:line="276" w:lineRule="auto"/>
        <w:rPr>
          <w:rFonts w:ascii="Times New Roman" w:hAnsi="Times New Roman"/>
          <w:lang w:val="en-HK"/>
        </w:rPr>
      </w:pPr>
      <w:r w:rsidRPr="00342F93">
        <w:rPr>
          <w:rFonts w:ascii="Times New Roman" w:hAnsi="Times New Roman"/>
          <w:noProof/>
          <w:lang w:val="en-HK"/>
          <w14:ligatures w14:val="standardContextual"/>
        </w:rPr>
        <w:pict w14:anchorId="10F2035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312F1F5" w14:textId="77777777" w:rsidR="00CD39F1" w:rsidRPr="001E3EF6" w:rsidRDefault="00CD39F1" w:rsidP="001E3EF6">
      <w:pPr>
        <w:spacing w:line="276" w:lineRule="auto"/>
      </w:pPr>
    </w:p>
    <w:sectPr w:rsidR="00CD39F1" w:rsidRPr="001E3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D3783"/>
    <w:multiLevelType w:val="multilevel"/>
    <w:tmpl w:val="937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48C8"/>
    <w:multiLevelType w:val="multilevel"/>
    <w:tmpl w:val="B93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4480"/>
    <w:multiLevelType w:val="multilevel"/>
    <w:tmpl w:val="5138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B1CCC"/>
    <w:multiLevelType w:val="multilevel"/>
    <w:tmpl w:val="C842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21CA8"/>
    <w:multiLevelType w:val="multilevel"/>
    <w:tmpl w:val="19E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43D5E"/>
    <w:multiLevelType w:val="multilevel"/>
    <w:tmpl w:val="012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202CC"/>
    <w:multiLevelType w:val="multilevel"/>
    <w:tmpl w:val="F2A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A7ADB"/>
    <w:multiLevelType w:val="multilevel"/>
    <w:tmpl w:val="FCC6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1071C"/>
    <w:multiLevelType w:val="multilevel"/>
    <w:tmpl w:val="C1CE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7E27B2"/>
    <w:multiLevelType w:val="multilevel"/>
    <w:tmpl w:val="3C1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20D07"/>
    <w:multiLevelType w:val="multilevel"/>
    <w:tmpl w:val="E1D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25838"/>
    <w:multiLevelType w:val="multilevel"/>
    <w:tmpl w:val="45E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87A60"/>
    <w:multiLevelType w:val="multilevel"/>
    <w:tmpl w:val="0DB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72D49"/>
    <w:multiLevelType w:val="multilevel"/>
    <w:tmpl w:val="1DA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F6B9C"/>
    <w:multiLevelType w:val="multilevel"/>
    <w:tmpl w:val="00F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6584A"/>
    <w:multiLevelType w:val="multilevel"/>
    <w:tmpl w:val="A028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4A1F9C"/>
    <w:multiLevelType w:val="multilevel"/>
    <w:tmpl w:val="CBCA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37D33"/>
    <w:multiLevelType w:val="multilevel"/>
    <w:tmpl w:val="BF5C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D0115"/>
    <w:multiLevelType w:val="multilevel"/>
    <w:tmpl w:val="8160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97038F"/>
    <w:multiLevelType w:val="multilevel"/>
    <w:tmpl w:val="4F7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16705"/>
    <w:multiLevelType w:val="multilevel"/>
    <w:tmpl w:val="F9A4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556A4B"/>
    <w:multiLevelType w:val="multilevel"/>
    <w:tmpl w:val="3D8A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31071"/>
    <w:multiLevelType w:val="multilevel"/>
    <w:tmpl w:val="FECC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02BF1"/>
    <w:multiLevelType w:val="multilevel"/>
    <w:tmpl w:val="E376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D4281C"/>
    <w:multiLevelType w:val="multilevel"/>
    <w:tmpl w:val="D34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04A09"/>
    <w:multiLevelType w:val="multilevel"/>
    <w:tmpl w:val="FE4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25F9D"/>
    <w:multiLevelType w:val="multilevel"/>
    <w:tmpl w:val="CE4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B7DC4"/>
    <w:multiLevelType w:val="multilevel"/>
    <w:tmpl w:val="331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7F52A2"/>
    <w:multiLevelType w:val="multilevel"/>
    <w:tmpl w:val="A32A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A872E5"/>
    <w:multiLevelType w:val="multilevel"/>
    <w:tmpl w:val="1B26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D63DDD"/>
    <w:multiLevelType w:val="multilevel"/>
    <w:tmpl w:val="26C4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C45379"/>
    <w:multiLevelType w:val="multilevel"/>
    <w:tmpl w:val="2158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6E2691"/>
    <w:multiLevelType w:val="multilevel"/>
    <w:tmpl w:val="94D6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FC607C"/>
    <w:multiLevelType w:val="multilevel"/>
    <w:tmpl w:val="67A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B121E5"/>
    <w:multiLevelType w:val="multilevel"/>
    <w:tmpl w:val="2EA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1918E4"/>
    <w:multiLevelType w:val="multilevel"/>
    <w:tmpl w:val="454A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A1087F"/>
    <w:multiLevelType w:val="multilevel"/>
    <w:tmpl w:val="39DA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18272D"/>
    <w:multiLevelType w:val="multilevel"/>
    <w:tmpl w:val="580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36045E"/>
    <w:multiLevelType w:val="multilevel"/>
    <w:tmpl w:val="6F8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8976C3"/>
    <w:multiLevelType w:val="multilevel"/>
    <w:tmpl w:val="AB60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BE5B8B"/>
    <w:multiLevelType w:val="multilevel"/>
    <w:tmpl w:val="37E8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EF3547"/>
    <w:multiLevelType w:val="multilevel"/>
    <w:tmpl w:val="53E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127A0D"/>
    <w:multiLevelType w:val="multilevel"/>
    <w:tmpl w:val="4C1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052AAD"/>
    <w:multiLevelType w:val="multilevel"/>
    <w:tmpl w:val="E280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5D0B9E"/>
    <w:multiLevelType w:val="multilevel"/>
    <w:tmpl w:val="B6FE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40144B"/>
    <w:multiLevelType w:val="multilevel"/>
    <w:tmpl w:val="461E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0A695C"/>
    <w:multiLevelType w:val="multilevel"/>
    <w:tmpl w:val="581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BA3C76"/>
    <w:multiLevelType w:val="multilevel"/>
    <w:tmpl w:val="63B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405227"/>
    <w:multiLevelType w:val="multilevel"/>
    <w:tmpl w:val="F802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5F13E4"/>
    <w:multiLevelType w:val="multilevel"/>
    <w:tmpl w:val="AE8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F57567"/>
    <w:multiLevelType w:val="multilevel"/>
    <w:tmpl w:val="748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AD7BEF"/>
    <w:multiLevelType w:val="multilevel"/>
    <w:tmpl w:val="A052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F1252A"/>
    <w:multiLevelType w:val="multilevel"/>
    <w:tmpl w:val="DE8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AC38EE"/>
    <w:multiLevelType w:val="multilevel"/>
    <w:tmpl w:val="6276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E35587"/>
    <w:multiLevelType w:val="multilevel"/>
    <w:tmpl w:val="BAB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20566A"/>
    <w:multiLevelType w:val="multilevel"/>
    <w:tmpl w:val="E678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1F7F92"/>
    <w:multiLevelType w:val="multilevel"/>
    <w:tmpl w:val="9108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F04445"/>
    <w:multiLevelType w:val="multilevel"/>
    <w:tmpl w:val="914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422610"/>
    <w:multiLevelType w:val="multilevel"/>
    <w:tmpl w:val="BBCC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9B5A57"/>
    <w:multiLevelType w:val="multilevel"/>
    <w:tmpl w:val="E41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565A56"/>
    <w:multiLevelType w:val="multilevel"/>
    <w:tmpl w:val="C25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CE1DC2"/>
    <w:multiLevelType w:val="multilevel"/>
    <w:tmpl w:val="9898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F428A4"/>
    <w:multiLevelType w:val="multilevel"/>
    <w:tmpl w:val="9A36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295A52"/>
    <w:multiLevelType w:val="multilevel"/>
    <w:tmpl w:val="82C0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8313E"/>
    <w:multiLevelType w:val="multilevel"/>
    <w:tmpl w:val="A9F8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A44B18"/>
    <w:multiLevelType w:val="multilevel"/>
    <w:tmpl w:val="5D86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181ADF"/>
    <w:multiLevelType w:val="multilevel"/>
    <w:tmpl w:val="3A4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E644CB"/>
    <w:multiLevelType w:val="multilevel"/>
    <w:tmpl w:val="A88A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C77CF9"/>
    <w:multiLevelType w:val="multilevel"/>
    <w:tmpl w:val="811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CD66EB"/>
    <w:multiLevelType w:val="multilevel"/>
    <w:tmpl w:val="479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71628D"/>
    <w:multiLevelType w:val="multilevel"/>
    <w:tmpl w:val="1A8C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CD3410"/>
    <w:multiLevelType w:val="multilevel"/>
    <w:tmpl w:val="12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014B0C"/>
    <w:multiLevelType w:val="multilevel"/>
    <w:tmpl w:val="92E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33723">
    <w:abstractNumId w:val="1"/>
  </w:num>
  <w:num w:numId="2" w16cid:durableId="256132551">
    <w:abstractNumId w:val="37"/>
  </w:num>
  <w:num w:numId="3" w16cid:durableId="114178543">
    <w:abstractNumId w:val="26"/>
  </w:num>
  <w:num w:numId="4" w16cid:durableId="1987011312">
    <w:abstractNumId w:val="49"/>
  </w:num>
  <w:num w:numId="5" w16cid:durableId="1428305393">
    <w:abstractNumId w:val="63"/>
  </w:num>
  <w:num w:numId="6" w16cid:durableId="2008291035">
    <w:abstractNumId w:val="13"/>
  </w:num>
  <w:num w:numId="7" w16cid:durableId="580797026">
    <w:abstractNumId w:val="68"/>
  </w:num>
  <w:num w:numId="8" w16cid:durableId="946549527">
    <w:abstractNumId w:val="58"/>
  </w:num>
  <w:num w:numId="9" w16cid:durableId="1307054075">
    <w:abstractNumId w:val="24"/>
  </w:num>
  <w:num w:numId="10" w16cid:durableId="782455749">
    <w:abstractNumId w:val="57"/>
  </w:num>
  <w:num w:numId="11" w16cid:durableId="50157196">
    <w:abstractNumId w:val="65"/>
  </w:num>
  <w:num w:numId="12" w16cid:durableId="1423451595">
    <w:abstractNumId w:val="0"/>
  </w:num>
  <w:num w:numId="13" w16cid:durableId="148331099">
    <w:abstractNumId w:val="4"/>
  </w:num>
  <w:num w:numId="14" w16cid:durableId="1920480357">
    <w:abstractNumId w:val="11"/>
  </w:num>
  <w:num w:numId="15" w16cid:durableId="1548495409">
    <w:abstractNumId w:val="39"/>
  </w:num>
  <w:num w:numId="16" w16cid:durableId="661155431">
    <w:abstractNumId w:val="62"/>
  </w:num>
  <w:num w:numId="17" w16cid:durableId="1599560901">
    <w:abstractNumId w:val="44"/>
  </w:num>
  <w:num w:numId="18" w16cid:durableId="1393309405">
    <w:abstractNumId w:val="38"/>
  </w:num>
  <w:num w:numId="19" w16cid:durableId="1212569470">
    <w:abstractNumId w:val="64"/>
  </w:num>
  <w:num w:numId="20" w16cid:durableId="1148786203">
    <w:abstractNumId w:val="46"/>
  </w:num>
  <w:num w:numId="21" w16cid:durableId="1254119874">
    <w:abstractNumId w:val="50"/>
  </w:num>
  <w:num w:numId="22" w16cid:durableId="1501769512">
    <w:abstractNumId w:val="27"/>
  </w:num>
  <w:num w:numId="23" w16cid:durableId="231039630">
    <w:abstractNumId w:val="53"/>
  </w:num>
  <w:num w:numId="24" w16cid:durableId="185561006">
    <w:abstractNumId w:val="20"/>
  </w:num>
  <w:num w:numId="25" w16cid:durableId="956912815">
    <w:abstractNumId w:val="28"/>
  </w:num>
  <w:num w:numId="26" w16cid:durableId="1457675544">
    <w:abstractNumId w:val="71"/>
  </w:num>
  <w:num w:numId="27" w16cid:durableId="1143695058">
    <w:abstractNumId w:val="19"/>
  </w:num>
  <w:num w:numId="28" w16cid:durableId="67003344">
    <w:abstractNumId w:val="47"/>
  </w:num>
  <w:num w:numId="29" w16cid:durableId="1728340692">
    <w:abstractNumId w:val="51"/>
  </w:num>
  <w:num w:numId="30" w16cid:durableId="1605845920">
    <w:abstractNumId w:val="30"/>
  </w:num>
  <w:num w:numId="31" w16cid:durableId="2114783082">
    <w:abstractNumId w:val="2"/>
  </w:num>
  <w:num w:numId="32" w16cid:durableId="1005979022">
    <w:abstractNumId w:val="8"/>
  </w:num>
  <w:num w:numId="33" w16cid:durableId="1689135984">
    <w:abstractNumId w:val="43"/>
  </w:num>
  <w:num w:numId="34" w16cid:durableId="1585610426">
    <w:abstractNumId w:val="36"/>
  </w:num>
  <w:num w:numId="35" w16cid:durableId="213779622">
    <w:abstractNumId w:val="12"/>
  </w:num>
  <w:num w:numId="36" w16cid:durableId="801964123">
    <w:abstractNumId w:val="5"/>
  </w:num>
  <w:num w:numId="37" w16cid:durableId="234127001">
    <w:abstractNumId w:val="59"/>
  </w:num>
  <w:num w:numId="38" w16cid:durableId="514154579">
    <w:abstractNumId w:val="14"/>
  </w:num>
  <w:num w:numId="39" w16cid:durableId="138882990">
    <w:abstractNumId w:val="25"/>
  </w:num>
  <w:num w:numId="40" w16cid:durableId="617103126">
    <w:abstractNumId w:val="66"/>
  </w:num>
  <w:num w:numId="41" w16cid:durableId="762724522">
    <w:abstractNumId w:val="69"/>
  </w:num>
  <w:num w:numId="42" w16cid:durableId="824667264">
    <w:abstractNumId w:val="70"/>
  </w:num>
  <w:num w:numId="43" w16cid:durableId="1066412813">
    <w:abstractNumId w:val="29"/>
  </w:num>
  <w:num w:numId="44" w16cid:durableId="147093216">
    <w:abstractNumId w:val="56"/>
  </w:num>
  <w:num w:numId="45" w16cid:durableId="1243300057">
    <w:abstractNumId w:val="42"/>
  </w:num>
  <w:num w:numId="46" w16cid:durableId="1598899735">
    <w:abstractNumId w:val="15"/>
  </w:num>
  <w:num w:numId="47" w16cid:durableId="505903024">
    <w:abstractNumId w:val="33"/>
  </w:num>
  <w:num w:numId="48" w16cid:durableId="527453529">
    <w:abstractNumId w:val="21"/>
  </w:num>
  <w:num w:numId="49" w16cid:durableId="244800406">
    <w:abstractNumId w:val="16"/>
  </w:num>
  <w:num w:numId="50" w16cid:durableId="133221909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1" w16cid:durableId="2091735946">
    <w:abstractNumId w:val="23"/>
  </w:num>
  <w:num w:numId="52" w16cid:durableId="1153638056">
    <w:abstractNumId w:val="6"/>
  </w:num>
  <w:num w:numId="53" w16cid:durableId="1618635036">
    <w:abstractNumId w:val="48"/>
  </w:num>
  <w:num w:numId="54" w16cid:durableId="929002810">
    <w:abstractNumId w:val="18"/>
  </w:num>
  <w:num w:numId="55" w16cid:durableId="1226603100">
    <w:abstractNumId w:val="7"/>
  </w:num>
  <w:num w:numId="56" w16cid:durableId="1465542862">
    <w:abstractNumId w:val="67"/>
  </w:num>
  <w:num w:numId="57" w16cid:durableId="1829858381">
    <w:abstractNumId w:val="61"/>
  </w:num>
  <w:num w:numId="58" w16cid:durableId="2004580321">
    <w:abstractNumId w:val="9"/>
  </w:num>
  <w:num w:numId="59" w16cid:durableId="993264046">
    <w:abstractNumId w:val="45"/>
  </w:num>
  <w:num w:numId="60" w16cid:durableId="1878853528">
    <w:abstractNumId w:val="35"/>
  </w:num>
  <w:num w:numId="61" w16cid:durableId="1967658746">
    <w:abstractNumId w:val="3"/>
  </w:num>
  <w:num w:numId="62" w16cid:durableId="302925765">
    <w:abstractNumId w:val="40"/>
  </w:num>
  <w:num w:numId="63" w16cid:durableId="1937864519">
    <w:abstractNumId w:val="10"/>
  </w:num>
  <w:num w:numId="64" w16cid:durableId="1683049889">
    <w:abstractNumId w:val="22"/>
  </w:num>
  <w:num w:numId="65" w16cid:durableId="1385442281">
    <w:abstractNumId w:val="52"/>
  </w:num>
  <w:num w:numId="66" w16cid:durableId="1580944156">
    <w:abstractNumId w:val="54"/>
  </w:num>
  <w:num w:numId="67" w16cid:durableId="1274365989">
    <w:abstractNumId w:val="41"/>
  </w:num>
  <w:num w:numId="68" w16cid:durableId="1548757405">
    <w:abstractNumId w:val="72"/>
  </w:num>
  <w:num w:numId="69" w16cid:durableId="52700299">
    <w:abstractNumId w:val="32"/>
  </w:num>
  <w:num w:numId="70" w16cid:durableId="530923104">
    <w:abstractNumId w:val="34"/>
  </w:num>
  <w:num w:numId="71" w16cid:durableId="1876455456">
    <w:abstractNumId w:val="17"/>
  </w:num>
  <w:num w:numId="72" w16cid:durableId="1880850147">
    <w:abstractNumId w:val="55"/>
  </w:num>
  <w:num w:numId="73" w16cid:durableId="1330717703">
    <w:abstractNumId w:val="31"/>
  </w:num>
  <w:num w:numId="74" w16cid:durableId="121885864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BD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101CCF"/>
    <w:rsid w:val="001372F7"/>
    <w:rsid w:val="00175AB8"/>
    <w:rsid w:val="0019260C"/>
    <w:rsid w:val="001A41D2"/>
    <w:rsid w:val="001B0E31"/>
    <w:rsid w:val="001D360C"/>
    <w:rsid w:val="001E2584"/>
    <w:rsid w:val="001E3EF6"/>
    <w:rsid w:val="002033A2"/>
    <w:rsid w:val="00204B6E"/>
    <w:rsid w:val="00223837"/>
    <w:rsid w:val="00243CED"/>
    <w:rsid w:val="00247BCC"/>
    <w:rsid w:val="00257540"/>
    <w:rsid w:val="0026510F"/>
    <w:rsid w:val="00291F37"/>
    <w:rsid w:val="00297C6E"/>
    <w:rsid w:val="002B3377"/>
    <w:rsid w:val="002D715D"/>
    <w:rsid w:val="002E3864"/>
    <w:rsid w:val="002E46F2"/>
    <w:rsid w:val="002F1DB1"/>
    <w:rsid w:val="002F20B2"/>
    <w:rsid w:val="002F53C9"/>
    <w:rsid w:val="003048A0"/>
    <w:rsid w:val="00307B1B"/>
    <w:rsid w:val="0031138E"/>
    <w:rsid w:val="0031474F"/>
    <w:rsid w:val="00315815"/>
    <w:rsid w:val="003278F5"/>
    <w:rsid w:val="00330665"/>
    <w:rsid w:val="00342A18"/>
    <w:rsid w:val="00342F93"/>
    <w:rsid w:val="003609BD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222FD"/>
    <w:rsid w:val="004319FA"/>
    <w:rsid w:val="00442F56"/>
    <w:rsid w:val="0044616D"/>
    <w:rsid w:val="00446216"/>
    <w:rsid w:val="00474DD1"/>
    <w:rsid w:val="004751B5"/>
    <w:rsid w:val="0048097D"/>
    <w:rsid w:val="0048175B"/>
    <w:rsid w:val="004845CE"/>
    <w:rsid w:val="004A553E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776B"/>
    <w:rsid w:val="00796A93"/>
    <w:rsid w:val="007B48C2"/>
    <w:rsid w:val="007C231D"/>
    <w:rsid w:val="007D68F0"/>
    <w:rsid w:val="007E1559"/>
    <w:rsid w:val="007F776E"/>
    <w:rsid w:val="00816563"/>
    <w:rsid w:val="00830C88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26760"/>
    <w:rsid w:val="0093405B"/>
    <w:rsid w:val="0094782D"/>
    <w:rsid w:val="00966189"/>
    <w:rsid w:val="00974434"/>
    <w:rsid w:val="00975B2D"/>
    <w:rsid w:val="00977514"/>
    <w:rsid w:val="009A48B0"/>
    <w:rsid w:val="009B24D6"/>
    <w:rsid w:val="009B2F21"/>
    <w:rsid w:val="009C6498"/>
    <w:rsid w:val="009E62AF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F74EF"/>
    <w:rsid w:val="00D01E71"/>
    <w:rsid w:val="00D02AC8"/>
    <w:rsid w:val="00D0623C"/>
    <w:rsid w:val="00D07271"/>
    <w:rsid w:val="00D16917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14A1A"/>
    <w:rsid w:val="00E14E1F"/>
    <w:rsid w:val="00E2730E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E4F6A"/>
    <w:rsid w:val="00EF3EF4"/>
    <w:rsid w:val="00F012E4"/>
    <w:rsid w:val="00F248D2"/>
    <w:rsid w:val="00F27F00"/>
    <w:rsid w:val="00F33570"/>
    <w:rsid w:val="00F655F4"/>
    <w:rsid w:val="00F71153"/>
    <w:rsid w:val="00F858D4"/>
    <w:rsid w:val="00FA4E8A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FDFA"/>
  <w15:chartTrackingRefBased/>
  <w15:docId w15:val="{0CA2A25B-563A-6548-938A-0C7C0418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0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B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B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609BD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609BD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BD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BD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BD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BD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BD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609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B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B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609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BD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6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BD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609B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67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6216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307B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0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7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5636</Words>
  <Characters>32129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2025-01-24T09:59:00Z</dcterms:created>
  <dcterms:modified xsi:type="dcterms:W3CDTF">2025-01-24T10:03:00Z</dcterms:modified>
</cp:coreProperties>
</file>