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88A526" w14:textId="77777777" w:rsidR="00120CB9" w:rsidRPr="00120CB9" w:rsidRDefault="00120CB9" w:rsidP="00120CB9">
      <w:pPr>
        <w:spacing w:before="100" w:beforeAutospacing="1" w:after="100" w:afterAutospacing="1"/>
        <w:outlineLvl w:val="2"/>
        <w:rPr>
          <w:rFonts w:ascii="Times New Roman" w:hAnsi="Times New Roman"/>
          <w:b/>
          <w:bCs/>
          <w:sz w:val="27"/>
          <w:szCs w:val="27"/>
          <w:lang w:val="en-HK"/>
        </w:rPr>
      </w:pPr>
      <w:r w:rsidRPr="00120CB9">
        <w:rPr>
          <w:rFonts w:ascii="Times New Roman" w:hAnsi="Times New Roman"/>
          <w:b/>
          <w:bCs/>
          <w:sz w:val="27"/>
          <w:szCs w:val="27"/>
          <w:lang w:val="en-HK"/>
        </w:rPr>
        <w:t>1. Introduction</w:t>
      </w:r>
    </w:p>
    <w:p w14:paraId="79347BF7" w14:textId="77777777" w:rsidR="00120CB9" w:rsidRPr="00120CB9" w:rsidRDefault="00120CB9" w:rsidP="00120CB9">
      <w:pPr>
        <w:spacing w:before="100" w:beforeAutospacing="1" w:after="100" w:afterAutospacing="1"/>
        <w:outlineLvl w:val="3"/>
        <w:rPr>
          <w:rFonts w:ascii="Times New Roman" w:hAnsi="Times New Roman"/>
          <w:b/>
          <w:bCs/>
          <w:lang w:val="en-HK"/>
        </w:rPr>
      </w:pPr>
      <w:r w:rsidRPr="00120CB9">
        <w:rPr>
          <w:rFonts w:ascii="Times New Roman" w:hAnsi="Times New Roman"/>
          <w:b/>
          <w:bCs/>
          <w:lang w:val="en-HK"/>
        </w:rPr>
        <w:t>Key Themes</w:t>
      </w:r>
    </w:p>
    <w:p w14:paraId="6D84B8C6" w14:textId="77777777" w:rsidR="00120CB9" w:rsidRPr="00120CB9" w:rsidRDefault="00120CB9" w:rsidP="00120CB9">
      <w:pPr>
        <w:numPr>
          <w:ilvl w:val="0"/>
          <w:numId w:val="5"/>
        </w:numPr>
        <w:spacing w:before="100" w:beforeAutospacing="1" w:after="100" w:afterAutospacing="1"/>
        <w:rPr>
          <w:rFonts w:ascii="Times New Roman" w:hAnsi="Times New Roman"/>
          <w:lang w:val="en-HK"/>
        </w:rPr>
      </w:pPr>
      <w:r w:rsidRPr="00120CB9">
        <w:rPr>
          <w:rFonts w:ascii="Times New Roman" w:hAnsi="Times New Roman"/>
          <w:lang w:val="en-HK"/>
        </w:rPr>
        <w:t xml:space="preserve">The article focuses on the Court of Justice of the European Union's (CJEU) interpretation of </w:t>
      </w:r>
      <w:r w:rsidRPr="00120CB9">
        <w:rPr>
          <w:rFonts w:ascii="Times New Roman" w:hAnsi="Times New Roman"/>
          <w:b/>
          <w:bCs/>
          <w:lang w:val="en-HK"/>
        </w:rPr>
        <w:t>Article 34 TFEU</w:t>
      </w:r>
      <w:r w:rsidRPr="00120CB9">
        <w:rPr>
          <w:rFonts w:ascii="Times New Roman" w:hAnsi="Times New Roman"/>
          <w:lang w:val="en-HK"/>
        </w:rPr>
        <w:t xml:space="preserve">, which prohibits </w:t>
      </w:r>
      <w:r w:rsidRPr="00120CB9">
        <w:rPr>
          <w:rFonts w:ascii="Times New Roman" w:hAnsi="Times New Roman"/>
          <w:b/>
          <w:bCs/>
          <w:lang w:val="en-HK"/>
        </w:rPr>
        <w:t>quantitative restrictions on imports and measures having equivalent effect (MEQRs)</w:t>
      </w:r>
      <w:r w:rsidRPr="00120CB9">
        <w:rPr>
          <w:rFonts w:ascii="Times New Roman" w:hAnsi="Times New Roman"/>
          <w:lang w:val="en-HK"/>
        </w:rPr>
        <w:t>.</w:t>
      </w:r>
    </w:p>
    <w:p w14:paraId="17B1827D" w14:textId="77777777" w:rsidR="00120CB9" w:rsidRPr="00120CB9" w:rsidRDefault="00120CB9" w:rsidP="00120CB9">
      <w:pPr>
        <w:numPr>
          <w:ilvl w:val="0"/>
          <w:numId w:val="5"/>
        </w:numPr>
        <w:spacing w:before="100" w:beforeAutospacing="1" w:after="100" w:afterAutospacing="1"/>
        <w:rPr>
          <w:rFonts w:ascii="Times New Roman" w:hAnsi="Times New Roman"/>
          <w:lang w:val="en-HK"/>
        </w:rPr>
      </w:pPr>
      <w:r w:rsidRPr="00120CB9">
        <w:rPr>
          <w:rFonts w:ascii="Times New Roman" w:hAnsi="Times New Roman"/>
          <w:b/>
          <w:bCs/>
          <w:lang w:val="en-HK"/>
        </w:rPr>
        <w:t>Objective</w:t>
      </w:r>
      <w:r w:rsidRPr="00120CB9">
        <w:rPr>
          <w:rFonts w:ascii="Times New Roman" w:hAnsi="Times New Roman"/>
          <w:lang w:val="en-HK"/>
        </w:rPr>
        <w:t>: To assess how the CJEU has developed judicial devices to manage the potentially overbroad application of Article 34 and maintain a balance between the EU’s internal market objectives and Member State regulatory autonomy.</w:t>
      </w:r>
    </w:p>
    <w:p w14:paraId="0FE7A0F2" w14:textId="77777777" w:rsidR="00120CB9" w:rsidRPr="00120CB9" w:rsidRDefault="00120CB9" w:rsidP="00120CB9">
      <w:pPr>
        <w:spacing w:before="100" w:beforeAutospacing="1" w:after="100" w:afterAutospacing="1"/>
        <w:outlineLvl w:val="3"/>
        <w:rPr>
          <w:rFonts w:ascii="Times New Roman" w:hAnsi="Times New Roman"/>
          <w:b/>
          <w:bCs/>
          <w:lang w:val="en-HK"/>
        </w:rPr>
      </w:pPr>
      <w:r w:rsidRPr="00120CB9">
        <w:rPr>
          <w:rFonts w:ascii="Times New Roman" w:hAnsi="Times New Roman"/>
          <w:b/>
          <w:bCs/>
          <w:lang w:val="en-HK"/>
        </w:rPr>
        <w:t>Scope of Article 34</w:t>
      </w:r>
    </w:p>
    <w:p w14:paraId="44162BD8" w14:textId="77777777" w:rsidR="00120CB9" w:rsidRPr="00120CB9" w:rsidRDefault="00120CB9" w:rsidP="00120CB9">
      <w:pPr>
        <w:numPr>
          <w:ilvl w:val="0"/>
          <w:numId w:val="6"/>
        </w:numPr>
        <w:spacing w:before="100" w:beforeAutospacing="1" w:after="100" w:afterAutospacing="1"/>
        <w:rPr>
          <w:rFonts w:ascii="Times New Roman" w:hAnsi="Times New Roman"/>
          <w:lang w:val="en-HK"/>
        </w:rPr>
      </w:pPr>
      <w:r w:rsidRPr="00120CB9">
        <w:rPr>
          <w:rFonts w:ascii="Times New Roman" w:hAnsi="Times New Roman"/>
          <w:b/>
          <w:bCs/>
          <w:lang w:val="en-HK"/>
        </w:rPr>
        <w:t xml:space="preserve">The </w:t>
      </w:r>
      <w:proofErr w:type="spellStart"/>
      <w:r w:rsidRPr="00120CB9">
        <w:rPr>
          <w:rFonts w:ascii="Times New Roman" w:hAnsi="Times New Roman"/>
          <w:b/>
          <w:bCs/>
          <w:lang w:val="en-HK"/>
        </w:rPr>
        <w:t>Dassonville</w:t>
      </w:r>
      <w:proofErr w:type="spellEnd"/>
      <w:r w:rsidRPr="00120CB9">
        <w:rPr>
          <w:rFonts w:ascii="Times New Roman" w:hAnsi="Times New Roman"/>
          <w:b/>
          <w:bCs/>
          <w:lang w:val="en-HK"/>
        </w:rPr>
        <w:t xml:space="preserve"> Formula</w:t>
      </w:r>
      <w:r w:rsidRPr="00120CB9">
        <w:rPr>
          <w:rFonts w:ascii="Times New Roman" w:hAnsi="Times New Roman"/>
          <w:lang w:val="en-HK"/>
        </w:rPr>
        <w:t>:</w:t>
      </w:r>
    </w:p>
    <w:p w14:paraId="219CE5B2" w14:textId="77777777" w:rsidR="00120CB9" w:rsidRPr="00120CB9" w:rsidRDefault="00120CB9" w:rsidP="00120CB9">
      <w:pPr>
        <w:numPr>
          <w:ilvl w:val="1"/>
          <w:numId w:val="6"/>
        </w:numPr>
        <w:spacing w:before="100" w:beforeAutospacing="1" w:after="100" w:afterAutospacing="1"/>
        <w:rPr>
          <w:rFonts w:ascii="Times New Roman" w:hAnsi="Times New Roman"/>
          <w:highlight w:val="yellow"/>
          <w:lang w:val="en-HK"/>
        </w:rPr>
      </w:pPr>
      <w:r w:rsidRPr="00120CB9">
        <w:rPr>
          <w:rFonts w:ascii="Times New Roman" w:hAnsi="Times New Roman"/>
          <w:highlight w:val="yellow"/>
          <w:lang w:val="en-HK"/>
        </w:rPr>
        <w:t>Defines MEQRs as “all trading rules enacted by Member States which are capable of hindering, directly or indirectly, actually or potentially, intra-Community trade” (</w:t>
      </w:r>
      <w:r w:rsidRPr="00120CB9">
        <w:rPr>
          <w:rFonts w:ascii="Times New Roman" w:hAnsi="Times New Roman"/>
          <w:i/>
          <w:iCs/>
          <w:highlight w:val="yellow"/>
          <w:lang w:val="en-HK"/>
        </w:rPr>
        <w:t xml:space="preserve">Procureur du Roi v </w:t>
      </w:r>
      <w:proofErr w:type="spellStart"/>
      <w:r w:rsidRPr="00120CB9">
        <w:rPr>
          <w:rFonts w:ascii="Times New Roman" w:hAnsi="Times New Roman"/>
          <w:i/>
          <w:iCs/>
          <w:highlight w:val="yellow"/>
          <w:lang w:val="en-HK"/>
        </w:rPr>
        <w:t>Dassonville</w:t>
      </w:r>
      <w:proofErr w:type="spellEnd"/>
      <w:r w:rsidRPr="00120CB9">
        <w:rPr>
          <w:rFonts w:ascii="Times New Roman" w:hAnsi="Times New Roman"/>
          <w:highlight w:val="yellow"/>
          <w:lang w:val="en-HK"/>
        </w:rPr>
        <w:t xml:space="preserve"> (Case 8/74)).</w:t>
      </w:r>
    </w:p>
    <w:p w14:paraId="1B24AA8B" w14:textId="77777777" w:rsidR="00120CB9" w:rsidRPr="00120CB9" w:rsidRDefault="00120CB9" w:rsidP="00120CB9">
      <w:pPr>
        <w:numPr>
          <w:ilvl w:val="1"/>
          <w:numId w:val="6"/>
        </w:numPr>
        <w:spacing w:before="100" w:beforeAutospacing="1" w:after="100" w:afterAutospacing="1"/>
        <w:rPr>
          <w:rFonts w:ascii="Times New Roman" w:hAnsi="Times New Roman"/>
          <w:lang w:val="en-HK"/>
        </w:rPr>
      </w:pPr>
      <w:r w:rsidRPr="00120CB9">
        <w:rPr>
          <w:rFonts w:ascii="Times New Roman" w:hAnsi="Times New Roman"/>
          <w:lang w:val="en-HK"/>
        </w:rPr>
        <w:t>This expansive interpretation of MEQRs has led to criticism, particularly regarding its potential to encroach on Member State sovereignty.</w:t>
      </w:r>
    </w:p>
    <w:p w14:paraId="68AF57E8" w14:textId="77777777" w:rsidR="00120CB9" w:rsidRPr="00120CB9" w:rsidRDefault="00120CB9" w:rsidP="00120CB9">
      <w:pPr>
        <w:numPr>
          <w:ilvl w:val="1"/>
          <w:numId w:val="6"/>
        </w:numPr>
        <w:spacing w:before="100" w:beforeAutospacing="1" w:after="100" w:afterAutospacing="1"/>
        <w:rPr>
          <w:rFonts w:ascii="Times New Roman" w:hAnsi="Times New Roman"/>
          <w:lang w:val="en-HK"/>
        </w:rPr>
      </w:pPr>
      <w:r w:rsidRPr="00120CB9">
        <w:rPr>
          <w:rFonts w:ascii="Times New Roman" w:hAnsi="Times New Roman"/>
          <w:lang w:val="en-HK"/>
        </w:rPr>
        <w:t>Horsley highlights that this definition provides little guidance on distinguishing measures that fall within Article 34 from those that do not.</w:t>
      </w:r>
    </w:p>
    <w:p w14:paraId="29CC4F13" w14:textId="77777777" w:rsidR="00120CB9" w:rsidRPr="00120CB9" w:rsidRDefault="00120CB9" w:rsidP="00120CB9">
      <w:pPr>
        <w:numPr>
          <w:ilvl w:val="0"/>
          <w:numId w:val="6"/>
        </w:numPr>
        <w:spacing w:before="100" w:beforeAutospacing="1" w:after="100" w:afterAutospacing="1"/>
        <w:rPr>
          <w:rFonts w:ascii="Times New Roman" w:hAnsi="Times New Roman"/>
          <w:lang w:val="en-HK"/>
        </w:rPr>
      </w:pPr>
      <w:r w:rsidRPr="00120CB9">
        <w:rPr>
          <w:rFonts w:ascii="Times New Roman" w:hAnsi="Times New Roman"/>
          <w:b/>
          <w:bCs/>
          <w:lang w:val="en-HK"/>
        </w:rPr>
        <w:t>Judicial Concerns</w:t>
      </w:r>
      <w:r w:rsidRPr="00120CB9">
        <w:rPr>
          <w:rFonts w:ascii="Times New Roman" w:hAnsi="Times New Roman"/>
          <w:lang w:val="en-HK"/>
        </w:rPr>
        <w:t>:</w:t>
      </w:r>
    </w:p>
    <w:p w14:paraId="1E02660B" w14:textId="77777777" w:rsidR="00120CB9" w:rsidRPr="00120CB9" w:rsidRDefault="00120CB9" w:rsidP="00120CB9">
      <w:pPr>
        <w:numPr>
          <w:ilvl w:val="1"/>
          <w:numId w:val="6"/>
        </w:numPr>
        <w:spacing w:before="100" w:beforeAutospacing="1" w:after="100" w:afterAutospacing="1"/>
        <w:rPr>
          <w:rFonts w:ascii="Times New Roman" w:hAnsi="Times New Roman"/>
          <w:lang w:val="en-HK"/>
        </w:rPr>
      </w:pPr>
      <w:r w:rsidRPr="00120CB9">
        <w:rPr>
          <w:rFonts w:ascii="Times New Roman" w:hAnsi="Times New Roman"/>
          <w:lang w:val="en-HK"/>
        </w:rPr>
        <w:t>The broad application of Article 34 risks turning the provision into a tool for litigants to challenge any national regulation, even those with limited or insignificant effects on cross-border trade.</w:t>
      </w:r>
    </w:p>
    <w:p w14:paraId="5D117B2D" w14:textId="77777777" w:rsidR="00120CB9" w:rsidRPr="00120CB9" w:rsidRDefault="00120CB9" w:rsidP="00120CB9">
      <w:pPr>
        <w:numPr>
          <w:ilvl w:val="1"/>
          <w:numId w:val="6"/>
        </w:numPr>
        <w:spacing w:before="100" w:beforeAutospacing="1" w:after="100" w:afterAutospacing="1"/>
        <w:rPr>
          <w:rFonts w:ascii="Times New Roman" w:hAnsi="Times New Roman"/>
          <w:lang w:val="en-HK"/>
        </w:rPr>
      </w:pPr>
      <w:r w:rsidRPr="00120CB9">
        <w:rPr>
          <w:rFonts w:ascii="Times New Roman" w:hAnsi="Times New Roman"/>
          <w:lang w:val="en-HK"/>
        </w:rPr>
        <w:t xml:space="preserve">The CJEU, therefore, developed </w:t>
      </w:r>
      <w:r w:rsidRPr="00120CB9">
        <w:rPr>
          <w:rFonts w:ascii="Times New Roman" w:hAnsi="Times New Roman"/>
          <w:b/>
          <w:bCs/>
          <w:lang w:val="en-HK"/>
        </w:rPr>
        <w:t>exclusionary rules</w:t>
      </w:r>
      <w:r w:rsidRPr="00120CB9">
        <w:rPr>
          <w:rFonts w:ascii="Times New Roman" w:hAnsi="Times New Roman"/>
          <w:lang w:val="en-HK"/>
        </w:rPr>
        <w:t xml:space="preserve"> to limit the scope of Article 34:</w:t>
      </w:r>
    </w:p>
    <w:p w14:paraId="02AF5C9F" w14:textId="77777777" w:rsidR="00120CB9" w:rsidRPr="00120CB9" w:rsidRDefault="00120CB9" w:rsidP="00120CB9">
      <w:pPr>
        <w:numPr>
          <w:ilvl w:val="2"/>
          <w:numId w:val="6"/>
        </w:numPr>
        <w:spacing w:before="100" w:beforeAutospacing="1" w:after="100" w:afterAutospacing="1"/>
        <w:rPr>
          <w:rFonts w:ascii="Times New Roman" w:hAnsi="Times New Roman"/>
          <w:lang w:val="en-HK"/>
        </w:rPr>
      </w:pPr>
      <w:r w:rsidRPr="00120CB9">
        <w:rPr>
          <w:rFonts w:ascii="Times New Roman" w:hAnsi="Times New Roman"/>
          <w:lang w:val="en-HK"/>
        </w:rPr>
        <w:t>Measures with effects "too uncertain and indirect."</w:t>
      </w:r>
    </w:p>
    <w:p w14:paraId="1C80E920" w14:textId="77777777" w:rsidR="00120CB9" w:rsidRPr="00120CB9" w:rsidRDefault="00120CB9" w:rsidP="00120CB9">
      <w:pPr>
        <w:numPr>
          <w:ilvl w:val="2"/>
          <w:numId w:val="6"/>
        </w:numPr>
        <w:spacing w:before="100" w:beforeAutospacing="1" w:after="100" w:afterAutospacing="1"/>
        <w:rPr>
          <w:rFonts w:ascii="Times New Roman" w:hAnsi="Times New Roman"/>
          <w:lang w:val="en-HK"/>
        </w:rPr>
      </w:pPr>
      <w:r w:rsidRPr="00120CB9">
        <w:rPr>
          <w:rFonts w:ascii="Times New Roman" w:hAnsi="Times New Roman"/>
          <w:b/>
          <w:bCs/>
          <w:lang w:val="en-HK"/>
        </w:rPr>
        <w:t>Certain selling arrangements</w:t>
      </w:r>
      <w:r w:rsidRPr="00120CB9">
        <w:rPr>
          <w:rFonts w:ascii="Times New Roman" w:hAnsi="Times New Roman"/>
          <w:lang w:val="en-HK"/>
        </w:rPr>
        <w:t xml:space="preserve"> (Keck jurisprudence).</w:t>
      </w:r>
    </w:p>
    <w:p w14:paraId="187C2E4C" w14:textId="77777777" w:rsidR="00120CB9" w:rsidRPr="00120CB9" w:rsidRDefault="00120CB9" w:rsidP="00120CB9">
      <w:pPr>
        <w:numPr>
          <w:ilvl w:val="2"/>
          <w:numId w:val="6"/>
        </w:numPr>
        <w:spacing w:before="100" w:beforeAutospacing="1" w:after="100" w:afterAutospacing="1"/>
        <w:rPr>
          <w:rFonts w:ascii="Times New Roman" w:hAnsi="Times New Roman"/>
          <w:lang w:val="en-HK"/>
        </w:rPr>
      </w:pPr>
      <w:r w:rsidRPr="00120CB9">
        <w:rPr>
          <w:rFonts w:ascii="Times New Roman" w:hAnsi="Times New Roman"/>
          <w:lang w:val="en-HK"/>
        </w:rPr>
        <w:t>Measures with "insignificant effects."</w:t>
      </w:r>
    </w:p>
    <w:p w14:paraId="6F08D087" w14:textId="77777777" w:rsidR="00120CB9" w:rsidRPr="00120CB9" w:rsidRDefault="00120CB9" w:rsidP="00120CB9">
      <w:pPr>
        <w:spacing w:before="100" w:beforeAutospacing="1" w:after="100" w:afterAutospacing="1"/>
        <w:outlineLvl w:val="3"/>
        <w:rPr>
          <w:rFonts w:ascii="Times New Roman" w:hAnsi="Times New Roman"/>
          <w:b/>
          <w:bCs/>
          <w:lang w:val="en-HK"/>
        </w:rPr>
      </w:pPr>
      <w:r w:rsidRPr="00120CB9">
        <w:rPr>
          <w:rFonts w:ascii="Times New Roman" w:hAnsi="Times New Roman"/>
          <w:b/>
          <w:bCs/>
          <w:lang w:val="en-HK"/>
        </w:rPr>
        <w:t>Central Argument</w:t>
      </w:r>
    </w:p>
    <w:p w14:paraId="4034D0B7" w14:textId="77777777" w:rsidR="00120CB9" w:rsidRPr="00120CB9" w:rsidRDefault="00120CB9" w:rsidP="00CA0FC2">
      <w:pPr>
        <w:spacing w:before="100" w:beforeAutospacing="1" w:after="100" w:afterAutospacing="1"/>
        <w:rPr>
          <w:rFonts w:ascii="Times New Roman" w:hAnsi="Times New Roman"/>
          <w:lang w:val="en-HK"/>
        </w:rPr>
      </w:pPr>
      <w:r w:rsidRPr="00120CB9">
        <w:rPr>
          <w:rFonts w:ascii="Times New Roman" w:hAnsi="Times New Roman"/>
          <w:lang w:val="en-HK"/>
        </w:rPr>
        <w:t>Horsley argues that these exclusionary rules are not arbitrary but reflect a coherent judicial strategy to address the constitutional implications of Article 34. The rules aim to strike a balance between:</w:t>
      </w:r>
    </w:p>
    <w:p w14:paraId="4537D81E" w14:textId="77777777" w:rsidR="00120CB9" w:rsidRPr="00120CB9" w:rsidRDefault="00120CB9" w:rsidP="00CA0FC2">
      <w:pPr>
        <w:spacing w:before="100" w:beforeAutospacing="1" w:after="100" w:afterAutospacing="1"/>
        <w:rPr>
          <w:rFonts w:ascii="Times New Roman" w:hAnsi="Times New Roman"/>
          <w:lang w:val="en-HK"/>
        </w:rPr>
      </w:pPr>
      <w:r w:rsidRPr="00120CB9">
        <w:rPr>
          <w:rFonts w:ascii="Times New Roman" w:hAnsi="Times New Roman"/>
          <w:b/>
          <w:bCs/>
          <w:lang w:val="en-HK"/>
        </w:rPr>
        <w:t>Market Integration</w:t>
      </w:r>
      <w:r w:rsidRPr="00120CB9">
        <w:rPr>
          <w:rFonts w:ascii="Times New Roman" w:hAnsi="Times New Roman"/>
          <w:lang w:val="en-HK"/>
        </w:rPr>
        <w:t>: Ensuring the free movement of goods within the internal market.</w:t>
      </w:r>
    </w:p>
    <w:p w14:paraId="0A6AD65C" w14:textId="77777777" w:rsidR="00120CB9" w:rsidRPr="00120CB9" w:rsidRDefault="00120CB9" w:rsidP="00CA0FC2">
      <w:pPr>
        <w:spacing w:before="100" w:beforeAutospacing="1" w:after="100" w:afterAutospacing="1"/>
        <w:rPr>
          <w:rFonts w:ascii="Times New Roman" w:hAnsi="Times New Roman"/>
          <w:lang w:val="en-HK"/>
        </w:rPr>
      </w:pPr>
      <w:r w:rsidRPr="00120CB9">
        <w:rPr>
          <w:rFonts w:ascii="Times New Roman" w:hAnsi="Times New Roman"/>
          <w:b/>
          <w:bCs/>
          <w:lang w:val="en-HK"/>
        </w:rPr>
        <w:t>Subsidiarity and Proportionality</w:t>
      </w:r>
      <w:r w:rsidRPr="00120CB9">
        <w:rPr>
          <w:rFonts w:ascii="Times New Roman" w:hAnsi="Times New Roman"/>
          <w:lang w:val="en-HK"/>
        </w:rPr>
        <w:t>: Preserving Member States’ ability to regulate their domestic markets.</w:t>
      </w:r>
    </w:p>
    <w:p w14:paraId="3FAE4AA2" w14:textId="77777777" w:rsidR="00120CB9" w:rsidRPr="00120CB9" w:rsidRDefault="00120CB9" w:rsidP="00120CB9">
      <w:pPr>
        <w:spacing w:before="100" w:beforeAutospacing="1" w:after="100" w:afterAutospacing="1"/>
        <w:outlineLvl w:val="3"/>
        <w:rPr>
          <w:rFonts w:ascii="Times New Roman" w:hAnsi="Times New Roman"/>
          <w:b/>
          <w:bCs/>
          <w:lang w:val="en-HK"/>
        </w:rPr>
      </w:pPr>
      <w:r w:rsidRPr="00120CB9">
        <w:rPr>
          <w:rFonts w:ascii="Times New Roman" w:hAnsi="Times New Roman"/>
          <w:b/>
          <w:bCs/>
          <w:lang w:val="en-HK"/>
        </w:rPr>
        <w:t>Criticism of Judicial Interpretation</w:t>
      </w:r>
    </w:p>
    <w:p w14:paraId="1C720012" w14:textId="77777777" w:rsidR="00120CB9" w:rsidRPr="00120CB9" w:rsidRDefault="00120CB9" w:rsidP="00120CB9">
      <w:pPr>
        <w:numPr>
          <w:ilvl w:val="0"/>
          <w:numId w:val="8"/>
        </w:numPr>
        <w:spacing w:before="100" w:beforeAutospacing="1" w:after="100" w:afterAutospacing="1"/>
        <w:rPr>
          <w:rFonts w:ascii="Times New Roman" w:hAnsi="Times New Roman"/>
          <w:lang w:val="en-HK"/>
        </w:rPr>
      </w:pPr>
      <w:r w:rsidRPr="00120CB9">
        <w:rPr>
          <w:rFonts w:ascii="Times New Roman" w:hAnsi="Times New Roman"/>
          <w:lang w:val="en-HK"/>
        </w:rPr>
        <w:t>Some scholars (</w:t>
      </w:r>
      <w:proofErr w:type="spellStart"/>
      <w:r w:rsidRPr="00120CB9">
        <w:rPr>
          <w:rFonts w:ascii="Times New Roman" w:hAnsi="Times New Roman"/>
          <w:lang w:val="en-HK"/>
        </w:rPr>
        <w:t>Weatherill</w:t>
      </w:r>
      <w:proofErr w:type="spellEnd"/>
      <w:r w:rsidRPr="00120CB9">
        <w:rPr>
          <w:rFonts w:ascii="Times New Roman" w:hAnsi="Times New Roman"/>
          <w:lang w:val="en-HK"/>
        </w:rPr>
        <w:t>, Barnard) have criticized the CJEU’s inconsistent application of these exclusionary rules, arguing that they create legal uncertainty and undermine the principle of legal predictability.</w:t>
      </w:r>
    </w:p>
    <w:p w14:paraId="5C79767F" w14:textId="77777777" w:rsidR="00120CB9" w:rsidRPr="00120CB9" w:rsidRDefault="00480C6B" w:rsidP="00120CB9">
      <w:pPr>
        <w:rPr>
          <w:rFonts w:ascii="Times New Roman" w:hAnsi="Times New Roman"/>
          <w:lang w:val="en-HK"/>
        </w:rPr>
      </w:pPr>
      <w:r w:rsidRPr="00480C6B">
        <w:rPr>
          <w:rFonts w:ascii="Times New Roman" w:hAnsi="Times New Roman"/>
          <w:noProof/>
          <w:lang w:val="en-HK"/>
          <w14:ligatures w14:val="standardContextual"/>
        </w:rPr>
        <w:pict w14:anchorId="7038BD95">
          <v:rect id="_x0000_i1050" alt="" style="width:451.3pt;height:.05pt;mso-width-percent:0;mso-height-percent:0;mso-width-percent:0;mso-height-percent:0" o:hralign="center" o:hrstd="t" o:hr="t" fillcolor="#a0a0a0" stroked="f"/>
        </w:pict>
      </w:r>
    </w:p>
    <w:p w14:paraId="3AC3DCAD" w14:textId="77777777" w:rsidR="00120CB9" w:rsidRPr="00120CB9" w:rsidRDefault="00120CB9" w:rsidP="00120CB9">
      <w:pPr>
        <w:spacing w:before="100" w:beforeAutospacing="1" w:after="100" w:afterAutospacing="1"/>
        <w:outlineLvl w:val="2"/>
        <w:rPr>
          <w:rFonts w:ascii="Times New Roman" w:hAnsi="Times New Roman"/>
          <w:b/>
          <w:bCs/>
          <w:sz w:val="27"/>
          <w:szCs w:val="27"/>
          <w:lang w:val="en-HK"/>
        </w:rPr>
      </w:pPr>
      <w:r w:rsidRPr="00120CB9">
        <w:rPr>
          <w:rFonts w:ascii="Times New Roman" w:hAnsi="Times New Roman"/>
          <w:b/>
          <w:bCs/>
          <w:sz w:val="27"/>
          <w:szCs w:val="27"/>
          <w:lang w:val="en-HK"/>
        </w:rPr>
        <w:lastRenderedPageBreak/>
        <w:t>2. Identifying Limits to the Scope of Article 34 TFEU</w:t>
      </w:r>
    </w:p>
    <w:p w14:paraId="06F599F7" w14:textId="77777777" w:rsidR="00120CB9" w:rsidRPr="00120CB9" w:rsidRDefault="00120CB9" w:rsidP="00120CB9">
      <w:pPr>
        <w:spacing w:before="100" w:beforeAutospacing="1" w:after="100" w:afterAutospacing="1"/>
        <w:outlineLvl w:val="3"/>
        <w:rPr>
          <w:rFonts w:ascii="Times New Roman" w:hAnsi="Times New Roman"/>
          <w:b/>
          <w:bCs/>
          <w:lang w:val="en-HK"/>
        </w:rPr>
      </w:pPr>
      <w:r w:rsidRPr="00120CB9">
        <w:rPr>
          <w:rFonts w:ascii="Times New Roman" w:hAnsi="Times New Roman"/>
          <w:b/>
          <w:bCs/>
          <w:lang w:val="en-HK"/>
        </w:rPr>
        <w:t>Ambiguity in the Scope of MEQRs</w:t>
      </w:r>
    </w:p>
    <w:p w14:paraId="1720464A" w14:textId="77777777" w:rsidR="00120CB9" w:rsidRPr="00120CB9" w:rsidRDefault="00120CB9" w:rsidP="00120CB9">
      <w:pPr>
        <w:numPr>
          <w:ilvl w:val="0"/>
          <w:numId w:val="9"/>
        </w:numPr>
        <w:spacing w:before="100" w:beforeAutospacing="1" w:after="100" w:afterAutospacing="1"/>
        <w:rPr>
          <w:rFonts w:ascii="Times New Roman" w:hAnsi="Times New Roman"/>
          <w:lang w:val="en-HK"/>
        </w:rPr>
      </w:pPr>
      <w:r w:rsidRPr="00120CB9">
        <w:rPr>
          <w:rFonts w:ascii="Times New Roman" w:hAnsi="Times New Roman"/>
          <w:lang w:val="en-HK"/>
        </w:rPr>
        <w:t xml:space="preserve">The </w:t>
      </w:r>
      <w:proofErr w:type="spellStart"/>
      <w:r w:rsidRPr="00120CB9">
        <w:rPr>
          <w:rFonts w:ascii="Times New Roman" w:hAnsi="Times New Roman"/>
          <w:b/>
          <w:bCs/>
          <w:lang w:val="en-HK"/>
        </w:rPr>
        <w:t>Dassonville</w:t>
      </w:r>
      <w:proofErr w:type="spellEnd"/>
      <w:r w:rsidRPr="00120CB9">
        <w:rPr>
          <w:rFonts w:ascii="Times New Roman" w:hAnsi="Times New Roman"/>
          <w:b/>
          <w:bCs/>
          <w:lang w:val="en-HK"/>
        </w:rPr>
        <w:t xml:space="preserve"> formula</w:t>
      </w:r>
      <w:r w:rsidRPr="00120CB9">
        <w:rPr>
          <w:rFonts w:ascii="Times New Roman" w:hAnsi="Times New Roman"/>
          <w:lang w:val="en-HK"/>
        </w:rPr>
        <w:t>’s broad phrasing captures a wide range of measures, including rules that might not have a significant impact on cross-border trade.</w:t>
      </w:r>
    </w:p>
    <w:p w14:paraId="4C354924" w14:textId="77777777" w:rsidR="00120CB9" w:rsidRPr="00120CB9" w:rsidRDefault="00120CB9" w:rsidP="00120CB9">
      <w:pPr>
        <w:numPr>
          <w:ilvl w:val="0"/>
          <w:numId w:val="9"/>
        </w:numPr>
        <w:spacing w:before="100" w:beforeAutospacing="1" w:after="100" w:afterAutospacing="1"/>
        <w:rPr>
          <w:rFonts w:ascii="Times New Roman" w:hAnsi="Times New Roman"/>
          <w:lang w:val="en-HK"/>
        </w:rPr>
      </w:pPr>
      <w:r w:rsidRPr="00120CB9">
        <w:rPr>
          <w:rFonts w:ascii="Times New Roman" w:hAnsi="Times New Roman"/>
          <w:lang w:val="en-HK"/>
        </w:rPr>
        <w:t>Horsley describes the formula as "breathtakingly open-textured," making it challenging to delineate the boundaries of Article 34.</w:t>
      </w:r>
    </w:p>
    <w:p w14:paraId="3343D620" w14:textId="77777777" w:rsidR="00120CB9" w:rsidRPr="00120CB9" w:rsidRDefault="00120CB9" w:rsidP="00120CB9">
      <w:pPr>
        <w:numPr>
          <w:ilvl w:val="0"/>
          <w:numId w:val="9"/>
        </w:numPr>
        <w:spacing w:before="100" w:beforeAutospacing="1" w:after="100" w:afterAutospacing="1"/>
        <w:rPr>
          <w:rFonts w:ascii="Times New Roman" w:hAnsi="Times New Roman"/>
          <w:lang w:val="en-HK"/>
        </w:rPr>
      </w:pPr>
      <w:r w:rsidRPr="00120CB9">
        <w:rPr>
          <w:rFonts w:ascii="Times New Roman" w:hAnsi="Times New Roman"/>
          <w:b/>
          <w:bCs/>
          <w:lang w:val="en-HK"/>
        </w:rPr>
        <w:t>Criticism</w:t>
      </w:r>
      <w:r w:rsidRPr="00120CB9">
        <w:rPr>
          <w:rFonts w:ascii="Times New Roman" w:hAnsi="Times New Roman"/>
          <w:lang w:val="en-HK"/>
        </w:rPr>
        <w:t>:</w:t>
      </w:r>
    </w:p>
    <w:p w14:paraId="4C7A609E" w14:textId="77777777" w:rsidR="00120CB9" w:rsidRPr="00120CB9" w:rsidRDefault="00120CB9" w:rsidP="00120CB9">
      <w:pPr>
        <w:numPr>
          <w:ilvl w:val="1"/>
          <w:numId w:val="9"/>
        </w:numPr>
        <w:spacing w:before="100" w:beforeAutospacing="1" w:after="100" w:afterAutospacing="1"/>
        <w:rPr>
          <w:rFonts w:ascii="Times New Roman" w:hAnsi="Times New Roman"/>
          <w:lang w:val="en-HK"/>
        </w:rPr>
      </w:pPr>
      <w:r w:rsidRPr="00120CB9">
        <w:rPr>
          <w:rFonts w:ascii="Times New Roman" w:hAnsi="Times New Roman"/>
          <w:lang w:val="en-HK"/>
        </w:rPr>
        <w:t xml:space="preserve">Scholars like </w:t>
      </w:r>
      <w:proofErr w:type="spellStart"/>
      <w:r w:rsidRPr="00120CB9">
        <w:rPr>
          <w:rFonts w:ascii="Times New Roman" w:hAnsi="Times New Roman"/>
          <w:lang w:val="en-HK"/>
        </w:rPr>
        <w:t>Mortelmans</w:t>
      </w:r>
      <w:proofErr w:type="spellEnd"/>
      <w:r w:rsidRPr="00120CB9">
        <w:rPr>
          <w:rFonts w:ascii="Times New Roman" w:hAnsi="Times New Roman"/>
          <w:lang w:val="en-HK"/>
        </w:rPr>
        <w:t xml:space="preserve"> and Oliver have argued that this definition risks subjecting virtually all national regulations to EU scrutiny, even those with limited relevance to the internal market.</w:t>
      </w:r>
    </w:p>
    <w:p w14:paraId="0DD962D2" w14:textId="77777777" w:rsidR="00120CB9" w:rsidRPr="00120CB9" w:rsidRDefault="00120CB9" w:rsidP="00120CB9">
      <w:pPr>
        <w:spacing w:before="100" w:beforeAutospacing="1" w:after="100" w:afterAutospacing="1"/>
        <w:outlineLvl w:val="3"/>
        <w:rPr>
          <w:rFonts w:ascii="Times New Roman" w:hAnsi="Times New Roman"/>
          <w:b/>
          <w:bCs/>
          <w:lang w:val="en-HK"/>
        </w:rPr>
      </w:pPr>
      <w:r w:rsidRPr="00120CB9">
        <w:rPr>
          <w:rFonts w:ascii="Times New Roman" w:hAnsi="Times New Roman"/>
          <w:b/>
          <w:bCs/>
          <w:lang w:val="en-HK"/>
        </w:rPr>
        <w:t>Judicial Devices to Exclude Certain Measures</w:t>
      </w:r>
    </w:p>
    <w:p w14:paraId="67B0C876" w14:textId="77777777" w:rsidR="00120CB9" w:rsidRPr="00120CB9" w:rsidRDefault="00120CB9" w:rsidP="00120CB9">
      <w:pPr>
        <w:numPr>
          <w:ilvl w:val="0"/>
          <w:numId w:val="10"/>
        </w:numPr>
        <w:spacing w:before="100" w:beforeAutospacing="1" w:after="100" w:afterAutospacing="1"/>
        <w:rPr>
          <w:rFonts w:ascii="Times New Roman" w:hAnsi="Times New Roman"/>
          <w:lang w:val="en-HK"/>
        </w:rPr>
      </w:pPr>
      <w:r w:rsidRPr="00120CB9">
        <w:rPr>
          <w:rFonts w:ascii="Times New Roman" w:hAnsi="Times New Roman"/>
          <w:lang w:val="en-HK"/>
        </w:rPr>
        <w:t>The CJEU introduced three exclusionary rules to manage the expansive scope of Article 34:</w:t>
      </w:r>
    </w:p>
    <w:p w14:paraId="04073D39" w14:textId="77777777" w:rsidR="00120CB9" w:rsidRPr="00120CB9" w:rsidRDefault="00120CB9" w:rsidP="00120CB9">
      <w:pPr>
        <w:numPr>
          <w:ilvl w:val="1"/>
          <w:numId w:val="10"/>
        </w:numPr>
        <w:spacing w:before="100" w:beforeAutospacing="1" w:after="100" w:afterAutospacing="1"/>
        <w:rPr>
          <w:rFonts w:ascii="Times New Roman" w:hAnsi="Times New Roman"/>
          <w:lang w:val="en-HK"/>
        </w:rPr>
      </w:pPr>
      <w:r w:rsidRPr="00120CB9">
        <w:rPr>
          <w:rFonts w:ascii="Times New Roman" w:hAnsi="Times New Roman"/>
          <w:b/>
          <w:bCs/>
          <w:lang w:val="en-HK"/>
        </w:rPr>
        <w:t>Measures with effects too uncertain and indirect</w:t>
      </w:r>
      <w:r w:rsidRPr="00120CB9">
        <w:rPr>
          <w:rFonts w:ascii="Times New Roman" w:hAnsi="Times New Roman"/>
          <w:lang w:val="en-HK"/>
        </w:rPr>
        <w:t>.</w:t>
      </w:r>
    </w:p>
    <w:p w14:paraId="24C46BD5" w14:textId="77777777" w:rsidR="00120CB9" w:rsidRPr="00120CB9" w:rsidRDefault="00120CB9" w:rsidP="00120CB9">
      <w:pPr>
        <w:numPr>
          <w:ilvl w:val="1"/>
          <w:numId w:val="10"/>
        </w:numPr>
        <w:spacing w:before="100" w:beforeAutospacing="1" w:after="100" w:afterAutospacing="1"/>
        <w:rPr>
          <w:rFonts w:ascii="Times New Roman" w:hAnsi="Times New Roman"/>
          <w:lang w:val="en-HK"/>
        </w:rPr>
      </w:pPr>
      <w:r w:rsidRPr="00120CB9">
        <w:rPr>
          <w:rFonts w:ascii="Times New Roman" w:hAnsi="Times New Roman"/>
          <w:b/>
          <w:bCs/>
          <w:lang w:val="en-HK"/>
        </w:rPr>
        <w:t>Certain selling arrangements</w:t>
      </w:r>
      <w:r w:rsidRPr="00120CB9">
        <w:rPr>
          <w:rFonts w:ascii="Times New Roman" w:hAnsi="Times New Roman"/>
          <w:lang w:val="en-HK"/>
        </w:rPr>
        <w:t xml:space="preserve"> (Keck jurisprudence).</w:t>
      </w:r>
    </w:p>
    <w:p w14:paraId="1E697FBB" w14:textId="77777777" w:rsidR="00120CB9" w:rsidRPr="00120CB9" w:rsidRDefault="00120CB9" w:rsidP="00120CB9">
      <w:pPr>
        <w:numPr>
          <w:ilvl w:val="1"/>
          <w:numId w:val="10"/>
        </w:numPr>
        <w:spacing w:before="100" w:beforeAutospacing="1" w:after="100" w:afterAutospacing="1"/>
        <w:rPr>
          <w:rFonts w:ascii="Times New Roman" w:hAnsi="Times New Roman"/>
          <w:lang w:val="en-HK"/>
        </w:rPr>
      </w:pPr>
      <w:r w:rsidRPr="00120CB9">
        <w:rPr>
          <w:rFonts w:ascii="Times New Roman" w:hAnsi="Times New Roman"/>
          <w:b/>
          <w:bCs/>
          <w:lang w:val="en-HK"/>
        </w:rPr>
        <w:t>Measures with insignificant effects</w:t>
      </w:r>
      <w:r w:rsidRPr="00120CB9">
        <w:rPr>
          <w:rFonts w:ascii="Times New Roman" w:hAnsi="Times New Roman"/>
          <w:lang w:val="en-HK"/>
        </w:rPr>
        <w:t>.</w:t>
      </w:r>
    </w:p>
    <w:p w14:paraId="5055E8FF" w14:textId="77777777" w:rsidR="00120CB9" w:rsidRPr="00120CB9" w:rsidRDefault="00120CB9" w:rsidP="00120CB9">
      <w:pPr>
        <w:spacing w:before="100" w:beforeAutospacing="1" w:after="100" w:afterAutospacing="1"/>
        <w:outlineLvl w:val="3"/>
        <w:rPr>
          <w:rFonts w:ascii="Times New Roman" w:hAnsi="Times New Roman"/>
          <w:b/>
          <w:bCs/>
          <w:lang w:val="en-HK"/>
        </w:rPr>
      </w:pPr>
      <w:r w:rsidRPr="00120CB9">
        <w:rPr>
          <w:rFonts w:ascii="Times New Roman" w:hAnsi="Times New Roman"/>
          <w:b/>
          <w:bCs/>
          <w:lang w:val="en-HK"/>
        </w:rPr>
        <w:t>Effects Too Uncertain and Indirect</w:t>
      </w:r>
    </w:p>
    <w:p w14:paraId="0AD86418" w14:textId="77777777" w:rsidR="00120CB9" w:rsidRPr="00120CB9" w:rsidRDefault="00120CB9" w:rsidP="00120CB9">
      <w:pPr>
        <w:numPr>
          <w:ilvl w:val="0"/>
          <w:numId w:val="11"/>
        </w:numPr>
        <w:spacing w:before="100" w:beforeAutospacing="1" w:after="100" w:afterAutospacing="1"/>
        <w:rPr>
          <w:rFonts w:ascii="Times New Roman" w:hAnsi="Times New Roman"/>
          <w:lang w:val="en-HK"/>
        </w:rPr>
      </w:pPr>
      <w:r w:rsidRPr="00120CB9">
        <w:rPr>
          <w:rFonts w:ascii="Times New Roman" w:hAnsi="Times New Roman"/>
          <w:lang w:val="en-HK"/>
        </w:rPr>
        <w:t>Origin:</w:t>
      </w:r>
    </w:p>
    <w:p w14:paraId="2A849DF3" w14:textId="77777777" w:rsidR="00120CB9" w:rsidRPr="00120CB9" w:rsidRDefault="00120CB9" w:rsidP="00120CB9">
      <w:pPr>
        <w:numPr>
          <w:ilvl w:val="1"/>
          <w:numId w:val="11"/>
        </w:numPr>
        <w:spacing w:before="100" w:beforeAutospacing="1" w:after="100" w:afterAutospacing="1"/>
        <w:rPr>
          <w:rFonts w:ascii="Times New Roman" w:hAnsi="Times New Roman"/>
          <w:lang w:val="en-HK"/>
        </w:rPr>
      </w:pPr>
      <w:r w:rsidRPr="00120CB9">
        <w:rPr>
          <w:rFonts w:ascii="Times New Roman" w:hAnsi="Times New Roman"/>
          <w:lang w:val="en-HK"/>
        </w:rPr>
        <w:t xml:space="preserve">The CJEU first applied this exclusionary rule in </w:t>
      </w:r>
      <w:r w:rsidRPr="00120CB9">
        <w:rPr>
          <w:rFonts w:ascii="Times New Roman" w:hAnsi="Times New Roman"/>
          <w:i/>
          <w:iCs/>
          <w:lang w:val="en-HK"/>
        </w:rPr>
        <w:t>Krantz GmbH v Netherlands</w:t>
      </w:r>
      <w:r w:rsidRPr="00120CB9">
        <w:rPr>
          <w:rFonts w:ascii="Times New Roman" w:hAnsi="Times New Roman"/>
          <w:lang w:val="en-HK"/>
        </w:rPr>
        <w:t xml:space="preserve"> (Case C-69/88), where a Dutch law allowing the seizure of goods as part of a tax debt recovery process was challenged under Article 34.</w:t>
      </w:r>
    </w:p>
    <w:p w14:paraId="3CAC33B7" w14:textId="77777777" w:rsidR="00120CB9" w:rsidRPr="00120CB9" w:rsidRDefault="00120CB9" w:rsidP="00120CB9">
      <w:pPr>
        <w:numPr>
          <w:ilvl w:val="1"/>
          <w:numId w:val="11"/>
        </w:numPr>
        <w:spacing w:before="100" w:beforeAutospacing="1" w:after="100" w:afterAutospacing="1"/>
        <w:rPr>
          <w:rFonts w:ascii="Times New Roman" w:hAnsi="Times New Roman"/>
          <w:lang w:val="en-HK"/>
        </w:rPr>
      </w:pPr>
      <w:r w:rsidRPr="00120CB9">
        <w:rPr>
          <w:rFonts w:ascii="Times New Roman" w:hAnsi="Times New Roman"/>
          <w:lang w:val="en-HK"/>
        </w:rPr>
        <w:t>The Court held that the measure’s impact on cross-border trade was “too uncertain and indirect” to constitute an MEQR.</w:t>
      </w:r>
    </w:p>
    <w:p w14:paraId="3548D56A" w14:textId="77777777" w:rsidR="00120CB9" w:rsidRPr="00120CB9" w:rsidRDefault="00120CB9" w:rsidP="00120CB9">
      <w:pPr>
        <w:numPr>
          <w:ilvl w:val="0"/>
          <w:numId w:val="11"/>
        </w:numPr>
        <w:spacing w:before="100" w:beforeAutospacing="1" w:after="100" w:afterAutospacing="1"/>
        <w:rPr>
          <w:rFonts w:ascii="Times New Roman" w:hAnsi="Times New Roman"/>
          <w:lang w:val="en-HK"/>
        </w:rPr>
      </w:pPr>
      <w:r w:rsidRPr="00120CB9">
        <w:rPr>
          <w:rFonts w:ascii="Times New Roman" w:hAnsi="Times New Roman"/>
          <w:lang w:val="en-HK"/>
        </w:rPr>
        <w:t>Judicial Explanation:</w:t>
      </w:r>
    </w:p>
    <w:p w14:paraId="4630067E" w14:textId="77777777" w:rsidR="00120CB9" w:rsidRPr="00120CB9" w:rsidRDefault="00120CB9" w:rsidP="00120CB9">
      <w:pPr>
        <w:numPr>
          <w:ilvl w:val="1"/>
          <w:numId w:val="11"/>
        </w:numPr>
        <w:spacing w:before="100" w:beforeAutospacing="1" w:after="100" w:afterAutospacing="1"/>
        <w:rPr>
          <w:rFonts w:ascii="Times New Roman" w:hAnsi="Times New Roman"/>
          <w:lang w:val="en-HK"/>
        </w:rPr>
      </w:pPr>
      <w:r w:rsidRPr="00120CB9">
        <w:rPr>
          <w:rFonts w:ascii="Times New Roman" w:hAnsi="Times New Roman"/>
          <w:lang w:val="en-HK"/>
        </w:rPr>
        <w:t>The Court introduced a causation test, requiring a direct link between the measure and its restrictive effect on trade.</w:t>
      </w:r>
    </w:p>
    <w:p w14:paraId="3B75F873" w14:textId="77777777" w:rsidR="00120CB9" w:rsidRPr="00120CB9" w:rsidRDefault="00120CB9" w:rsidP="00120CB9">
      <w:pPr>
        <w:numPr>
          <w:ilvl w:val="1"/>
          <w:numId w:val="11"/>
        </w:numPr>
        <w:spacing w:before="100" w:beforeAutospacing="1" w:after="100" w:afterAutospacing="1"/>
        <w:rPr>
          <w:rFonts w:ascii="Times New Roman" w:hAnsi="Times New Roman"/>
          <w:lang w:val="en-HK"/>
        </w:rPr>
      </w:pPr>
      <w:r w:rsidRPr="00120CB9">
        <w:rPr>
          <w:rFonts w:ascii="Times New Roman" w:hAnsi="Times New Roman"/>
          <w:lang w:val="en-HK"/>
        </w:rPr>
        <w:t>This approach prevents Article 34 from being used to challenge measures with only remote or speculative effects on the internal market.</w:t>
      </w:r>
    </w:p>
    <w:p w14:paraId="37C9241A" w14:textId="77777777" w:rsidR="00120CB9" w:rsidRPr="00120CB9" w:rsidRDefault="00120CB9" w:rsidP="00120CB9">
      <w:pPr>
        <w:numPr>
          <w:ilvl w:val="0"/>
          <w:numId w:val="11"/>
        </w:numPr>
        <w:spacing w:before="100" w:beforeAutospacing="1" w:after="100" w:afterAutospacing="1"/>
        <w:rPr>
          <w:rFonts w:ascii="Times New Roman" w:hAnsi="Times New Roman"/>
          <w:lang w:val="en-HK"/>
        </w:rPr>
      </w:pPr>
      <w:r w:rsidRPr="00120CB9">
        <w:rPr>
          <w:rFonts w:ascii="Times New Roman" w:hAnsi="Times New Roman"/>
          <w:lang w:val="en-HK"/>
        </w:rPr>
        <w:t>Case Examples:</w:t>
      </w:r>
    </w:p>
    <w:p w14:paraId="3A7AC87F" w14:textId="77777777" w:rsidR="00120CB9" w:rsidRPr="00120CB9" w:rsidRDefault="00120CB9" w:rsidP="00120CB9">
      <w:pPr>
        <w:numPr>
          <w:ilvl w:val="1"/>
          <w:numId w:val="11"/>
        </w:numPr>
        <w:spacing w:before="100" w:beforeAutospacing="1" w:after="100" w:afterAutospacing="1"/>
        <w:rPr>
          <w:rFonts w:ascii="Times New Roman" w:hAnsi="Times New Roman"/>
          <w:lang w:val="en-HK"/>
        </w:rPr>
      </w:pPr>
      <w:r w:rsidRPr="00120CB9">
        <w:rPr>
          <w:rFonts w:ascii="Times New Roman" w:hAnsi="Times New Roman"/>
          <w:b/>
          <w:bCs/>
          <w:lang w:val="en-HK"/>
        </w:rPr>
        <w:t>Corsica Ferries (C-266/96)</w:t>
      </w:r>
      <w:r w:rsidRPr="00120CB9">
        <w:rPr>
          <w:rFonts w:ascii="Times New Roman" w:hAnsi="Times New Roman"/>
          <w:lang w:val="en-HK"/>
        </w:rPr>
        <w:t>: A French measure giving preferential treatment to domestic ferry operators was excluded from Article 34 scrutiny because its effect on intra-EU trade was deemed too uncertain.</w:t>
      </w:r>
    </w:p>
    <w:p w14:paraId="136A7BD1" w14:textId="77777777" w:rsidR="00120CB9" w:rsidRPr="00120CB9" w:rsidRDefault="00120CB9" w:rsidP="00120CB9">
      <w:pPr>
        <w:numPr>
          <w:ilvl w:val="1"/>
          <w:numId w:val="11"/>
        </w:numPr>
        <w:spacing w:before="100" w:beforeAutospacing="1" w:after="100" w:afterAutospacing="1"/>
        <w:rPr>
          <w:rFonts w:ascii="Times New Roman" w:hAnsi="Times New Roman"/>
          <w:lang w:val="en-HK"/>
        </w:rPr>
      </w:pPr>
      <w:proofErr w:type="spellStart"/>
      <w:r w:rsidRPr="00120CB9">
        <w:rPr>
          <w:rFonts w:ascii="Times New Roman" w:hAnsi="Times New Roman"/>
          <w:b/>
          <w:bCs/>
          <w:lang w:val="en-HK"/>
        </w:rPr>
        <w:t>Bluhme</w:t>
      </w:r>
      <w:proofErr w:type="spellEnd"/>
      <w:r w:rsidRPr="00120CB9">
        <w:rPr>
          <w:rFonts w:ascii="Times New Roman" w:hAnsi="Times New Roman"/>
          <w:b/>
          <w:bCs/>
          <w:lang w:val="en-HK"/>
        </w:rPr>
        <w:t xml:space="preserve"> (C-67/97)</w:t>
      </w:r>
      <w:r w:rsidRPr="00120CB9">
        <w:rPr>
          <w:rFonts w:ascii="Times New Roman" w:hAnsi="Times New Roman"/>
          <w:lang w:val="en-HK"/>
        </w:rPr>
        <w:t>: A Danish law restricting bee imports to protect a local species was not excluded, as the effect on trade was deemed sufficiently direct.</w:t>
      </w:r>
    </w:p>
    <w:p w14:paraId="771CC5EF" w14:textId="77777777" w:rsidR="00120CB9" w:rsidRPr="00120CB9" w:rsidRDefault="00120CB9" w:rsidP="00120CB9">
      <w:pPr>
        <w:numPr>
          <w:ilvl w:val="0"/>
          <w:numId w:val="11"/>
        </w:numPr>
        <w:spacing w:before="100" w:beforeAutospacing="1" w:after="100" w:afterAutospacing="1"/>
        <w:rPr>
          <w:rFonts w:ascii="Times New Roman" w:hAnsi="Times New Roman"/>
          <w:lang w:val="en-HK"/>
        </w:rPr>
      </w:pPr>
      <w:r w:rsidRPr="00120CB9">
        <w:rPr>
          <w:rFonts w:ascii="Times New Roman" w:hAnsi="Times New Roman"/>
          <w:lang w:val="en-HK"/>
        </w:rPr>
        <w:t>Scholarly Views:</w:t>
      </w:r>
    </w:p>
    <w:p w14:paraId="25E246D4" w14:textId="77777777" w:rsidR="00120CB9" w:rsidRPr="00120CB9" w:rsidRDefault="00120CB9" w:rsidP="00120CB9">
      <w:pPr>
        <w:numPr>
          <w:ilvl w:val="1"/>
          <w:numId w:val="11"/>
        </w:numPr>
        <w:spacing w:before="100" w:beforeAutospacing="1" w:after="100" w:afterAutospacing="1"/>
        <w:rPr>
          <w:rFonts w:ascii="Times New Roman" w:hAnsi="Times New Roman"/>
          <w:lang w:val="en-HK"/>
        </w:rPr>
      </w:pPr>
      <w:proofErr w:type="spellStart"/>
      <w:r w:rsidRPr="00120CB9">
        <w:rPr>
          <w:rFonts w:ascii="Times New Roman" w:hAnsi="Times New Roman"/>
          <w:lang w:val="en-HK"/>
        </w:rPr>
        <w:t>Doukas</w:t>
      </w:r>
      <w:proofErr w:type="spellEnd"/>
      <w:r w:rsidRPr="00120CB9">
        <w:rPr>
          <w:rFonts w:ascii="Times New Roman" w:hAnsi="Times New Roman"/>
          <w:lang w:val="en-HK"/>
        </w:rPr>
        <w:t xml:space="preserve"> (2010): “The causation test provides a necessary safeguard against the overreach of EU free movement law.”</w:t>
      </w:r>
    </w:p>
    <w:p w14:paraId="74C40728" w14:textId="77777777" w:rsidR="00120CB9" w:rsidRPr="00120CB9" w:rsidRDefault="00120CB9" w:rsidP="00120CB9">
      <w:pPr>
        <w:numPr>
          <w:ilvl w:val="1"/>
          <w:numId w:val="11"/>
        </w:numPr>
        <w:spacing w:before="100" w:beforeAutospacing="1" w:after="100" w:afterAutospacing="1"/>
        <w:rPr>
          <w:rFonts w:ascii="Times New Roman" w:hAnsi="Times New Roman"/>
          <w:lang w:val="en-HK"/>
        </w:rPr>
      </w:pPr>
      <w:proofErr w:type="spellStart"/>
      <w:r w:rsidRPr="00120CB9">
        <w:rPr>
          <w:rFonts w:ascii="Times New Roman" w:hAnsi="Times New Roman"/>
          <w:lang w:val="en-HK"/>
        </w:rPr>
        <w:t>Mortelmans</w:t>
      </w:r>
      <w:proofErr w:type="spellEnd"/>
      <w:r w:rsidRPr="00120CB9">
        <w:rPr>
          <w:rFonts w:ascii="Times New Roman" w:hAnsi="Times New Roman"/>
          <w:lang w:val="en-HK"/>
        </w:rPr>
        <w:t xml:space="preserve"> (1998): Criticized the test as "under-theorized," arguing that the Court has not clearly defined the threshold for "direct effects."</w:t>
      </w:r>
    </w:p>
    <w:p w14:paraId="1F538910" w14:textId="77777777" w:rsidR="00120CB9" w:rsidRPr="00120CB9" w:rsidRDefault="00120CB9" w:rsidP="00120CB9">
      <w:pPr>
        <w:spacing w:before="100" w:beforeAutospacing="1" w:after="100" w:afterAutospacing="1"/>
        <w:outlineLvl w:val="3"/>
        <w:rPr>
          <w:rFonts w:ascii="Times New Roman" w:hAnsi="Times New Roman"/>
          <w:b/>
          <w:bCs/>
          <w:lang w:val="en-HK"/>
        </w:rPr>
      </w:pPr>
      <w:r w:rsidRPr="00120CB9">
        <w:rPr>
          <w:rFonts w:ascii="Times New Roman" w:hAnsi="Times New Roman"/>
          <w:b/>
          <w:bCs/>
          <w:lang w:val="en-HK"/>
        </w:rPr>
        <w:t>Certain Selling Arrangements (Keck Jurisprudence)</w:t>
      </w:r>
    </w:p>
    <w:p w14:paraId="62BDE421" w14:textId="77777777" w:rsidR="00120CB9" w:rsidRPr="00120CB9" w:rsidRDefault="00120CB9" w:rsidP="00120CB9">
      <w:pPr>
        <w:numPr>
          <w:ilvl w:val="0"/>
          <w:numId w:val="12"/>
        </w:numPr>
        <w:spacing w:before="100" w:beforeAutospacing="1" w:after="100" w:afterAutospacing="1"/>
        <w:rPr>
          <w:rFonts w:ascii="Times New Roman" w:hAnsi="Times New Roman"/>
          <w:lang w:val="en-HK"/>
        </w:rPr>
      </w:pPr>
      <w:r w:rsidRPr="00120CB9">
        <w:rPr>
          <w:rFonts w:ascii="Times New Roman" w:hAnsi="Times New Roman"/>
          <w:b/>
          <w:bCs/>
          <w:lang w:val="en-HK"/>
        </w:rPr>
        <w:t xml:space="preserve">Keck and </w:t>
      </w:r>
      <w:proofErr w:type="spellStart"/>
      <w:r w:rsidRPr="00120CB9">
        <w:rPr>
          <w:rFonts w:ascii="Times New Roman" w:hAnsi="Times New Roman"/>
          <w:b/>
          <w:bCs/>
          <w:lang w:val="en-HK"/>
        </w:rPr>
        <w:t>Mithouard</w:t>
      </w:r>
      <w:proofErr w:type="spellEnd"/>
      <w:r w:rsidRPr="00120CB9">
        <w:rPr>
          <w:rFonts w:ascii="Times New Roman" w:hAnsi="Times New Roman"/>
          <w:b/>
          <w:bCs/>
          <w:lang w:val="en-HK"/>
        </w:rPr>
        <w:t xml:space="preserve"> (Joined Cases C-267/91 and C-268/91)</w:t>
      </w:r>
      <w:r w:rsidRPr="00120CB9">
        <w:rPr>
          <w:rFonts w:ascii="Times New Roman" w:hAnsi="Times New Roman"/>
          <w:lang w:val="en-HK"/>
        </w:rPr>
        <w:t>:</w:t>
      </w:r>
    </w:p>
    <w:p w14:paraId="29E5C478" w14:textId="77777777" w:rsidR="00120CB9" w:rsidRPr="00120CB9" w:rsidRDefault="00120CB9" w:rsidP="00120CB9">
      <w:pPr>
        <w:numPr>
          <w:ilvl w:val="1"/>
          <w:numId w:val="12"/>
        </w:numPr>
        <w:spacing w:before="100" w:beforeAutospacing="1" w:after="100" w:afterAutospacing="1"/>
        <w:rPr>
          <w:rFonts w:ascii="Times New Roman" w:hAnsi="Times New Roman"/>
          <w:lang w:val="en-HK"/>
        </w:rPr>
      </w:pPr>
      <w:r w:rsidRPr="00120CB9">
        <w:rPr>
          <w:rFonts w:ascii="Times New Roman" w:hAnsi="Times New Roman"/>
          <w:lang w:val="en-HK"/>
        </w:rPr>
        <w:lastRenderedPageBreak/>
        <w:t>The CJEU introduced a distinction between:</w:t>
      </w:r>
    </w:p>
    <w:p w14:paraId="6EAEFA72" w14:textId="77777777" w:rsidR="00120CB9" w:rsidRPr="00120CB9" w:rsidRDefault="00120CB9" w:rsidP="00120CB9">
      <w:pPr>
        <w:numPr>
          <w:ilvl w:val="2"/>
          <w:numId w:val="12"/>
        </w:numPr>
        <w:spacing w:before="100" w:beforeAutospacing="1" w:after="100" w:afterAutospacing="1"/>
        <w:rPr>
          <w:rFonts w:ascii="Times New Roman" w:hAnsi="Times New Roman"/>
          <w:lang w:val="en-HK"/>
        </w:rPr>
      </w:pPr>
      <w:r w:rsidRPr="00120CB9">
        <w:rPr>
          <w:rFonts w:ascii="Times New Roman" w:hAnsi="Times New Roman"/>
          <w:b/>
          <w:bCs/>
          <w:lang w:val="en-HK"/>
        </w:rPr>
        <w:t>Product rules</w:t>
      </w:r>
      <w:r w:rsidRPr="00120CB9">
        <w:rPr>
          <w:rFonts w:ascii="Times New Roman" w:hAnsi="Times New Roman"/>
          <w:lang w:val="en-HK"/>
        </w:rPr>
        <w:t xml:space="preserve">: Rules affecting the physical characteristics of products (e.g., </w:t>
      </w:r>
      <w:proofErr w:type="spellStart"/>
      <w:r w:rsidRPr="00120CB9">
        <w:rPr>
          <w:rFonts w:ascii="Times New Roman" w:hAnsi="Times New Roman"/>
          <w:lang w:val="en-HK"/>
        </w:rPr>
        <w:t>labeling</w:t>
      </w:r>
      <w:proofErr w:type="spellEnd"/>
      <w:r w:rsidRPr="00120CB9">
        <w:rPr>
          <w:rFonts w:ascii="Times New Roman" w:hAnsi="Times New Roman"/>
          <w:lang w:val="en-HK"/>
        </w:rPr>
        <w:t>, packaging). These are considered MEQRs under Article 34.</w:t>
      </w:r>
    </w:p>
    <w:p w14:paraId="49CAD2DC" w14:textId="77777777" w:rsidR="00120CB9" w:rsidRPr="00120CB9" w:rsidRDefault="00120CB9" w:rsidP="00120CB9">
      <w:pPr>
        <w:numPr>
          <w:ilvl w:val="2"/>
          <w:numId w:val="12"/>
        </w:numPr>
        <w:spacing w:before="100" w:beforeAutospacing="1" w:after="100" w:afterAutospacing="1"/>
        <w:rPr>
          <w:rFonts w:ascii="Times New Roman" w:hAnsi="Times New Roman"/>
          <w:lang w:val="en-HK"/>
        </w:rPr>
      </w:pPr>
      <w:r w:rsidRPr="00120CB9">
        <w:rPr>
          <w:rFonts w:ascii="Times New Roman" w:hAnsi="Times New Roman"/>
          <w:b/>
          <w:bCs/>
          <w:lang w:val="en-HK"/>
        </w:rPr>
        <w:t>Selling arrangements</w:t>
      </w:r>
      <w:r w:rsidRPr="00120CB9">
        <w:rPr>
          <w:rFonts w:ascii="Times New Roman" w:hAnsi="Times New Roman"/>
          <w:lang w:val="en-HK"/>
        </w:rPr>
        <w:t>: Rules governing how, when, or where products are sold (e.g., shop opening hours). These are excluded if they apply equally to domestic and imported products in law and fact.</w:t>
      </w:r>
    </w:p>
    <w:p w14:paraId="05082DE6" w14:textId="77777777" w:rsidR="00120CB9" w:rsidRPr="00120CB9" w:rsidRDefault="00120CB9" w:rsidP="00120CB9">
      <w:pPr>
        <w:numPr>
          <w:ilvl w:val="1"/>
          <w:numId w:val="12"/>
        </w:numPr>
        <w:spacing w:before="100" w:beforeAutospacing="1" w:after="100" w:afterAutospacing="1"/>
        <w:rPr>
          <w:rFonts w:ascii="Times New Roman" w:hAnsi="Times New Roman"/>
          <w:lang w:val="en-HK"/>
        </w:rPr>
      </w:pPr>
      <w:r w:rsidRPr="00120CB9">
        <w:rPr>
          <w:rFonts w:ascii="Times New Roman" w:hAnsi="Times New Roman"/>
          <w:lang w:val="en-HK"/>
        </w:rPr>
        <w:t>Objective:</w:t>
      </w:r>
    </w:p>
    <w:p w14:paraId="25D57A37" w14:textId="77777777" w:rsidR="00120CB9" w:rsidRPr="00120CB9" w:rsidRDefault="00120CB9" w:rsidP="00120CB9">
      <w:pPr>
        <w:numPr>
          <w:ilvl w:val="2"/>
          <w:numId w:val="12"/>
        </w:numPr>
        <w:spacing w:before="100" w:beforeAutospacing="1" w:after="100" w:afterAutospacing="1"/>
        <w:rPr>
          <w:rFonts w:ascii="Times New Roman" w:hAnsi="Times New Roman"/>
          <w:lang w:val="en-HK"/>
        </w:rPr>
      </w:pPr>
      <w:r w:rsidRPr="00120CB9">
        <w:rPr>
          <w:rFonts w:ascii="Times New Roman" w:hAnsi="Times New Roman"/>
          <w:lang w:val="en-HK"/>
        </w:rPr>
        <w:t>To address the increasing number of challenges to national regulations under Article 34, which the Court viewed as an abuse of EU free movement law.</w:t>
      </w:r>
    </w:p>
    <w:p w14:paraId="09BE6986" w14:textId="77777777" w:rsidR="00120CB9" w:rsidRPr="00120CB9" w:rsidRDefault="00120CB9" w:rsidP="00120CB9">
      <w:pPr>
        <w:numPr>
          <w:ilvl w:val="1"/>
          <w:numId w:val="12"/>
        </w:numPr>
        <w:spacing w:before="100" w:beforeAutospacing="1" w:after="100" w:afterAutospacing="1"/>
        <w:rPr>
          <w:rFonts w:ascii="Times New Roman" w:hAnsi="Times New Roman"/>
          <w:lang w:val="en-HK"/>
        </w:rPr>
      </w:pPr>
      <w:r w:rsidRPr="00120CB9">
        <w:rPr>
          <w:rFonts w:ascii="Times New Roman" w:hAnsi="Times New Roman"/>
          <w:lang w:val="en-HK"/>
        </w:rPr>
        <w:t>Horsley’s Analysis:</w:t>
      </w:r>
    </w:p>
    <w:p w14:paraId="68E2EF7A" w14:textId="77777777" w:rsidR="00120CB9" w:rsidRPr="00120CB9" w:rsidRDefault="00120CB9" w:rsidP="00120CB9">
      <w:pPr>
        <w:numPr>
          <w:ilvl w:val="2"/>
          <w:numId w:val="12"/>
        </w:numPr>
        <w:spacing w:before="100" w:beforeAutospacing="1" w:after="100" w:afterAutospacing="1"/>
        <w:rPr>
          <w:rFonts w:ascii="Times New Roman" w:hAnsi="Times New Roman"/>
          <w:lang w:val="en-HK"/>
        </w:rPr>
      </w:pPr>
      <w:r w:rsidRPr="00120CB9">
        <w:rPr>
          <w:rFonts w:ascii="Times New Roman" w:hAnsi="Times New Roman"/>
          <w:lang w:val="en-HK"/>
        </w:rPr>
        <w:t>The Keck ruling represented a significant shift in the Court’s approach, aiming to balance market integration with regulatory autonomy.</w:t>
      </w:r>
    </w:p>
    <w:p w14:paraId="650A0531" w14:textId="77777777" w:rsidR="00120CB9" w:rsidRPr="00120CB9" w:rsidRDefault="00120CB9" w:rsidP="00120CB9">
      <w:pPr>
        <w:numPr>
          <w:ilvl w:val="2"/>
          <w:numId w:val="12"/>
        </w:numPr>
        <w:spacing w:before="100" w:beforeAutospacing="1" w:after="100" w:afterAutospacing="1"/>
        <w:rPr>
          <w:rFonts w:ascii="Times New Roman" w:hAnsi="Times New Roman"/>
          <w:lang w:val="en-HK"/>
        </w:rPr>
      </w:pPr>
      <w:r w:rsidRPr="00120CB9">
        <w:rPr>
          <w:rFonts w:ascii="Times New Roman" w:hAnsi="Times New Roman"/>
          <w:lang w:val="en-HK"/>
        </w:rPr>
        <w:t xml:space="preserve">However, subsequent case law has blurred the Keck distinction, with the Court sometimes reinterpreting selling arrangements as product rules (e.g., </w:t>
      </w:r>
      <w:r w:rsidRPr="00120CB9">
        <w:rPr>
          <w:rFonts w:ascii="Times New Roman" w:hAnsi="Times New Roman"/>
          <w:b/>
          <w:bCs/>
          <w:lang w:val="en-HK"/>
        </w:rPr>
        <w:t>Commission v Italy (Motorcycle Trailers, C-110/05)</w:t>
      </w:r>
      <w:r w:rsidRPr="00120CB9">
        <w:rPr>
          <w:rFonts w:ascii="Times New Roman" w:hAnsi="Times New Roman"/>
          <w:lang w:val="en-HK"/>
        </w:rPr>
        <w:t>).</w:t>
      </w:r>
    </w:p>
    <w:p w14:paraId="4C761BE4" w14:textId="77777777" w:rsidR="00120CB9" w:rsidRPr="00120CB9" w:rsidRDefault="00120CB9" w:rsidP="00120CB9">
      <w:pPr>
        <w:numPr>
          <w:ilvl w:val="0"/>
          <w:numId w:val="12"/>
        </w:numPr>
        <w:spacing w:before="100" w:beforeAutospacing="1" w:after="100" w:afterAutospacing="1"/>
        <w:rPr>
          <w:rFonts w:ascii="Times New Roman" w:hAnsi="Times New Roman"/>
          <w:lang w:val="en-HK"/>
        </w:rPr>
      </w:pPr>
      <w:r w:rsidRPr="00120CB9">
        <w:rPr>
          <w:rFonts w:ascii="Times New Roman" w:hAnsi="Times New Roman"/>
          <w:lang w:val="en-HK"/>
        </w:rPr>
        <w:t>Scholarly Criticism:</w:t>
      </w:r>
    </w:p>
    <w:p w14:paraId="6A18D3AA" w14:textId="77777777" w:rsidR="00120CB9" w:rsidRPr="00120CB9" w:rsidRDefault="00120CB9" w:rsidP="00120CB9">
      <w:pPr>
        <w:numPr>
          <w:ilvl w:val="1"/>
          <w:numId w:val="12"/>
        </w:numPr>
        <w:spacing w:before="100" w:beforeAutospacing="1" w:after="100" w:afterAutospacing="1"/>
        <w:rPr>
          <w:rFonts w:ascii="Times New Roman" w:hAnsi="Times New Roman"/>
          <w:lang w:val="en-HK"/>
        </w:rPr>
      </w:pPr>
      <w:proofErr w:type="spellStart"/>
      <w:r w:rsidRPr="00120CB9">
        <w:rPr>
          <w:rFonts w:ascii="Times New Roman" w:hAnsi="Times New Roman"/>
          <w:lang w:val="en-HK"/>
        </w:rPr>
        <w:t>Weatherill</w:t>
      </w:r>
      <w:proofErr w:type="spellEnd"/>
      <w:r w:rsidRPr="00120CB9">
        <w:rPr>
          <w:rFonts w:ascii="Times New Roman" w:hAnsi="Times New Roman"/>
          <w:lang w:val="en-HK"/>
        </w:rPr>
        <w:t xml:space="preserve"> (2014): “Keck is an elegant theory marred by inconsistent application.”</w:t>
      </w:r>
    </w:p>
    <w:p w14:paraId="557D18CB" w14:textId="77777777" w:rsidR="00120CB9" w:rsidRPr="00120CB9" w:rsidRDefault="00120CB9" w:rsidP="00120CB9">
      <w:pPr>
        <w:numPr>
          <w:ilvl w:val="1"/>
          <w:numId w:val="12"/>
        </w:numPr>
        <w:spacing w:before="100" w:beforeAutospacing="1" w:after="100" w:afterAutospacing="1"/>
        <w:rPr>
          <w:rFonts w:ascii="Times New Roman" w:hAnsi="Times New Roman"/>
          <w:lang w:val="en-HK"/>
        </w:rPr>
      </w:pPr>
      <w:r w:rsidRPr="00120CB9">
        <w:rPr>
          <w:rFonts w:ascii="Times New Roman" w:hAnsi="Times New Roman"/>
          <w:lang w:val="en-HK"/>
        </w:rPr>
        <w:t>Barnard (2017): Describes the Keck jurisprudence as “unstable,” citing cases where the Court has undermined the selling arrangements distinction.</w:t>
      </w:r>
    </w:p>
    <w:p w14:paraId="3B2CFD23" w14:textId="77777777" w:rsidR="00120CB9" w:rsidRPr="00120CB9" w:rsidRDefault="00120CB9" w:rsidP="00120CB9">
      <w:pPr>
        <w:spacing w:before="100" w:beforeAutospacing="1" w:after="100" w:afterAutospacing="1"/>
        <w:outlineLvl w:val="3"/>
        <w:rPr>
          <w:rFonts w:ascii="Times New Roman" w:hAnsi="Times New Roman"/>
          <w:b/>
          <w:bCs/>
          <w:lang w:val="en-HK"/>
        </w:rPr>
      </w:pPr>
      <w:r w:rsidRPr="00120CB9">
        <w:rPr>
          <w:rFonts w:ascii="Times New Roman" w:hAnsi="Times New Roman"/>
          <w:b/>
          <w:bCs/>
          <w:lang w:val="en-HK"/>
        </w:rPr>
        <w:t>Measures with Insignificant Effects</w:t>
      </w:r>
    </w:p>
    <w:p w14:paraId="47F7F5F1" w14:textId="77777777" w:rsidR="00120CB9" w:rsidRPr="00120CB9" w:rsidRDefault="00120CB9" w:rsidP="00120CB9">
      <w:pPr>
        <w:numPr>
          <w:ilvl w:val="0"/>
          <w:numId w:val="13"/>
        </w:numPr>
        <w:spacing w:before="100" w:beforeAutospacing="1" w:after="100" w:afterAutospacing="1"/>
        <w:rPr>
          <w:rFonts w:ascii="Times New Roman" w:hAnsi="Times New Roman"/>
          <w:lang w:val="en-HK"/>
        </w:rPr>
      </w:pPr>
      <w:r w:rsidRPr="00120CB9">
        <w:rPr>
          <w:rFonts w:ascii="Times New Roman" w:hAnsi="Times New Roman"/>
          <w:lang w:val="en-HK"/>
        </w:rPr>
        <w:t>Origin:</w:t>
      </w:r>
    </w:p>
    <w:p w14:paraId="0EA2EA4E" w14:textId="77777777" w:rsidR="00120CB9" w:rsidRPr="00120CB9" w:rsidRDefault="00120CB9" w:rsidP="00120CB9">
      <w:pPr>
        <w:numPr>
          <w:ilvl w:val="1"/>
          <w:numId w:val="13"/>
        </w:numPr>
        <w:spacing w:before="100" w:beforeAutospacing="1" w:after="100" w:afterAutospacing="1"/>
        <w:rPr>
          <w:rFonts w:ascii="Times New Roman" w:hAnsi="Times New Roman"/>
          <w:lang w:val="en-HK"/>
        </w:rPr>
      </w:pPr>
      <w:r w:rsidRPr="00120CB9">
        <w:rPr>
          <w:rFonts w:ascii="Times New Roman" w:hAnsi="Times New Roman"/>
          <w:lang w:val="en-HK"/>
        </w:rPr>
        <w:t xml:space="preserve">The CJEU first applied this rule in </w:t>
      </w:r>
      <w:proofErr w:type="spellStart"/>
      <w:r w:rsidRPr="00120CB9">
        <w:rPr>
          <w:rFonts w:ascii="Times New Roman" w:hAnsi="Times New Roman"/>
          <w:i/>
          <w:iCs/>
          <w:lang w:val="en-HK"/>
        </w:rPr>
        <w:t>Burmanjer</w:t>
      </w:r>
      <w:proofErr w:type="spellEnd"/>
      <w:r w:rsidRPr="00120CB9">
        <w:rPr>
          <w:rFonts w:ascii="Times New Roman" w:hAnsi="Times New Roman"/>
          <w:i/>
          <w:iCs/>
          <w:lang w:val="en-HK"/>
        </w:rPr>
        <w:t xml:space="preserve"> v Netherlands</w:t>
      </w:r>
      <w:r w:rsidRPr="00120CB9">
        <w:rPr>
          <w:rFonts w:ascii="Times New Roman" w:hAnsi="Times New Roman"/>
          <w:lang w:val="en-HK"/>
        </w:rPr>
        <w:t xml:space="preserve"> (Case C-20/03), where a Dutch law regulating street trading was challenged under Article 34.</w:t>
      </w:r>
    </w:p>
    <w:p w14:paraId="1B037E51" w14:textId="77777777" w:rsidR="00120CB9" w:rsidRPr="00120CB9" w:rsidRDefault="00120CB9" w:rsidP="00120CB9">
      <w:pPr>
        <w:numPr>
          <w:ilvl w:val="1"/>
          <w:numId w:val="13"/>
        </w:numPr>
        <w:spacing w:before="100" w:beforeAutospacing="1" w:after="100" w:afterAutospacing="1"/>
        <w:rPr>
          <w:rFonts w:ascii="Times New Roman" w:hAnsi="Times New Roman"/>
          <w:lang w:val="en-HK"/>
        </w:rPr>
      </w:pPr>
      <w:r w:rsidRPr="00120CB9">
        <w:rPr>
          <w:rFonts w:ascii="Times New Roman" w:hAnsi="Times New Roman"/>
          <w:lang w:val="en-HK"/>
        </w:rPr>
        <w:t>The Court held that the measure’s impact on cross-border trade was “too insignificant” to fall within the scope of Article 34.</w:t>
      </w:r>
    </w:p>
    <w:p w14:paraId="7011A3F1" w14:textId="77777777" w:rsidR="00120CB9" w:rsidRPr="00120CB9" w:rsidRDefault="00120CB9" w:rsidP="00120CB9">
      <w:pPr>
        <w:numPr>
          <w:ilvl w:val="0"/>
          <w:numId w:val="13"/>
        </w:numPr>
        <w:spacing w:before="100" w:beforeAutospacing="1" w:after="100" w:afterAutospacing="1"/>
        <w:rPr>
          <w:rFonts w:ascii="Times New Roman" w:hAnsi="Times New Roman"/>
          <w:lang w:val="en-HK"/>
        </w:rPr>
      </w:pPr>
      <w:r w:rsidRPr="00120CB9">
        <w:rPr>
          <w:rFonts w:ascii="Times New Roman" w:hAnsi="Times New Roman"/>
          <w:lang w:val="en-HK"/>
        </w:rPr>
        <w:t>Rationale:</w:t>
      </w:r>
    </w:p>
    <w:p w14:paraId="6FCB4F6E" w14:textId="77777777" w:rsidR="00120CB9" w:rsidRPr="00120CB9" w:rsidRDefault="00120CB9" w:rsidP="00120CB9">
      <w:pPr>
        <w:numPr>
          <w:ilvl w:val="1"/>
          <w:numId w:val="13"/>
        </w:numPr>
        <w:spacing w:before="100" w:beforeAutospacing="1" w:after="100" w:afterAutospacing="1"/>
        <w:rPr>
          <w:rFonts w:ascii="Times New Roman" w:hAnsi="Times New Roman"/>
          <w:lang w:val="en-HK"/>
        </w:rPr>
      </w:pPr>
      <w:r w:rsidRPr="00120CB9">
        <w:rPr>
          <w:rFonts w:ascii="Times New Roman" w:hAnsi="Times New Roman"/>
          <w:lang w:val="en-HK"/>
        </w:rPr>
        <w:t>The Court recognized that not all trade barriers warrant EU-level intervention. Measures with negligible effects on trade should remain within the regulatory domain of Member States.</w:t>
      </w:r>
    </w:p>
    <w:p w14:paraId="65B32AF7" w14:textId="77777777" w:rsidR="00120CB9" w:rsidRPr="00120CB9" w:rsidRDefault="00120CB9" w:rsidP="00120CB9">
      <w:pPr>
        <w:numPr>
          <w:ilvl w:val="0"/>
          <w:numId w:val="13"/>
        </w:numPr>
        <w:spacing w:before="100" w:beforeAutospacing="1" w:after="100" w:afterAutospacing="1"/>
        <w:rPr>
          <w:rFonts w:ascii="Times New Roman" w:hAnsi="Times New Roman"/>
          <w:lang w:val="en-HK"/>
        </w:rPr>
      </w:pPr>
      <w:r w:rsidRPr="00120CB9">
        <w:rPr>
          <w:rFonts w:ascii="Times New Roman" w:hAnsi="Times New Roman"/>
          <w:lang w:val="en-HK"/>
        </w:rPr>
        <w:t>Horsley’s Analysis:</w:t>
      </w:r>
    </w:p>
    <w:p w14:paraId="25843740" w14:textId="77777777" w:rsidR="00120CB9" w:rsidRPr="00120CB9" w:rsidRDefault="00120CB9" w:rsidP="00120CB9">
      <w:pPr>
        <w:numPr>
          <w:ilvl w:val="1"/>
          <w:numId w:val="13"/>
        </w:numPr>
        <w:spacing w:before="100" w:beforeAutospacing="1" w:after="100" w:afterAutospacing="1"/>
        <w:rPr>
          <w:rFonts w:ascii="Times New Roman" w:hAnsi="Times New Roman"/>
          <w:lang w:val="en-HK"/>
        </w:rPr>
      </w:pPr>
      <w:r w:rsidRPr="00120CB9">
        <w:rPr>
          <w:rFonts w:ascii="Times New Roman" w:hAnsi="Times New Roman"/>
          <w:lang w:val="en-HK"/>
        </w:rPr>
        <w:t xml:space="preserve">This rule reflects the principle of </w:t>
      </w:r>
      <w:r w:rsidRPr="00120CB9">
        <w:rPr>
          <w:rFonts w:ascii="Times New Roman" w:hAnsi="Times New Roman"/>
          <w:b/>
          <w:bCs/>
          <w:lang w:val="en-HK"/>
        </w:rPr>
        <w:t>subsidiarity</w:t>
      </w:r>
      <w:r w:rsidRPr="00120CB9">
        <w:rPr>
          <w:rFonts w:ascii="Times New Roman" w:hAnsi="Times New Roman"/>
          <w:lang w:val="en-HK"/>
        </w:rPr>
        <w:t xml:space="preserve"> (Article 5(3) TEU), ensuring EU action is limited to areas where Member States cannot achieve objectives effectively.</w:t>
      </w:r>
    </w:p>
    <w:p w14:paraId="5C484CD8" w14:textId="77777777" w:rsidR="00120CB9" w:rsidRPr="00120CB9" w:rsidRDefault="00120CB9" w:rsidP="00120CB9">
      <w:pPr>
        <w:numPr>
          <w:ilvl w:val="0"/>
          <w:numId w:val="13"/>
        </w:numPr>
        <w:spacing w:before="100" w:beforeAutospacing="1" w:after="100" w:afterAutospacing="1"/>
        <w:rPr>
          <w:rFonts w:ascii="Times New Roman" w:hAnsi="Times New Roman"/>
          <w:lang w:val="en-HK"/>
        </w:rPr>
      </w:pPr>
      <w:r w:rsidRPr="00120CB9">
        <w:rPr>
          <w:rFonts w:ascii="Times New Roman" w:hAnsi="Times New Roman"/>
          <w:lang w:val="en-HK"/>
        </w:rPr>
        <w:t>Criticism:</w:t>
      </w:r>
    </w:p>
    <w:p w14:paraId="5CB8D5F4" w14:textId="77777777" w:rsidR="00120CB9" w:rsidRPr="00120CB9" w:rsidRDefault="00120CB9" w:rsidP="00120CB9">
      <w:pPr>
        <w:numPr>
          <w:ilvl w:val="1"/>
          <w:numId w:val="13"/>
        </w:numPr>
        <w:spacing w:before="100" w:beforeAutospacing="1" w:after="100" w:afterAutospacing="1"/>
        <w:rPr>
          <w:rFonts w:ascii="Times New Roman" w:hAnsi="Times New Roman"/>
          <w:lang w:val="en-HK"/>
        </w:rPr>
      </w:pPr>
      <w:r w:rsidRPr="00120CB9">
        <w:rPr>
          <w:rFonts w:ascii="Times New Roman" w:hAnsi="Times New Roman"/>
          <w:lang w:val="en-HK"/>
        </w:rPr>
        <w:t xml:space="preserve">Scholars like Gormley and </w:t>
      </w:r>
      <w:proofErr w:type="spellStart"/>
      <w:r w:rsidRPr="00120CB9">
        <w:rPr>
          <w:rFonts w:ascii="Times New Roman" w:hAnsi="Times New Roman"/>
          <w:lang w:val="en-HK"/>
        </w:rPr>
        <w:t>Spaventa</w:t>
      </w:r>
      <w:proofErr w:type="spellEnd"/>
      <w:r w:rsidRPr="00120CB9">
        <w:rPr>
          <w:rFonts w:ascii="Times New Roman" w:hAnsi="Times New Roman"/>
          <w:lang w:val="en-HK"/>
        </w:rPr>
        <w:t xml:space="preserve"> argue that the “insignificant effects” rule lacks clear criteria, creating legal uncertainty for traders and national regulators.</w:t>
      </w:r>
    </w:p>
    <w:p w14:paraId="39F4E987" w14:textId="77777777" w:rsidR="00120CB9" w:rsidRPr="00120CB9" w:rsidRDefault="00480C6B" w:rsidP="00120CB9">
      <w:pPr>
        <w:rPr>
          <w:rFonts w:ascii="Times New Roman" w:hAnsi="Times New Roman"/>
          <w:lang w:val="en-HK"/>
        </w:rPr>
      </w:pPr>
      <w:r w:rsidRPr="00480C6B">
        <w:rPr>
          <w:rFonts w:ascii="Times New Roman" w:hAnsi="Times New Roman"/>
          <w:noProof/>
          <w:lang w:val="en-HK"/>
          <w14:ligatures w14:val="standardContextual"/>
        </w:rPr>
        <w:pict w14:anchorId="4BCDE2F5">
          <v:rect id="_x0000_i1049" alt="" style="width:451.3pt;height:.05pt;mso-width-percent:0;mso-height-percent:0;mso-width-percent:0;mso-height-percent:0" o:hralign="center" o:hrstd="t" o:hr="t" fillcolor="#a0a0a0" stroked="f"/>
        </w:pict>
      </w:r>
    </w:p>
    <w:p w14:paraId="422D25FC" w14:textId="77777777" w:rsidR="00120CB9" w:rsidRPr="00120CB9" w:rsidRDefault="00120CB9" w:rsidP="00120CB9">
      <w:pPr>
        <w:spacing w:before="100" w:beforeAutospacing="1" w:after="100" w:afterAutospacing="1"/>
        <w:outlineLvl w:val="2"/>
        <w:rPr>
          <w:rFonts w:ascii="Times New Roman" w:hAnsi="Times New Roman"/>
          <w:b/>
          <w:bCs/>
          <w:sz w:val="27"/>
          <w:szCs w:val="27"/>
          <w:lang w:val="en-HK"/>
        </w:rPr>
      </w:pPr>
      <w:r w:rsidRPr="00120CB9">
        <w:rPr>
          <w:rFonts w:ascii="Times New Roman" w:hAnsi="Times New Roman"/>
          <w:b/>
          <w:bCs/>
          <w:sz w:val="27"/>
          <w:szCs w:val="27"/>
          <w:lang w:val="en-HK"/>
        </w:rPr>
        <w:t>3. Exclusionary Rules: Substance, Function, and Interaction</w:t>
      </w:r>
    </w:p>
    <w:p w14:paraId="59170E29" w14:textId="77777777" w:rsidR="00120CB9" w:rsidRPr="00120CB9" w:rsidRDefault="00120CB9" w:rsidP="00120CB9">
      <w:pPr>
        <w:spacing w:before="100" w:beforeAutospacing="1" w:after="100" w:afterAutospacing="1"/>
        <w:outlineLvl w:val="3"/>
        <w:rPr>
          <w:rFonts w:ascii="Times New Roman" w:hAnsi="Times New Roman"/>
          <w:b/>
          <w:bCs/>
          <w:lang w:val="en-HK"/>
        </w:rPr>
      </w:pPr>
      <w:r w:rsidRPr="00120CB9">
        <w:rPr>
          <w:rFonts w:ascii="Times New Roman" w:hAnsi="Times New Roman"/>
          <w:b/>
          <w:bCs/>
          <w:lang w:val="en-HK"/>
        </w:rPr>
        <w:t>Introduction to Exclusionary Rules</w:t>
      </w:r>
    </w:p>
    <w:p w14:paraId="64871E06" w14:textId="77777777" w:rsidR="00120CB9" w:rsidRPr="00120CB9" w:rsidRDefault="00120CB9" w:rsidP="00120CB9">
      <w:pPr>
        <w:spacing w:before="100" w:beforeAutospacing="1" w:after="100" w:afterAutospacing="1"/>
        <w:rPr>
          <w:rFonts w:ascii="Times New Roman" w:hAnsi="Times New Roman"/>
          <w:lang w:val="en-HK"/>
        </w:rPr>
      </w:pPr>
      <w:r w:rsidRPr="00120CB9">
        <w:rPr>
          <w:rFonts w:ascii="Times New Roman" w:hAnsi="Times New Roman"/>
          <w:lang w:val="en-HK"/>
        </w:rPr>
        <w:lastRenderedPageBreak/>
        <w:t xml:space="preserve">Horsley discusses the </w:t>
      </w:r>
      <w:r w:rsidRPr="00120CB9">
        <w:rPr>
          <w:rFonts w:ascii="Times New Roman" w:hAnsi="Times New Roman"/>
          <w:b/>
          <w:bCs/>
          <w:lang w:val="en-HK"/>
        </w:rPr>
        <w:t>judicial devices</w:t>
      </w:r>
      <w:r w:rsidRPr="00120CB9">
        <w:rPr>
          <w:rFonts w:ascii="Times New Roman" w:hAnsi="Times New Roman"/>
          <w:lang w:val="en-HK"/>
        </w:rPr>
        <w:t xml:space="preserve"> used by the Court of Justice of the European Union (CJEU) to limit the scope of Article 34 TFEU, emphasizing their role in balancing market integration with Member State regulatory autonomy.</w:t>
      </w:r>
    </w:p>
    <w:p w14:paraId="2E97B1EF" w14:textId="77777777" w:rsidR="00120CB9" w:rsidRPr="00120CB9" w:rsidRDefault="00120CB9" w:rsidP="00120CB9">
      <w:pPr>
        <w:spacing w:before="100" w:beforeAutospacing="1" w:after="100" w:afterAutospacing="1"/>
        <w:rPr>
          <w:rFonts w:ascii="Times New Roman" w:hAnsi="Times New Roman"/>
          <w:b/>
          <w:bCs/>
          <w:color w:val="FF0000"/>
          <w:lang w:val="en-HK"/>
        </w:rPr>
      </w:pPr>
      <w:r w:rsidRPr="00120CB9">
        <w:rPr>
          <w:rFonts w:ascii="Times New Roman" w:hAnsi="Times New Roman"/>
          <w:b/>
          <w:bCs/>
          <w:color w:val="FF0000"/>
          <w:lang w:val="en-HK"/>
        </w:rPr>
        <w:t>These exclusionary rules include:</w:t>
      </w:r>
    </w:p>
    <w:p w14:paraId="0C91EAEE" w14:textId="77777777" w:rsidR="00120CB9" w:rsidRPr="00120CB9" w:rsidRDefault="00120CB9" w:rsidP="00120CB9">
      <w:pPr>
        <w:numPr>
          <w:ilvl w:val="1"/>
          <w:numId w:val="14"/>
        </w:numPr>
        <w:spacing w:before="100" w:beforeAutospacing="1" w:after="100" w:afterAutospacing="1"/>
        <w:rPr>
          <w:rFonts w:ascii="Times New Roman" w:hAnsi="Times New Roman"/>
          <w:b/>
          <w:bCs/>
          <w:color w:val="FF0000"/>
          <w:lang w:val="en-HK"/>
        </w:rPr>
      </w:pPr>
      <w:r w:rsidRPr="00120CB9">
        <w:rPr>
          <w:rFonts w:ascii="Times New Roman" w:hAnsi="Times New Roman"/>
          <w:b/>
          <w:bCs/>
          <w:color w:val="FF0000"/>
          <w:lang w:val="en-HK"/>
        </w:rPr>
        <w:t>Effects too uncertain and indirect.</w:t>
      </w:r>
    </w:p>
    <w:p w14:paraId="54EE5C6A" w14:textId="77777777" w:rsidR="00120CB9" w:rsidRPr="00120CB9" w:rsidRDefault="00120CB9" w:rsidP="00120CB9">
      <w:pPr>
        <w:numPr>
          <w:ilvl w:val="1"/>
          <w:numId w:val="14"/>
        </w:numPr>
        <w:spacing w:before="100" w:beforeAutospacing="1" w:after="100" w:afterAutospacing="1"/>
        <w:rPr>
          <w:rFonts w:ascii="Times New Roman" w:hAnsi="Times New Roman"/>
          <w:b/>
          <w:bCs/>
          <w:color w:val="FF0000"/>
          <w:lang w:val="en-HK"/>
        </w:rPr>
      </w:pPr>
      <w:r w:rsidRPr="00120CB9">
        <w:rPr>
          <w:rFonts w:ascii="Times New Roman" w:hAnsi="Times New Roman"/>
          <w:b/>
          <w:bCs/>
          <w:color w:val="FF0000"/>
          <w:lang w:val="en-HK"/>
        </w:rPr>
        <w:t>Certain selling arrangements (Keck jurisprudence).</w:t>
      </w:r>
    </w:p>
    <w:p w14:paraId="575C31F0" w14:textId="77777777" w:rsidR="00120CB9" w:rsidRPr="00120CB9" w:rsidRDefault="00120CB9" w:rsidP="00120CB9">
      <w:pPr>
        <w:numPr>
          <w:ilvl w:val="1"/>
          <w:numId w:val="14"/>
        </w:numPr>
        <w:spacing w:before="100" w:beforeAutospacing="1" w:after="100" w:afterAutospacing="1"/>
        <w:rPr>
          <w:rFonts w:ascii="Times New Roman" w:hAnsi="Times New Roman"/>
          <w:b/>
          <w:bCs/>
          <w:color w:val="FF0000"/>
          <w:lang w:val="en-HK"/>
        </w:rPr>
      </w:pPr>
      <w:r w:rsidRPr="00120CB9">
        <w:rPr>
          <w:rFonts w:ascii="Times New Roman" w:hAnsi="Times New Roman"/>
          <w:b/>
          <w:bCs/>
          <w:color w:val="FF0000"/>
          <w:lang w:val="en-HK"/>
        </w:rPr>
        <w:t>Measures with insignificant effects.</w:t>
      </w:r>
    </w:p>
    <w:p w14:paraId="06F49F74" w14:textId="77777777" w:rsidR="00120CB9" w:rsidRPr="00120CB9" w:rsidRDefault="00120CB9" w:rsidP="00120CB9">
      <w:pPr>
        <w:spacing w:before="100" w:beforeAutospacing="1" w:after="100" w:afterAutospacing="1"/>
        <w:rPr>
          <w:rFonts w:ascii="Times New Roman" w:hAnsi="Times New Roman"/>
          <w:lang w:val="en-HK"/>
        </w:rPr>
      </w:pPr>
      <w:r w:rsidRPr="00120CB9">
        <w:rPr>
          <w:rFonts w:ascii="Times New Roman" w:hAnsi="Times New Roman"/>
          <w:lang w:val="en-HK"/>
        </w:rPr>
        <w:t xml:space="preserve">Each rule reflects the CJEU’s effort to manage the potentially overbroad reach of Article 34, as defined in the </w:t>
      </w:r>
      <w:proofErr w:type="spellStart"/>
      <w:r w:rsidRPr="00120CB9">
        <w:rPr>
          <w:rFonts w:ascii="Times New Roman" w:hAnsi="Times New Roman"/>
          <w:b/>
          <w:bCs/>
          <w:lang w:val="en-HK"/>
        </w:rPr>
        <w:t>Dassonville</w:t>
      </w:r>
      <w:proofErr w:type="spellEnd"/>
      <w:r w:rsidRPr="00120CB9">
        <w:rPr>
          <w:rFonts w:ascii="Times New Roman" w:hAnsi="Times New Roman"/>
          <w:b/>
          <w:bCs/>
          <w:lang w:val="en-HK"/>
        </w:rPr>
        <w:t xml:space="preserve"> formula</w:t>
      </w:r>
      <w:r w:rsidRPr="00120CB9">
        <w:rPr>
          <w:rFonts w:ascii="Times New Roman" w:hAnsi="Times New Roman"/>
          <w:lang w:val="en-HK"/>
        </w:rPr>
        <w:t>: "All trading rules enacted by Member States which are capable of hindering, directly or indirectly, actually or potentially, intra-Community trade" (</w:t>
      </w:r>
      <w:r w:rsidRPr="00120CB9">
        <w:rPr>
          <w:rFonts w:ascii="Times New Roman" w:hAnsi="Times New Roman"/>
          <w:i/>
          <w:iCs/>
          <w:lang w:val="en-HK"/>
        </w:rPr>
        <w:t xml:space="preserve">Procureur du Roi v </w:t>
      </w:r>
      <w:proofErr w:type="spellStart"/>
      <w:r w:rsidRPr="00120CB9">
        <w:rPr>
          <w:rFonts w:ascii="Times New Roman" w:hAnsi="Times New Roman"/>
          <w:i/>
          <w:iCs/>
          <w:lang w:val="en-HK"/>
        </w:rPr>
        <w:t>Dassonville</w:t>
      </w:r>
      <w:proofErr w:type="spellEnd"/>
      <w:r w:rsidRPr="00120CB9">
        <w:rPr>
          <w:rFonts w:ascii="Times New Roman" w:hAnsi="Times New Roman"/>
          <w:lang w:val="en-HK"/>
        </w:rPr>
        <w:t>, Case 8/74).</w:t>
      </w:r>
    </w:p>
    <w:p w14:paraId="7195E1C1" w14:textId="77777777" w:rsidR="00120CB9" w:rsidRPr="00120CB9" w:rsidRDefault="00480C6B" w:rsidP="00120CB9">
      <w:pPr>
        <w:rPr>
          <w:rFonts w:ascii="Times New Roman" w:hAnsi="Times New Roman"/>
          <w:lang w:val="en-HK"/>
        </w:rPr>
      </w:pPr>
      <w:r w:rsidRPr="00480C6B">
        <w:rPr>
          <w:rFonts w:ascii="Times New Roman" w:hAnsi="Times New Roman"/>
          <w:noProof/>
          <w:lang w:val="en-HK"/>
          <w14:ligatures w14:val="standardContextual"/>
        </w:rPr>
        <w:pict w14:anchorId="02BB1112">
          <v:rect id="_x0000_i1048" alt="" style="width:451.3pt;height:.05pt;mso-width-percent:0;mso-height-percent:0;mso-width-percent:0;mso-height-percent:0" o:hralign="center" o:hrstd="t" o:hr="t" fillcolor="#a0a0a0" stroked="f"/>
        </w:pict>
      </w:r>
    </w:p>
    <w:p w14:paraId="1E02A74B" w14:textId="77777777" w:rsidR="00120CB9" w:rsidRPr="00120CB9" w:rsidRDefault="00120CB9" w:rsidP="00120CB9">
      <w:pPr>
        <w:spacing w:before="100" w:beforeAutospacing="1" w:after="100" w:afterAutospacing="1"/>
        <w:outlineLvl w:val="3"/>
        <w:rPr>
          <w:rFonts w:ascii="Times New Roman" w:hAnsi="Times New Roman"/>
          <w:b/>
          <w:bCs/>
          <w:lang w:val="en-HK"/>
        </w:rPr>
      </w:pPr>
      <w:r w:rsidRPr="00120CB9">
        <w:rPr>
          <w:rFonts w:ascii="Times New Roman" w:hAnsi="Times New Roman"/>
          <w:b/>
          <w:bCs/>
          <w:lang w:val="en-HK"/>
        </w:rPr>
        <w:t>1. Effects Too Uncertain and Indirect</w:t>
      </w:r>
    </w:p>
    <w:p w14:paraId="66D8BD96" w14:textId="77777777" w:rsidR="00120CB9" w:rsidRPr="00120CB9" w:rsidRDefault="00120CB9" w:rsidP="00120CB9">
      <w:pPr>
        <w:numPr>
          <w:ilvl w:val="0"/>
          <w:numId w:val="15"/>
        </w:numPr>
        <w:spacing w:before="100" w:beforeAutospacing="1" w:after="100" w:afterAutospacing="1"/>
        <w:rPr>
          <w:rFonts w:ascii="Times New Roman" w:hAnsi="Times New Roman"/>
          <w:lang w:val="en-HK"/>
        </w:rPr>
      </w:pPr>
      <w:r w:rsidRPr="00120CB9">
        <w:rPr>
          <w:rFonts w:ascii="Times New Roman" w:hAnsi="Times New Roman"/>
          <w:b/>
          <w:bCs/>
          <w:lang w:val="en-HK"/>
        </w:rPr>
        <w:t>Substance</w:t>
      </w:r>
      <w:r w:rsidRPr="00120CB9">
        <w:rPr>
          <w:rFonts w:ascii="Times New Roman" w:hAnsi="Times New Roman"/>
          <w:lang w:val="en-HK"/>
        </w:rPr>
        <w:t>:</w:t>
      </w:r>
    </w:p>
    <w:p w14:paraId="23EE1F6D" w14:textId="77777777" w:rsidR="00120CB9" w:rsidRPr="00120CB9" w:rsidRDefault="00120CB9" w:rsidP="00120CB9">
      <w:pPr>
        <w:numPr>
          <w:ilvl w:val="1"/>
          <w:numId w:val="15"/>
        </w:numPr>
        <w:spacing w:before="100" w:beforeAutospacing="1" w:after="100" w:afterAutospacing="1"/>
        <w:rPr>
          <w:rFonts w:ascii="Times New Roman" w:hAnsi="Times New Roman"/>
          <w:b/>
          <w:bCs/>
          <w:color w:val="FF0000"/>
          <w:lang w:val="en-HK"/>
        </w:rPr>
      </w:pPr>
      <w:r w:rsidRPr="00120CB9">
        <w:rPr>
          <w:rFonts w:ascii="Times New Roman" w:hAnsi="Times New Roman"/>
          <w:b/>
          <w:bCs/>
          <w:color w:val="FF0000"/>
          <w:lang w:val="en-HK"/>
        </w:rPr>
        <w:t>This exclusionary rule applies when a national measure’s effect on trade is too remote to constitute a "measure having equivalent effect" (MEQR) under Article 34.</w:t>
      </w:r>
    </w:p>
    <w:p w14:paraId="01385CB6" w14:textId="77777777" w:rsidR="00120CB9" w:rsidRPr="00120CB9" w:rsidRDefault="00120CB9" w:rsidP="00120CB9">
      <w:pPr>
        <w:numPr>
          <w:ilvl w:val="1"/>
          <w:numId w:val="15"/>
        </w:numPr>
        <w:spacing w:before="100" w:beforeAutospacing="1" w:after="100" w:afterAutospacing="1"/>
        <w:rPr>
          <w:rFonts w:ascii="Times New Roman" w:hAnsi="Times New Roman"/>
          <w:b/>
          <w:bCs/>
          <w:color w:val="FF0000"/>
          <w:lang w:val="en-HK"/>
        </w:rPr>
      </w:pPr>
      <w:r w:rsidRPr="00120CB9">
        <w:rPr>
          <w:rFonts w:ascii="Times New Roman" w:hAnsi="Times New Roman"/>
          <w:lang w:val="en-HK"/>
        </w:rPr>
        <w:t xml:space="preserve">The CJEU uses this rule to exclude cases where there is </w:t>
      </w:r>
      <w:r w:rsidRPr="00120CB9">
        <w:rPr>
          <w:rFonts w:ascii="Times New Roman" w:hAnsi="Times New Roman"/>
          <w:b/>
          <w:bCs/>
          <w:color w:val="FF0000"/>
          <w:lang w:val="en-HK"/>
        </w:rPr>
        <w:t>no direct causal link between the measure and the alleged trade restriction.</w:t>
      </w:r>
    </w:p>
    <w:p w14:paraId="6A4969DD" w14:textId="77777777" w:rsidR="00120CB9" w:rsidRPr="00120CB9" w:rsidRDefault="00120CB9" w:rsidP="00120CB9">
      <w:pPr>
        <w:numPr>
          <w:ilvl w:val="0"/>
          <w:numId w:val="15"/>
        </w:numPr>
        <w:spacing w:before="100" w:beforeAutospacing="1" w:after="100" w:afterAutospacing="1"/>
        <w:rPr>
          <w:rFonts w:ascii="Times New Roman" w:hAnsi="Times New Roman"/>
          <w:lang w:val="en-HK"/>
        </w:rPr>
      </w:pPr>
      <w:r w:rsidRPr="00120CB9">
        <w:rPr>
          <w:rFonts w:ascii="Times New Roman" w:hAnsi="Times New Roman"/>
          <w:b/>
          <w:bCs/>
          <w:lang w:val="en-HK"/>
        </w:rPr>
        <w:t>Origin and Case Law</w:t>
      </w:r>
      <w:r w:rsidRPr="00120CB9">
        <w:rPr>
          <w:rFonts w:ascii="Times New Roman" w:hAnsi="Times New Roman"/>
          <w:lang w:val="en-HK"/>
        </w:rPr>
        <w:t>:</w:t>
      </w:r>
    </w:p>
    <w:p w14:paraId="1D6F2286" w14:textId="77777777" w:rsidR="00120CB9" w:rsidRPr="00120CB9" w:rsidRDefault="00120CB9" w:rsidP="00120CB9">
      <w:pPr>
        <w:numPr>
          <w:ilvl w:val="1"/>
          <w:numId w:val="15"/>
        </w:numPr>
        <w:spacing w:before="100" w:beforeAutospacing="1" w:after="100" w:afterAutospacing="1"/>
        <w:rPr>
          <w:rFonts w:ascii="Times New Roman" w:hAnsi="Times New Roman"/>
          <w:lang w:val="en-HK"/>
        </w:rPr>
      </w:pPr>
      <w:r w:rsidRPr="00120CB9">
        <w:rPr>
          <w:rFonts w:ascii="Times New Roman" w:hAnsi="Times New Roman"/>
          <w:b/>
          <w:bCs/>
          <w:lang w:val="en-HK"/>
        </w:rPr>
        <w:t>Krantz GmbH v Netherlands</w:t>
      </w:r>
      <w:r w:rsidRPr="00120CB9">
        <w:rPr>
          <w:rFonts w:ascii="Times New Roman" w:hAnsi="Times New Roman"/>
          <w:lang w:val="en-HK"/>
        </w:rPr>
        <w:t xml:space="preserve"> (Case C-69/88):</w:t>
      </w:r>
    </w:p>
    <w:p w14:paraId="4B8C2873" w14:textId="77777777" w:rsidR="00120CB9" w:rsidRPr="00120CB9" w:rsidRDefault="00120CB9" w:rsidP="00120CB9">
      <w:pPr>
        <w:numPr>
          <w:ilvl w:val="2"/>
          <w:numId w:val="15"/>
        </w:numPr>
        <w:spacing w:before="100" w:beforeAutospacing="1" w:after="100" w:afterAutospacing="1"/>
        <w:rPr>
          <w:rFonts w:ascii="Times New Roman" w:hAnsi="Times New Roman"/>
          <w:lang w:val="en-HK"/>
        </w:rPr>
      </w:pPr>
      <w:r w:rsidRPr="00120CB9">
        <w:rPr>
          <w:rFonts w:ascii="Times New Roman" w:hAnsi="Times New Roman"/>
          <w:lang w:val="en-HK"/>
        </w:rPr>
        <w:t>Dutch tax law allowed the seizure of goods to recover unpaid taxes. The Court ruled the measure’s effect on intra-EU trade was too uncertain and indirect to qualify as an MEQR under Article 34.</w:t>
      </w:r>
    </w:p>
    <w:p w14:paraId="5AF89F57" w14:textId="77777777" w:rsidR="00120CB9" w:rsidRPr="00120CB9" w:rsidRDefault="00120CB9" w:rsidP="00120CB9">
      <w:pPr>
        <w:numPr>
          <w:ilvl w:val="2"/>
          <w:numId w:val="15"/>
        </w:numPr>
        <w:spacing w:before="100" w:beforeAutospacing="1" w:after="100" w:afterAutospacing="1"/>
        <w:rPr>
          <w:rFonts w:ascii="Times New Roman" w:hAnsi="Times New Roman"/>
          <w:lang w:val="en-HK"/>
        </w:rPr>
      </w:pPr>
      <w:r w:rsidRPr="00120CB9">
        <w:rPr>
          <w:rFonts w:ascii="Times New Roman" w:hAnsi="Times New Roman"/>
          <w:lang w:val="en-HK"/>
        </w:rPr>
        <w:t>Quote: The CJEU held, “The adverse effects on imports which might arise were too uncertain and too indirect for the provisions of Article 34 to apply.”</w:t>
      </w:r>
    </w:p>
    <w:p w14:paraId="0F05A519" w14:textId="77777777" w:rsidR="00120CB9" w:rsidRPr="00120CB9" w:rsidRDefault="00120CB9" w:rsidP="00120CB9">
      <w:pPr>
        <w:numPr>
          <w:ilvl w:val="1"/>
          <w:numId w:val="15"/>
        </w:numPr>
        <w:spacing w:before="100" w:beforeAutospacing="1" w:after="100" w:afterAutospacing="1"/>
        <w:rPr>
          <w:rFonts w:ascii="Times New Roman" w:hAnsi="Times New Roman"/>
          <w:lang w:val="en-HK"/>
        </w:rPr>
      </w:pPr>
      <w:r w:rsidRPr="00120CB9">
        <w:rPr>
          <w:rFonts w:ascii="Times New Roman" w:hAnsi="Times New Roman"/>
          <w:b/>
          <w:bCs/>
          <w:lang w:val="en-HK"/>
        </w:rPr>
        <w:t xml:space="preserve">Corsica Ferries France SA v Gruppo </w:t>
      </w:r>
      <w:proofErr w:type="spellStart"/>
      <w:r w:rsidRPr="00120CB9">
        <w:rPr>
          <w:rFonts w:ascii="Times New Roman" w:hAnsi="Times New Roman"/>
          <w:b/>
          <w:bCs/>
          <w:lang w:val="en-HK"/>
        </w:rPr>
        <w:t>Antichi</w:t>
      </w:r>
      <w:proofErr w:type="spellEnd"/>
      <w:r w:rsidRPr="00120CB9">
        <w:rPr>
          <w:rFonts w:ascii="Times New Roman" w:hAnsi="Times New Roman"/>
          <w:b/>
          <w:bCs/>
          <w:lang w:val="en-HK"/>
        </w:rPr>
        <w:t xml:space="preserve"> </w:t>
      </w:r>
      <w:proofErr w:type="spellStart"/>
      <w:r w:rsidRPr="00120CB9">
        <w:rPr>
          <w:rFonts w:ascii="Times New Roman" w:hAnsi="Times New Roman"/>
          <w:b/>
          <w:bCs/>
          <w:lang w:val="en-HK"/>
        </w:rPr>
        <w:t>Ormeggiatori</w:t>
      </w:r>
      <w:proofErr w:type="spellEnd"/>
      <w:r w:rsidRPr="00120CB9">
        <w:rPr>
          <w:rFonts w:ascii="Times New Roman" w:hAnsi="Times New Roman"/>
          <w:b/>
          <w:bCs/>
          <w:lang w:val="en-HK"/>
        </w:rPr>
        <w:t xml:space="preserve"> del Porto di Genova</w:t>
      </w:r>
      <w:r w:rsidRPr="00120CB9">
        <w:rPr>
          <w:rFonts w:ascii="Times New Roman" w:hAnsi="Times New Roman"/>
          <w:lang w:val="en-HK"/>
        </w:rPr>
        <w:t xml:space="preserve"> (Case C-266/96):</w:t>
      </w:r>
    </w:p>
    <w:p w14:paraId="669B7769" w14:textId="77777777" w:rsidR="00120CB9" w:rsidRPr="00120CB9" w:rsidRDefault="00120CB9" w:rsidP="00120CB9">
      <w:pPr>
        <w:numPr>
          <w:ilvl w:val="2"/>
          <w:numId w:val="15"/>
        </w:numPr>
        <w:spacing w:before="100" w:beforeAutospacing="1" w:after="100" w:afterAutospacing="1"/>
        <w:rPr>
          <w:rFonts w:ascii="Times New Roman" w:hAnsi="Times New Roman"/>
          <w:lang w:val="en-HK"/>
        </w:rPr>
      </w:pPr>
      <w:r w:rsidRPr="00120CB9">
        <w:rPr>
          <w:rFonts w:ascii="Times New Roman" w:hAnsi="Times New Roman"/>
          <w:lang w:val="en-HK"/>
        </w:rPr>
        <w:t>A French measure giving priority berthing rights to domestic ferry operators was challenged under Article 34. The CJEU ruled that the measure’s restrictive effect on intra-EU trade was too uncertain and indirect to fall within Article 34.</w:t>
      </w:r>
    </w:p>
    <w:p w14:paraId="7540F459" w14:textId="77777777" w:rsidR="00120CB9" w:rsidRPr="00120CB9" w:rsidRDefault="00120CB9" w:rsidP="00120CB9">
      <w:pPr>
        <w:numPr>
          <w:ilvl w:val="2"/>
          <w:numId w:val="15"/>
        </w:numPr>
        <w:spacing w:before="100" w:beforeAutospacing="1" w:after="100" w:afterAutospacing="1"/>
        <w:rPr>
          <w:rFonts w:ascii="Times New Roman" w:hAnsi="Times New Roman"/>
          <w:lang w:val="en-HK"/>
        </w:rPr>
      </w:pPr>
      <w:r w:rsidRPr="00120CB9">
        <w:rPr>
          <w:rFonts w:ascii="Times New Roman" w:hAnsi="Times New Roman"/>
          <w:lang w:val="en-HK"/>
        </w:rPr>
        <w:t>This case clarified the need for a substantial causal link between the measure and the restriction on trade.</w:t>
      </w:r>
    </w:p>
    <w:p w14:paraId="57EAE82D" w14:textId="77777777" w:rsidR="00120CB9" w:rsidRPr="00120CB9" w:rsidRDefault="00120CB9" w:rsidP="00120CB9">
      <w:pPr>
        <w:numPr>
          <w:ilvl w:val="0"/>
          <w:numId w:val="15"/>
        </w:numPr>
        <w:spacing w:before="100" w:beforeAutospacing="1" w:after="100" w:afterAutospacing="1"/>
        <w:rPr>
          <w:rFonts w:ascii="Times New Roman" w:hAnsi="Times New Roman"/>
          <w:lang w:val="en-HK"/>
        </w:rPr>
      </w:pPr>
      <w:r w:rsidRPr="00120CB9">
        <w:rPr>
          <w:rFonts w:ascii="Times New Roman" w:hAnsi="Times New Roman"/>
          <w:b/>
          <w:bCs/>
          <w:lang w:val="en-HK"/>
        </w:rPr>
        <w:t>Scholarly Commentary</w:t>
      </w:r>
      <w:r w:rsidRPr="00120CB9">
        <w:rPr>
          <w:rFonts w:ascii="Times New Roman" w:hAnsi="Times New Roman"/>
          <w:lang w:val="en-HK"/>
        </w:rPr>
        <w:t>:</w:t>
      </w:r>
    </w:p>
    <w:p w14:paraId="69D9EB20" w14:textId="77777777" w:rsidR="00120CB9" w:rsidRPr="00120CB9" w:rsidRDefault="00120CB9" w:rsidP="00120CB9">
      <w:pPr>
        <w:spacing w:before="100" w:beforeAutospacing="1" w:after="100" w:afterAutospacing="1"/>
        <w:rPr>
          <w:rFonts w:ascii="Times New Roman" w:hAnsi="Times New Roman"/>
          <w:b/>
          <w:bCs/>
          <w:lang w:val="en-HK"/>
        </w:rPr>
      </w:pPr>
      <w:proofErr w:type="spellStart"/>
      <w:r w:rsidRPr="00120CB9">
        <w:rPr>
          <w:rFonts w:ascii="Times New Roman" w:hAnsi="Times New Roman"/>
          <w:b/>
          <w:bCs/>
          <w:lang w:val="en-HK"/>
        </w:rPr>
        <w:t>Doukas</w:t>
      </w:r>
      <w:proofErr w:type="spellEnd"/>
      <w:r w:rsidRPr="00120CB9">
        <w:rPr>
          <w:rFonts w:ascii="Times New Roman" w:hAnsi="Times New Roman"/>
          <w:lang w:val="en-HK"/>
        </w:rPr>
        <w:t xml:space="preserve"> (2010): Argues that the "uncertain and indirect" test acts as a causation principle, </w:t>
      </w:r>
      <w:r w:rsidRPr="00120CB9">
        <w:rPr>
          <w:rFonts w:ascii="Times New Roman" w:hAnsi="Times New Roman"/>
          <w:b/>
          <w:bCs/>
          <w:lang w:val="en-HK"/>
        </w:rPr>
        <w:t>ensuring Article 34 applies only to measures that genuinely hinder trade.</w:t>
      </w:r>
    </w:p>
    <w:p w14:paraId="681E103A" w14:textId="77777777" w:rsidR="00120CB9" w:rsidRPr="00120CB9" w:rsidRDefault="00120CB9" w:rsidP="00120CB9">
      <w:pPr>
        <w:spacing w:before="100" w:beforeAutospacing="1" w:after="100" w:afterAutospacing="1"/>
        <w:rPr>
          <w:rFonts w:ascii="Times New Roman" w:hAnsi="Times New Roman"/>
          <w:lang w:val="en-HK"/>
        </w:rPr>
      </w:pPr>
      <w:proofErr w:type="spellStart"/>
      <w:r w:rsidRPr="00120CB9">
        <w:rPr>
          <w:rFonts w:ascii="Times New Roman" w:hAnsi="Times New Roman"/>
          <w:b/>
          <w:bCs/>
          <w:lang w:val="en-HK"/>
        </w:rPr>
        <w:t>Mortelmans</w:t>
      </w:r>
      <w:proofErr w:type="spellEnd"/>
      <w:r w:rsidRPr="00120CB9">
        <w:rPr>
          <w:rFonts w:ascii="Times New Roman" w:hAnsi="Times New Roman"/>
          <w:lang w:val="en-HK"/>
        </w:rPr>
        <w:t xml:space="preserve"> (1998): Criticizes the lack of clarity in defining what constitutes "too uncertain and indirect," leading to potential inconsistency in judicial reasoning.</w:t>
      </w:r>
    </w:p>
    <w:p w14:paraId="64616699" w14:textId="77777777" w:rsidR="00120CB9" w:rsidRPr="00120CB9" w:rsidRDefault="00480C6B" w:rsidP="00120CB9">
      <w:pPr>
        <w:rPr>
          <w:rFonts w:ascii="Times New Roman" w:hAnsi="Times New Roman"/>
          <w:lang w:val="en-HK"/>
        </w:rPr>
      </w:pPr>
      <w:r w:rsidRPr="00480C6B">
        <w:rPr>
          <w:rFonts w:ascii="Times New Roman" w:hAnsi="Times New Roman"/>
          <w:noProof/>
          <w:lang w:val="en-HK"/>
          <w14:ligatures w14:val="standardContextual"/>
        </w:rPr>
        <w:pict w14:anchorId="5D8A8D3E">
          <v:rect id="_x0000_i1047" alt="" style="width:451.3pt;height:.05pt;mso-width-percent:0;mso-height-percent:0;mso-width-percent:0;mso-height-percent:0" o:hralign="center" o:hrstd="t" o:hr="t" fillcolor="#a0a0a0" stroked="f"/>
        </w:pict>
      </w:r>
    </w:p>
    <w:p w14:paraId="07A9DA25" w14:textId="77777777" w:rsidR="00120CB9" w:rsidRPr="00120CB9" w:rsidRDefault="00120CB9" w:rsidP="00120CB9">
      <w:pPr>
        <w:spacing w:before="100" w:beforeAutospacing="1" w:after="100" w:afterAutospacing="1"/>
        <w:outlineLvl w:val="3"/>
        <w:rPr>
          <w:rFonts w:ascii="Times New Roman" w:hAnsi="Times New Roman"/>
          <w:b/>
          <w:bCs/>
          <w:lang w:val="en-HK"/>
        </w:rPr>
      </w:pPr>
      <w:r w:rsidRPr="00120CB9">
        <w:rPr>
          <w:rFonts w:ascii="Times New Roman" w:hAnsi="Times New Roman"/>
          <w:b/>
          <w:bCs/>
          <w:lang w:val="en-HK"/>
        </w:rPr>
        <w:lastRenderedPageBreak/>
        <w:t>2. Certain Selling Arrangements (Keck Jurisprudence)</w:t>
      </w:r>
    </w:p>
    <w:p w14:paraId="1A2279C3" w14:textId="77777777" w:rsidR="00120CB9" w:rsidRPr="00120CB9" w:rsidRDefault="00120CB9" w:rsidP="00120CB9">
      <w:pPr>
        <w:numPr>
          <w:ilvl w:val="0"/>
          <w:numId w:val="16"/>
        </w:numPr>
        <w:spacing w:before="100" w:beforeAutospacing="1" w:after="100" w:afterAutospacing="1"/>
        <w:rPr>
          <w:rFonts w:ascii="Times New Roman" w:hAnsi="Times New Roman"/>
          <w:lang w:val="en-HK"/>
        </w:rPr>
      </w:pPr>
      <w:r w:rsidRPr="00120CB9">
        <w:rPr>
          <w:rFonts w:ascii="Times New Roman" w:hAnsi="Times New Roman"/>
          <w:b/>
          <w:bCs/>
          <w:lang w:val="en-HK"/>
        </w:rPr>
        <w:t>Substance</w:t>
      </w:r>
      <w:r w:rsidRPr="00120CB9">
        <w:rPr>
          <w:rFonts w:ascii="Times New Roman" w:hAnsi="Times New Roman"/>
          <w:lang w:val="en-HK"/>
        </w:rPr>
        <w:t>:</w:t>
      </w:r>
    </w:p>
    <w:p w14:paraId="37A5E9C9" w14:textId="77777777" w:rsidR="00120CB9" w:rsidRPr="00120CB9" w:rsidRDefault="00120CB9" w:rsidP="00120CB9">
      <w:pPr>
        <w:numPr>
          <w:ilvl w:val="1"/>
          <w:numId w:val="16"/>
        </w:numPr>
        <w:spacing w:before="100" w:beforeAutospacing="1" w:after="100" w:afterAutospacing="1"/>
        <w:rPr>
          <w:rFonts w:ascii="Times New Roman" w:hAnsi="Times New Roman"/>
          <w:lang w:val="en-HK"/>
        </w:rPr>
      </w:pPr>
      <w:r w:rsidRPr="00120CB9">
        <w:rPr>
          <w:rFonts w:ascii="Times New Roman" w:hAnsi="Times New Roman"/>
          <w:lang w:val="en-HK"/>
        </w:rPr>
        <w:t>The CJEU distinguishes between:</w:t>
      </w:r>
    </w:p>
    <w:p w14:paraId="7306837B" w14:textId="77777777" w:rsidR="00120CB9" w:rsidRPr="00120CB9" w:rsidRDefault="00120CB9" w:rsidP="00120CB9">
      <w:pPr>
        <w:numPr>
          <w:ilvl w:val="2"/>
          <w:numId w:val="16"/>
        </w:numPr>
        <w:spacing w:before="100" w:beforeAutospacing="1" w:after="100" w:afterAutospacing="1"/>
        <w:rPr>
          <w:rFonts w:ascii="Times New Roman" w:hAnsi="Times New Roman"/>
          <w:lang w:val="en-HK"/>
        </w:rPr>
      </w:pPr>
      <w:r w:rsidRPr="00120CB9">
        <w:rPr>
          <w:rFonts w:ascii="Times New Roman" w:hAnsi="Times New Roman"/>
          <w:b/>
          <w:bCs/>
          <w:lang w:val="en-HK"/>
        </w:rPr>
        <w:t>Product rules</w:t>
      </w:r>
      <w:r w:rsidRPr="00120CB9">
        <w:rPr>
          <w:rFonts w:ascii="Times New Roman" w:hAnsi="Times New Roman"/>
          <w:lang w:val="en-HK"/>
        </w:rPr>
        <w:t xml:space="preserve">: Rules governing the characteristics of goods (e.g., </w:t>
      </w:r>
      <w:proofErr w:type="spellStart"/>
      <w:r w:rsidRPr="00120CB9">
        <w:rPr>
          <w:rFonts w:ascii="Times New Roman" w:hAnsi="Times New Roman"/>
          <w:lang w:val="en-HK"/>
        </w:rPr>
        <w:t>labeling</w:t>
      </w:r>
      <w:proofErr w:type="spellEnd"/>
      <w:r w:rsidRPr="00120CB9">
        <w:rPr>
          <w:rFonts w:ascii="Times New Roman" w:hAnsi="Times New Roman"/>
          <w:lang w:val="en-HK"/>
        </w:rPr>
        <w:t>, packaging) that generally fall within Article 34.</w:t>
      </w:r>
    </w:p>
    <w:p w14:paraId="5BEF001D" w14:textId="77777777" w:rsidR="00120CB9" w:rsidRPr="00120CB9" w:rsidRDefault="00120CB9" w:rsidP="00120CB9">
      <w:pPr>
        <w:numPr>
          <w:ilvl w:val="2"/>
          <w:numId w:val="16"/>
        </w:numPr>
        <w:spacing w:before="100" w:beforeAutospacing="1" w:after="100" w:afterAutospacing="1"/>
        <w:rPr>
          <w:rFonts w:ascii="Times New Roman" w:hAnsi="Times New Roman"/>
          <w:lang w:val="en-HK"/>
        </w:rPr>
      </w:pPr>
      <w:r w:rsidRPr="00120CB9">
        <w:rPr>
          <w:rFonts w:ascii="Times New Roman" w:hAnsi="Times New Roman"/>
          <w:b/>
          <w:bCs/>
          <w:lang w:val="en-HK"/>
        </w:rPr>
        <w:t>Selling arrangements</w:t>
      </w:r>
      <w:r w:rsidRPr="00120CB9">
        <w:rPr>
          <w:rFonts w:ascii="Times New Roman" w:hAnsi="Times New Roman"/>
          <w:lang w:val="en-HK"/>
        </w:rPr>
        <w:t>: Rules governing the conditions under which goods are sold (e.g., shop opening hours, advertising restrictions), which are excluded from Article 34 if they meet specific criteria.</w:t>
      </w:r>
    </w:p>
    <w:p w14:paraId="7AE45117" w14:textId="77777777" w:rsidR="00120CB9" w:rsidRPr="00120CB9" w:rsidRDefault="00120CB9" w:rsidP="00120CB9">
      <w:pPr>
        <w:numPr>
          <w:ilvl w:val="0"/>
          <w:numId w:val="16"/>
        </w:numPr>
        <w:spacing w:before="100" w:beforeAutospacing="1" w:after="100" w:afterAutospacing="1"/>
        <w:rPr>
          <w:rFonts w:ascii="Times New Roman" w:hAnsi="Times New Roman"/>
          <w:lang w:val="en-HK"/>
        </w:rPr>
      </w:pPr>
      <w:r w:rsidRPr="00120CB9">
        <w:rPr>
          <w:rFonts w:ascii="Times New Roman" w:hAnsi="Times New Roman"/>
          <w:b/>
          <w:bCs/>
          <w:lang w:val="en-HK"/>
        </w:rPr>
        <w:t>Origin and Landmark Case</w:t>
      </w:r>
      <w:r w:rsidRPr="00120CB9">
        <w:rPr>
          <w:rFonts w:ascii="Times New Roman" w:hAnsi="Times New Roman"/>
          <w:lang w:val="en-HK"/>
        </w:rPr>
        <w:t>:</w:t>
      </w:r>
    </w:p>
    <w:p w14:paraId="2407E986" w14:textId="77777777" w:rsidR="00120CB9" w:rsidRPr="00120CB9" w:rsidRDefault="00120CB9" w:rsidP="00120CB9">
      <w:pPr>
        <w:numPr>
          <w:ilvl w:val="1"/>
          <w:numId w:val="16"/>
        </w:numPr>
        <w:spacing w:before="100" w:beforeAutospacing="1" w:after="100" w:afterAutospacing="1"/>
        <w:rPr>
          <w:rFonts w:ascii="Times New Roman" w:hAnsi="Times New Roman"/>
          <w:lang w:val="en-HK"/>
        </w:rPr>
      </w:pPr>
      <w:r w:rsidRPr="00120CB9">
        <w:rPr>
          <w:rFonts w:ascii="Times New Roman" w:hAnsi="Times New Roman"/>
          <w:b/>
          <w:bCs/>
          <w:lang w:val="en-HK"/>
        </w:rPr>
        <w:t xml:space="preserve">Keck and </w:t>
      </w:r>
      <w:proofErr w:type="spellStart"/>
      <w:r w:rsidRPr="00120CB9">
        <w:rPr>
          <w:rFonts w:ascii="Times New Roman" w:hAnsi="Times New Roman"/>
          <w:b/>
          <w:bCs/>
          <w:lang w:val="en-HK"/>
        </w:rPr>
        <w:t>Mithouard</w:t>
      </w:r>
      <w:proofErr w:type="spellEnd"/>
      <w:r w:rsidRPr="00120CB9">
        <w:rPr>
          <w:rFonts w:ascii="Times New Roman" w:hAnsi="Times New Roman"/>
          <w:lang w:val="en-HK"/>
        </w:rPr>
        <w:t xml:space="preserve"> (Joined Cases C-267/91 and C-268/91):</w:t>
      </w:r>
    </w:p>
    <w:p w14:paraId="5E96916B" w14:textId="77777777" w:rsidR="00120CB9" w:rsidRPr="00120CB9" w:rsidRDefault="00120CB9" w:rsidP="00120CB9">
      <w:pPr>
        <w:numPr>
          <w:ilvl w:val="2"/>
          <w:numId w:val="17"/>
        </w:numPr>
        <w:spacing w:before="100" w:beforeAutospacing="1" w:after="100" w:afterAutospacing="1"/>
        <w:rPr>
          <w:rFonts w:ascii="Times New Roman" w:hAnsi="Times New Roman"/>
          <w:lang w:val="en-HK"/>
        </w:rPr>
      </w:pPr>
      <w:r w:rsidRPr="00120CB9">
        <w:rPr>
          <w:rFonts w:ascii="Times New Roman" w:hAnsi="Times New Roman"/>
          <w:lang w:val="en-HK"/>
        </w:rPr>
        <w:t>French legislation prohibiting resale below cost was challenged as an MEQR. The Court ruled that selling arrangements are not MEQRs if:</w:t>
      </w:r>
    </w:p>
    <w:p w14:paraId="5155AA9C" w14:textId="77777777" w:rsidR="00120CB9" w:rsidRPr="00120CB9" w:rsidRDefault="00120CB9" w:rsidP="00120CB9">
      <w:pPr>
        <w:numPr>
          <w:ilvl w:val="3"/>
          <w:numId w:val="17"/>
        </w:numPr>
        <w:spacing w:before="100" w:beforeAutospacing="1" w:after="100" w:afterAutospacing="1"/>
        <w:rPr>
          <w:rFonts w:ascii="Times New Roman" w:hAnsi="Times New Roman"/>
          <w:lang w:val="en-HK"/>
        </w:rPr>
      </w:pPr>
      <w:r w:rsidRPr="00120CB9">
        <w:rPr>
          <w:rFonts w:ascii="Times New Roman" w:hAnsi="Times New Roman"/>
          <w:lang w:val="en-HK"/>
        </w:rPr>
        <w:t>They apply equally to domestic and imported products in law and fact.</w:t>
      </w:r>
    </w:p>
    <w:p w14:paraId="5E7EFC5C" w14:textId="77777777" w:rsidR="00120CB9" w:rsidRPr="00120CB9" w:rsidRDefault="00120CB9" w:rsidP="00120CB9">
      <w:pPr>
        <w:numPr>
          <w:ilvl w:val="3"/>
          <w:numId w:val="17"/>
        </w:numPr>
        <w:spacing w:before="100" w:beforeAutospacing="1" w:after="100" w:afterAutospacing="1"/>
        <w:rPr>
          <w:rFonts w:ascii="Times New Roman" w:hAnsi="Times New Roman"/>
          <w:lang w:val="en-HK"/>
        </w:rPr>
      </w:pPr>
      <w:r w:rsidRPr="00120CB9">
        <w:rPr>
          <w:rFonts w:ascii="Times New Roman" w:hAnsi="Times New Roman"/>
          <w:lang w:val="en-HK"/>
        </w:rPr>
        <w:t>They do not prevent access to the market for imported products.</w:t>
      </w:r>
    </w:p>
    <w:p w14:paraId="48A43F85" w14:textId="77777777" w:rsidR="00120CB9" w:rsidRPr="00120CB9" w:rsidRDefault="00120CB9" w:rsidP="00120CB9">
      <w:pPr>
        <w:numPr>
          <w:ilvl w:val="2"/>
          <w:numId w:val="17"/>
        </w:numPr>
        <w:spacing w:before="100" w:beforeAutospacing="1" w:after="100" w:afterAutospacing="1"/>
        <w:rPr>
          <w:rFonts w:ascii="Times New Roman" w:hAnsi="Times New Roman"/>
          <w:lang w:val="en-HK"/>
        </w:rPr>
      </w:pPr>
      <w:r w:rsidRPr="00120CB9">
        <w:rPr>
          <w:rFonts w:ascii="Times New Roman" w:hAnsi="Times New Roman"/>
          <w:lang w:val="en-HK"/>
        </w:rPr>
        <w:t>The Keck judgment sought to reduce the increasing number of challenges to national rules under Article 34 and to provide greater clarity in distinguishing lawful regulations from MEQRs.</w:t>
      </w:r>
    </w:p>
    <w:p w14:paraId="6025B2F2" w14:textId="77777777" w:rsidR="00120CB9" w:rsidRPr="00120CB9" w:rsidRDefault="00120CB9" w:rsidP="00120CB9">
      <w:pPr>
        <w:numPr>
          <w:ilvl w:val="0"/>
          <w:numId w:val="16"/>
        </w:numPr>
        <w:spacing w:before="100" w:beforeAutospacing="1" w:after="100" w:afterAutospacing="1"/>
        <w:rPr>
          <w:rFonts w:ascii="Times New Roman" w:hAnsi="Times New Roman"/>
          <w:lang w:val="en-HK"/>
        </w:rPr>
      </w:pPr>
      <w:r w:rsidRPr="00120CB9">
        <w:rPr>
          <w:rFonts w:ascii="Times New Roman" w:hAnsi="Times New Roman"/>
          <w:b/>
          <w:bCs/>
          <w:lang w:val="en-HK"/>
        </w:rPr>
        <w:t>Post-Keck Developments</w:t>
      </w:r>
      <w:r w:rsidRPr="00120CB9">
        <w:rPr>
          <w:rFonts w:ascii="Times New Roman" w:hAnsi="Times New Roman"/>
          <w:lang w:val="en-HK"/>
        </w:rPr>
        <w:t>:</w:t>
      </w:r>
    </w:p>
    <w:p w14:paraId="214EE1C1" w14:textId="77777777" w:rsidR="00120CB9" w:rsidRPr="00120CB9" w:rsidRDefault="00120CB9" w:rsidP="00120CB9">
      <w:pPr>
        <w:numPr>
          <w:ilvl w:val="1"/>
          <w:numId w:val="16"/>
        </w:numPr>
        <w:spacing w:before="100" w:beforeAutospacing="1" w:after="100" w:afterAutospacing="1"/>
        <w:rPr>
          <w:rFonts w:ascii="Times New Roman" w:hAnsi="Times New Roman"/>
          <w:lang w:val="en-HK"/>
        </w:rPr>
      </w:pPr>
      <w:r w:rsidRPr="00120CB9">
        <w:rPr>
          <w:rFonts w:ascii="Times New Roman" w:hAnsi="Times New Roman"/>
          <w:b/>
          <w:bCs/>
          <w:lang w:val="en-HK"/>
        </w:rPr>
        <w:t>De Agostini (C-34/95)</w:t>
      </w:r>
      <w:r w:rsidRPr="00120CB9">
        <w:rPr>
          <w:rFonts w:ascii="Times New Roman" w:hAnsi="Times New Roman"/>
          <w:lang w:val="en-HK"/>
        </w:rPr>
        <w:t>:</w:t>
      </w:r>
    </w:p>
    <w:p w14:paraId="6A377BE8" w14:textId="77777777" w:rsidR="00120CB9" w:rsidRPr="00120CB9" w:rsidRDefault="00120CB9" w:rsidP="00120CB9">
      <w:pPr>
        <w:numPr>
          <w:ilvl w:val="2"/>
          <w:numId w:val="18"/>
        </w:numPr>
        <w:spacing w:before="100" w:beforeAutospacing="1" w:after="100" w:afterAutospacing="1"/>
        <w:rPr>
          <w:rFonts w:ascii="Times New Roman" w:hAnsi="Times New Roman"/>
          <w:lang w:val="en-HK"/>
        </w:rPr>
      </w:pPr>
      <w:r w:rsidRPr="00120CB9">
        <w:rPr>
          <w:rFonts w:ascii="Times New Roman" w:hAnsi="Times New Roman"/>
          <w:lang w:val="en-HK"/>
        </w:rPr>
        <w:t>The Court clarified that selling arrangements are excluded only if they do not disproportionately affect imported goods. In this case, Swedish advertising restrictions on children’s products were found to disadvantage imported goods more than domestic ones, thus falling within Article 34.</w:t>
      </w:r>
    </w:p>
    <w:p w14:paraId="6D996877" w14:textId="77777777" w:rsidR="00120CB9" w:rsidRPr="00120CB9" w:rsidRDefault="00120CB9" w:rsidP="00120CB9">
      <w:pPr>
        <w:numPr>
          <w:ilvl w:val="1"/>
          <w:numId w:val="16"/>
        </w:numPr>
        <w:spacing w:before="100" w:beforeAutospacing="1" w:after="100" w:afterAutospacing="1"/>
        <w:rPr>
          <w:rFonts w:ascii="Times New Roman" w:hAnsi="Times New Roman"/>
          <w:lang w:val="en-HK"/>
        </w:rPr>
      </w:pPr>
      <w:r w:rsidRPr="00120CB9">
        <w:rPr>
          <w:rFonts w:ascii="Times New Roman" w:hAnsi="Times New Roman"/>
          <w:b/>
          <w:bCs/>
          <w:lang w:val="en-HK"/>
        </w:rPr>
        <w:t>Leclerc-</w:t>
      </w:r>
      <w:proofErr w:type="spellStart"/>
      <w:r w:rsidRPr="00120CB9">
        <w:rPr>
          <w:rFonts w:ascii="Times New Roman" w:hAnsi="Times New Roman"/>
          <w:b/>
          <w:bCs/>
          <w:lang w:val="en-HK"/>
        </w:rPr>
        <w:t>Siplec</w:t>
      </w:r>
      <w:proofErr w:type="spellEnd"/>
      <w:r w:rsidRPr="00120CB9">
        <w:rPr>
          <w:rFonts w:ascii="Times New Roman" w:hAnsi="Times New Roman"/>
          <w:b/>
          <w:bCs/>
          <w:lang w:val="en-HK"/>
        </w:rPr>
        <w:t xml:space="preserve"> (C-412/93)</w:t>
      </w:r>
      <w:r w:rsidRPr="00120CB9">
        <w:rPr>
          <w:rFonts w:ascii="Times New Roman" w:hAnsi="Times New Roman"/>
          <w:lang w:val="en-HK"/>
        </w:rPr>
        <w:t>:</w:t>
      </w:r>
    </w:p>
    <w:p w14:paraId="3149A0BB" w14:textId="77777777" w:rsidR="00120CB9" w:rsidRPr="00120CB9" w:rsidRDefault="00120CB9" w:rsidP="00120CB9">
      <w:pPr>
        <w:numPr>
          <w:ilvl w:val="2"/>
          <w:numId w:val="19"/>
        </w:numPr>
        <w:spacing w:before="100" w:beforeAutospacing="1" w:after="100" w:afterAutospacing="1"/>
        <w:rPr>
          <w:rFonts w:ascii="Times New Roman" w:hAnsi="Times New Roman"/>
          <w:lang w:val="en-HK"/>
        </w:rPr>
      </w:pPr>
      <w:r w:rsidRPr="00120CB9">
        <w:rPr>
          <w:rFonts w:ascii="Times New Roman" w:hAnsi="Times New Roman"/>
          <w:lang w:val="en-HK"/>
        </w:rPr>
        <w:t>The Court upheld French rules restricting certain advertising, ruling them to be non-discriminatory and a valid selling arrangement under Keck.</w:t>
      </w:r>
    </w:p>
    <w:p w14:paraId="70A7F761" w14:textId="77777777" w:rsidR="00120CB9" w:rsidRPr="00120CB9" w:rsidRDefault="00120CB9" w:rsidP="00120CB9">
      <w:pPr>
        <w:numPr>
          <w:ilvl w:val="0"/>
          <w:numId w:val="16"/>
        </w:numPr>
        <w:spacing w:before="100" w:beforeAutospacing="1" w:after="100" w:afterAutospacing="1"/>
        <w:rPr>
          <w:rFonts w:ascii="Times New Roman" w:hAnsi="Times New Roman"/>
          <w:lang w:val="en-HK"/>
        </w:rPr>
      </w:pPr>
      <w:r w:rsidRPr="00120CB9">
        <w:rPr>
          <w:rFonts w:ascii="Times New Roman" w:hAnsi="Times New Roman"/>
          <w:b/>
          <w:bCs/>
          <w:lang w:val="en-HK"/>
        </w:rPr>
        <w:t>Horsley’s Analysis</w:t>
      </w:r>
      <w:r w:rsidRPr="00120CB9">
        <w:rPr>
          <w:rFonts w:ascii="Times New Roman" w:hAnsi="Times New Roman"/>
          <w:lang w:val="en-HK"/>
        </w:rPr>
        <w:t>:</w:t>
      </w:r>
    </w:p>
    <w:p w14:paraId="76CA2F15" w14:textId="77777777" w:rsidR="00120CB9" w:rsidRPr="00120CB9" w:rsidRDefault="00120CB9" w:rsidP="00120CB9">
      <w:pPr>
        <w:numPr>
          <w:ilvl w:val="1"/>
          <w:numId w:val="16"/>
        </w:numPr>
        <w:spacing w:before="100" w:beforeAutospacing="1" w:after="100" w:afterAutospacing="1"/>
        <w:rPr>
          <w:rFonts w:ascii="Times New Roman" w:hAnsi="Times New Roman"/>
          <w:lang w:val="en-HK"/>
        </w:rPr>
      </w:pPr>
      <w:r w:rsidRPr="00120CB9">
        <w:rPr>
          <w:rFonts w:ascii="Times New Roman" w:hAnsi="Times New Roman"/>
          <w:lang w:val="en-HK"/>
        </w:rPr>
        <w:t>The Keck ruling reflects a pragmatic attempt to balance market access with regulatory diversity.</w:t>
      </w:r>
    </w:p>
    <w:p w14:paraId="457D3995" w14:textId="77777777" w:rsidR="00120CB9" w:rsidRPr="00120CB9" w:rsidRDefault="00120CB9" w:rsidP="00120CB9">
      <w:pPr>
        <w:numPr>
          <w:ilvl w:val="1"/>
          <w:numId w:val="16"/>
        </w:numPr>
        <w:spacing w:before="100" w:beforeAutospacing="1" w:after="100" w:afterAutospacing="1"/>
        <w:rPr>
          <w:rFonts w:ascii="Times New Roman" w:hAnsi="Times New Roman"/>
          <w:lang w:val="en-HK"/>
        </w:rPr>
      </w:pPr>
      <w:r w:rsidRPr="00120CB9">
        <w:rPr>
          <w:rFonts w:ascii="Times New Roman" w:hAnsi="Times New Roman"/>
          <w:lang w:val="en-HK"/>
        </w:rPr>
        <w:t>However, Horsley criticizes the inconsistent application of Keck, citing cases where the distinction between product rules and selling arrangements has been blurred.</w:t>
      </w:r>
    </w:p>
    <w:p w14:paraId="7016D3D4" w14:textId="77777777" w:rsidR="00120CB9" w:rsidRPr="00120CB9" w:rsidRDefault="00480C6B" w:rsidP="00120CB9">
      <w:pPr>
        <w:rPr>
          <w:rFonts w:ascii="Times New Roman" w:hAnsi="Times New Roman"/>
          <w:lang w:val="en-HK"/>
        </w:rPr>
      </w:pPr>
      <w:r w:rsidRPr="00480C6B">
        <w:rPr>
          <w:rFonts w:ascii="Times New Roman" w:hAnsi="Times New Roman"/>
          <w:noProof/>
          <w:lang w:val="en-HK"/>
          <w14:ligatures w14:val="standardContextual"/>
        </w:rPr>
        <w:pict w14:anchorId="27597C16">
          <v:rect id="_x0000_i1046" alt="" style="width:451.3pt;height:.05pt;mso-width-percent:0;mso-height-percent:0;mso-width-percent:0;mso-height-percent:0" o:hralign="center" o:hrstd="t" o:hr="t" fillcolor="#a0a0a0" stroked="f"/>
        </w:pict>
      </w:r>
    </w:p>
    <w:p w14:paraId="36C96FE4" w14:textId="77777777" w:rsidR="00120CB9" w:rsidRPr="00120CB9" w:rsidRDefault="00120CB9" w:rsidP="00120CB9">
      <w:pPr>
        <w:spacing w:before="100" w:beforeAutospacing="1" w:after="100" w:afterAutospacing="1"/>
        <w:outlineLvl w:val="3"/>
        <w:rPr>
          <w:rFonts w:ascii="Times New Roman" w:hAnsi="Times New Roman"/>
          <w:b/>
          <w:bCs/>
          <w:lang w:val="en-HK"/>
        </w:rPr>
      </w:pPr>
      <w:r w:rsidRPr="00120CB9">
        <w:rPr>
          <w:rFonts w:ascii="Times New Roman" w:hAnsi="Times New Roman"/>
          <w:b/>
          <w:bCs/>
          <w:lang w:val="en-HK"/>
        </w:rPr>
        <w:t>3. Measures with Insignificant Effects</w:t>
      </w:r>
    </w:p>
    <w:p w14:paraId="68D64BAD" w14:textId="77777777" w:rsidR="00120CB9" w:rsidRPr="00120CB9" w:rsidRDefault="00120CB9" w:rsidP="00120CB9">
      <w:pPr>
        <w:numPr>
          <w:ilvl w:val="0"/>
          <w:numId w:val="20"/>
        </w:numPr>
        <w:spacing w:before="100" w:beforeAutospacing="1" w:after="100" w:afterAutospacing="1"/>
        <w:rPr>
          <w:rFonts w:ascii="Times New Roman" w:hAnsi="Times New Roman"/>
          <w:lang w:val="en-HK"/>
        </w:rPr>
      </w:pPr>
      <w:r w:rsidRPr="00120CB9">
        <w:rPr>
          <w:rFonts w:ascii="Times New Roman" w:hAnsi="Times New Roman"/>
          <w:b/>
          <w:bCs/>
          <w:lang w:val="en-HK"/>
        </w:rPr>
        <w:t>Substance</w:t>
      </w:r>
      <w:r w:rsidRPr="00120CB9">
        <w:rPr>
          <w:rFonts w:ascii="Times New Roman" w:hAnsi="Times New Roman"/>
          <w:lang w:val="en-HK"/>
        </w:rPr>
        <w:t>:</w:t>
      </w:r>
    </w:p>
    <w:p w14:paraId="0022217D" w14:textId="77777777" w:rsidR="00120CB9" w:rsidRPr="00120CB9" w:rsidRDefault="00120CB9" w:rsidP="00120CB9">
      <w:pPr>
        <w:numPr>
          <w:ilvl w:val="1"/>
          <w:numId w:val="20"/>
        </w:numPr>
        <w:spacing w:before="100" w:beforeAutospacing="1" w:after="100" w:afterAutospacing="1"/>
        <w:rPr>
          <w:rFonts w:ascii="Times New Roman" w:hAnsi="Times New Roman"/>
          <w:lang w:val="en-HK"/>
        </w:rPr>
      </w:pPr>
      <w:r w:rsidRPr="00120CB9">
        <w:rPr>
          <w:rFonts w:ascii="Times New Roman" w:hAnsi="Times New Roman"/>
          <w:lang w:val="en-HK"/>
        </w:rPr>
        <w:t xml:space="preserve">Measures with minimal or negligible effects on trade are excluded from the scope of Article 34. This exclusionary rule reflects the </w:t>
      </w:r>
      <w:r w:rsidRPr="00120CB9">
        <w:rPr>
          <w:rFonts w:ascii="Times New Roman" w:hAnsi="Times New Roman"/>
          <w:b/>
          <w:bCs/>
          <w:lang w:val="en-HK"/>
        </w:rPr>
        <w:t>de minimis</w:t>
      </w:r>
      <w:r w:rsidRPr="00120CB9">
        <w:rPr>
          <w:rFonts w:ascii="Times New Roman" w:hAnsi="Times New Roman"/>
          <w:lang w:val="en-HK"/>
        </w:rPr>
        <w:t xml:space="preserve"> principle, ensuring that trivial cases do not overburden the judicial system.</w:t>
      </w:r>
    </w:p>
    <w:p w14:paraId="386B72A1" w14:textId="77777777" w:rsidR="00120CB9" w:rsidRPr="00120CB9" w:rsidRDefault="00120CB9" w:rsidP="00120CB9">
      <w:pPr>
        <w:numPr>
          <w:ilvl w:val="0"/>
          <w:numId w:val="20"/>
        </w:numPr>
        <w:spacing w:before="100" w:beforeAutospacing="1" w:after="100" w:afterAutospacing="1"/>
        <w:rPr>
          <w:rFonts w:ascii="Times New Roman" w:hAnsi="Times New Roman"/>
          <w:lang w:val="en-HK"/>
        </w:rPr>
      </w:pPr>
      <w:r w:rsidRPr="00120CB9">
        <w:rPr>
          <w:rFonts w:ascii="Times New Roman" w:hAnsi="Times New Roman"/>
          <w:b/>
          <w:bCs/>
          <w:lang w:val="en-HK"/>
        </w:rPr>
        <w:t>Origin and Case Law</w:t>
      </w:r>
      <w:r w:rsidRPr="00120CB9">
        <w:rPr>
          <w:rFonts w:ascii="Times New Roman" w:hAnsi="Times New Roman"/>
          <w:lang w:val="en-HK"/>
        </w:rPr>
        <w:t>:</w:t>
      </w:r>
    </w:p>
    <w:p w14:paraId="0D196981" w14:textId="77777777" w:rsidR="00120CB9" w:rsidRPr="00120CB9" w:rsidRDefault="00120CB9" w:rsidP="00120CB9">
      <w:pPr>
        <w:numPr>
          <w:ilvl w:val="1"/>
          <w:numId w:val="20"/>
        </w:numPr>
        <w:spacing w:before="100" w:beforeAutospacing="1" w:after="100" w:afterAutospacing="1"/>
        <w:rPr>
          <w:rFonts w:ascii="Times New Roman" w:hAnsi="Times New Roman"/>
          <w:lang w:val="en-HK"/>
        </w:rPr>
      </w:pPr>
      <w:proofErr w:type="spellStart"/>
      <w:r w:rsidRPr="00120CB9">
        <w:rPr>
          <w:rFonts w:ascii="Times New Roman" w:hAnsi="Times New Roman"/>
          <w:b/>
          <w:bCs/>
          <w:lang w:val="en-HK"/>
        </w:rPr>
        <w:t>Burmanjer</w:t>
      </w:r>
      <w:proofErr w:type="spellEnd"/>
      <w:r w:rsidRPr="00120CB9">
        <w:rPr>
          <w:rFonts w:ascii="Times New Roman" w:hAnsi="Times New Roman"/>
          <w:b/>
          <w:bCs/>
          <w:lang w:val="en-HK"/>
        </w:rPr>
        <w:t xml:space="preserve"> v Netherlands</w:t>
      </w:r>
      <w:r w:rsidRPr="00120CB9">
        <w:rPr>
          <w:rFonts w:ascii="Times New Roman" w:hAnsi="Times New Roman"/>
          <w:lang w:val="en-HK"/>
        </w:rPr>
        <w:t xml:space="preserve"> (Case C-20/03):</w:t>
      </w:r>
    </w:p>
    <w:p w14:paraId="22F121A7" w14:textId="77777777" w:rsidR="00120CB9" w:rsidRPr="00120CB9" w:rsidRDefault="00120CB9" w:rsidP="00120CB9">
      <w:pPr>
        <w:numPr>
          <w:ilvl w:val="2"/>
          <w:numId w:val="20"/>
        </w:numPr>
        <w:spacing w:before="100" w:beforeAutospacing="1" w:after="100" w:afterAutospacing="1"/>
        <w:rPr>
          <w:rFonts w:ascii="Times New Roman" w:hAnsi="Times New Roman"/>
          <w:lang w:val="en-HK"/>
        </w:rPr>
      </w:pPr>
      <w:r w:rsidRPr="00120CB9">
        <w:rPr>
          <w:rFonts w:ascii="Times New Roman" w:hAnsi="Times New Roman"/>
          <w:lang w:val="en-HK"/>
        </w:rPr>
        <w:t>Dutch rules restricting street trading were challenged under Article 34. The Court ruled that the impact on cross-border trade was "too insignificant" to warrant intervention.</w:t>
      </w:r>
    </w:p>
    <w:p w14:paraId="17A4C874" w14:textId="77777777" w:rsidR="00120CB9" w:rsidRPr="00120CB9" w:rsidRDefault="00120CB9" w:rsidP="00120CB9">
      <w:pPr>
        <w:numPr>
          <w:ilvl w:val="2"/>
          <w:numId w:val="20"/>
        </w:numPr>
        <w:spacing w:before="100" w:beforeAutospacing="1" w:after="100" w:afterAutospacing="1"/>
        <w:rPr>
          <w:rFonts w:ascii="Times New Roman" w:hAnsi="Times New Roman"/>
          <w:lang w:val="en-HK"/>
        </w:rPr>
      </w:pPr>
      <w:r w:rsidRPr="00120CB9">
        <w:rPr>
          <w:rFonts w:ascii="Times New Roman" w:hAnsi="Times New Roman"/>
          <w:lang w:val="en-HK"/>
        </w:rPr>
        <w:lastRenderedPageBreak/>
        <w:t>Quote: The Court stated, “The degree of inconvenience caused to intra-EU trade is so minimal that it does not fall within the scope of Article 34.”</w:t>
      </w:r>
    </w:p>
    <w:p w14:paraId="27AADA3E" w14:textId="77777777" w:rsidR="00120CB9" w:rsidRPr="00120CB9" w:rsidRDefault="00120CB9" w:rsidP="00120CB9">
      <w:pPr>
        <w:numPr>
          <w:ilvl w:val="1"/>
          <w:numId w:val="20"/>
        </w:numPr>
        <w:spacing w:before="100" w:beforeAutospacing="1" w:after="100" w:afterAutospacing="1"/>
        <w:rPr>
          <w:rFonts w:ascii="Times New Roman" w:hAnsi="Times New Roman"/>
          <w:lang w:val="en-HK"/>
        </w:rPr>
      </w:pPr>
      <w:r w:rsidRPr="00120CB9">
        <w:rPr>
          <w:rFonts w:ascii="Times New Roman" w:hAnsi="Times New Roman"/>
          <w:b/>
          <w:bCs/>
          <w:lang w:val="en-HK"/>
        </w:rPr>
        <w:t xml:space="preserve">Alpine Investments BV v Minister van </w:t>
      </w:r>
      <w:proofErr w:type="spellStart"/>
      <w:r w:rsidRPr="00120CB9">
        <w:rPr>
          <w:rFonts w:ascii="Times New Roman" w:hAnsi="Times New Roman"/>
          <w:b/>
          <w:bCs/>
          <w:lang w:val="en-HK"/>
        </w:rPr>
        <w:t>Financiën</w:t>
      </w:r>
      <w:proofErr w:type="spellEnd"/>
      <w:r w:rsidRPr="00120CB9">
        <w:rPr>
          <w:rFonts w:ascii="Times New Roman" w:hAnsi="Times New Roman"/>
          <w:lang w:val="en-HK"/>
        </w:rPr>
        <w:t xml:space="preserve"> (Case C-384/93):</w:t>
      </w:r>
    </w:p>
    <w:p w14:paraId="608336AB" w14:textId="77777777" w:rsidR="00120CB9" w:rsidRPr="00120CB9" w:rsidRDefault="00120CB9" w:rsidP="00120CB9">
      <w:pPr>
        <w:numPr>
          <w:ilvl w:val="2"/>
          <w:numId w:val="20"/>
        </w:numPr>
        <w:spacing w:before="100" w:beforeAutospacing="1" w:after="100" w:afterAutospacing="1"/>
        <w:rPr>
          <w:rFonts w:ascii="Times New Roman" w:hAnsi="Times New Roman"/>
          <w:lang w:val="en-HK"/>
        </w:rPr>
      </w:pPr>
      <w:r w:rsidRPr="00120CB9">
        <w:rPr>
          <w:rFonts w:ascii="Times New Roman" w:hAnsi="Times New Roman"/>
          <w:lang w:val="en-HK"/>
        </w:rPr>
        <w:t>Although the Dutch ban on cold-calling to sell financial services was upheld as an MEQR, the Court noted that measures with no substantial impact on trade could be excluded from Article 34 scrutiny.</w:t>
      </w:r>
    </w:p>
    <w:p w14:paraId="24D5162A" w14:textId="77777777" w:rsidR="00120CB9" w:rsidRPr="00120CB9" w:rsidRDefault="00120CB9" w:rsidP="00120CB9">
      <w:pPr>
        <w:numPr>
          <w:ilvl w:val="0"/>
          <w:numId w:val="20"/>
        </w:numPr>
        <w:spacing w:before="100" w:beforeAutospacing="1" w:after="100" w:afterAutospacing="1"/>
        <w:rPr>
          <w:rFonts w:ascii="Times New Roman" w:hAnsi="Times New Roman"/>
          <w:lang w:val="en-HK"/>
        </w:rPr>
      </w:pPr>
      <w:r w:rsidRPr="00120CB9">
        <w:rPr>
          <w:rFonts w:ascii="Times New Roman" w:hAnsi="Times New Roman"/>
          <w:b/>
          <w:bCs/>
          <w:lang w:val="en-HK"/>
        </w:rPr>
        <w:t>Horsley’s Commentary</w:t>
      </w:r>
      <w:r w:rsidRPr="00120CB9">
        <w:rPr>
          <w:rFonts w:ascii="Times New Roman" w:hAnsi="Times New Roman"/>
          <w:lang w:val="en-HK"/>
        </w:rPr>
        <w:t>:</w:t>
      </w:r>
    </w:p>
    <w:p w14:paraId="1DC00D25" w14:textId="77777777" w:rsidR="00120CB9" w:rsidRPr="00120CB9" w:rsidRDefault="00120CB9" w:rsidP="00120CB9">
      <w:pPr>
        <w:numPr>
          <w:ilvl w:val="1"/>
          <w:numId w:val="20"/>
        </w:numPr>
        <w:spacing w:before="100" w:beforeAutospacing="1" w:after="100" w:afterAutospacing="1"/>
        <w:rPr>
          <w:rFonts w:ascii="Times New Roman" w:hAnsi="Times New Roman"/>
          <w:lang w:val="en-HK"/>
        </w:rPr>
      </w:pPr>
      <w:r w:rsidRPr="00120CB9">
        <w:rPr>
          <w:rFonts w:ascii="Times New Roman" w:hAnsi="Times New Roman"/>
          <w:lang w:val="en-HK"/>
        </w:rPr>
        <w:t xml:space="preserve">The insignificant effects rule aligns with the </w:t>
      </w:r>
      <w:r w:rsidRPr="00120CB9">
        <w:rPr>
          <w:rFonts w:ascii="Times New Roman" w:hAnsi="Times New Roman"/>
          <w:b/>
          <w:bCs/>
          <w:lang w:val="en-HK"/>
        </w:rPr>
        <w:t>subsidiarity principle</w:t>
      </w:r>
      <w:r w:rsidRPr="00120CB9">
        <w:rPr>
          <w:rFonts w:ascii="Times New Roman" w:hAnsi="Times New Roman"/>
          <w:lang w:val="en-HK"/>
        </w:rPr>
        <w:t xml:space="preserve"> (Article 5(3) TEU), ensuring that EU action is limited to areas where Member States cannot achieve objectives effectively.</w:t>
      </w:r>
    </w:p>
    <w:p w14:paraId="6BC50DA5" w14:textId="77777777" w:rsidR="00120CB9" w:rsidRPr="00120CB9" w:rsidRDefault="00120CB9" w:rsidP="00120CB9">
      <w:pPr>
        <w:numPr>
          <w:ilvl w:val="1"/>
          <w:numId w:val="20"/>
        </w:numPr>
        <w:spacing w:before="100" w:beforeAutospacing="1" w:after="100" w:afterAutospacing="1"/>
        <w:rPr>
          <w:rFonts w:ascii="Times New Roman" w:hAnsi="Times New Roman"/>
          <w:lang w:val="en-HK"/>
        </w:rPr>
      </w:pPr>
      <w:r w:rsidRPr="00120CB9">
        <w:rPr>
          <w:rFonts w:ascii="Times New Roman" w:hAnsi="Times New Roman"/>
          <w:lang w:val="en-HK"/>
        </w:rPr>
        <w:t>However, Horsley notes the lack of clear criteria for determining what constitutes an "insignificant" effect, leading to potential inconsistency in judicial outcomes.</w:t>
      </w:r>
    </w:p>
    <w:p w14:paraId="01A95E8B" w14:textId="77777777" w:rsidR="00120CB9" w:rsidRPr="00120CB9" w:rsidRDefault="00480C6B" w:rsidP="00120CB9">
      <w:pPr>
        <w:rPr>
          <w:rFonts w:ascii="Times New Roman" w:hAnsi="Times New Roman"/>
          <w:lang w:val="en-HK"/>
        </w:rPr>
      </w:pPr>
      <w:r w:rsidRPr="00480C6B">
        <w:rPr>
          <w:rFonts w:ascii="Times New Roman" w:hAnsi="Times New Roman"/>
          <w:noProof/>
          <w:lang w:val="en-HK"/>
          <w14:ligatures w14:val="standardContextual"/>
        </w:rPr>
        <w:pict w14:anchorId="2EFA2C70">
          <v:rect id="_x0000_i1045" alt="" style="width:451.3pt;height:.05pt;mso-width-percent:0;mso-height-percent:0;mso-width-percent:0;mso-height-percent:0" o:hralign="center" o:hrstd="t" o:hr="t" fillcolor="#a0a0a0" stroked="f"/>
        </w:pict>
      </w:r>
    </w:p>
    <w:p w14:paraId="599CA7AD" w14:textId="77777777" w:rsidR="00120CB9" w:rsidRPr="00120CB9" w:rsidRDefault="00120CB9" w:rsidP="00120CB9">
      <w:pPr>
        <w:spacing w:before="100" w:beforeAutospacing="1" w:after="100" w:afterAutospacing="1"/>
        <w:outlineLvl w:val="3"/>
        <w:rPr>
          <w:rFonts w:ascii="Times New Roman" w:hAnsi="Times New Roman"/>
          <w:b/>
          <w:bCs/>
          <w:lang w:val="en-HK"/>
        </w:rPr>
      </w:pPr>
      <w:r w:rsidRPr="00120CB9">
        <w:rPr>
          <w:rFonts w:ascii="Times New Roman" w:hAnsi="Times New Roman"/>
          <w:b/>
          <w:bCs/>
          <w:lang w:val="en-HK"/>
        </w:rPr>
        <w:t>Interaction Between Exclusionary Rules</w:t>
      </w:r>
    </w:p>
    <w:p w14:paraId="69D985FE" w14:textId="77777777" w:rsidR="00120CB9" w:rsidRPr="00120CB9" w:rsidRDefault="00120CB9" w:rsidP="00120CB9">
      <w:pPr>
        <w:numPr>
          <w:ilvl w:val="0"/>
          <w:numId w:val="21"/>
        </w:numPr>
        <w:spacing w:before="100" w:beforeAutospacing="1" w:after="100" w:afterAutospacing="1"/>
        <w:rPr>
          <w:rFonts w:ascii="Times New Roman" w:hAnsi="Times New Roman"/>
          <w:lang w:val="en-HK"/>
        </w:rPr>
      </w:pPr>
      <w:r w:rsidRPr="00120CB9">
        <w:rPr>
          <w:rFonts w:ascii="Times New Roman" w:hAnsi="Times New Roman"/>
          <w:lang w:val="en-HK"/>
        </w:rPr>
        <w:t>Horsley highlights the interplay between these exclusionary rules and their collective role in limiting the scope of Article 34. For instance:</w:t>
      </w:r>
    </w:p>
    <w:p w14:paraId="58F64706" w14:textId="77777777" w:rsidR="00120CB9" w:rsidRPr="00120CB9" w:rsidRDefault="00120CB9" w:rsidP="00120CB9">
      <w:pPr>
        <w:numPr>
          <w:ilvl w:val="1"/>
          <w:numId w:val="21"/>
        </w:numPr>
        <w:spacing w:before="100" w:beforeAutospacing="1" w:after="100" w:afterAutospacing="1"/>
        <w:rPr>
          <w:rFonts w:ascii="Times New Roman" w:hAnsi="Times New Roman"/>
          <w:lang w:val="en-HK"/>
        </w:rPr>
      </w:pPr>
      <w:r w:rsidRPr="00120CB9">
        <w:rPr>
          <w:rFonts w:ascii="Times New Roman" w:hAnsi="Times New Roman"/>
          <w:lang w:val="en-HK"/>
        </w:rPr>
        <w:t>The "effects too uncertain and indirect" rule overlaps with the "insignificant effects" rule, as both aim to exclude measures with minimal trade impact.</w:t>
      </w:r>
    </w:p>
    <w:p w14:paraId="7B0FA4A4" w14:textId="77777777" w:rsidR="00120CB9" w:rsidRPr="00120CB9" w:rsidRDefault="00120CB9" w:rsidP="00120CB9">
      <w:pPr>
        <w:numPr>
          <w:ilvl w:val="1"/>
          <w:numId w:val="21"/>
        </w:numPr>
        <w:spacing w:before="100" w:beforeAutospacing="1" w:after="100" w:afterAutospacing="1"/>
        <w:rPr>
          <w:rFonts w:ascii="Times New Roman" w:hAnsi="Times New Roman"/>
          <w:lang w:val="en-HK"/>
        </w:rPr>
      </w:pPr>
      <w:r w:rsidRPr="00120CB9">
        <w:rPr>
          <w:rFonts w:ascii="Times New Roman" w:hAnsi="Times New Roman"/>
          <w:lang w:val="en-HK"/>
        </w:rPr>
        <w:t>The Keck jurisprudence adds a layer of complexity by distinguishing selling arrangements from product rules, further narrowing Article 34’s reach.</w:t>
      </w:r>
    </w:p>
    <w:p w14:paraId="222C2443" w14:textId="77777777" w:rsidR="00120CB9" w:rsidRPr="00120CB9" w:rsidRDefault="00480C6B" w:rsidP="00120CB9">
      <w:pPr>
        <w:rPr>
          <w:rFonts w:ascii="Times New Roman" w:hAnsi="Times New Roman"/>
          <w:lang w:val="en-HK"/>
        </w:rPr>
      </w:pPr>
      <w:r w:rsidRPr="00480C6B">
        <w:rPr>
          <w:rFonts w:ascii="Times New Roman" w:hAnsi="Times New Roman"/>
          <w:noProof/>
          <w:lang w:val="en-HK"/>
          <w14:ligatures w14:val="standardContextual"/>
        </w:rPr>
        <w:pict w14:anchorId="4E87935D">
          <v:rect id="_x0000_i1044" alt="" style="width:451.3pt;height:.05pt;mso-width-percent:0;mso-height-percent:0;mso-width-percent:0;mso-height-percent:0" o:hralign="center" o:hrstd="t" o:hr="t" fillcolor="#a0a0a0" stroked="f"/>
        </w:pict>
      </w:r>
    </w:p>
    <w:p w14:paraId="1040D6EA" w14:textId="77777777" w:rsidR="00120CB9" w:rsidRPr="00120CB9" w:rsidRDefault="00120CB9" w:rsidP="00120CB9">
      <w:pPr>
        <w:spacing w:before="100" w:beforeAutospacing="1" w:after="100" w:afterAutospacing="1"/>
        <w:outlineLvl w:val="2"/>
        <w:rPr>
          <w:rFonts w:ascii="Times New Roman" w:hAnsi="Times New Roman"/>
          <w:b/>
          <w:bCs/>
          <w:sz w:val="27"/>
          <w:szCs w:val="27"/>
          <w:lang w:val="en-HK"/>
        </w:rPr>
      </w:pPr>
      <w:r w:rsidRPr="00120CB9">
        <w:rPr>
          <w:rFonts w:ascii="Times New Roman" w:hAnsi="Times New Roman"/>
          <w:b/>
          <w:bCs/>
          <w:sz w:val="27"/>
          <w:szCs w:val="27"/>
          <w:lang w:val="en-HK"/>
        </w:rPr>
        <w:t>4. Normative Justification for Exclusionary Rules</w:t>
      </w:r>
    </w:p>
    <w:p w14:paraId="22819A17" w14:textId="77777777" w:rsidR="00120CB9" w:rsidRPr="00120CB9" w:rsidRDefault="00120CB9" w:rsidP="00120CB9">
      <w:pPr>
        <w:spacing w:before="100" w:beforeAutospacing="1" w:after="100" w:afterAutospacing="1"/>
        <w:outlineLvl w:val="3"/>
        <w:rPr>
          <w:rFonts w:ascii="Times New Roman" w:hAnsi="Times New Roman"/>
          <w:b/>
          <w:bCs/>
          <w:lang w:val="en-HK"/>
        </w:rPr>
      </w:pPr>
      <w:r w:rsidRPr="00120CB9">
        <w:rPr>
          <w:rFonts w:ascii="Times New Roman" w:hAnsi="Times New Roman"/>
          <w:b/>
          <w:bCs/>
          <w:lang w:val="en-HK"/>
        </w:rPr>
        <w:t>Purpose of Exclusionary Rules</w:t>
      </w:r>
    </w:p>
    <w:p w14:paraId="610117FB" w14:textId="77777777" w:rsidR="00120CB9" w:rsidRPr="00120CB9" w:rsidRDefault="00120CB9" w:rsidP="00120CB9">
      <w:pPr>
        <w:spacing w:before="100" w:beforeAutospacing="1" w:after="100" w:afterAutospacing="1"/>
        <w:rPr>
          <w:rFonts w:ascii="Times New Roman" w:hAnsi="Times New Roman"/>
          <w:lang w:val="en-HK"/>
        </w:rPr>
      </w:pPr>
      <w:r w:rsidRPr="00120CB9">
        <w:rPr>
          <w:rFonts w:ascii="Times New Roman" w:hAnsi="Times New Roman"/>
          <w:lang w:val="en-HK"/>
        </w:rPr>
        <w:t xml:space="preserve">The exclusionary rules developed by the CJEU serve a critical normative function: balancing the competing objectives of </w:t>
      </w:r>
      <w:r w:rsidRPr="00120CB9">
        <w:rPr>
          <w:rFonts w:ascii="Times New Roman" w:hAnsi="Times New Roman"/>
          <w:b/>
          <w:bCs/>
          <w:lang w:val="en-HK"/>
        </w:rPr>
        <w:t>market integration</w:t>
      </w:r>
      <w:r w:rsidRPr="00120CB9">
        <w:rPr>
          <w:rFonts w:ascii="Times New Roman" w:hAnsi="Times New Roman"/>
          <w:lang w:val="en-HK"/>
        </w:rPr>
        <w:t xml:space="preserve"> under Article 34 TFEU and the </w:t>
      </w:r>
      <w:r w:rsidRPr="00120CB9">
        <w:rPr>
          <w:rFonts w:ascii="Times New Roman" w:hAnsi="Times New Roman"/>
          <w:b/>
          <w:bCs/>
          <w:lang w:val="en-HK"/>
        </w:rPr>
        <w:t>sovereign regulatory powers of Member States</w:t>
      </w:r>
      <w:r w:rsidRPr="00120CB9">
        <w:rPr>
          <w:rFonts w:ascii="Times New Roman" w:hAnsi="Times New Roman"/>
          <w:lang w:val="en-HK"/>
        </w:rPr>
        <w:t>.</w:t>
      </w:r>
    </w:p>
    <w:p w14:paraId="0201D7CC" w14:textId="77777777" w:rsidR="00120CB9" w:rsidRPr="00120CB9" w:rsidRDefault="00120CB9" w:rsidP="00120CB9">
      <w:pPr>
        <w:spacing w:before="100" w:beforeAutospacing="1" w:after="100" w:afterAutospacing="1"/>
        <w:rPr>
          <w:rFonts w:ascii="Times New Roman" w:hAnsi="Times New Roman"/>
          <w:b/>
          <w:bCs/>
          <w:color w:val="FF0000"/>
          <w:lang w:val="en-HK"/>
        </w:rPr>
      </w:pPr>
      <w:r w:rsidRPr="00120CB9">
        <w:rPr>
          <w:rFonts w:ascii="Times New Roman" w:hAnsi="Times New Roman"/>
          <w:b/>
          <w:bCs/>
          <w:color w:val="FF0000"/>
          <w:lang w:val="en-HK"/>
        </w:rPr>
        <w:t>Horsley argues that these rules are not arbitrary but are grounded in fundamental EU principles, particularly:</w:t>
      </w:r>
    </w:p>
    <w:p w14:paraId="1BC057E5" w14:textId="77777777" w:rsidR="00120CB9" w:rsidRPr="00120CB9" w:rsidRDefault="00120CB9" w:rsidP="00120CB9">
      <w:pPr>
        <w:numPr>
          <w:ilvl w:val="1"/>
          <w:numId w:val="22"/>
        </w:numPr>
        <w:spacing w:before="100" w:beforeAutospacing="1" w:after="100" w:afterAutospacing="1"/>
        <w:rPr>
          <w:rFonts w:ascii="Times New Roman" w:hAnsi="Times New Roman"/>
          <w:b/>
          <w:bCs/>
          <w:color w:val="FF0000"/>
          <w:lang w:val="en-HK"/>
        </w:rPr>
      </w:pPr>
      <w:r w:rsidRPr="00120CB9">
        <w:rPr>
          <w:rFonts w:ascii="Times New Roman" w:hAnsi="Times New Roman"/>
          <w:b/>
          <w:bCs/>
          <w:color w:val="FF0000"/>
          <w:lang w:val="en-HK"/>
        </w:rPr>
        <w:t>The subsidiarity principle (Article 5(3) TEU).</w:t>
      </w:r>
    </w:p>
    <w:p w14:paraId="3CF8BB2B" w14:textId="77777777" w:rsidR="00120CB9" w:rsidRPr="00120CB9" w:rsidRDefault="00120CB9" w:rsidP="00120CB9">
      <w:pPr>
        <w:numPr>
          <w:ilvl w:val="1"/>
          <w:numId w:val="22"/>
        </w:numPr>
        <w:spacing w:before="100" w:beforeAutospacing="1" w:after="100" w:afterAutospacing="1"/>
        <w:rPr>
          <w:rFonts w:ascii="Times New Roman" w:hAnsi="Times New Roman"/>
          <w:b/>
          <w:bCs/>
          <w:color w:val="FF0000"/>
          <w:lang w:val="en-HK"/>
        </w:rPr>
      </w:pPr>
      <w:r w:rsidRPr="00120CB9">
        <w:rPr>
          <w:rFonts w:ascii="Times New Roman" w:hAnsi="Times New Roman"/>
          <w:b/>
          <w:bCs/>
          <w:color w:val="FF0000"/>
          <w:lang w:val="en-HK"/>
        </w:rPr>
        <w:t>The proportionality principle (Article 5(4) TEU).</w:t>
      </w:r>
    </w:p>
    <w:p w14:paraId="2D313C56" w14:textId="77777777" w:rsidR="00120CB9" w:rsidRPr="00120CB9" w:rsidRDefault="00480C6B" w:rsidP="00120CB9">
      <w:pPr>
        <w:rPr>
          <w:rFonts w:ascii="Times New Roman" w:hAnsi="Times New Roman"/>
          <w:lang w:val="en-HK"/>
        </w:rPr>
      </w:pPr>
      <w:r w:rsidRPr="00480C6B">
        <w:rPr>
          <w:rFonts w:ascii="Times New Roman" w:hAnsi="Times New Roman"/>
          <w:noProof/>
          <w:lang w:val="en-HK"/>
          <w14:ligatures w14:val="standardContextual"/>
        </w:rPr>
        <w:pict w14:anchorId="7E6DDEE4">
          <v:rect id="_x0000_i1043" alt="" style="width:451.3pt;height:.05pt;mso-width-percent:0;mso-height-percent:0;mso-width-percent:0;mso-height-percent:0" o:hralign="center" o:hrstd="t" o:hr="t" fillcolor="#a0a0a0" stroked="f"/>
        </w:pict>
      </w:r>
    </w:p>
    <w:p w14:paraId="54E46F4E" w14:textId="77777777" w:rsidR="00120CB9" w:rsidRPr="00120CB9" w:rsidRDefault="00120CB9" w:rsidP="00120CB9">
      <w:pPr>
        <w:spacing w:before="100" w:beforeAutospacing="1" w:after="100" w:afterAutospacing="1"/>
        <w:outlineLvl w:val="3"/>
        <w:rPr>
          <w:rFonts w:ascii="Times New Roman" w:hAnsi="Times New Roman"/>
          <w:b/>
          <w:bCs/>
          <w:lang w:val="en-HK"/>
        </w:rPr>
      </w:pPr>
      <w:r w:rsidRPr="00120CB9">
        <w:rPr>
          <w:rFonts w:ascii="Times New Roman" w:hAnsi="Times New Roman"/>
          <w:b/>
          <w:bCs/>
          <w:lang w:val="en-HK"/>
        </w:rPr>
        <w:t>Subsidiarity Principle</w:t>
      </w:r>
    </w:p>
    <w:p w14:paraId="5A8EE8CA" w14:textId="77777777" w:rsidR="00120CB9" w:rsidRPr="00120CB9" w:rsidRDefault="00120CB9" w:rsidP="00120CB9">
      <w:pPr>
        <w:numPr>
          <w:ilvl w:val="0"/>
          <w:numId w:val="23"/>
        </w:numPr>
        <w:spacing w:before="100" w:beforeAutospacing="1" w:after="100" w:afterAutospacing="1"/>
        <w:rPr>
          <w:rFonts w:ascii="Times New Roman" w:hAnsi="Times New Roman"/>
          <w:lang w:val="en-HK"/>
        </w:rPr>
      </w:pPr>
      <w:r w:rsidRPr="00120CB9">
        <w:rPr>
          <w:rFonts w:ascii="Times New Roman" w:hAnsi="Times New Roman"/>
          <w:b/>
          <w:bCs/>
          <w:lang w:val="en-HK"/>
        </w:rPr>
        <w:t>Definition</w:t>
      </w:r>
      <w:r w:rsidRPr="00120CB9">
        <w:rPr>
          <w:rFonts w:ascii="Times New Roman" w:hAnsi="Times New Roman"/>
          <w:lang w:val="en-HK"/>
        </w:rPr>
        <w:t>:</w:t>
      </w:r>
    </w:p>
    <w:p w14:paraId="378564FA" w14:textId="77777777" w:rsidR="00120CB9" w:rsidRPr="00120CB9" w:rsidRDefault="00120CB9" w:rsidP="00120CB9">
      <w:pPr>
        <w:numPr>
          <w:ilvl w:val="1"/>
          <w:numId w:val="23"/>
        </w:numPr>
        <w:spacing w:before="100" w:beforeAutospacing="1" w:after="100" w:afterAutospacing="1"/>
        <w:rPr>
          <w:rFonts w:ascii="Times New Roman" w:hAnsi="Times New Roman"/>
          <w:lang w:val="en-HK"/>
        </w:rPr>
      </w:pPr>
      <w:r w:rsidRPr="00120CB9">
        <w:rPr>
          <w:rFonts w:ascii="Times New Roman" w:hAnsi="Times New Roman"/>
          <w:lang w:val="en-HK"/>
        </w:rPr>
        <w:t>Under Article 5(3) TEU, the subsidiarity principle ensures that the EU acts only when objectives cannot be sufficiently achieved by Member States.</w:t>
      </w:r>
    </w:p>
    <w:p w14:paraId="137F8B43" w14:textId="77777777" w:rsidR="00120CB9" w:rsidRPr="00120CB9" w:rsidRDefault="00120CB9" w:rsidP="00120CB9">
      <w:pPr>
        <w:numPr>
          <w:ilvl w:val="1"/>
          <w:numId w:val="23"/>
        </w:numPr>
        <w:spacing w:before="100" w:beforeAutospacing="1" w:after="100" w:afterAutospacing="1"/>
        <w:rPr>
          <w:rFonts w:ascii="Times New Roman" w:hAnsi="Times New Roman"/>
          <w:lang w:val="en-HK"/>
        </w:rPr>
      </w:pPr>
      <w:r w:rsidRPr="00120CB9">
        <w:rPr>
          <w:rFonts w:ascii="Times New Roman" w:hAnsi="Times New Roman"/>
          <w:lang w:val="en-HK"/>
        </w:rPr>
        <w:lastRenderedPageBreak/>
        <w:t>This principle respects the autonomy of national governments to regulate areas not exclusively within the EU’s competence.</w:t>
      </w:r>
    </w:p>
    <w:p w14:paraId="1F0E44E9" w14:textId="77777777" w:rsidR="00120CB9" w:rsidRPr="00120CB9" w:rsidRDefault="00120CB9" w:rsidP="00120CB9">
      <w:pPr>
        <w:numPr>
          <w:ilvl w:val="0"/>
          <w:numId w:val="23"/>
        </w:numPr>
        <w:spacing w:before="100" w:beforeAutospacing="1" w:after="100" w:afterAutospacing="1"/>
        <w:rPr>
          <w:rFonts w:ascii="Times New Roman" w:hAnsi="Times New Roman"/>
          <w:lang w:val="en-HK"/>
        </w:rPr>
      </w:pPr>
      <w:r w:rsidRPr="00120CB9">
        <w:rPr>
          <w:rFonts w:ascii="Times New Roman" w:hAnsi="Times New Roman"/>
          <w:b/>
          <w:bCs/>
          <w:lang w:val="en-HK"/>
        </w:rPr>
        <w:t>Application in Exclusionary Rules</w:t>
      </w:r>
      <w:r w:rsidRPr="00120CB9">
        <w:rPr>
          <w:rFonts w:ascii="Times New Roman" w:hAnsi="Times New Roman"/>
          <w:lang w:val="en-HK"/>
        </w:rPr>
        <w:t>:</w:t>
      </w:r>
    </w:p>
    <w:p w14:paraId="017661A2" w14:textId="77777777" w:rsidR="00120CB9" w:rsidRPr="00120CB9" w:rsidRDefault="00120CB9" w:rsidP="00120CB9">
      <w:pPr>
        <w:numPr>
          <w:ilvl w:val="1"/>
          <w:numId w:val="23"/>
        </w:numPr>
        <w:spacing w:before="100" w:beforeAutospacing="1" w:after="100" w:afterAutospacing="1"/>
        <w:rPr>
          <w:rFonts w:ascii="Times New Roman" w:hAnsi="Times New Roman"/>
          <w:lang w:val="en-HK"/>
        </w:rPr>
      </w:pPr>
      <w:r w:rsidRPr="00120CB9">
        <w:rPr>
          <w:rFonts w:ascii="Times New Roman" w:hAnsi="Times New Roman"/>
          <w:lang w:val="en-HK"/>
        </w:rPr>
        <w:t>Horsley contends that exclusionary rules, such as the "insignificant effects" test and the "effects too uncertain and indirect" rule, reflect subsidiarity in practice.</w:t>
      </w:r>
    </w:p>
    <w:p w14:paraId="358C462A" w14:textId="77777777" w:rsidR="00120CB9" w:rsidRPr="00120CB9" w:rsidRDefault="00120CB9" w:rsidP="00120CB9">
      <w:pPr>
        <w:numPr>
          <w:ilvl w:val="1"/>
          <w:numId w:val="23"/>
        </w:numPr>
        <w:spacing w:before="100" w:beforeAutospacing="1" w:after="100" w:afterAutospacing="1"/>
        <w:rPr>
          <w:rFonts w:ascii="Times New Roman" w:hAnsi="Times New Roman"/>
          <w:lang w:val="en-HK"/>
        </w:rPr>
      </w:pPr>
      <w:r w:rsidRPr="00120CB9">
        <w:rPr>
          <w:rFonts w:ascii="Times New Roman" w:hAnsi="Times New Roman"/>
          <w:lang w:val="en-HK"/>
        </w:rPr>
        <w:t>By excluding trivial or remote cases from Article 34, the CJEU ensures that regulatory decisions remain primarily within the Member States’ domain unless cross-border trade is genuinely impacted.</w:t>
      </w:r>
    </w:p>
    <w:p w14:paraId="616C8995" w14:textId="77777777" w:rsidR="00120CB9" w:rsidRPr="00120CB9" w:rsidRDefault="00120CB9" w:rsidP="00120CB9">
      <w:pPr>
        <w:numPr>
          <w:ilvl w:val="0"/>
          <w:numId w:val="23"/>
        </w:numPr>
        <w:spacing w:before="100" w:beforeAutospacing="1" w:after="100" w:afterAutospacing="1"/>
        <w:rPr>
          <w:rFonts w:ascii="Times New Roman" w:hAnsi="Times New Roman"/>
          <w:lang w:val="en-HK"/>
        </w:rPr>
      </w:pPr>
      <w:r w:rsidRPr="00120CB9">
        <w:rPr>
          <w:rFonts w:ascii="Times New Roman" w:hAnsi="Times New Roman"/>
          <w:b/>
          <w:bCs/>
          <w:lang w:val="en-HK"/>
        </w:rPr>
        <w:t>Judicial Support</w:t>
      </w:r>
      <w:r w:rsidRPr="00120CB9">
        <w:rPr>
          <w:rFonts w:ascii="Times New Roman" w:hAnsi="Times New Roman"/>
          <w:lang w:val="en-HK"/>
        </w:rPr>
        <w:t>:</w:t>
      </w:r>
    </w:p>
    <w:p w14:paraId="1BE6F3A5" w14:textId="77777777" w:rsidR="00120CB9" w:rsidRPr="00120CB9" w:rsidRDefault="00120CB9" w:rsidP="00120CB9">
      <w:pPr>
        <w:numPr>
          <w:ilvl w:val="1"/>
          <w:numId w:val="23"/>
        </w:numPr>
        <w:spacing w:before="100" w:beforeAutospacing="1" w:after="100" w:afterAutospacing="1"/>
        <w:rPr>
          <w:rFonts w:ascii="Times New Roman" w:hAnsi="Times New Roman"/>
          <w:lang w:val="en-HK"/>
        </w:rPr>
      </w:pPr>
      <w:proofErr w:type="spellStart"/>
      <w:r w:rsidRPr="00120CB9">
        <w:rPr>
          <w:rFonts w:ascii="Times New Roman" w:hAnsi="Times New Roman"/>
          <w:b/>
          <w:bCs/>
          <w:lang w:val="en-HK"/>
        </w:rPr>
        <w:t>Burmanjer</w:t>
      </w:r>
      <w:proofErr w:type="spellEnd"/>
      <w:r w:rsidRPr="00120CB9">
        <w:rPr>
          <w:rFonts w:ascii="Times New Roman" w:hAnsi="Times New Roman"/>
          <w:b/>
          <w:bCs/>
          <w:lang w:val="en-HK"/>
        </w:rPr>
        <w:t xml:space="preserve"> v Netherlands</w:t>
      </w:r>
      <w:r w:rsidRPr="00120CB9">
        <w:rPr>
          <w:rFonts w:ascii="Times New Roman" w:hAnsi="Times New Roman"/>
          <w:lang w:val="en-HK"/>
        </w:rPr>
        <w:t xml:space="preserve"> (Case C-20/03):</w:t>
      </w:r>
    </w:p>
    <w:p w14:paraId="061DC49B" w14:textId="77777777" w:rsidR="00120CB9" w:rsidRPr="00120CB9" w:rsidRDefault="00120CB9" w:rsidP="00120CB9">
      <w:pPr>
        <w:numPr>
          <w:ilvl w:val="2"/>
          <w:numId w:val="23"/>
        </w:numPr>
        <w:spacing w:before="100" w:beforeAutospacing="1" w:after="100" w:afterAutospacing="1"/>
        <w:rPr>
          <w:rFonts w:ascii="Times New Roman" w:hAnsi="Times New Roman"/>
          <w:lang w:val="en-HK"/>
        </w:rPr>
      </w:pPr>
      <w:r w:rsidRPr="00120CB9">
        <w:rPr>
          <w:rFonts w:ascii="Times New Roman" w:hAnsi="Times New Roman"/>
          <w:lang w:val="en-HK"/>
        </w:rPr>
        <w:t>The CJEU ruled that measures with negligible effects on intra-EU trade fall outside the scope of Article 34, ensuring EU intervention is limited to cases of substantial market disruption.</w:t>
      </w:r>
    </w:p>
    <w:p w14:paraId="3F0C229C" w14:textId="77777777" w:rsidR="00120CB9" w:rsidRPr="00120CB9" w:rsidRDefault="00120CB9" w:rsidP="00120CB9">
      <w:pPr>
        <w:numPr>
          <w:ilvl w:val="2"/>
          <w:numId w:val="23"/>
        </w:numPr>
        <w:spacing w:before="100" w:beforeAutospacing="1" w:after="100" w:afterAutospacing="1"/>
        <w:rPr>
          <w:rFonts w:ascii="Times New Roman" w:hAnsi="Times New Roman"/>
          <w:lang w:val="en-HK"/>
        </w:rPr>
      </w:pPr>
      <w:r w:rsidRPr="00120CB9">
        <w:rPr>
          <w:rFonts w:ascii="Times New Roman" w:hAnsi="Times New Roman"/>
          <w:lang w:val="en-HK"/>
        </w:rPr>
        <w:t>Quote: The Court emphasized that EU intervention under Article 34 is unwarranted when the measure’s “practical effect on trade is minimal.”</w:t>
      </w:r>
    </w:p>
    <w:p w14:paraId="4F988C45" w14:textId="77777777" w:rsidR="00120CB9" w:rsidRPr="00120CB9" w:rsidRDefault="00120CB9" w:rsidP="00120CB9">
      <w:pPr>
        <w:numPr>
          <w:ilvl w:val="1"/>
          <w:numId w:val="23"/>
        </w:numPr>
        <w:spacing w:before="100" w:beforeAutospacing="1" w:after="100" w:afterAutospacing="1"/>
        <w:rPr>
          <w:rFonts w:ascii="Times New Roman" w:hAnsi="Times New Roman"/>
          <w:lang w:val="en-HK"/>
        </w:rPr>
      </w:pPr>
      <w:r w:rsidRPr="00120CB9">
        <w:rPr>
          <w:rFonts w:ascii="Times New Roman" w:hAnsi="Times New Roman"/>
          <w:b/>
          <w:bCs/>
          <w:lang w:val="en-HK"/>
        </w:rPr>
        <w:t>Krantz GmbH v Netherlands</w:t>
      </w:r>
      <w:r w:rsidRPr="00120CB9">
        <w:rPr>
          <w:rFonts w:ascii="Times New Roman" w:hAnsi="Times New Roman"/>
          <w:lang w:val="en-HK"/>
        </w:rPr>
        <w:t xml:space="preserve"> (Case C-69/88):</w:t>
      </w:r>
    </w:p>
    <w:p w14:paraId="2A4A057D" w14:textId="77777777" w:rsidR="00120CB9" w:rsidRPr="00120CB9" w:rsidRDefault="00120CB9" w:rsidP="00120CB9">
      <w:pPr>
        <w:numPr>
          <w:ilvl w:val="2"/>
          <w:numId w:val="23"/>
        </w:numPr>
        <w:spacing w:before="100" w:beforeAutospacing="1" w:after="100" w:afterAutospacing="1"/>
        <w:rPr>
          <w:rFonts w:ascii="Times New Roman" w:hAnsi="Times New Roman"/>
          <w:lang w:val="en-HK"/>
        </w:rPr>
      </w:pPr>
      <w:r w:rsidRPr="00120CB9">
        <w:rPr>
          <w:rFonts w:ascii="Times New Roman" w:hAnsi="Times New Roman"/>
          <w:lang w:val="en-HK"/>
        </w:rPr>
        <w:t>The Court excluded measures whose effects on trade were “too uncertain and indirect,” reinforcing the subsidiarity principle.</w:t>
      </w:r>
    </w:p>
    <w:p w14:paraId="74C15EC1" w14:textId="77777777" w:rsidR="00120CB9" w:rsidRPr="00120CB9" w:rsidRDefault="00120CB9" w:rsidP="00120CB9">
      <w:pPr>
        <w:numPr>
          <w:ilvl w:val="0"/>
          <w:numId w:val="23"/>
        </w:numPr>
        <w:spacing w:before="100" w:beforeAutospacing="1" w:after="100" w:afterAutospacing="1"/>
        <w:rPr>
          <w:rFonts w:ascii="Times New Roman" w:hAnsi="Times New Roman"/>
          <w:lang w:val="en-HK"/>
        </w:rPr>
      </w:pPr>
      <w:r w:rsidRPr="00120CB9">
        <w:rPr>
          <w:rFonts w:ascii="Times New Roman" w:hAnsi="Times New Roman"/>
          <w:b/>
          <w:bCs/>
          <w:lang w:val="en-HK"/>
        </w:rPr>
        <w:t>Scholarly Opinions</w:t>
      </w:r>
      <w:r w:rsidRPr="00120CB9">
        <w:rPr>
          <w:rFonts w:ascii="Times New Roman" w:hAnsi="Times New Roman"/>
          <w:lang w:val="en-HK"/>
        </w:rPr>
        <w:t>:</w:t>
      </w:r>
    </w:p>
    <w:p w14:paraId="395D03DB" w14:textId="77777777" w:rsidR="00120CB9" w:rsidRPr="00120CB9" w:rsidRDefault="00120CB9" w:rsidP="00120CB9">
      <w:pPr>
        <w:numPr>
          <w:ilvl w:val="1"/>
          <w:numId w:val="23"/>
        </w:numPr>
        <w:spacing w:before="100" w:beforeAutospacing="1" w:after="100" w:afterAutospacing="1"/>
        <w:rPr>
          <w:rFonts w:ascii="Times New Roman" w:hAnsi="Times New Roman"/>
          <w:lang w:val="en-HK"/>
        </w:rPr>
      </w:pPr>
      <w:proofErr w:type="spellStart"/>
      <w:r w:rsidRPr="00120CB9">
        <w:rPr>
          <w:rFonts w:ascii="Times New Roman" w:hAnsi="Times New Roman"/>
          <w:b/>
          <w:bCs/>
          <w:lang w:val="en-HK"/>
        </w:rPr>
        <w:t>Mortelmans</w:t>
      </w:r>
      <w:proofErr w:type="spellEnd"/>
      <w:r w:rsidRPr="00120CB9">
        <w:rPr>
          <w:rFonts w:ascii="Times New Roman" w:hAnsi="Times New Roman"/>
          <w:lang w:val="en-HK"/>
        </w:rPr>
        <w:t xml:space="preserve"> (1998): Argues that subsidiarity underpins the CJEU’s exclusionary rules, preventing the overreach of EU law into purely national regulatory matters.</w:t>
      </w:r>
    </w:p>
    <w:p w14:paraId="4069B80F" w14:textId="77777777" w:rsidR="00120CB9" w:rsidRPr="00120CB9" w:rsidRDefault="00120CB9" w:rsidP="00120CB9">
      <w:pPr>
        <w:numPr>
          <w:ilvl w:val="1"/>
          <w:numId w:val="23"/>
        </w:numPr>
        <w:spacing w:before="100" w:beforeAutospacing="1" w:after="100" w:afterAutospacing="1"/>
        <w:rPr>
          <w:rFonts w:ascii="Times New Roman" w:hAnsi="Times New Roman"/>
          <w:lang w:val="en-HK"/>
        </w:rPr>
      </w:pPr>
      <w:proofErr w:type="spellStart"/>
      <w:r w:rsidRPr="00120CB9">
        <w:rPr>
          <w:rFonts w:ascii="Times New Roman" w:hAnsi="Times New Roman"/>
          <w:b/>
          <w:bCs/>
          <w:lang w:val="en-HK"/>
        </w:rPr>
        <w:t>Spaventa</w:t>
      </w:r>
      <w:proofErr w:type="spellEnd"/>
      <w:r w:rsidRPr="00120CB9">
        <w:rPr>
          <w:rFonts w:ascii="Times New Roman" w:hAnsi="Times New Roman"/>
          <w:lang w:val="en-HK"/>
        </w:rPr>
        <w:t xml:space="preserve"> (2009): Criticizes the lack of transparency in the Court’s application of subsidiarity, leading to inconsistent outcomes.</w:t>
      </w:r>
    </w:p>
    <w:p w14:paraId="32C6E693" w14:textId="77777777" w:rsidR="00120CB9" w:rsidRPr="00120CB9" w:rsidRDefault="00480C6B" w:rsidP="00120CB9">
      <w:pPr>
        <w:rPr>
          <w:rFonts w:ascii="Times New Roman" w:hAnsi="Times New Roman"/>
          <w:lang w:val="en-HK"/>
        </w:rPr>
      </w:pPr>
      <w:r w:rsidRPr="00480C6B">
        <w:rPr>
          <w:rFonts w:ascii="Times New Roman" w:hAnsi="Times New Roman"/>
          <w:noProof/>
          <w:lang w:val="en-HK"/>
          <w14:ligatures w14:val="standardContextual"/>
        </w:rPr>
        <w:pict w14:anchorId="580CC56A">
          <v:rect id="_x0000_i1042" alt="" style="width:451.3pt;height:.05pt;mso-width-percent:0;mso-height-percent:0;mso-width-percent:0;mso-height-percent:0" o:hralign="center" o:hrstd="t" o:hr="t" fillcolor="#a0a0a0" stroked="f"/>
        </w:pict>
      </w:r>
    </w:p>
    <w:p w14:paraId="1388680D" w14:textId="77777777" w:rsidR="00120CB9" w:rsidRPr="00120CB9" w:rsidRDefault="00120CB9" w:rsidP="00120CB9">
      <w:pPr>
        <w:spacing w:before="100" w:beforeAutospacing="1" w:after="100" w:afterAutospacing="1"/>
        <w:outlineLvl w:val="3"/>
        <w:rPr>
          <w:rFonts w:ascii="Times New Roman" w:hAnsi="Times New Roman"/>
          <w:b/>
          <w:bCs/>
          <w:lang w:val="en-HK"/>
        </w:rPr>
      </w:pPr>
      <w:r w:rsidRPr="00120CB9">
        <w:rPr>
          <w:rFonts w:ascii="Times New Roman" w:hAnsi="Times New Roman"/>
          <w:b/>
          <w:bCs/>
          <w:lang w:val="en-HK"/>
        </w:rPr>
        <w:t>Proportionality Principle</w:t>
      </w:r>
    </w:p>
    <w:p w14:paraId="730C7B9C" w14:textId="77777777" w:rsidR="00120CB9" w:rsidRPr="00120CB9" w:rsidRDefault="00120CB9" w:rsidP="00120CB9">
      <w:pPr>
        <w:numPr>
          <w:ilvl w:val="0"/>
          <w:numId w:val="24"/>
        </w:numPr>
        <w:spacing w:before="100" w:beforeAutospacing="1" w:after="100" w:afterAutospacing="1"/>
        <w:rPr>
          <w:rFonts w:ascii="Times New Roman" w:hAnsi="Times New Roman"/>
          <w:lang w:val="en-HK"/>
        </w:rPr>
      </w:pPr>
      <w:r w:rsidRPr="00120CB9">
        <w:rPr>
          <w:rFonts w:ascii="Times New Roman" w:hAnsi="Times New Roman"/>
          <w:b/>
          <w:bCs/>
          <w:lang w:val="en-HK"/>
        </w:rPr>
        <w:t>Definition</w:t>
      </w:r>
      <w:r w:rsidRPr="00120CB9">
        <w:rPr>
          <w:rFonts w:ascii="Times New Roman" w:hAnsi="Times New Roman"/>
          <w:lang w:val="en-HK"/>
        </w:rPr>
        <w:t>:</w:t>
      </w:r>
    </w:p>
    <w:p w14:paraId="40EEF50D" w14:textId="77777777" w:rsidR="00120CB9" w:rsidRPr="00120CB9" w:rsidRDefault="00120CB9" w:rsidP="00120CB9">
      <w:pPr>
        <w:numPr>
          <w:ilvl w:val="1"/>
          <w:numId w:val="24"/>
        </w:numPr>
        <w:spacing w:before="100" w:beforeAutospacing="1" w:after="100" w:afterAutospacing="1"/>
        <w:rPr>
          <w:rFonts w:ascii="Times New Roman" w:hAnsi="Times New Roman"/>
          <w:b/>
          <w:bCs/>
          <w:color w:val="FF0000"/>
          <w:lang w:val="en-HK"/>
        </w:rPr>
      </w:pPr>
      <w:r w:rsidRPr="00120CB9">
        <w:rPr>
          <w:rFonts w:ascii="Times New Roman" w:hAnsi="Times New Roman"/>
          <w:lang w:val="en-HK"/>
        </w:rPr>
        <w:t xml:space="preserve">Article 5(4) TEU requires that EU actions </w:t>
      </w:r>
      <w:r w:rsidRPr="00120CB9">
        <w:rPr>
          <w:rFonts w:ascii="Times New Roman" w:hAnsi="Times New Roman"/>
          <w:b/>
          <w:bCs/>
          <w:color w:val="FF0000"/>
          <w:lang w:val="en-HK"/>
        </w:rPr>
        <w:t>do not exceed what is necessary to achieve Treaty objectives.</w:t>
      </w:r>
    </w:p>
    <w:p w14:paraId="2A3BC46C" w14:textId="77777777" w:rsidR="00120CB9" w:rsidRPr="00120CB9" w:rsidRDefault="00120CB9" w:rsidP="00120CB9">
      <w:pPr>
        <w:numPr>
          <w:ilvl w:val="1"/>
          <w:numId w:val="24"/>
        </w:numPr>
        <w:spacing w:before="100" w:beforeAutospacing="1" w:after="100" w:afterAutospacing="1"/>
        <w:rPr>
          <w:rFonts w:ascii="Times New Roman" w:hAnsi="Times New Roman"/>
          <w:lang w:val="en-HK"/>
        </w:rPr>
      </w:pPr>
      <w:r w:rsidRPr="00120CB9">
        <w:rPr>
          <w:rFonts w:ascii="Times New Roman" w:hAnsi="Times New Roman"/>
          <w:lang w:val="en-HK"/>
        </w:rPr>
        <w:t>This principle applies to the interpretation of Article 34, ensuring that restrictions on Member State autonomy are justified and proportionate to the goals of market integration.</w:t>
      </w:r>
    </w:p>
    <w:p w14:paraId="51EB2EC3" w14:textId="77777777" w:rsidR="00120CB9" w:rsidRPr="00120CB9" w:rsidRDefault="00120CB9" w:rsidP="00120CB9">
      <w:pPr>
        <w:numPr>
          <w:ilvl w:val="0"/>
          <w:numId w:val="24"/>
        </w:numPr>
        <w:spacing w:before="100" w:beforeAutospacing="1" w:after="100" w:afterAutospacing="1"/>
        <w:rPr>
          <w:rFonts w:ascii="Times New Roman" w:hAnsi="Times New Roman"/>
          <w:lang w:val="en-HK"/>
        </w:rPr>
      </w:pPr>
      <w:r w:rsidRPr="00120CB9">
        <w:rPr>
          <w:rFonts w:ascii="Times New Roman" w:hAnsi="Times New Roman"/>
          <w:b/>
          <w:bCs/>
          <w:lang w:val="en-HK"/>
        </w:rPr>
        <w:t>Application in Exclusionary Rules</w:t>
      </w:r>
      <w:r w:rsidRPr="00120CB9">
        <w:rPr>
          <w:rFonts w:ascii="Times New Roman" w:hAnsi="Times New Roman"/>
          <w:lang w:val="en-HK"/>
        </w:rPr>
        <w:t>:</w:t>
      </w:r>
    </w:p>
    <w:p w14:paraId="466DCC46" w14:textId="77777777" w:rsidR="00120CB9" w:rsidRPr="00120CB9" w:rsidRDefault="00120CB9" w:rsidP="00120CB9">
      <w:pPr>
        <w:numPr>
          <w:ilvl w:val="1"/>
          <w:numId w:val="24"/>
        </w:numPr>
        <w:spacing w:before="100" w:beforeAutospacing="1" w:after="100" w:afterAutospacing="1"/>
        <w:rPr>
          <w:rFonts w:ascii="Times New Roman" w:hAnsi="Times New Roman"/>
          <w:lang w:val="en-HK"/>
        </w:rPr>
      </w:pPr>
      <w:r w:rsidRPr="00120CB9">
        <w:rPr>
          <w:rFonts w:ascii="Times New Roman" w:hAnsi="Times New Roman"/>
          <w:lang w:val="en-HK"/>
        </w:rPr>
        <w:t xml:space="preserve">Horsley argues that the </w:t>
      </w:r>
      <w:r w:rsidRPr="00120CB9">
        <w:rPr>
          <w:rFonts w:ascii="Times New Roman" w:hAnsi="Times New Roman"/>
          <w:b/>
          <w:bCs/>
          <w:lang w:val="en-HK"/>
        </w:rPr>
        <w:t>Keck jurisprudence</w:t>
      </w:r>
      <w:r w:rsidRPr="00120CB9">
        <w:rPr>
          <w:rFonts w:ascii="Times New Roman" w:hAnsi="Times New Roman"/>
          <w:lang w:val="en-HK"/>
        </w:rPr>
        <w:t xml:space="preserve"> reflects proportionality by distinguishing between product rules (which generally fall under Article 34) and selling arrangements (which do not, if applied equally to domestic and imported goods).</w:t>
      </w:r>
    </w:p>
    <w:p w14:paraId="7D4286AC" w14:textId="77777777" w:rsidR="00120CB9" w:rsidRPr="00120CB9" w:rsidRDefault="00120CB9" w:rsidP="00120CB9">
      <w:pPr>
        <w:numPr>
          <w:ilvl w:val="1"/>
          <w:numId w:val="24"/>
        </w:numPr>
        <w:spacing w:before="100" w:beforeAutospacing="1" w:after="100" w:afterAutospacing="1"/>
        <w:rPr>
          <w:rFonts w:ascii="Times New Roman" w:hAnsi="Times New Roman"/>
          <w:lang w:val="en-HK"/>
        </w:rPr>
      </w:pPr>
      <w:r w:rsidRPr="00120CB9">
        <w:rPr>
          <w:rFonts w:ascii="Times New Roman" w:hAnsi="Times New Roman"/>
          <w:lang w:val="en-HK"/>
        </w:rPr>
        <w:t>The exclusion of certain selling arrangements ensures that Member States retain regulatory flexibility in areas where the restrictive impact on trade is minimal or justified.</w:t>
      </w:r>
    </w:p>
    <w:p w14:paraId="7C356E3D" w14:textId="77777777" w:rsidR="00120CB9" w:rsidRPr="00120CB9" w:rsidRDefault="00120CB9" w:rsidP="00120CB9">
      <w:pPr>
        <w:numPr>
          <w:ilvl w:val="0"/>
          <w:numId w:val="24"/>
        </w:numPr>
        <w:spacing w:before="100" w:beforeAutospacing="1" w:after="100" w:afterAutospacing="1"/>
        <w:rPr>
          <w:rFonts w:ascii="Times New Roman" w:hAnsi="Times New Roman"/>
          <w:lang w:val="en-HK"/>
        </w:rPr>
      </w:pPr>
      <w:r w:rsidRPr="00120CB9">
        <w:rPr>
          <w:rFonts w:ascii="Times New Roman" w:hAnsi="Times New Roman"/>
          <w:b/>
          <w:bCs/>
          <w:lang w:val="en-HK"/>
        </w:rPr>
        <w:t>Judicial Support</w:t>
      </w:r>
      <w:r w:rsidRPr="00120CB9">
        <w:rPr>
          <w:rFonts w:ascii="Times New Roman" w:hAnsi="Times New Roman"/>
          <w:lang w:val="en-HK"/>
        </w:rPr>
        <w:t>:</w:t>
      </w:r>
    </w:p>
    <w:p w14:paraId="28D320CF" w14:textId="77777777" w:rsidR="00120CB9" w:rsidRPr="00120CB9" w:rsidRDefault="00120CB9" w:rsidP="00120CB9">
      <w:pPr>
        <w:numPr>
          <w:ilvl w:val="1"/>
          <w:numId w:val="24"/>
        </w:numPr>
        <w:spacing w:before="100" w:beforeAutospacing="1" w:after="100" w:afterAutospacing="1"/>
        <w:rPr>
          <w:rFonts w:ascii="Times New Roman" w:hAnsi="Times New Roman"/>
          <w:lang w:val="en-HK"/>
        </w:rPr>
      </w:pPr>
      <w:r w:rsidRPr="00120CB9">
        <w:rPr>
          <w:rFonts w:ascii="Times New Roman" w:hAnsi="Times New Roman"/>
          <w:b/>
          <w:bCs/>
          <w:lang w:val="en-HK"/>
        </w:rPr>
        <w:t xml:space="preserve">Keck and </w:t>
      </w:r>
      <w:proofErr w:type="spellStart"/>
      <w:r w:rsidRPr="00120CB9">
        <w:rPr>
          <w:rFonts w:ascii="Times New Roman" w:hAnsi="Times New Roman"/>
          <w:b/>
          <w:bCs/>
          <w:lang w:val="en-HK"/>
        </w:rPr>
        <w:t>Mithouard</w:t>
      </w:r>
      <w:proofErr w:type="spellEnd"/>
      <w:r w:rsidRPr="00120CB9">
        <w:rPr>
          <w:rFonts w:ascii="Times New Roman" w:hAnsi="Times New Roman"/>
          <w:lang w:val="en-HK"/>
        </w:rPr>
        <w:t xml:space="preserve"> (Joined Cases C-267/91 and C-268/91):</w:t>
      </w:r>
    </w:p>
    <w:p w14:paraId="469E6869" w14:textId="77777777" w:rsidR="00120CB9" w:rsidRPr="00120CB9" w:rsidRDefault="00120CB9" w:rsidP="00120CB9">
      <w:pPr>
        <w:numPr>
          <w:ilvl w:val="2"/>
          <w:numId w:val="24"/>
        </w:numPr>
        <w:spacing w:before="100" w:beforeAutospacing="1" w:after="100" w:afterAutospacing="1"/>
        <w:rPr>
          <w:rFonts w:ascii="Times New Roman" w:hAnsi="Times New Roman"/>
          <w:lang w:val="en-HK"/>
        </w:rPr>
      </w:pPr>
      <w:r w:rsidRPr="00120CB9">
        <w:rPr>
          <w:rFonts w:ascii="Times New Roman" w:hAnsi="Times New Roman"/>
          <w:lang w:val="en-HK"/>
        </w:rPr>
        <w:t>The Court introduced a proportionality analysis to selling arrangements, excluding those that apply equally in law and fact to domestic and imported goods.</w:t>
      </w:r>
    </w:p>
    <w:p w14:paraId="46185B5C" w14:textId="77777777" w:rsidR="00120CB9" w:rsidRPr="00120CB9" w:rsidRDefault="00120CB9" w:rsidP="00120CB9">
      <w:pPr>
        <w:numPr>
          <w:ilvl w:val="2"/>
          <w:numId w:val="24"/>
        </w:numPr>
        <w:spacing w:before="100" w:beforeAutospacing="1" w:after="100" w:afterAutospacing="1"/>
        <w:rPr>
          <w:rFonts w:ascii="Times New Roman" w:hAnsi="Times New Roman"/>
          <w:lang w:val="en-HK"/>
        </w:rPr>
      </w:pPr>
      <w:r w:rsidRPr="00120CB9">
        <w:rPr>
          <w:rFonts w:ascii="Times New Roman" w:hAnsi="Times New Roman"/>
          <w:lang w:val="en-HK"/>
        </w:rPr>
        <w:lastRenderedPageBreak/>
        <w:t>Quote: The Court stated that selling arrangements should only fall under Article 34 if they "disproportionately affect the access of imported goods to the market."</w:t>
      </w:r>
    </w:p>
    <w:p w14:paraId="2F75C2BF" w14:textId="77777777" w:rsidR="00120CB9" w:rsidRPr="00120CB9" w:rsidRDefault="00120CB9" w:rsidP="00120CB9">
      <w:pPr>
        <w:numPr>
          <w:ilvl w:val="1"/>
          <w:numId w:val="24"/>
        </w:numPr>
        <w:spacing w:before="100" w:beforeAutospacing="1" w:after="100" w:afterAutospacing="1"/>
        <w:rPr>
          <w:rFonts w:ascii="Times New Roman" w:hAnsi="Times New Roman"/>
          <w:lang w:val="en-HK"/>
        </w:rPr>
      </w:pPr>
      <w:r w:rsidRPr="00120CB9">
        <w:rPr>
          <w:rFonts w:ascii="Times New Roman" w:hAnsi="Times New Roman"/>
          <w:b/>
          <w:bCs/>
          <w:lang w:val="en-HK"/>
        </w:rPr>
        <w:t>De Agostini</w:t>
      </w:r>
      <w:r w:rsidRPr="00120CB9">
        <w:rPr>
          <w:rFonts w:ascii="Times New Roman" w:hAnsi="Times New Roman"/>
          <w:lang w:val="en-HK"/>
        </w:rPr>
        <w:t xml:space="preserve"> (Case C-34/95):</w:t>
      </w:r>
    </w:p>
    <w:p w14:paraId="53BCE98F" w14:textId="77777777" w:rsidR="00120CB9" w:rsidRPr="00120CB9" w:rsidRDefault="00120CB9" w:rsidP="00120CB9">
      <w:pPr>
        <w:numPr>
          <w:ilvl w:val="2"/>
          <w:numId w:val="24"/>
        </w:numPr>
        <w:spacing w:before="100" w:beforeAutospacing="1" w:after="100" w:afterAutospacing="1"/>
        <w:rPr>
          <w:rFonts w:ascii="Times New Roman" w:hAnsi="Times New Roman"/>
          <w:lang w:val="en-HK"/>
        </w:rPr>
      </w:pPr>
      <w:r w:rsidRPr="00120CB9">
        <w:rPr>
          <w:rFonts w:ascii="Times New Roman" w:hAnsi="Times New Roman"/>
          <w:lang w:val="en-HK"/>
        </w:rPr>
        <w:t>The Court applied proportionality to Swedish advertising restrictions, finding that the rules disproportionately affected imported goods, thus falling under Article 34.</w:t>
      </w:r>
    </w:p>
    <w:p w14:paraId="1158FA6E" w14:textId="77777777" w:rsidR="00120CB9" w:rsidRPr="00120CB9" w:rsidRDefault="00120CB9" w:rsidP="00120CB9">
      <w:pPr>
        <w:numPr>
          <w:ilvl w:val="0"/>
          <w:numId w:val="24"/>
        </w:numPr>
        <w:spacing w:before="100" w:beforeAutospacing="1" w:after="100" w:afterAutospacing="1"/>
        <w:rPr>
          <w:rFonts w:ascii="Times New Roman" w:hAnsi="Times New Roman"/>
          <w:lang w:val="en-HK"/>
        </w:rPr>
      </w:pPr>
      <w:r w:rsidRPr="00120CB9">
        <w:rPr>
          <w:rFonts w:ascii="Times New Roman" w:hAnsi="Times New Roman"/>
          <w:b/>
          <w:bCs/>
          <w:lang w:val="en-HK"/>
        </w:rPr>
        <w:t>Scholarly Opinions</w:t>
      </w:r>
      <w:r w:rsidRPr="00120CB9">
        <w:rPr>
          <w:rFonts w:ascii="Times New Roman" w:hAnsi="Times New Roman"/>
          <w:lang w:val="en-HK"/>
        </w:rPr>
        <w:t>:</w:t>
      </w:r>
    </w:p>
    <w:p w14:paraId="1D8BFB85" w14:textId="77777777" w:rsidR="00120CB9" w:rsidRPr="00120CB9" w:rsidRDefault="00120CB9" w:rsidP="00120CB9">
      <w:pPr>
        <w:numPr>
          <w:ilvl w:val="1"/>
          <w:numId w:val="24"/>
        </w:numPr>
        <w:spacing w:before="100" w:beforeAutospacing="1" w:after="100" w:afterAutospacing="1"/>
        <w:rPr>
          <w:rFonts w:ascii="Times New Roman" w:hAnsi="Times New Roman"/>
          <w:lang w:val="en-HK"/>
        </w:rPr>
      </w:pPr>
      <w:proofErr w:type="spellStart"/>
      <w:r w:rsidRPr="00120CB9">
        <w:rPr>
          <w:rFonts w:ascii="Times New Roman" w:hAnsi="Times New Roman"/>
          <w:b/>
          <w:bCs/>
          <w:lang w:val="en-HK"/>
        </w:rPr>
        <w:t>Weatherill</w:t>
      </w:r>
      <w:proofErr w:type="spellEnd"/>
      <w:r w:rsidRPr="00120CB9">
        <w:rPr>
          <w:rFonts w:ascii="Times New Roman" w:hAnsi="Times New Roman"/>
          <w:lang w:val="en-HK"/>
        </w:rPr>
        <w:t xml:space="preserve"> (2017): Notes that the proportionality principle is central to the Keck framework, ensuring that the free movement of goods does not unduly infringe upon national regulatory autonomy.</w:t>
      </w:r>
    </w:p>
    <w:p w14:paraId="1E3CE194" w14:textId="77777777" w:rsidR="00120CB9" w:rsidRPr="00120CB9" w:rsidRDefault="00120CB9" w:rsidP="00120CB9">
      <w:pPr>
        <w:numPr>
          <w:ilvl w:val="1"/>
          <w:numId w:val="24"/>
        </w:numPr>
        <w:spacing w:before="100" w:beforeAutospacing="1" w:after="100" w:afterAutospacing="1"/>
        <w:rPr>
          <w:rFonts w:ascii="Times New Roman" w:hAnsi="Times New Roman"/>
          <w:lang w:val="en-HK"/>
        </w:rPr>
      </w:pPr>
      <w:r w:rsidRPr="00120CB9">
        <w:rPr>
          <w:rFonts w:ascii="Times New Roman" w:hAnsi="Times New Roman"/>
          <w:b/>
          <w:bCs/>
          <w:lang w:val="en-HK"/>
        </w:rPr>
        <w:t>Barnard</w:t>
      </w:r>
      <w:r w:rsidRPr="00120CB9">
        <w:rPr>
          <w:rFonts w:ascii="Times New Roman" w:hAnsi="Times New Roman"/>
          <w:lang w:val="en-HK"/>
        </w:rPr>
        <w:t xml:space="preserve"> (2017): Argues that the proportionality test is inconsistently applied, leading to uncertainty in distinguishing product rules from selling arrangements.</w:t>
      </w:r>
    </w:p>
    <w:p w14:paraId="20A6B074" w14:textId="77777777" w:rsidR="00120CB9" w:rsidRPr="00120CB9" w:rsidRDefault="00480C6B" w:rsidP="00120CB9">
      <w:pPr>
        <w:rPr>
          <w:rFonts w:ascii="Times New Roman" w:hAnsi="Times New Roman"/>
          <w:lang w:val="en-HK"/>
        </w:rPr>
      </w:pPr>
      <w:r w:rsidRPr="00480C6B">
        <w:rPr>
          <w:rFonts w:ascii="Times New Roman" w:hAnsi="Times New Roman"/>
          <w:noProof/>
          <w:lang w:val="en-HK"/>
          <w14:ligatures w14:val="standardContextual"/>
        </w:rPr>
        <w:pict w14:anchorId="7CFE659F">
          <v:rect id="_x0000_i1041" alt="" style="width:451.3pt;height:.05pt;mso-width-percent:0;mso-height-percent:0;mso-width-percent:0;mso-height-percent:0" o:hralign="center" o:hrstd="t" o:hr="t" fillcolor="#a0a0a0" stroked="f"/>
        </w:pict>
      </w:r>
    </w:p>
    <w:p w14:paraId="35CC02C5" w14:textId="77777777" w:rsidR="00120CB9" w:rsidRPr="00120CB9" w:rsidRDefault="00120CB9" w:rsidP="00120CB9">
      <w:pPr>
        <w:spacing w:before="100" w:beforeAutospacing="1" w:after="100" w:afterAutospacing="1"/>
        <w:outlineLvl w:val="3"/>
        <w:rPr>
          <w:rFonts w:ascii="Times New Roman" w:hAnsi="Times New Roman"/>
          <w:b/>
          <w:bCs/>
          <w:lang w:val="en-HK"/>
        </w:rPr>
      </w:pPr>
      <w:r w:rsidRPr="00120CB9">
        <w:rPr>
          <w:rFonts w:ascii="Times New Roman" w:hAnsi="Times New Roman"/>
          <w:b/>
          <w:bCs/>
          <w:lang w:val="en-HK"/>
        </w:rPr>
        <w:t>Constitutional Implications</w:t>
      </w:r>
    </w:p>
    <w:p w14:paraId="6E9314FB" w14:textId="77777777" w:rsidR="00120CB9" w:rsidRPr="00120CB9" w:rsidRDefault="00120CB9" w:rsidP="00120CB9">
      <w:pPr>
        <w:numPr>
          <w:ilvl w:val="0"/>
          <w:numId w:val="25"/>
        </w:numPr>
        <w:spacing w:before="100" w:beforeAutospacing="1" w:after="100" w:afterAutospacing="1"/>
        <w:rPr>
          <w:rFonts w:ascii="Times New Roman" w:hAnsi="Times New Roman"/>
          <w:lang w:val="en-HK"/>
        </w:rPr>
      </w:pPr>
      <w:r w:rsidRPr="00120CB9">
        <w:rPr>
          <w:rFonts w:ascii="Times New Roman" w:hAnsi="Times New Roman"/>
          <w:lang w:val="en-HK"/>
        </w:rPr>
        <w:t>Horsley highlights the constitutional significance of exclusionary rules, noting their role in maintaining the balance of power between the EU and its Member States.</w:t>
      </w:r>
    </w:p>
    <w:p w14:paraId="1B98E416" w14:textId="77777777" w:rsidR="00120CB9" w:rsidRPr="00120CB9" w:rsidRDefault="00120CB9" w:rsidP="00120CB9">
      <w:pPr>
        <w:numPr>
          <w:ilvl w:val="0"/>
          <w:numId w:val="25"/>
        </w:numPr>
        <w:spacing w:before="100" w:beforeAutospacing="1" w:after="100" w:afterAutospacing="1"/>
        <w:rPr>
          <w:rFonts w:ascii="Times New Roman" w:hAnsi="Times New Roman"/>
          <w:lang w:val="en-HK"/>
        </w:rPr>
      </w:pPr>
      <w:r w:rsidRPr="00120CB9">
        <w:rPr>
          <w:rFonts w:ascii="Times New Roman" w:hAnsi="Times New Roman"/>
          <w:lang w:val="en-HK"/>
        </w:rPr>
        <w:t xml:space="preserve">He argues that these rules reflect the </w:t>
      </w:r>
      <w:r w:rsidRPr="00120CB9">
        <w:rPr>
          <w:rFonts w:ascii="Times New Roman" w:hAnsi="Times New Roman"/>
          <w:b/>
          <w:bCs/>
          <w:lang w:val="en-HK"/>
        </w:rPr>
        <w:t>constitutional pluralism</w:t>
      </w:r>
      <w:r w:rsidRPr="00120CB9">
        <w:rPr>
          <w:rFonts w:ascii="Times New Roman" w:hAnsi="Times New Roman"/>
          <w:lang w:val="en-HK"/>
        </w:rPr>
        <w:t xml:space="preserve"> of the EU, where both supranational and national legal systems coexist and interact.</w:t>
      </w:r>
    </w:p>
    <w:p w14:paraId="5372E00E" w14:textId="77777777" w:rsidR="00120CB9" w:rsidRPr="00120CB9" w:rsidRDefault="00480C6B" w:rsidP="00120CB9">
      <w:pPr>
        <w:rPr>
          <w:rFonts w:ascii="Times New Roman" w:hAnsi="Times New Roman"/>
          <w:lang w:val="en-HK"/>
        </w:rPr>
      </w:pPr>
      <w:r w:rsidRPr="00480C6B">
        <w:rPr>
          <w:rFonts w:ascii="Times New Roman" w:hAnsi="Times New Roman"/>
          <w:noProof/>
          <w:lang w:val="en-HK"/>
          <w14:ligatures w14:val="standardContextual"/>
        </w:rPr>
        <w:pict w14:anchorId="468D771A">
          <v:rect id="_x0000_i1040" alt="" style="width:451.3pt;height:.05pt;mso-width-percent:0;mso-height-percent:0;mso-width-percent:0;mso-height-percent:0" o:hralign="center" o:hrstd="t" o:hr="t" fillcolor="#a0a0a0" stroked="f"/>
        </w:pict>
      </w:r>
    </w:p>
    <w:p w14:paraId="790A5E89" w14:textId="77777777" w:rsidR="00120CB9" w:rsidRPr="00120CB9" w:rsidRDefault="00120CB9" w:rsidP="00120CB9">
      <w:pPr>
        <w:spacing w:before="100" w:beforeAutospacing="1" w:after="100" w:afterAutospacing="1"/>
        <w:outlineLvl w:val="3"/>
        <w:rPr>
          <w:rFonts w:ascii="Times New Roman" w:hAnsi="Times New Roman"/>
          <w:b/>
          <w:bCs/>
          <w:lang w:val="en-HK"/>
        </w:rPr>
      </w:pPr>
      <w:r w:rsidRPr="00120CB9">
        <w:rPr>
          <w:rFonts w:ascii="Times New Roman" w:hAnsi="Times New Roman"/>
          <w:b/>
          <w:bCs/>
          <w:lang w:val="en-HK"/>
        </w:rPr>
        <w:t>Criticism of Exclusionary Rules</w:t>
      </w:r>
    </w:p>
    <w:p w14:paraId="1DD9ABBA" w14:textId="77777777" w:rsidR="00120CB9" w:rsidRPr="00120CB9" w:rsidRDefault="00120CB9" w:rsidP="00120CB9">
      <w:pPr>
        <w:numPr>
          <w:ilvl w:val="0"/>
          <w:numId w:val="26"/>
        </w:numPr>
        <w:spacing w:before="100" w:beforeAutospacing="1" w:after="100" w:afterAutospacing="1"/>
        <w:rPr>
          <w:rFonts w:ascii="Times New Roman" w:hAnsi="Times New Roman"/>
          <w:lang w:val="en-HK"/>
        </w:rPr>
      </w:pPr>
      <w:r w:rsidRPr="00120CB9">
        <w:rPr>
          <w:rFonts w:ascii="Times New Roman" w:hAnsi="Times New Roman"/>
          <w:lang w:val="en-HK"/>
        </w:rPr>
        <w:t>Despite their normative justification, exclusionary rules have been criticized for:</w:t>
      </w:r>
    </w:p>
    <w:p w14:paraId="429DBF15" w14:textId="77777777" w:rsidR="00120CB9" w:rsidRPr="00120CB9" w:rsidRDefault="00120CB9" w:rsidP="00120CB9">
      <w:pPr>
        <w:numPr>
          <w:ilvl w:val="1"/>
          <w:numId w:val="26"/>
        </w:numPr>
        <w:spacing w:before="100" w:beforeAutospacing="1" w:after="100" w:afterAutospacing="1"/>
        <w:rPr>
          <w:rFonts w:ascii="Times New Roman" w:hAnsi="Times New Roman"/>
          <w:lang w:val="en-HK"/>
        </w:rPr>
      </w:pPr>
      <w:r w:rsidRPr="00120CB9">
        <w:rPr>
          <w:rFonts w:ascii="Times New Roman" w:hAnsi="Times New Roman"/>
          <w:b/>
          <w:bCs/>
          <w:lang w:val="en-HK"/>
        </w:rPr>
        <w:t>Lack of Clarity</w:t>
      </w:r>
      <w:r w:rsidRPr="00120CB9">
        <w:rPr>
          <w:rFonts w:ascii="Times New Roman" w:hAnsi="Times New Roman"/>
          <w:lang w:val="en-HK"/>
        </w:rPr>
        <w:t>:</w:t>
      </w:r>
    </w:p>
    <w:p w14:paraId="38B87187" w14:textId="77777777" w:rsidR="00120CB9" w:rsidRPr="00120CB9" w:rsidRDefault="00120CB9" w:rsidP="00120CB9">
      <w:pPr>
        <w:numPr>
          <w:ilvl w:val="2"/>
          <w:numId w:val="26"/>
        </w:numPr>
        <w:spacing w:before="100" w:beforeAutospacing="1" w:after="100" w:afterAutospacing="1"/>
        <w:rPr>
          <w:rFonts w:ascii="Times New Roman" w:hAnsi="Times New Roman"/>
          <w:lang w:val="en-HK"/>
        </w:rPr>
      </w:pPr>
      <w:r w:rsidRPr="00120CB9">
        <w:rPr>
          <w:rFonts w:ascii="Times New Roman" w:hAnsi="Times New Roman"/>
          <w:lang w:val="en-HK"/>
        </w:rPr>
        <w:t xml:space="preserve">Scholars such as </w:t>
      </w:r>
      <w:proofErr w:type="spellStart"/>
      <w:r w:rsidRPr="00120CB9">
        <w:rPr>
          <w:rFonts w:ascii="Times New Roman" w:hAnsi="Times New Roman"/>
          <w:lang w:val="en-HK"/>
        </w:rPr>
        <w:t>Spaventa</w:t>
      </w:r>
      <w:proofErr w:type="spellEnd"/>
      <w:r w:rsidRPr="00120CB9">
        <w:rPr>
          <w:rFonts w:ascii="Times New Roman" w:hAnsi="Times New Roman"/>
          <w:lang w:val="en-HK"/>
        </w:rPr>
        <w:t xml:space="preserve"> and </w:t>
      </w:r>
      <w:proofErr w:type="spellStart"/>
      <w:r w:rsidRPr="00120CB9">
        <w:rPr>
          <w:rFonts w:ascii="Times New Roman" w:hAnsi="Times New Roman"/>
          <w:lang w:val="en-HK"/>
        </w:rPr>
        <w:t>Mortelmans</w:t>
      </w:r>
      <w:proofErr w:type="spellEnd"/>
      <w:r w:rsidRPr="00120CB9">
        <w:rPr>
          <w:rFonts w:ascii="Times New Roman" w:hAnsi="Times New Roman"/>
          <w:lang w:val="en-HK"/>
        </w:rPr>
        <w:t xml:space="preserve"> argue that the Court’s reasoning is often opaque, making it difficult for traders and regulators to predict when a measure will be excluded from Article 34.</w:t>
      </w:r>
    </w:p>
    <w:p w14:paraId="16E82D46" w14:textId="77777777" w:rsidR="00120CB9" w:rsidRPr="00120CB9" w:rsidRDefault="00120CB9" w:rsidP="00120CB9">
      <w:pPr>
        <w:numPr>
          <w:ilvl w:val="1"/>
          <w:numId w:val="26"/>
        </w:numPr>
        <w:spacing w:before="100" w:beforeAutospacing="1" w:after="100" w:afterAutospacing="1"/>
        <w:rPr>
          <w:rFonts w:ascii="Times New Roman" w:hAnsi="Times New Roman"/>
          <w:lang w:val="en-HK"/>
        </w:rPr>
      </w:pPr>
      <w:r w:rsidRPr="00120CB9">
        <w:rPr>
          <w:rFonts w:ascii="Times New Roman" w:hAnsi="Times New Roman"/>
          <w:b/>
          <w:bCs/>
          <w:lang w:val="en-HK"/>
        </w:rPr>
        <w:t>Inconsistent Application</w:t>
      </w:r>
      <w:r w:rsidRPr="00120CB9">
        <w:rPr>
          <w:rFonts w:ascii="Times New Roman" w:hAnsi="Times New Roman"/>
          <w:lang w:val="en-HK"/>
        </w:rPr>
        <w:t>:</w:t>
      </w:r>
    </w:p>
    <w:p w14:paraId="641D991D" w14:textId="77777777" w:rsidR="00120CB9" w:rsidRPr="00120CB9" w:rsidRDefault="00120CB9" w:rsidP="00120CB9">
      <w:pPr>
        <w:numPr>
          <w:ilvl w:val="2"/>
          <w:numId w:val="26"/>
        </w:numPr>
        <w:spacing w:before="100" w:beforeAutospacing="1" w:after="100" w:afterAutospacing="1"/>
        <w:rPr>
          <w:rFonts w:ascii="Times New Roman" w:hAnsi="Times New Roman"/>
          <w:lang w:val="en-HK"/>
        </w:rPr>
      </w:pPr>
      <w:r w:rsidRPr="00120CB9">
        <w:rPr>
          <w:rFonts w:ascii="Times New Roman" w:hAnsi="Times New Roman"/>
          <w:lang w:val="en-HK"/>
        </w:rPr>
        <w:t xml:space="preserve">The Keck jurisprudence, in particular, has faced criticism for its uneven application in subsequent case law. Cases like </w:t>
      </w:r>
      <w:r w:rsidRPr="00120CB9">
        <w:rPr>
          <w:rFonts w:ascii="Times New Roman" w:hAnsi="Times New Roman"/>
          <w:b/>
          <w:bCs/>
          <w:lang w:val="en-HK"/>
        </w:rPr>
        <w:t>Commission v Italy (Motorcycle Trailers, Case C-110/05)</w:t>
      </w:r>
      <w:r w:rsidRPr="00120CB9">
        <w:rPr>
          <w:rFonts w:ascii="Times New Roman" w:hAnsi="Times New Roman"/>
          <w:lang w:val="en-HK"/>
        </w:rPr>
        <w:t xml:space="preserve"> have blurred the distinction between product rules and selling arrangements, undermining the clarity of the Keck framework.</w:t>
      </w:r>
    </w:p>
    <w:p w14:paraId="5E87E0B3" w14:textId="77777777" w:rsidR="00120CB9" w:rsidRPr="00120CB9" w:rsidRDefault="00120CB9" w:rsidP="00120CB9">
      <w:pPr>
        <w:numPr>
          <w:ilvl w:val="1"/>
          <w:numId w:val="26"/>
        </w:numPr>
        <w:spacing w:before="100" w:beforeAutospacing="1" w:after="100" w:afterAutospacing="1"/>
        <w:rPr>
          <w:rFonts w:ascii="Times New Roman" w:hAnsi="Times New Roman"/>
          <w:lang w:val="en-HK"/>
        </w:rPr>
      </w:pPr>
      <w:r w:rsidRPr="00120CB9">
        <w:rPr>
          <w:rFonts w:ascii="Times New Roman" w:hAnsi="Times New Roman"/>
          <w:b/>
          <w:bCs/>
          <w:lang w:val="en-HK"/>
        </w:rPr>
        <w:t>Limited Scope</w:t>
      </w:r>
      <w:r w:rsidRPr="00120CB9">
        <w:rPr>
          <w:rFonts w:ascii="Times New Roman" w:hAnsi="Times New Roman"/>
          <w:lang w:val="en-HK"/>
        </w:rPr>
        <w:t>:</w:t>
      </w:r>
    </w:p>
    <w:p w14:paraId="1DC413D6" w14:textId="77777777" w:rsidR="00120CB9" w:rsidRPr="00120CB9" w:rsidRDefault="00120CB9" w:rsidP="00120CB9">
      <w:pPr>
        <w:numPr>
          <w:ilvl w:val="2"/>
          <w:numId w:val="26"/>
        </w:numPr>
        <w:spacing w:before="100" w:beforeAutospacing="1" w:after="100" w:afterAutospacing="1"/>
        <w:rPr>
          <w:rFonts w:ascii="Times New Roman" w:hAnsi="Times New Roman"/>
          <w:lang w:val="en-HK"/>
        </w:rPr>
      </w:pPr>
      <w:r w:rsidRPr="00120CB9">
        <w:rPr>
          <w:rFonts w:ascii="Times New Roman" w:hAnsi="Times New Roman"/>
          <w:lang w:val="en-HK"/>
        </w:rPr>
        <w:t>Horsley notes that the exclusionary rules focus primarily on procedural thresholds (e.g., significance of effects, causation) rather than substantive evaluation of the measure’s impact on market access.</w:t>
      </w:r>
    </w:p>
    <w:p w14:paraId="0639C64C" w14:textId="77777777" w:rsidR="00120CB9" w:rsidRPr="00120CB9" w:rsidRDefault="00480C6B" w:rsidP="00120CB9">
      <w:pPr>
        <w:rPr>
          <w:rFonts w:ascii="Times New Roman" w:hAnsi="Times New Roman"/>
          <w:lang w:val="en-HK"/>
        </w:rPr>
      </w:pPr>
      <w:r w:rsidRPr="00480C6B">
        <w:rPr>
          <w:rFonts w:ascii="Times New Roman" w:hAnsi="Times New Roman"/>
          <w:noProof/>
          <w:lang w:val="en-HK"/>
          <w14:ligatures w14:val="standardContextual"/>
        </w:rPr>
        <w:pict w14:anchorId="3C1F0154">
          <v:rect id="_x0000_i1039" alt="" style="width:451.3pt;height:.05pt;mso-width-percent:0;mso-height-percent:0;mso-width-percent:0;mso-height-percent:0" o:hralign="center" o:hrstd="t" o:hr="t" fillcolor="#a0a0a0" stroked="f"/>
        </w:pict>
      </w:r>
    </w:p>
    <w:p w14:paraId="71790502" w14:textId="77777777" w:rsidR="00120CB9" w:rsidRPr="00120CB9" w:rsidRDefault="00120CB9" w:rsidP="00120CB9">
      <w:pPr>
        <w:spacing w:before="100" w:beforeAutospacing="1" w:after="100" w:afterAutospacing="1"/>
        <w:outlineLvl w:val="3"/>
        <w:rPr>
          <w:rFonts w:ascii="Times New Roman" w:hAnsi="Times New Roman"/>
          <w:b/>
          <w:bCs/>
          <w:lang w:val="en-HK"/>
        </w:rPr>
      </w:pPr>
      <w:r w:rsidRPr="00120CB9">
        <w:rPr>
          <w:rFonts w:ascii="Times New Roman" w:hAnsi="Times New Roman"/>
          <w:b/>
          <w:bCs/>
          <w:lang w:val="en-HK"/>
        </w:rPr>
        <w:t>Interaction with the Market Access Test</w:t>
      </w:r>
    </w:p>
    <w:p w14:paraId="4AC20ECB" w14:textId="77777777" w:rsidR="00120CB9" w:rsidRPr="00120CB9" w:rsidRDefault="00120CB9" w:rsidP="00120CB9">
      <w:pPr>
        <w:numPr>
          <w:ilvl w:val="0"/>
          <w:numId w:val="27"/>
        </w:numPr>
        <w:spacing w:before="100" w:beforeAutospacing="1" w:after="100" w:afterAutospacing="1"/>
        <w:rPr>
          <w:rFonts w:ascii="Times New Roman" w:hAnsi="Times New Roman"/>
          <w:lang w:val="en-HK"/>
        </w:rPr>
      </w:pPr>
      <w:r w:rsidRPr="00120CB9">
        <w:rPr>
          <w:rFonts w:ascii="Times New Roman" w:hAnsi="Times New Roman"/>
          <w:lang w:val="en-HK"/>
        </w:rPr>
        <w:t xml:space="preserve">Horsley contrasts exclusionary rules with the </w:t>
      </w:r>
      <w:r w:rsidRPr="00120CB9">
        <w:rPr>
          <w:rFonts w:ascii="Times New Roman" w:hAnsi="Times New Roman"/>
          <w:b/>
          <w:bCs/>
          <w:lang w:val="en-HK"/>
        </w:rPr>
        <w:t>market access test</w:t>
      </w:r>
      <w:r w:rsidRPr="00120CB9">
        <w:rPr>
          <w:rFonts w:ascii="Times New Roman" w:hAnsi="Times New Roman"/>
          <w:lang w:val="en-HK"/>
        </w:rPr>
        <w:t xml:space="preserve"> introduced in </w:t>
      </w:r>
      <w:r w:rsidRPr="00120CB9">
        <w:rPr>
          <w:rFonts w:ascii="Times New Roman" w:hAnsi="Times New Roman"/>
          <w:b/>
          <w:bCs/>
          <w:lang w:val="en-HK"/>
        </w:rPr>
        <w:t>Commission v Italy (Case C-110/05)</w:t>
      </w:r>
      <w:r w:rsidRPr="00120CB9">
        <w:rPr>
          <w:rFonts w:ascii="Times New Roman" w:hAnsi="Times New Roman"/>
          <w:lang w:val="en-HK"/>
        </w:rPr>
        <w:t>, where the Court expanded the scope of Article 34 to include measures that impede market access, regardless of their form.</w:t>
      </w:r>
    </w:p>
    <w:p w14:paraId="11BE5F56" w14:textId="77777777" w:rsidR="00120CB9" w:rsidRPr="00120CB9" w:rsidRDefault="00120CB9" w:rsidP="00120CB9">
      <w:pPr>
        <w:numPr>
          <w:ilvl w:val="0"/>
          <w:numId w:val="27"/>
        </w:numPr>
        <w:spacing w:before="100" w:beforeAutospacing="1" w:after="100" w:afterAutospacing="1"/>
        <w:rPr>
          <w:rFonts w:ascii="Times New Roman" w:hAnsi="Times New Roman"/>
          <w:lang w:val="en-HK"/>
        </w:rPr>
      </w:pPr>
      <w:r w:rsidRPr="00120CB9">
        <w:rPr>
          <w:rFonts w:ascii="Times New Roman" w:hAnsi="Times New Roman"/>
          <w:lang w:val="en-HK"/>
        </w:rPr>
        <w:lastRenderedPageBreak/>
        <w:t>While the market access test emphasizes the economic impact of national measures, exclusionary rules focus on procedural justifications, creating potential tensions between the two approaches.</w:t>
      </w:r>
    </w:p>
    <w:p w14:paraId="4F5C14B2" w14:textId="77777777" w:rsidR="00120CB9" w:rsidRPr="00120CB9" w:rsidRDefault="00480C6B" w:rsidP="00120CB9">
      <w:pPr>
        <w:rPr>
          <w:rFonts w:ascii="Times New Roman" w:hAnsi="Times New Roman"/>
          <w:lang w:val="en-HK"/>
        </w:rPr>
      </w:pPr>
      <w:r w:rsidRPr="00480C6B">
        <w:rPr>
          <w:rFonts w:ascii="Times New Roman" w:hAnsi="Times New Roman"/>
          <w:noProof/>
          <w:lang w:val="en-HK"/>
          <w14:ligatures w14:val="standardContextual"/>
        </w:rPr>
        <w:pict w14:anchorId="0C82C80A">
          <v:rect id="_x0000_i1038" alt="" style="width:451.3pt;height:.05pt;mso-width-percent:0;mso-height-percent:0;mso-width-percent:0;mso-height-percent:0" o:hralign="center" o:hrstd="t" o:hr="t" fillcolor="#a0a0a0" stroked="f"/>
        </w:pict>
      </w:r>
    </w:p>
    <w:p w14:paraId="1FBB8186" w14:textId="77777777" w:rsidR="00CA0FC2" w:rsidRPr="00CA0FC2" w:rsidRDefault="00CA0FC2" w:rsidP="00CA0FC2">
      <w:pPr>
        <w:spacing w:before="100" w:beforeAutospacing="1" w:after="100" w:afterAutospacing="1"/>
        <w:outlineLvl w:val="2"/>
        <w:rPr>
          <w:rFonts w:ascii="Times New Roman" w:hAnsi="Times New Roman"/>
          <w:b/>
          <w:bCs/>
          <w:sz w:val="27"/>
          <w:szCs w:val="27"/>
          <w:lang w:val="en-HK"/>
        </w:rPr>
      </w:pPr>
      <w:r w:rsidRPr="00CA0FC2">
        <w:rPr>
          <w:rFonts w:ascii="Times New Roman" w:hAnsi="Times New Roman"/>
          <w:b/>
          <w:bCs/>
          <w:sz w:val="27"/>
          <w:szCs w:val="27"/>
          <w:lang w:val="en-HK"/>
        </w:rPr>
        <w:t xml:space="preserve">5. Recent Developments: </w:t>
      </w:r>
      <w:r w:rsidRPr="00CA0FC2">
        <w:rPr>
          <w:rFonts w:ascii="Times New Roman" w:hAnsi="Times New Roman"/>
          <w:b/>
          <w:bCs/>
          <w:sz w:val="27"/>
          <w:szCs w:val="27"/>
          <w:highlight w:val="yellow"/>
          <w:lang w:val="en-HK"/>
        </w:rPr>
        <w:t>Market Access Test</w:t>
      </w:r>
    </w:p>
    <w:p w14:paraId="7764BDCE" w14:textId="77777777" w:rsidR="00CA0FC2" w:rsidRPr="00CA0FC2" w:rsidRDefault="00CA0FC2" w:rsidP="00CA0FC2">
      <w:pPr>
        <w:spacing w:before="100" w:beforeAutospacing="1" w:after="100" w:afterAutospacing="1"/>
        <w:outlineLvl w:val="3"/>
        <w:rPr>
          <w:rFonts w:ascii="Times New Roman" w:hAnsi="Times New Roman"/>
          <w:b/>
          <w:bCs/>
          <w:lang w:val="en-HK"/>
        </w:rPr>
      </w:pPr>
      <w:r w:rsidRPr="00CA0FC2">
        <w:rPr>
          <w:rFonts w:ascii="Times New Roman" w:hAnsi="Times New Roman"/>
          <w:b/>
          <w:bCs/>
          <w:lang w:val="en-HK"/>
        </w:rPr>
        <w:t>Introduction to the Market Access Test</w:t>
      </w:r>
    </w:p>
    <w:p w14:paraId="6ED276A7" w14:textId="77777777" w:rsidR="00CA0FC2" w:rsidRPr="00CA0FC2" w:rsidRDefault="00CA0FC2" w:rsidP="00CA0FC2">
      <w:pPr>
        <w:numPr>
          <w:ilvl w:val="0"/>
          <w:numId w:val="28"/>
        </w:numPr>
        <w:spacing w:before="100" w:beforeAutospacing="1" w:after="100" w:afterAutospacing="1"/>
        <w:rPr>
          <w:rFonts w:ascii="Times New Roman" w:hAnsi="Times New Roman"/>
          <w:lang w:val="en-HK"/>
        </w:rPr>
      </w:pPr>
      <w:r w:rsidRPr="00CA0FC2">
        <w:rPr>
          <w:rFonts w:ascii="Times New Roman" w:hAnsi="Times New Roman"/>
          <w:lang w:val="en-HK"/>
        </w:rPr>
        <w:t>The market access test marks a significant shift in the CJEU's approach to interpreting Article 34 TFEU.</w:t>
      </w:r>
    </w:p>
    <w:p w14:paraId="1B1ED763" w14:textId="77777777" w:rsidR="00CA0FC2" w:rsidRPr="00CA0FC2" w:rsidRDefault="00CA0FC2" w:rsidP="00CA0FC2">
      <w:pPr>
        <w:numPr>
          <w:ilvl w:val="0"/>
          <w:numId w:val="28"/>
        </w:numPr>
        <w:spacing w:before="100" w:beforeAutospacing="1" w:after="100" w:afterAutospacing="1"/>
        <w:rPr>
          <w:rFonts w:ascii="Times New Roman" w:hAnsi="Times New Roman"/>
          <w:lang w:val="en-HK"/>
        </w:rPr>
      </w:pPr>
      <w:r w:rsidRPr="00CA0FC2">
        <w:rPr>
          <w:rFonts w:ascii="Times New Roman" w:hAnsi="Times New Roman"/>
          <w:lang w:val="en-HK"/>
        </w:rPr>
        <w:t xml:space="preserve">Horsley identifies this test as a refinement (or challenge) to the exclusionary rules previously developed by the Court, particularly the </w:t>
      </w:r>
      <w:r w:rsidRPr="00CA0FC2">
        <w:rPr>
          <w:rFonts w:ascii="Times New Roman" w:hAnsi="Times New Roman"/>
          <w:b/>
          <w:bCs/>
          <w:lang w:val="en-HK"/>
        </w:rPr>
        <w:t>Keck jurisprudence</w:t>
      </w:r>
      <w:r w:rsidRPr="00CA0FC2">
        <w:rPr>
          <w:rFonts w:ascii="Times New Roman" w:hAnsi="Times New Roman"/>
          <w:lang w:val="en-HK"/>
        </w:rPr>
        <w:t>.</w:t>
      </w:r>
    </w:p>
    <w:p w14:paraId="0939A80A" w14:textId="77777777" w:rsidR="00CA0FC2" w:rsidRPr="00CA0FC2" w:rsidRDefault="00CA0FC2" w:rsidP="00CA0FC2">
      <w:pPr>
        <w:numPr>
          <w:ilvl w:val="0"/>
          <w:numId w:val="28"/>
        </w:numPr>
        <w:spacing w:before="100" w:beforeAutospacing="1" w:after="100" w:afterAutospacing="1"/>
        <w:rPr>
          <w:rFonts w:ascii="Times New Roman" w:hAnsi="Times New Roman"/>
          <w:lang w:val="en-HK"/>
        </w:rPr>
      </w:pPr>
      <w:r w:rsidRPr="00CA0FC2">
        <w:rPr>
          <w:rFonts w:ascii="Times New Roman" w:hAnsi="Times New Roman"/>
          <w:lang w:val="en-HK"/>
        </w:rPr>
        <w:t xml:space="preserve">Central to the market access test is the notion that any national measure that </w:t>
      </w:r>
      <w:r w:rsidRPr="00CA0FC2">
        <w:rPr>
          <w:rFonts w:ascii="Times New Roman" w:hAnsi="Times New Roman"/>
          <w:b/>
          <w:bCs/>
          <w:lang w:val="en-HK"/>
        </w:rPr>
        <w:t>hinders access to the market</w:t>
      </w:r>
      <w:r w:rsidRPr="00CA0FC2">
        <w:rPr>
          <w:rFonts w:ascii="Times New Roman" w:hAnsi="Times New Roman"/>
          <w:lang w:val="en-HK"/>
        </w:rPr>
        <w:t xml:space="preserve"> for goods from other Member States could be considered a restriction under Article 34.</w:t>
      </w:r>
    </w:p>
    <w:p w14:paraId="03F04E85" w14:textId="77777777" w:rsidR="00CA0FC2" w:rsidRPr="00CA0FC2" w:rsidRDefault="00480C6B" w:rsidP="00CA0FC2">
      <w:pPr>
        <w:rPr>
          <w:rFonts w:ascii="Times New Roman" w:hAnsi="Times New Roman"/>
          <w:lang w:val="en-HK"/>
        </w:rPr>
      </w:pPr>
      <w:r w:rsidRPr="00480C6B">
        <w:rPr>
          <w:rFonts w:ascii="Times New Roman" w:hAnsi="Times New Roman"/>
          <w:noProof/>
          <w:lang w:val="en-HK"/>
          <w14:ligatures w14:val="standardContextual"/>
        </w:rPr>
        <w:pict w14:anchorId="6597FA5A">
          <v:rect id="_x0000_i1037" alt="" style="width:451.3pt;height:.05pt;mso-width-percent:0;mso-height-percent:0;mso-width-percent:0;mso-height-percent:0" o:hralign="center" o:hrstd="t" o:hr="t" fillcolor="#a0a0a0" stroked="f"/>
        </w:pict>
      </w:r>
    </w:p>
    <w:p w14:paraId="3500F159" w14:textId="77777777" w:rsidR="00CA0FC2" w:rsidRPr="00CA0FC2" w:rsidRDefault="00CA0FC2" w:rsidP="00CA0FC2">
      <w:pPr>
        <w:spacing w:before="100" w:beforeAutospacing="1" w:after="100" w:afterAutospacing="1"/>
        <w:outlineLvl w:val="3"/>
        <w:rPr>
          <w:rFonts w:ascii="Times New Roman" w:hAnsi="Times New Roman"/>
          <w:b/>
          <w:bCs/>
          <w:lang w:val="en-HK"/>
        </w:rPr>
      </w:pPr>
      <w:r w:rsidRPr="00CA0FC2">
        <w:rPr>
          <w:rFonts w:ascii="Times New Roman" w:hAnsi="Times New Roman"/>
          <w:b/>
          <w:bCs/>
          <w:lang w:val="en-HK"/>
        </w:rPr>
        <w:t>Origins of the Market Access Test</w:t>
      </w:r>
    </w:p>
    <w:p w14:paraId="0037C38B" w14:textId="77777777" w:rsidR="00CA0FC2" w:rsidRPr="00CA0FC2" w:rsidRDefault="00CA0FC2" w:rsidP="00CA0FC2">
      <w:pPr>
        <w:numPr>
          <w:ilvl w:val="0"/>
          <w:numId w:val="29"/>
        </w:numPr>
        <w:spacing w:before="100" w:beforeAutospacing="1" w:after="100" w:afterAutospacing="1"/>
        <w:rPr>
          <w:rFonts w:ascii="Times New Roman" w:hAnsi="Times New Roman"/>
          <w:lang w:val="en-HK"/>
        </w:rPr>
      </w:pPr>
      <w:r w:rsidRPr="00CA0FC2">
        <w:rPr>
          <w:rFonts w:ascii="Times New Roman" w:hAnsi="Times New Roman"/>
          <w:b/>
          <w:bCs/>
          <w:lang w:val="en-HK"/>
        </w:rPr>
        <w:t>Commission v Italy (Motorcycle Trailers, Case C-110/05)</w:t>
      </w:r>
      <w:r w:rsidRPr="00CA0FC2">
        <w:rPr>
          <w:rFonts w:ascii="Times New Roman" w:hAnsi="Times New Roman"/>
          <w:lang w:val="en-HK"/>
        </w:rPr>
        <w:t>:</w:t>
      </w:r>
    </w:p>
    <w:p w14:paraId="765567A9" w14:textId="77777777" w:rsidR="00CA0FC2" w:rsidRPr="00CA0FC2" w:rsidRDefault="00CA0FC2" w:rsidP="00CA0FC2">
      <w:pPr>
        <w:numPr>
          <w:ilvl w:val="1"/>
          <w:numId w:val="29"/>
        </w:numPr>
        <w:spacing w:before="100" w:beforeAutospacing="1" w:after="100" w:afterAutospacing="1"/>
        <w:rPr>
          <w:rFonts w:ascii="Times New Roman" w:hAnsi="Times New Roman"/>
          <w:lang w:val="en-HK"/>
        </w:rPr>
      </w:pPr>
      <w:r w:rsidRPr="00CA0FC2">
        <w:rPr>
          <w:rFonts w:ascii="Times New Roman" w:hAnsi="Times New Roman"/>
          <w:lang w:val="en-HK"/>
        </w:rPr>
        <w:t>This case is often viewed as a turning point in the CJEU’s jurisprudence.</w:t>
      </w:r>
    </w:p>
    <w:p w14:paraId="4576B921" w14:textId="77777777" w:rsidR="00CA0FC2" w:rsidRPr="00CA0FC2" w:rsidRDefault="00CA0FC2" w:rsidP="00CA0FC2">
      <w:pPr>
        <w:numPr>
          <w:ilvl w:val="1"/>
          <w:numId w:val="29"/>
        </w:numPr>
        <w:spacing w:before="100" w:beforeAutospacing="1" w:after="100" w:afterAutospacing="1"/>
        <w:rPr>
          <w:rFonts w:ascii="Times New Roman" w:hAnsi="Times New Roman"/>
          <w:lang w:val="en-HK"/>
        </w:rPr>
      </w:pPr>
      <w:r w:rsidRPr="00CA0FC2">
        <w:rPr>
          <w:rFonts w:ascii="Times New Roman" w:hAnsi="Times New Roman"/>
          <w:lang w:val="en-HK"/>
        </w:rPr>
        <w:t>Italy imposed restrictions on the use of trailers, allowing them only to be towed by motorcycles specifically designed for that purpose. The rule was challenged as an MEQR under Article 34.</w:t>
      </w:r>
    </w:p>
    <w:p w14:paraId="76A8FD14" w14:textId="77777777" w:rsidR="00CA0FC2" w:rsidRPr="00CA0FC2" w:rsidRDefault="00CA0FC2" w:rsidP="00CA0FC2">
      <w:pPr>
        <w:numPr>
          <w:ilvl w:val="1"/>
          <w:numId w:val="29"/>
        </w:numPr>
        <w:spacing w:before="100" w:beforeAutospacing="1" w:after="100" w:afterAutospacing="1"/>
        <w:rPr>
          <w:rFonts w:ascii="Times New Roman" w:hAnsi="Times New Roman"/>
          <w:lang w:val="en-HK"/>
        </w:rPr>
      </w:pPr>
      <w:r w:rsidRPr="00CA0FC2">
        <w:rPr>
          <w:rFonts w:ascii="Times New Roman" w:hAnsi="Times New Roman"/>
          <w:b/>
          <w:bCs/>
          <w:lang w:val="en-HK"/>
        </w:rPr>
        <w:t>Court’s Ruling</w:t>
      </w:r>
      <w:r w:rsidRPr="00CA0FC2">
        <w:rPr>
          <w:rFonts w:ascii="Times New Roman" w:hAnsi="Times New Roman"/>
          <w:lang w:val="en-HK"/>
        </w:rPr>
        <w:t>:</w:t>
      </w:r>
    </w:p>
    <w:p w14:paraId="4C01DD27" w14:textId="77777777" w:rsidR="00CA0FC2" w:rsidRPr="00CA0FC2" w:rsidRDefault="00CA0FC2" w:rsidP="00CA0FC2">
      <w:pPr>
        <w:numPr>
          <w:ilvl w:val="2"/>
          <w:numId w:val="29"/>
        </w:numPr>
        <w:spacing w:before="100" w:beforeAutospacing="1" w:after="100" w:afterAutospacing="1"/>
        <w:rPr>
          <w:rFonts w:ascii="Times New Roman" w:hAnsi="Times New Roman"/>
          <w:lang w:val="en-HK"/>
        </w:rPr>
      </w:pPr>
      <w:r w:rsidRPr="00CA0FC2">
        <w:rPr>
          <w:rFonts w:ascii="Times New Roman" w:hAnsi="Times New Roman"/>
          <w:lang w:val="en-HK"/>
        </w:rPr>
        <w:t>The measure hindered market access for certain goods (trailers) lawfully marketed in other Member States, even though it did not discriminate between domestic and imported goods.</w:t>
      </w:r>
    </w:p>
    <w:p w14:paraId="7E8E08CA" w14:textId="77777777" w:rsidR="00CA0FC2" w:rsidRPr="00CA0FC2" w:rsidRDefault="00CA0FC2" w:rsidP="00CA0FC2">
      <w:pPr>
        <w:numPr>
          <w:ilvl w:val="2"/>
          <w:numId w:val="29"/>
        </w:numPr>
        <w:spacing w:before="100" w:beforeAutospacing="1" w:after="100" w:afterAutospacing="1"/>
        <w:rPr>
          <w:rFonts w:ascii="Times New Roman" w:hAnsi="Times New Roman"/>
          <w:lang w:val="en-HK"/>
        </w:rPr>
      </w:pPr>
      <w:r w:rsidRPr="00CA0FC2">
        <w:rPr>
          <w:rFonts w:ascii="Times New Roman" w:hAnsi="Times New Roman"/>
          <w:lang w:val="en-HK"/>
        </w:rPr>
        <w:t>The Court stated, “Measures which hinder access to the market of a Member State for products from other Member States are to be regarded as having an effect equivalent to quantitative restrictions.”</w:t>
      </w:r>
    </w:p>
    <w:p w14:paraId="29F4359B" w14:textId="77777777" w:rsidR="00CA0FC2" w:rsidRPr="00CA0FC2" w:rsidRDefault="00CA0FC2" w:rsidP="00CA0FC2">
      <w:pPr>
        <w:numPr>
          <w:ilvl w:val="1"/>
          <w:numId w:val="29"/>
        </w:numPr>
        <w:spacing w:before="100" w:beforeAutospacing="1" w:after="100" w:afterAutospacing="1"/>
        <w:rPr>
          <w:rFonts w:ascii="Times New Roman" w:hAnsi="Times New Roman"/>
          <w:lang w:val="en-HK"/>
        </w:rPr>
      </w:pPr>
      <w:r w:rsidRPr="00CA0FC2">
        <w:rPr>
          <w:rFonts w:ascii="Times New Roman" w:hAnsi="Times New Roman"/>
          <w:b/>
          <w:bCs/>
          <w:lang w:val="en-HK"/>
        </w:rPr>
        <w:t>Significance</w:t>
      </w:r>
      <w:r w:rsidRPr="00CA0FC2">
        <w:rPr>
          <w:rFonts w:ascii="Times New Roman" w:hAnsi="Times New Roman"/>
          <w:lang w:val="en-HK"/>
        </w:rPr>
        <w:t>:</w:t>
      </w:r>
    </w:p>
    <w:p w14:paraId="18B93754" w14:textId="77777777" w:rsidR="00CA0FC2" w:rsidRPr="00CA0FC2" w:rsidRDefault="00CA0FC2" w:rsidP="00CA0FC2">
      <w:pPr>
        <w:numPr>
          <w:ilvl w:val="2"/>
          <w:numId w:val="29"/>
        </w:numPr>
        <w:spacing w:before="100" w:beforeAutospacing="1" w:after="100" w:afterAutospacing="1"/>
        <w:rPr>
          <w:rFonts w:ascii="Times New Roman" w:hAnsi="Times New Roman"/>
          <w:lang w:val="en-HK"/>
        </w:rPr>
      </w:pPr>
      <w:r w:rsidRPr="00CA0FC2">
        <w:rPr>
          <w:rFonts w:ascii="Times New Roman" w:hAnsi="Times New Roman"/>
          <w:lang w:val="en-HK"/>
        </w:rPr>
        <w:t>The Court moved beyond the distinction between product rules and selling arrangements established in Keck.</w:t>
      </w:r>
    </w:p>
    <w:p w14:paraId="148C57F4" w14:textId="77777777" w:rsidR="00CA0FC2" w:rsidRPr="00CA0FC2" w:rsidRDefault="00CA0FC2" w:rsidP="00CA0FC2">
      <w:pPr>
        <w:numPr>
          <w:ilvl w:val="2"/>
          <w:numId w:val="29"/>
        </w:numPr>
        <w:spacing w:before="100" w:beforeAutospacing="1" w:after="100" w:afterAutospacing="1"/>
        <w:rPr>
          <w:rFonts w:ascii="Times New Roman" w:hAnsi="Times New Roman"/>
          <w:lang w:val="en-HK"/>
        </w:rPr>
      </w:pPr>
      <w:r w:rsidRPr="00CA0FC2">
        <w:rPr>
          <w:rFonts w:ascii="Times New Roman" w:hAnsi="Times New Roman"/>
          <w:lang w:val="en-HK"/>
        </w:rPr>
        <w:t>It expanded the scope of Article 34 to include non-discriminatory measures that create significant barriers to market entry.</w:t>
      </w:r>
    </w:p>
    <w:p w14:paraId="6716D539" w14:textId="77777777" w:rsidR="00CA0FC2" w:rsidRPr="00CA0FC2" w:rsidRDefault="00480C6B" w:rsidP="00CA0FC2">
      <w:pPr>
        <w:rPr>
          <w:rFonts w:ascii="Times New Roman" w:hAnsi="Times New Roman"/>
          <w:lang w:val="en-HK"/>
        </w:rPr>
      </w:pPr>
      <w:r w:rsidRPr="00480C6B">
        <w:rPr>
          <w:rFonts w:ascii="Times New Roman" w:hAnsi="Times New Roman"/>
          <w:noProof/>
          <w:lang w:val="en-HK"/>
          <w14:ligatures w14:val="standardContextual"/>
        </w:rPr>
        <w:pict w14:anchorId="126C41B7">
          <v:rect id="_x0000_i1036" alt="" style="width:451.3pt;height:.05pt;mso-width-percent:0;mso-height-percent:0;mso-width-percent:0;mso-height-percent:0" o:hralign="center" o:hrstd="t" o:hr="t" fillcolor="#a0a0a0" stroked="f"/>
        </w:pict>
      </w:r>
    </w:p>
    <w:p w14:paraId="71FEE4A3" w14:textId="77777777" w:rsidR="00CA0FC2" w:rsidRPr="00CA0FC2" w:rsidRDefault="00CA0FC2" w:rsidP="00CA0FC2">
      <w:pPr>
        <w:spacing w:before="100" w:beforeAutospacing="1" w:after="100" w:afterAutospacing="1"/>
        <w:outlineLvl w:val="3"/>
        <w:rPr>
          <w:rFonts w:ascii="Times New Roman" w:hAnsi="Times New Roman"/>
          <w:b/>
          <w:bCs/>
          <w:lang w:val="en-HK"/>
        </w:rPr>
      </w:pPr>
      <w:r w:rsidRPr="00CA0FC2">
        <w:rPr>
          <w:rFonts w:ascii="Times New Roman" w:hAnsi="Times New Roman"/>
          <w:b/>
          <w:bCs/>
          <w:lang w:val="en-HK"/>
        </w:rPr>
        <w:t>Key Features of the Market Access Test</w:t>
      </w:r>
    </w:p>
    <w:p w14:paraId="5A9647DC" w14:textId="77777777" w:rsidR="00CA0FC2" w:rsidRPr="00CA0FC2" w:rsidRDefault="00CA0FC2" w:rsidP="00CA0FC2">
      <w:pPr>
        <w:numPr>
          <w:ilvl w:val="0"/>
          <w:numId w:val="30"/>
        </w:numPr>
        <w:spacing w:before="100" w:beforeAutospacing="1" w:after="100" w:afterAutospacing="1"/>
        <w:rPr>
          <w:rFonts w:ascii="Times New Roman" w:hAnsi="Times New Roman"/>
          <w:lang w:val="en-HK"/>
        </w:rPr>
      </w:pPr>
      <w:r w:rsidRPr="00CA0FC2">
        <w:rPr>
          <w:rFonts w:ascii="Times New Roman" w:hAnsi="Times New Roman"/>
          <w:b/>
          <w:bCs/>
          <w:lang w:val="en-HK"/>
        </w:rPr>
        <w:t>Focus on Economic Impact</w:t>
      </w:r>
      <w:r w:rsidRPr="00CA0FC2">
        <w:rPr>
          <w:rFonts w:ascii="Times New Roman" w:hAnsi="Times New Roman"/>
          <w:lang w:val="en-HK"/>
        </w:rPr>
        <w:t>:</w:t>
      </w:r>
    </w:p>
    <w:p w14:paraId="524FAC7F" w14:textId="77777777" w:rsidR="00CA0FC2" w:rsidRPr="00CA0FC2" w:rsidRDefault="00CA0FC2" w:rsidP="00CA0FC2">
      <w:pPr>
        <w:numPr>
          <w:ilvl w:val="1"/>
          <w:numId w:val="30"/>
        </w:numPr>
        <w:spacing w:before="100" w:beforeAutospacing="1" w:after="100" w:afterAutospacing="1"/>
        <w:rPr>
          <w:rFonts w:ascii="Times New Roman" w:hAnsi="Times New Roman"/>
          <w:lang w:val="en-HK"/>
        </w:rPr>
      </w:pPr>
      <w:r w:rsidRPr="00CA0FC2">
        <w:rPr>
          <w:rFonts w:ascii="Times New Roman" w:hAnsi="Times New Roman"/>
          <w:lang w:val="en-HK"/>
        </w:rPr>
        <w:t>Unlike exclusionary rules, which prioritize procedural thresholds (e.g., effects being too uncertain or indirect), the market access test focuses on the economic consequences of a measure.</w:t>
      </w:r>
    </w:p>
    <w:p w14:paraId="55995B5A" w14:textId="77777777" w:rsidR="00CA0FC2" w:rsidRPr="00CA0FC2" w:rsidRDefault="00CA0FC2" w:rsidP="00CA0FC2">
      <w:pPr>
        <w:numPr>
          <w:ilvl w:val="1"/>
          <w:numId w:val="30"/>
        </w:numPr>
        <w:spacing w:before="100" w:beforeAutospacing="1" w:after="100" w:afterAutospacing="1"/>
        <w:rPr>
          <w:rFonts w:ascii="Times New Roman" w:hAnsi="Times New Roman"/>
          <w:lang w:val="en-HK"/>
        </w:rPr>
      </w:pPr>
      <w:r w:rsidRPr="00CA0FC2">
        <w:rPr>
          <w:rFonts w:ascii="Times New Roman" w:hAnsi="Times New Roman"/>
          <w:lang w:val="en-HK"/>
        </w:rPr>
        <w:t>It considers whether a measure imposes additional burdens or costs on imported goods, thereby reducing their competitiveness.</w:t>
      </w:r>
    </w:p>
    <w:p w14:paraId="77527604" w14:textId="77777777" w:rsidR="00CA0FC2" w:rsidRPr="00CA0FC2" w:rsidRDefault="00CA0FC2" w:rsidP="00CA0FC2">
      <w:pPr>
        <w:numPr>
          <w:ilvl w:val="0"/>
          <w:numId w:val="30"/>
        </w:numPr>
        <w:spacing w:before="100" w:beforeAutospacing="1" w:after="100" w:afterAutospacing="1"/>
        <w:rPr>
          <w:rFonts w:ascii="Times New Roman" w:hAnsi="Times New Roman"/>
          <w:lang w:val="en-HK"/>
        </w:rPr>
      </w:pPr>
      <w:r w:rsidRPr="00CA0FC2">
        <w:rPr>
          <w:rFonts w:ascii="Times New Roman" w:hAnsi="Times New Roman"/>
          <w:b/>
          <w:bCs/>
          <w:lang w:val="en-HK"/>
        </w:rPr>
        <w:lastRenderedPageBreak/>
        <w:t>Potential to Revisit Keck</w:t>
      </w:r>
      <w:r w:rsidRPr="00CA0FC2">
        <w:rPr>
          <w:rFonts w:ascii="Times New Roman" w:hAnsi="Times New Roman"/>
          <w:lang w:val="en-HK"/>
        </w:rPr>
        <w:t>:</w:t>
      </w:r>
    </w:p>
    <w:p w14:paraId="31866DFE" w14:textId="77777777" w:rsidR="00CA0FC2" w:rsidRPr="00CA0FC2" w:rsidRDefault="00CA0FC2" w:rsidP="00CA0FC2">
      <w:pPr>
        <w:numPr>
          <w:ilvl w:val="1"/>
          <w:numId w:val="30"/>
        </w:numPr>
        <w:spacing w:before="100" w:beforeAutospacing="1" w:after="100" w:afterAutospacing="1"/>
        <w:rPr>
          <w:rFonts w:ascii="Times New Roman" w:hAnsi="Times New Roman"/>
          <w:lang w:val="en-HK"/>
        </w:rPr>
      </w:pPr>
      <w:r w:rsidRPr="00CA0FC2">
        <w:rPr>
          <w:rFonts w:ascii="Times New Roman" w:hAnsi="Times New Roman"/>
          <w:lang w:val="en-HK"/>
        </w:rPr>
        <w:t xml:space="preserve">Horsley notes that the market access test undermines the </w:t>
      </w:r>
      <w:r w:rsidRPr="00CA0FC2">
        <w:rPr>
          <w:rFonts w:ascii="Times New Roman" w:hAnsi="Times New Roman"/>
          <w:b/>
          <w:bCs/>
          <w:lang w:val="en-HK"/>
        </w:rPr>
        <w:t>Keck distinction</w:t>
      </w:r>
      <w:r w:rsidRPr="00CA0FC2">
        <w:rPr>
          <w:rFonts w:ascii="Times New Roman" w:hAnsi="Times New Roman"/>
          <w:lang w:val="en-HK"/>
        </w:rPr>
        <w:t xml:space="preserve"> between product rules and selling arrangements.</w:t>
      </w:r>
    </w:p>
    <w:p w14:paraId="0D366A64" w14:textId="77777777" w:rsidR="00CA0FC2" w:rsidRPr="00CA0FC2" w:rsidRDefault="00CA0FC2" w:rsidP="00CA0FC2">
      <w:pPr>
        <w:numPr>
          <w:ilvl w:val="1"/>
          <w:numId w:val="30"/>
        </w:numPr>
        <w:spacing w:before="100" w:beforeAutospacing="1" w:after="100" w:afterAutospacing="1"/>
        <w:rPr>
          <w:rFonts w:ascii="Times New Roman" w:hAnsi="Times New Roman"/>
          <w:lang w:val="en-HK"/>
        </w:rPr>
      </w:pPr>
      <w:r w:rsidRPr="00CA0FC2">
        <w:rPr>
          <w:rFonts w:ascii="Times New Roman" w:hAnsi="Times New Roman"/>
          <w:lang w:val="en-HK"/>
        </w:rPr>
        <w:t>Post-Motorcycle Trailers, the CJEU has shown a willingness to scrutinize measures previously classified as selling arrangements if they hinder market access.</w:t>
      </w:r>
    </w:p>
    <w:p w14:paraId="7B9C2BE2" w14:textId="77777777" w:rsidR="00CA0FC2" w:rsidRPr="00CA0FC2" w:rsidRDefault="00480C6B" w:rsidP="00CA0FC2">
      <w:pPr>
        <w:rPr>
          <w:rFonts w:ascii="Times New Roman" w:hAnsi="Times New Roman"/>
          <w:lang w:val="en-HK"/>
        </w:rPr>
      </w:pPr>
      <w:r w:rsidRPr="00480C6B">
        <w:rPr>
          <w:rFonts w:ascii="Times New Roman" w:hAnsi="Times New Roman"/>
          <w:noProof/>
          <w:lang w:val="en-HK"/>
          <w14:ligatures w14:val="standardContextual"/>
        </w:rPr>
        <w:pict w14:anchorId="5E21B5FD">
          <v:rect id="_x0000_i1035" alt="" style="width:451.3pt;height:.05pt;mso-width-percent:0;mso-height-percent:0;mso-width-percent:0;mso-height-percent:0" o:hralign="center" o:hrstd="t" o:hr="t" fillcolor="#a0a0a0" stroked="f"/>
        </w:pict>
      </w:r>
    </w:p>
    <w:p w14:paraId="314C67BA" w14:textId="77777777" w:rsidR="00CA0FC2" w:rsidRPr="00CA0FC2" w:rsidRDefault="00CA0FC2" w:rsidP="00CA0FC2">
      <w:pPr>
        <w:spacing w:before="100" w:beforeAutospacing="1" w:after="100" w:afterAutospacing="1"/>
        <w:outlineLvl w:val="3"/>
        <w:rPr>
          <w:rFonts w:ascii="Times New Roman" w:hAnsi="Times New Roman"/>
          <w:b/>
          <w:bCs/>
          <w:lang w:val="en-HK"/>
        </w:rPr>
      </w:pPr>
      <w:r w:rsidRPr="00CA0FC2">
        <w:rPr>
          <w:rFonts w:ascii="Times New Roman" w:hAnsi="Times New Roman"/>
          <w:b/>
          <w:bCs/>
          <w:lang w:val="en-HK"/>
        </w:rPr>
        <w:t>Case Law Development</w:t>
      </w:r>
    </w:p>
    <w:p w14:paraId="5B341054" w14:textId="77777777" w:rsidR="00CA0FC2" w:rsidRPr="00CA0FC2" w:rsidRDefault="00CA0FC2" w:rsidP="00CA0FC2">
      <w:pPr>
        <w:numPr>
          <w:ilvl w:val="0"/>
          <w:numId w:val="31"/>
        </w:numPr>
        <w:spacing w:before="100" w:beforeAutospacing="1" w:after="100" w:afterAutospacing="1"/>
        <w:rPr>
          <w:rFonts w:ascii="Times New Roman" w:hAnsi="Times New Roman"/>
          <w:lang w:val="en-HK"/>
        </w:rPr>
      </w:pPr>
      <w:r w:rsidRPr="00CA0FC2">
        <w:rPr>
          <w:rFonts w:ascii="Times New Roman" w:hAnsi="Times New Roman"/>
          <w:b/>
          <w:bCs/>
          <w:lang w:val="en-HK"/>
        </w:rPr>
        <w:t>Ker-</w:t>
      </w:r>
      <w:proofErr w:type="spellStart"/>
      <w:r w:rsidRPr="00CA0FC2">
        <w:rPr>
          <w:rFonts w:ascii="Times New Roman" w:hAnsi="Times New Roman"/>
          <w:b/>
          <w:bCs/>
          <w:lang w:val="en-HK"/>
        </w:rPr>
        <w:t>Optika</w:t>
      </w:r>
      <w:proofErr w:type="spellEnd"/>
      <w:r w:rsidRPr="00CA0FC2">
        <w:rPr>
          <w:rFonts w:ascii="Times New Roman" w:hAnsi="Times New Roman"/>
          <w:b/>
          <w:bCs/>
          <w:lang w:val="en-HK"/>
        </w:rPr>
        <w:t xml:space="preserve"> v ÀNTSZ (Case C-108/09)</w:t>
      </w:r>
      <w:r w:rsidRPr="00CA0FC2">
        <w:rPr>
          <w:rFonts w:ascii="Times New Roman" w:hAnsi="Times New Roman"/>
          <w:lang w:val="en-HK"/>
        </w:rPr>
        <w:t>:</w:t>
      </w:r>
    </w:p>
    <w:p w14:paraId="77634479" w14:textId="77777777" w:rsidR="00CA0FC2" w:rsidRPr="00CA0FC2" w:rsidRDefault="00CA0FC2" w:rsidP="00CA0FC2">
      <w:pPr>
        <w:spacing w:before="100" w:beforeAutospacing="1" w:after="100" w:afterAutospacing="1"/>
        <w:rPr>
          <w:rFonts w:ascii="Times New Roman" w:hAnsi="Times New Roman"/>
          <w:lang w:val="en-HK"/>
        </w:rPr>
      </w:pPr>
      <w:r w:rsidRPr="00CA0FC2">
        <w:rPr>
          <w:rFonts w:ascii="Times New Roman" w:hAnsi="Times New Roman"/>
          <w:lang w:val="en-HK"/>
        </w:rPr>
        <w:t>Hungarian regulations prohibited the online sale of contact lenses, requiring in-person purchases. The Court held this rule restricted market access, as it disproportionately affected imported goods marketed online.</w:t>
      </w:r>
    </w:p>
    <w:p w14:paraId="3646CD9E" w14:textId="77777777" w:rsidR="00CA0FC2" w:rsidRPr="00CA0FC2" w:rsidRDefault="00CA0FC2" w:rsidP="00CA0FC2">
      <w:pPr>
        <w:spacing w:before="100" w:beforeAutospacing="1" w:after="100" w:afterAutospacing="1"/>
        <w:rPr>
          <w:rFonts w:ascii="Times New Roman" w:hAnsi="Times New Roman"/>
          <w:lang w:val="en-HK"/>
        </w:rPr>
      </w:pPr>
      <w:r w:rsidRPr="00CA0FC2">
        <w:rPr>
          <w:rFonts w:ascii="Times New Roman" w:hAnsi="Times New Roman"/>
          <w:lang w:val="en-HK"/>
        </w:rPr>
        <w:t>Quote: The Court noted, “Prohibitions on certain selling arrangements must not limit the opportunities for imported goods to penetrate the market.”</w:t>
      </w:r>
    </w:p>
    <w:p w14:paraId="554B0362" w14:textId="77777777" w:rsidR="00CA0FC2" w:rsidRPr="00CA0FC2" w:rsidRDefault="00CA0FC2" w:rsidP="00CA0FC2">
      <w:pPr>
        <w:numPr>
          <w:ilvl w:val="0"/>
          <w:numId w:val="31"/>
        </w:numPr>
        <w:spacing w:before="100" w:beforeAutospacing="1" w:after="100" w:afterAutospacing="1"/>
        <w:rPr>
          <w:rFonts w:ascii="Times New Roman" w:hAnsi="Times New Roman"/>
          <w:lang w:val="en-HK"/>
        </w:rPr>
      </w:pPr>
      <w:r w:rsidRPr="00CA0FC2">
        <w:rPr>
          <w:rFonts w:ascii="Times New Roman" w:hAnsi="Times New Roman"/>
          <w:b/>
          <w:bCs/>
          <w:lang w:val="en-HK"/>
        </w:rPr>
        <w:t>Scotch Whisky Association v Lord Advocate (Case C-333/14)</w:t>
      </w:r>
      <w:r w:rsidRPr="00CA0FC2">
        <w:rPr>
          <w:rFonts w:ascii="Times New Roman" w:hAnsi="Times New Roman"/>
          <w:lang w:val="en-HK"/>
        </w:rPr>
        <w:t>:</w:t>
      </w:r>
    </w:p>
    <w:p w14:paraId="39CDB067" w14:textId="77777777" w:rsidR="00CA0FC2" w:rsidRPr="00CA0FC2" w:rsidRDefault="00CA0FC2" w:rsidP="00CA0FC2">
      <w:pPr>
        <w:spacing w:before="100" w:beforeAutospacing="1" w:after="100" w:afterAutospacing="1"/>
        <w:rPr>
          <w:rFonts w:ascii="Times New Roman" w:hAnsi="Times New Roman"/>
          <w:lang w:val="en-HK"/>
        </w:rPr>
      </w:pPr>
      <w:r w:rsidRPr="00CA0FC2">
        <w:rPr>
          <w:rFonts w:ascii="Times New Roman" w:hAnsi="Times New Roman"/>
          <w:lang w:val="en-HK"/>
        </w:rPr>
        <w:t xml:space="preserve">Scottish legislation introducing minimum alcohol pricing was challenged as a barrier to market access. The Court applied the market access test, </w:t>
      </w:r>
      <w:proofErr w:type="spellStart"/>
      <w:r w:rsidRPr="00CA0FC2">
        <w:rPr>
          <w:rFonts w:ascii="Times New Roman" w:hAnsi="Times New Roman"/>
          <w:lang w:val="en-HK"/>
        </w:rPr>
        <w:t>analyzing</w:t>
      </w:r>
      <w:proofErr w:type="spellEnd"/>
      <w:r w:rsidRPr="00CA0FC2">
        <w:rPr>
          <w:rFonts w:ascii="Times New Roman" w:hAnsi="Times New Roman"/>
          <w:lang w:val="en-HK"/>
        </w:rPr>
        <w:t xml:space="preserve"> whether the measure placed imported products at a disadvantage relative to domestic goods.</w:t>
      </w:r>
    </w:p>
    <w:p w14:paraId="22F5252E" w14:textId="77777777" w:rsidR="00CA0FC2" w:rsidRPr="00CA0FC2" w:rsidRDefault="00CA0FC2" w:rsidP="00CA0FC2">
      <w:pPr>
        <w:spacing w:before="100" w:beforeAutospacing="1" w:after="100" w:afterAutospacing="1"/>
        <w:rPr>
          <w:rFonts w:ascii="Times New Roman" w:hAnsi="Times New Roman"/>
          <w:lang w:val="en-HK"/>
        </w:rPr>
      </w:pPr>
      <w:r w:rsidRPr="00CA0FC2">
        <w:rPr>
          <w:rFonts w:ascii="Times New Roman" w:hAnsi="Times New Roman"/>
          <w:lang w:val="en-HK"/>
        </w:rPr>
        <w:t>The Court upheld the measure, finding it justified by public health objectives under Article 36 TFEU, but its initial inclusion under Article 34 reinforced the reach of the market access test.</w:t>
      </w:r>
    </w:p>
    <w:p w14:paraId="31A00D4F" w14:textId="77777777" w:rsidR="00CA0FC2" w:rsidRPr="00CA0FC2" w:rsidRDefault="00480C6B" w:rsidP="00CA0FC2">
      <w:pPr>
        <w:rPr>
          <w:rFonts w:ascii="Times New Roman" w:hAnsi="Times New Roman"/>
          <w:lang w:val="en-HK"/>
        </w:rPr>
      </w:pPr>
      <w:r w:rsidRPr="00480C6B">
        <w:rPr>
          <w:rFonts w:ascii="Times New Roman" w:hAnsi="Times New Roman"/>
          <w:noProof/>
          <w:lang w:val="en-HK"/>
          <w14:ligatures w14:val="standardContextual"/>
        </w:rPr>
        <w:pict w14:anchorId="4E4F80B4">
          <v:rect id="_x0000_i1034" alt="" style="width:451.3pt;height:.05pt;mso-width-percent:0;mso-height-percent:0;mso-width-percent:0;mso-height-percent:0" o:hralign="center" o:hrstd="t" o:hr="t" fillcolor="#a0a0a0" stroked="f"/>
        </w:pict>
      </w:r>
    </w:p>
    <w:p w14:paraId="642B60FF" w14:textId="77777777" w:rsidR="00CA0FC2" w:rsidRPr="00CA0FC2" w:rsidRDefault="00CA0FC2" w:rsidP="00CA0FC2">
      <w:pPr>
        <w:spacing w:before="100" w:beforeAutospacing="1" w:after="100" w:afterAutospacing="1"/>
        <w:outlineLvl w:val="3"/>
        <w:rPr>
          <w:rFonts w:ascii="Times New Roman" w:hAnsi="Times New Roman"/>
          <w:b/>
          <w:bCs/>
          <w:lang w:val="en-HK"/>
        </w:rPr>
      </w:pPr>
      <w:r w:rsidRPr="00CA0FC2">
        <w:rPr>
          <w:rFonts w:ascii="Times New Roman" w:hAnsi="Times New Roman"/>
          <w:b/>
          <w:bCs/>
          <w:lang w:val="en-HK"/>
        </w:rPr>
        <w:t>Horsley’s Analysis of the Market Access Test</w:t>
      </w:r>
    </w:p>
    <w:p w14:paraId="6F34F38C" w14:textId="77777777" w:rsidR="00CA0FC2" w:rsidRPr="00CA0FC2" w:rsidRDefault="00CA0FC2" w:rsidP="00CA0FC2">
      <w:pPr>
        <w:numPr>
          <w:ilvl w:val="0"/>
          <w:numId w:val="32"/>
        </w:numPr>
        <w:spacing w:before="100" w:beforeAutospacing="1" w:after="100" w:afterAutospacing="1"/>
        <w:rPr>
          <w:rFonts w:ascii="Times New Roman" w:hAnsi="Times New Roman"/>
          <w:lang w:val="en-HK"/>
        </w:rPr>
      </w:pPr>
      <w:r w:rsidRPr="00CA0FC2">
        <w:rPr>
          <w:rFonts w:ascii="Times New Roman" w:hAnsi="Times New Roman"/>
          <w:b/>
          <w:bCs/>
          <w:lang w:val="en-HK"/>
        </w:rPr>
        <w:t>Expanding the Scope of Article 34</w:t>
      </w:r>
      <w:r w:rsidRPr="00CA0FC2">
        <w:rPr>
          <w:rFonts w:ascii="Times New Roman" w:hAnsi="Times New Roman"/>
          <w:lang w:val="en-HK"/>
        </w:rPr>
        <w:t>:</w:t>
      </w:r>
    </w:p>
    <w:p w14:paraId="5D7024B0" w14:textId="77777777" w:rsidR="00CA0FC2" w:rsidRPr="00CA0FC2" w:rsidRDefault="00CA0FC2" w:rsidP="00CA0FC2">
      <w:pPr>
        <w:numPr>
          <w:ilvl w:val="1"/>
          <w:numId w:val="32"/>
        </w:numPr>
        <w:spacing w:before="100" w:beforeAutospacing="1" w:after="100" w:afterAutospacing="1"/>
        <w:rPr>
          <w:rFonts w:ascii="Times New Roman" w:hAnsi="Times New Roman"/>
          <w:lang w:val="en-HK"/>
        </w:rPr>
      </w:pPr>
      <w:r w:rsidRPr="00CA0FC2">
        <w:rPr>
          <w:rFonts w:ascii="Times New Roman" w:hAnsi="Times New Roman"/>
          <w:lang w:val="en-HK"/>
        </w:rPr>
        <w:t>Horsley argues that the market access test broadens the application of Article 34, potentially reversing the restrictive approach introduced in Keck.</w:t>
      </w:r>
    </w:p>
    <w:p w14:paraId="323C6442" w14:textId="77777777" w:rsidR="00CA0FC2" w:rsidRPr="00CA0FC2" w:rsidRDefault="00CA0FC2" w:rsidP="00CA0FC2">
      <w:pPr>
        <w:numPr>
          <w:ilvl w:val="1"/>
          <w:numId w:val="32"/>
        </w:numPr>
        <w:spacing w:before="100" w:beforeAutospacing="1" w:after="100" w:afterAutospacing="1"/>
        <w:rPr>
          <w:rFonts w:ascii="Times New Roman" w:hAnsi="Times New Roman"/>
          <w:lang w:val="en-HK"/>
        </w:rPr>
      </w:pPr>
      <w:r w:rsidRPr="00CA0FC2">
        <w:rPr>
          <w:rFonts w:ascii="Times New Roman" w:hAnsi="Times New Roman"/>
          <w:lang w:val="en-HK"/>
        </w:rPr>
        <w:t>Measures that previously fell outside Article 34’s scope under the Keck framework may now be included if they are shown to impede market access.</w:t>
      </w:r>
    </w:p>
    <w:p w14:paraId="51DEF62B" w14:textId="77777777" w:rsidR="00CA0FC2" w:rsidRPr="00CA0FC2" w:rsidRDefault="00CA0FC2" w:rsidP="00CA0FC2">
      <w:pPr>
        <w:numPr>
          <w:ilvl w:val="0"/>
          <w:numId w:val="32"/>
        </w:numPr>
        <w:spacing w:before="100" w:beforeAutospacing="1" w:after="100" w:afterAutospacing="1"/>
        <w:rPr>
          <w:rFonts w:ascii="Times New Roman" w:hAnsi="Times New Roman"/>
          <w:lang w:val="en-HK"/>
        </w:rPr>
      </w:pPr>
      <w:r w:rsidRPr="00CA0FC2">
        <w:rPr>
          <w:rFonts w:ascii="Times New Roman" w:hAnsi="Times New Roman"/>
          <w:b/>
          <w:bCs/>
          <w:lang w:val="en-HK"/>
        </w:rPr>
        <w:t>Blurred Boundaries Between Rules</w:t>
      </w:r>
      <w:r w:rsidRPr="00CA0FC2">
        <w:rPr>
          <w:rFonts w:ascii="Times New Roman" w:hAnsi="Times New Roman"/>
          <w:lang w:val="en-HK"/>
        </w:rPr>
        <w:t>:</w:t>
      </w:r>
    </w:p>
    <w:p w14:paraId="7196A051" w14:textId="77777777" w:rsidR="00CA0FC2" w:rsidRPr="00CA0FC2" w:rsidRDefault="00CA0FC2" w:rsidP="00CA0FC2">
      <w:pPr>
        <w:numPr>
          <w:ilvl w:val="1"/>
          <w:numId w:val="32"/>
        </w:numPr>
        <w:spacing w:before="100" w:beforeAutospacing="1" w:after="100" w:afterAutospacing="1"/>
        <w:rPr>
          <w:rFonts w:ascii="Times New Roman" w:hAnsi="Times New Roman"/>
          <w:lang w:val="en-HK"/>
        </w:rPr>
      </w:pPr>
      <w:r w:rsidRPr="00CA0FC2">
        <w:rPr>
          <w:rFonts w:ascii="Times New Roman" w:hAnsi="Times New Roman"/>
          <w:lang w:val="en-HK"/>
        </w:rPr>
        <w:t>The test challenges the distinction between product rules and selling arrangements, as measures affecting selling conditions can now be scrutinized for their impact on market access.</w:t>
      </w:r>
    </w:p>
    <w:p w14:paraId="3A913551" w14:textId="77777777" w:rsidR="00CA0FC2" w:rsidRPr="00CA0FC2" w:rsidRDefault="00CA0FC2" w:rsidP="00CA0FC2">
      <w:pPr>
        <w:numPr>
          <w:ilvl w:val="1"/>
          <w:numId w:val="32"/>
        </w:numPr>
        <w:spacing w:before="100" w:beforeAutospacing="1" w:after="100" w:afterAutospacing="1"/>
        <w:rPr>
          <w:rFonts w:ascii="Times New Roman" w:hAnsi="Times New Roman"/>
          <w:lang w:val="en-HK"/>
        </w:rPr>
      </w:pPr>
      <w:r w:rsidRPr="00CA0FC2">
        <w:rPr>
          <w:rFonts w:ascii="Times New Roman" w:hAnsi="Times New Roman"/>
          <w:lang w:val="en-HK"/>
        </w:rPr>
        <w:t>For example, restrictions on marketing, advertising, or distribution methods—traditionally considered selling arrangements—may be reclassified as barriers to market access.</w:t>
      </w:r>
    </w:p>
    <w:p w14:paraId="6FB741DC" w14:textId="77777777" w:rsidR="00CA0FC2" w:rsidRPr="00CA0FC2" w:rsidRDefault="00CA0FC2" w:rsidP="00CA0FC2">
      <w:pPr>
        <w:numPr>
          <w:ilvl w:val="0"/>
          <w:numId w:val="32"/>
        </w:numPr>
        <w:spacing w:before="100" w:beforeAutospacing="1" w:after="100" w:afterAutospacing="1"/>
        <w:rPr>
          <w:rFonts w:ascii="Times New Roman" w:hAnsi="Times New Roman"/>
          <w:lang w:val="en-HK"/>
        </w:rPr>
      </w:pPr>
      <w:r w:rsidRPr="00CA0FC2">
        <w:rPr>
          <w:rFonts w:ascii="Times New Roman" w:hAnsi="Times New Roman"/>
          <w:b/>
          <w:bCs/>
          <w:lang w:val="en-HK"/>
        </w:rPr>
        <w:t>Interaction with Exclusionary Rules</w:t>
      </w:r>
      <w:r w:rsidRPr="00CA0FC2">
        <w:rPr>
          <w:rFonts w:ascii="Times New Roman" w:hAnsi="Times New Roman"/>
          <w:lang w:val="en-HK"/>
        </w:rPr>
        <w:t>:</w:t>
      </w:r>
    </w:p>
    <w:p w14:paraId="6466822A" w14:textId="77777777" w:rsidR="00CA0FC2" w:rsidRPr="00CA0FC2" w:rsidRDefault="00CA0FC2" w:rsidP="00CA0FC2">
      <w:pPr>
        <w:numPr>
          <w:ilvl w:val="1"/>
          <w:numId w:val="32"/>
        </w:numPr>
        <w:spacing w:before="100" w:beforeAutospacing="1" w:after="100" w:afterAutospacing="1"/>
        <w:rPr>
          <w:rFonts w:ascii="Times New Roman" w:hAnsi="Times New Roman"/>
          <w:lang w:val="en-HK"/>
        </w:rPr>
      </w:pPr>
      <w:r w:rsidRPr="00CA0FC2">
        <w:rPr>
          <w:rFonts w:ascii="Times New Roman" w:hAnsi="Times New Roman"/>
          <w:lang w:val="en-HK"/>
        </w:rPr>
        <w:t>The market access test contrasts with exclusionary rules like “effects too uncertain and indirect” and “insignificant effects,” which aim to limit Article 34’s scope.</w:t>
      </w:r>
    </w:p>
    <w:p w14:paraId="4B9C7F04" w14:textId="77777777" w:rsidR="00CA0FC2" w:rsidRPr="00CA0FC2" w:rsidRDefault="00CA0FC2" w:rsidP="00CA0FC2">
      <w:pPr>
        <w:numPr>
          <w:ilvl w:val="1"/>
          <w:numId w:val="32"/>
        </w:numPr>
        <w:spacing w:before="100" w:beforeAutospacing="1" w:after="100" w:afterAutospacing="1"/>
        <w:rPr>
          <w:rFonts w:ascii="Times New Roman" w:hAnsi="Times New Roman"/>
          <w:lang w:val="en-HK"/>
        </w:rPr>
      </w:pPr>
      <w:r w:rsidRPr="00CA0FC2">
        <w:rPr>
          <w:rFonts w:ascii="Times New Roman" w:hAnsi="Times New Roman"/>
          <w:lang w:val="en-HK"/>
        </w:rPr>
        <w:lastRenderedPageBreak/>
        <w:t xml:space="preserve">Horsley notes a potential tension between these approaches, with the market access test </w:t>
      </w:r>
      <w:proofErr w:type="spellStart"/>
      <w:r w:rsidRPr="00CA0FC2">
        <w:rPr>
          <w:rFonts w:ascii="Times New Roman" w:hAnsi="Times New Roman"/>
          <w:lang w:val="en-HK"/>
        </w:rPr>
        <w:t>favoring</w:t>
      </w:r>
      <w:proofErr w:type="spellEnd"/>
      <w:r w:rsidRPr="00CA0FC2">
        <w:rPr>
          <w:rFonts w:ascii="Times New Roman" w:hAnsi="Times New Roman"/>
          <w:lang w:val="en-HK"/>
        </w:rPr>
        <w:t xml:space="preserve"> a broader interpretation of Article 34.</w:t>
      </w:r>
    </w:p>
    <w:p w14:paraId="4DC19CA9" w14:textId="77777777" w:rsidR="00CA0FC2" w:rsidRPr="00CA0FC2" w:rsidRDefault="00480C6B" w:rsidP="00CA0FC2">
      <w:pPr>
        <w:rPr>
          <w:rFonts w:ascii="Times New Roman" w:hAnsi="Times New Roman"/>
          <w:lang w:val="en-HK"/>
        </w:rPr>
      </w:pPr>
      <w:r w:rsidRPr="00480C6B">
        <w:rPr>
          <w:rFonts w:ascii="Times New Roman" w:hAnsi="Times New Roman"/>
          <w:noProof/>
          <w:lang w:val="en-HK"/>
          <w14:ligatures w14:val="standardContextual"/>
        </w:rPr>
        <w:pict w14:anchorId="5B095267">
          <v:rect id="_x0000_i1033" alt="" style="width:451.3pt;height:.05pt;mso-width-percent:0;mso-height-percent:0;mso-width-percent:0;mso-height-percent:0" o:hralign="center" o:hrstd="t" o:hr="t" fillcolor="#a0a0a0" stroked="f"/>
        </w:pict>
      </w:r>
    </w:p>
    <w:p w14:paraId="17A3E1EE" w14:textId="77777777" w:rsidR="00CA0FC2" w:rsidRPr="00CA0FC2" w:rsidRDefault="00CA0FC2" w:rsidP="00CA0FC2">
      <w:pPr>
        <w:spacing w:before="100" w:beforeAutospacing="1" w:after="100" w:afterAutospacing="1"/>
        <w:outlineLvl w:val="3"/>
        <w:rPr>
          <w:rFonts w:ascii="Times New Roman" w:hAnsi="Times New Roman"/>
          <w:b/>
          <w:bCs/>
          <w:lang w:val="en-HK"/>
        </w:rPr>
      </w:pPr>
      <w:r w:rsidRPr="00CA0FC2">
        <w:rPr>
          <w:rFonts w:ascii="Times New Roman" w:hAnsi="Times New Roman"/>
          <w:b/>
          <w:bCs/>
          <w:lang w:val="en-HK"/>
        </w:rPr>
        <w:t>Criticism and Challenges</w:t>
      </w:r>
    </w:p>
    <w:p w14:paraId="051F1579" w14:textId="77777777" w:rsidR="00CA0FC2" w:rsidRPr="00CA0FC2" w:rsidRDefault="00CA0FC2" w:rsidP="00CA0FC2">
      <w:pPr>
        <w:numPr>
          <w:ilvl w:val="0"/>
          <w:numId w:val="33"/>
        </w:numPr>
        <w:spacing w:before="100" w:beforeAutospacing="1" w:after="100" w:afterAutospacing="1"/>
        <w:rPr>
          <w:rFonts w:ascii="Times New Roman" w:hAnsi="Times New Roman"/>
          <w:lang w:val="en-HK"/>
        </w:rPr>
      </w:pPr>
      <w:r w:rsidRPr="00CA0FC2">
        <w:rPr>
          <w:rFonts w:ascii="Times New Roman" w:hAnsi="Times New Roman"/>
          <w:b/>
          <w:bCs/>
          <w:lang w:val="en-HK"/>
        </w:rPr>
        <w:t>Risk of Overreach</w:t>
      </w:r>
      <w:r w:rsidRPr="00CA0FC2">
        <w:rPr>
          <w:rFonts w:ascii="Times New Roman" w:hAnsi="Times New Roman"/>
          <w:lang w:val="en-HK"/>
        </w:rPr>
        <w:t>:</w:t>
      </w:r>
    </w:p>
    <w:p w14:paraId="1487644E" w14:textId="77777777" w:rsidR="00CA0FC2" w:rsidRPr="00CA0FC2" w:rsidRDefault="00CA0FC2" w:rsidP="00CA0FC2">
      <w:pPr>
        <w:numPr>
          <w:ilvl w:val="1"/>
          <w:numId w:val="33"/>
        </w:numPr>
        <w:spacing w:before="100" w:beforeAutospacing="1" w:after="100" w:afterAutospacing="1"/>
        <w:rPr>
          <w:rFonts w:ascii="Times New Roman" w:hAnsi="Times New Roman"/>
          <w:lang w:val="en-HK"/>
        </w:rPr>
      </w:pPr>
      <w:r w:rsidRPr="00CA0FC2">
        <w:rPr>
          <w:rFonts w:ascii="Times New Roman" w:hAnsi="Times New Roman"/>
          <w:lang w:val="en-HK"/>
        </w:rPr>
        <w:t xml:space="preserve">Critics, including </w:t>
      </w:r>
      <w:proofErr w:type="spellStart"/>
      <w:r w:rsidRPr="00CA0FC2">
        <w:rPr>
          <w:rFonts w:ascii="Times New Roman" w:hAnsi="Times New Roman"/>
          <w:lang w:val="en-HK"/>
        </w:rPr>
        <w:t>Weatherill</w:t>
      </w:r>
      <w:proofErr w:type="spellEnd"/>
      <w:r w:rsidRPr="00CA0FC2">
        <w:rPr>
          <w:rFonts w:ascii="Times New Roman" w:hAnsi="Times New Roman"/>
          <w:lang w:val="en-HK"/>
        </w:rPr>
        <w:t xml:space="preserve">, argue that the market access test risks reintroducing the overbreadth of the </w:t>
      </w:r>
      <w:proofErr w:type="spellStart"/>
      <w:r w:rsidRPr="00CA0FC2">
        <w:rPr>
          <w:rFonts w:ascii="Times New Roman" w:hAnsi="Times New Roman"/>
          <w:b/>
          <w:bCs/>
          <w:lang w:val="en-HK"/>
        </w:rPr>
        <w:t>Dassonville</w:t>
      </w:r>
      <w:proofErr w:type="spellEnd"/>
      <w:r w:rsidRPr="00CA0FC2">
        <w:rPr>
          <w:rFonts w:ascii="Times New Roman" w:hAnsi="Times New Roman"/>
          <w:b/>
          <w:bCs/>
          <w:lang w:val="en-HK"/>
        </w:rPr>
        <w:t xml:space="preserve"> formula</w:t>
      </w:r>
      <w:r w:rsidRPr="00CA0FC2">
        <w:rPr>
          <w:rFonts w:ascii="Times New Roman" w:hAnsi="Times New Roman"/>
          <w:lang w:val="en-HK"/>
        </w:rPr>
        <w:t xml:space="preserve"> by encompassing measures with only marginal effects on trade.</w:t>
      </w:r>
    </w:p>
    <w:p w14:paraId="291FB14B" w14:textId="77777777" w:rsidR="00CA0FC2" w:rsidRPr="00CA0FC2" w:rsidRDefault="00CA0FC2" w:rsidP="00CA0FC2">
      <w:pPr>
        <w:numPr>
          <w:ilvl w:val="1"/>
          <w:numId w:val="33"/>
        </w:numPr>
        <w:spacing w:before="100" w:beforeAutospacing="1" w:after="100" w:afterAutospacing="1"/>
        <w:rPr>
          <w:rFonts w:ascii="Times New Roman" w:hAnsi="Times New Roman"/>
          <w:lang w:val="en-HK"/>
        </w:rPr>
      </w:pPr>
      <w:r w:rsidRPr="00CA0FC2">
        <w:rPr>
          <w:rFonts w:ascii="Times New Roman" w:hAnsi="Times New Roman"/>
          <w:lang w:val="en-HK"/>
        </w:rPr>
        <w:t xml:space="preserve">Quote: </w:t>
      </w:r>
      <w:proofErr w:type="spellStart"/>
      <w:r w:rsidRPr="00CA0FC2">
        <w:rPr>
          <w:rFonts w:ascii="Times New Roman" w:hAnsi="Times New Roman"/>
          <w:lang w:val="en-HK"/>
        </w:rPr>
        <w:t>Weatherill</w:t>
      </w:r>
      <w:proofErr w:type="spellEnd"/>
      <w:r w:rsidRPr="00CA0FC2">
        <w:rPr>
          <w:rFonts w:ascii="Times New Roman" w:hAnsi="Times New Roman"/>
          <w:lang w:val="en-HK"/>
        </w:rPr>
        <w:t xml:space="preserve"> states, “The market access test risks collapsing Article 34 into an unmanageable tool for challenging all national measures.”</w:t>
      </w:r>
    </w:p>
    <w:p w14:paraId="3FE1637C" w14:textId="77777777" w:rsidR="00CA0FC2" w:rsidRPr="00CA0FC2" w:rsidRDefault="00CA0FC2" w:rsidP="00CA0FC2">
      <w:pPr>
        <w:numPr>
          <w:ilvl w:val="0"/>
          <w:numId w:val="33"/>
        </w:numPr>
        <w:spacing w:before="100" w:beforeAutospacing="1" w:after="100" w:afterAutospacing="1"/>
        <w:rPr>
          <w:rFonts w:ascii="Times New Roman" w:hAnsi="Times New Roman"/>
          <w:lang w:val="en-HK"/>
        </w:rPr>
      </w:pPr>
      <w:r w:rsidRPr="00CA0FC2">
        <w:rPr>
          <w:rFonts w:ascii="Times New Roman" w:hAnsi="Times New Roman"/>
          <w:b/>
          <w:bCs/>
          <w:lang w:val="en-HK"/>
        </w:rPr>
        <w:t>Lack of Clear Criteria</w:t>
      </w:r>
      <w:r w:rsidRPr="00CA0FC2">
        <w:rPr>
          <w:rFonts w:ascii="Times New Roman" w:hAnsi="Times New Roman"/>
          <w:lang w:val="en-HK"/>
        </w:rPr>
        <w:t>:</w:t>
      </w:r>
    </w:p>
    <w:p w14:paraId="44B272B3" w14:textId="77777777" w:rsidR="00CA0FC2" w:rsidRPr="00CA0FC2" w:rsidRDefault="00CA0FC2" w:rsidP="00CA0FC2">
      <w:pPr>
        <w:numPr>
          <w:ilvl w:val="1"/>
          <w:numId w:val="33"/>
        </w:numPr>
        <w:spacing w:before="100" w:beforeAutospacing="1" w:after="100" w:afterAutospacing="1"/>
        <w:rPr>
          <w:rFonts w:ascii="Times New Roman" w:hAnsi="Times New Roman"/>
          <w:lang w:val="en-HK"/>
        </w:rPr>
      </w:pPr>
      <w:r w:rsidRPr="00CA0FC2">
        <w:rPr>
          <w:rFonts w:ascii="Times New Roman" w:hAnsi="Times New Roman"/>
          <w:lang w:val="en-HK"/>
        </w:rPr>
        <w:t>Horsley highlights the absence of precise guidelines for assessing market access. What constitutes a significant hindrance to market access remains undefined, leading to legal uncertainty.</w:t>
      </w:r>
    </w:p>
    <w:p w14:paraId="0CE71107" w14:textId="77777777" w:rsidR="00CA0FC2" w:rsidRPr="00CA0FC2" w:rsidRDefault="00CA0FC2" w:rsidP="00CA0FC2">
      <w:pPr>
        <w:numPr>
          <w:ilvl w:val="0"/>
          <w:numId w:val="33"/>
        </w:numPr>
        <w:spacing w:before="100" w:beforeAutospacing="1" w:after="100" w:afterAutospacing="1"/>
        <w:rPr>
          <w:rFonts w:ascii="Times New Roman" w:hAnsi="Times New Roman"/>
          <w:lang w:val="en-HK"/>
        </w:rPr>
      </w:pPr>
      <w:r w:rsidRPr="00CA0FC2">
        <w:rPr>
          <w:rFonts w:ascii="Times New Roman" w:hAnsi="Times New Roman"/>
          <w:b/>
          <w:bCs/>
          <w:lang w:val="en-HK"/>
        </w:rPr>
        <w:t>Impact on Regulatory Autonomy</w:t>
      </w:r>
      <w:r w:rsidRPr="00CA0FC2">
        <w:rPr>
          <w:rFonts w:ascii="Times New Roman" w:hAnsi="Times New Roman"/>
          <w:lang w:val="en-HK"/>
        </w:rPr>
        <w:t>:</w:t>
      </w:r>
    </w:p>
    <w:p w14:paraId="1784DE69" w14:textId="77777777" w:rsidR="00CA0FC2" w:rsidRPr="00CA0FC2" w:rsidRDefault="00CA0FC2" w:rsidP="00CA0FC2">
      <w:pPr>
        <w:numPr>
          <w:ilvl w:val="1"/>
          <w:numId w:val="33"/>
        </w:numPr>
        <w:spacing w:before="100" w:beforeAutospacing="1" w:after="100" w:afterAutospacing="1"/>
        <w:rPr>
          <w:rFonts w:ascii="Times New Roman" w:hAnsi="Times New Roman"/>
          <w:lang w:val="en-HK"/>
        </w:rPr>
      </w:pPr>
      <w:r w:rsidRPr="00CA0FC2">
        <w:rPr>
          <w:rFonts w:ascii="Times New Roman" w:hAnsi="Times New Roman"/>
          <w:lang w:val="en-HK"/>
        </w:rPr>
        <w:t>By broadening the scope of Article 34, the market access test places greater constraints on Member States’ ability to regulate their domestic markets.</w:t>
      </w:r>
    </w:p>
    <w:p w14:paraId="5F5523B5" w14:textId="77777777" w:rsidR="00CA0FC2" w:rsidRPr="00CA0FC2" w:rsidRDefault="00CA0FC2" w:rsidP="00CA0FC2">
      <w:pPr>
        <w:numPr>
          <w:ilvl w:val="1"/>
          <w:numId w:val="33"/>
        </w:numPr>
        <w:spacing w:before="100" w:beforeAutospacing="1" w:after="100" w:afterAutospacing="1"/>
        <w:rPr>
          <w:rFonts w:ascii="Times New Roman" w:hAnsi="Times New Roman"/>
          <w:lang w:val="en-HK"/>
        </w:rPr>
      </w:pPr>
      <w:proofErr w:type="spellStart"/>
      <w:r w:rsidRPr="00CA0FC2">
        <w:rPr>
          <w:rFonts w:ascii="Times New Roman" w:hAnsi="Times New Roman"/>
          <w:lang w:val="en-HK"/>
        </w:rPr>
        <w:t>Spaventa</w:t>
      </w:r>
      <w:proofErr w:type="spellEnd"/>
      <w:r w:rsidRPr="00CA0FC2">
        <w:rPr>
          <w:rFonts w:ascii="Times New Roman" w:hAnsi="Times New Roman"/>
          <w:lang w:val="en-HK"/>
        </w:rPr>
        <w:t xml:space="preserve"> observes that this could undermine the subsidiarity principle by subjecting more national measures to EU scrutiny.</w:t>
      </w:r>
    </w:p>
    <w:p w14:paraId="6047AE1E" w14:textId="77777777" w:rsidR="00CA0FC2" w:rsidRPr="00CA0FC2" w:rsidRDefault="00480C6B" w:rsidP="00CA0FC2">
      <w:pPr>
        <w:rPr>
          <w:rFonts w:ascii="Times New Roman" w:hAnsi="Times New Roman"/>
          <w:lang w:val="en-HK"/>
        </w:rPr>
      </w:pPr>
      <w:r w:rsidRPr="00480C6B">
        <w:rPr>
          <w:rFonts w:ascii="Times New Roman" w:hAnsi="Times New Roman"/>
          <w:noProof/>
          <w:lang w:val="en-HK"/>
          <w14:ligatures w14:val="standardContextual"/>
        </w:rPr>
        <w:pict w14:anchorId="0FAB3188">
          <v:rect id="_x0000_i1032" alt="" style="width:451.3pt;height:.05pt;mso-width-percent:0;mso-height-percent:0;mso-width-percent:0;mso-height-percent:0" o:hralign="center" o:hrstd="t" o:hr="t" fillcolor="#a0a0a0" stroked="f"/>
        </w:pict>
      </w:r>
    </w:p>
    <w:p w14:paraId="38EFAD29" w14:textId="77777777" w:rsidR="00CA0FC2" w:rsidRPr="00CA0FC2" w:rsidRDefault="00CA0FC2" w:rsidP="00CA0FC2">
      <w:pPr>
        <w:spacing w:before="100" w:beforeAutospacing="1" w:after="100" w:afterAutospacing="1"/>
        <w:outlineLvl w:val="3"/>
        <w:rPr>
          <w:rFonts w:ascii="Times New Roman" w:hAnsi="Times New Roman"/>
          <w:b/>
          <w:bCs/>
          <w:lang w:val="en-HK"/>
        </w:rPr>
      </w:pPr>
      <w:r w:rsidRPr="00CA0FC2">
        <w:rPr>
          <w:rFonts w:ascii="Times New Roman" w:hAnsi="Times New Roman"/>
          <w:b/>
          <w:bCs/>
          <w:lang w:val="en-HK"/>
        </w:rPr>
        <w:t>Normative Implications</w:t>
      </w:r>
    </w:p>
    <w:p w14:paraId="5DD2C5D3" w14:textId="77777777" w:rsidR="00CA0FC2" w:rsidRPr="00CA0FC2" w:rsidRDefault="00CA0FC2" w:rsidP="00CA0FC2">
      <w:pPr>
        <w:numPr>
          <w:ilvl w:val="0"/>
          <w:numId w:val="34"/>
        </w:numPr>
        <w:spacing w:before="100" w:beforeAutospacing="1" w:after="100" w:afterAutospacing="1"/>
        <w:rPr>
          <w:rFonts w:ascii="Times New Roman" w:hAnsi="Times New Roman"/>
          <w:lang w:val="en-HK"/>
        </w:rPr>
      </w:pPr>
      <w:r w:rsidRPr="00CA0FC2">
        <w:rPr>
          <w:rFonts w:ascii="Times New Roman" w:hAnsi="Times New Roman"/>
          <w:lang w:val="en-HK"/>
        </w:rPr>
        <w:t>Horsley suggests that the market access test reflects the CJEU’s evolving understanding of the internal market. It aligns with the Treaty’s goal of ensuring the free movement of goods but risks eroding Member State autonomy.</w:t>
      </w:r>
    </w:p>
    <w:p w14:paraId="79FC17E0" w14:textId="77777777" w:rsidR="00CA0FC2" w:rsidRPr="00CA0FC2" w:rsidRDefault="00CA0FC2" w:rsidP="00CA0FC2">
      <w:pPr>
        <w:numPr>
          <w:ilvl w:val="0"/>
          <w:numId w:val="34"/>
        </w:numPr>
        <w:spacing w:before="100" w:beforeAutospacing="1" w:after="100" w:afterAutospacing="1"/>
        <w:rPr>
          <w:rFonts w:ascii="Times New Roman" w:hAnsi="Times New Roman"/>
          <w:lang w:val="en-HK"/>
        </w:rPr>
      </w:pPr>
      <w:r w:rsidRPr="00CA0FC2">
        <w:rPr>
          <w:rFonts w:ascii="Times New Roman" w:hAnsi="Times New Roman"/>
          <w:lang w:val="en-HK"/>
        </w:rPr>
        <w:t>The test prioritizes market integration but raises questions about its compatibility with the principles of subsidiarity and proportionality.</w:t>
      </w:r>
    </w:p>
    <w:p w14:paraId="572CDF9D" w14:textId="77777777" w:rsidR="00CA0FC2" w:rsidRPr="00CA0FC2" w:rsidRDefault="00480C6B" w:rsidP="00CA0FC2">
      <w:pPr>
        <w:rPr>
          <w:rFonts w:ascii="Times New Roman" w:hAnsi="Times New Roman"/>
          <w:lang w:val="en-HK"/>
        </w:rPr>
      </w:pPr>
      <w:r w:rsidRPr="00480C6B">
        <w:rPr>
          <w:rFonts w:ascii="Times New Roman" w:hAnsi="Times New Roman"/>
          <w:noProof/>
          <w:lang w:val="en-HK"/>
          <w14:ligatures w14:val="standardContextual"/>
        </w:rPr>
        <w:pict w14:anchorId="3597E867">
          <v:rect id="_x0000_i1031" alt="" style="width:451.3pt;height:.05pt;mso-width-percent:0;mso-height-percent:0;mso-width-percent:0;mso-height-percent:0" o:hralign="center" o:hrstd="t" o:hr="t" fillcolor="#a0a0a0" stroked="f"/>
        </w:pict>
      </w:r>
    </w:p>
    <w:p w14:paraId="0AFC0BC4" w14:textId="77777777" w:rsidR="00CA0FC2" w:rsidRPr="00CA0FC2" w:rsidRDefault="00CA0FC2" w:rsidP="00CA0FC2">
      <w:pPr>
        <w:spacing w:before="100" w:beforeAutospacing="1" w:after="100" w:afterAutospacing="1"/>
        <w:outlineLvl w:val="2"/>
        <w:rPr>
          <w:rFonts w:ascii="Times New Roman" w:hAnsi="Times New Roman"/>
          <w:b/>
          <w:bCs/>
          <w:sz w:val="27"/>
          <w:szCs w:val="27"/>
          <w:lang w:val="en-HK"/>
        </w:rPr>
      </w:pPr>
      <w:r w:rsidRPr="00CA0FC2">
        <w:rPr>
          <w:rFonts w:ascii="Times New Roman" w:hAnsi="Times New Roman"/>
          <w:b/>
          <w:bCs/>
          <w:sz w:val="27"/>
          <w:szCs w:val="27"/>
          <w:lang w:val="en-HK"/>
        </w:rPr>
        <w:t>6. Conclusion</w:t>
      </w:r>
    </w:p>
    <w:p w14:paraId="025C047F" w14:textId="77777777" w:rsidR="00CA0FC2" w:rsidRPr="00CA0FC2" w:rsidRDefault="00CA0FC2" w:rsidP="00CA0FC2">
      <w:pPr>
        <w:spacing w:before="100" w:beforeAutospacing="1" w:after="100" w:afterAutospacing="1"/>
        <w:outlineLvl w:val="3"/>
        <w:rPr>
          <w:rFonts w:ascii="Times New Roman" w:hAnsi="Times New Roman"/>
          <w:b/>
          <w:bCs/>
          <w:lang w:val="en-HK"/>
        </w:rPr>
      </w:pPr>
      <w:r w:rsidRPr="00CA0FC2">
        <w:rPr>
          <w:rFonts w:ascii="Times New Roman" w:hAnsi="Times New Roman"/>
          <w:b/>
          <w:bCs/>
          <w:lang w:val="en-HK"/>
        </w:rPr>
        <w:t>Overview of the Argument</w:t>
      </w:r>
    </w:p>
    <w:p w14:paraId="1F2528A5" w14:textId="77777777" w:rsidR="00CA0FC2" w:rsidRPr="00CA0FC2" w:rsidRDefault="00CA0FC2" w:rsidP="00CA0FC2">
      <w:pPr>
        <w:numPr>
          <w:ilvl w:val="0"/>
          <w:numId w:val="35"/>
        </w:numPr>
        <w:spacing w:before="100" w:beforeAutospacing="1" w:after="100" w:afterAutospacing="1"/>
        <w:rPr>
          <w:rFonts w:ascii="Times New Roman" w:hAnsi="Times New Roman"/>
          <w:lang w:val="en-HK"/>
        </w:rPr>
      </w:pPr>
      <w:r w:rsidRPr="00CA0FC2">
        <w:rPr>
          <w:rFonts w:ascii="Times New Roman" w:hAnsi="Times New Roman"/>
          <w:lang w:val="en-HK"/>
        </w:rPr>
        <w:t xml:space="preserve">Horsley concludes by synthesizing the central themes of his analysis of Article 34 TFEU. He emphasizes the ongoing tension between the expansive scope of Article 34, as defined by the </w:t>
      </w:r>
      <w:proofErr w:type="spellStart"/>
      <w:r w:rsidRPr="00CA0FC2">
        <w:rPr>
          <w:rFonts w:ascii="Times New Roman" w:hAnsi="Times New Roman"/>
          <w:b/>
          <w:bCs/>
          <w:lang w:val="en-HK"/>
        </w:rPr>
        <w:t>Dassonville</w:t>
      </w:r>
      <w:proofErr w:type="spellEnd"/>
      <w:r w:rsidRPr="00CA0FC2">
        <w:rPr>
          <w:rFonts w:ascii="Times New Roman" w:hAnsi="Times New Roman"/>
          <w:b/>
          <w:bCs/>
          <w:lang w:val="en-HK"/>
        </w:rPr>
        <w:t xml:space="preserve"> formula</w:t>
      </w:r>
      <w:r w:rsidRPr="00CA0FC2">
        <w:rPr>
          <w:rFonts w:ascii="Times New Roman" w:hAnsi="Times New Roman"/>
          <w:lang w:val="en-HK"/>
        </w:rPr>
        <w:t>, and the judicial mechanisms designed to limit its overreach.</w:t>
      </w:r>
    </w:p>
    <w:p w14:paraId="6F9517BC" w14:textId="77777777" w:rsidR="00CA0FC2" w:rsidRPr="00CA0FC2" w:rsidRDefault="00CA0FC2" w:rsidP="00CA0FC2">
      <w:pPr>
        <w:numPr>
          <w:ilvl w:val="0"/>
          <w:numId w:val="35"/>
        </w:numPr>
        <w:spacing w:before="100" w:beforeAutospacing="1" w:after="100" w:afterAutospacing="1"/>
        <w:rPr>
          <w:rFonts w:ascii="Times New Roman" w:hAnsi="Times New Roman"/>
          <w:lang w:val="en-HK"/>
        </w:rPr>
      </w:pPr>
      <w:r w:rsidRPr="00CA0FC2">
        <w:rPr>
          <w:rFonts w:ascii="Times New Roman" w:hAnsi="Times New Roman"/>
          <w:lang w:val="en-HK"/>
        </w:rPr>
        <w:t xml:space="preserve">He argues that the </w:t>
      </w:r>
      <w:r w:rsidRPr="00CA0FC2">
        <w:rPr>
          <w:rFonts w:ascii="Times New Roman" w:hAnsi="Times New Roman"/>
          <w:b/>
          <w:bCs/>
          <w:lang w:val="en-HK"/>
        </w:rPr>
        <w:t>exclusionary rules</w:t>
      </w:r>
      <w:r w:rsidRPr="00CA0FC2">
        <w:rPr>
          <w:rFonts w:ascii="Times New Roman" w:hAnsi="Times New Roman"/>
          <w:lang w:val="en-HK"/>
        </w:rPr>
        <w:t xml:space="preserve"> developed by the CJEU—such as the "effects too uncertain and indirect" rule, the </w:t>
      </w:r>
      <w:r w:rsidRPr="00CA0FC2">
        <w:rPr>
          <w:rFonts w:ascii="Times New Roman" w:hAnsi="Times New Roman"/>
          <w:b/>
          <w:bCs/>
          <w:lang w:val="en-HK"/>
        </w:rPr>
        <w:t>Keck jurisprudence</w:t>
      </w:r>
      <w:r w:rsidRPr="00CA0FC2">
        <w:rPr>
          <w:rFonts w:ascii="Times New Roman" w:hAnsi="Times New Roman"/>
          <w:lang w:val="en-HK"/>
        </w:rPr>
        <w:t xml:space="preserve">, and the "insignificant effects" rule—reflect a deliberate effort to balance the principles of </w:t>
      </w:r>
      <w:r w:rsidRPr="00CA0FC2">
        <w:rPr>
          <w:rFonts w:ascii="Times New Roman" w:hAnsi="Times New Roman"/>
          <w:b/>
          <w:bCs/>
          <w:lang w:val="en-HK"/>
        </w:rPr>
        <w:t>market integration</w:t>
      </w:r>
      <w:r w:rsidRPr="00CA0FC2">
        <w:rPr>
          <w:rFonts w:ascii="Times New Roman" w:hAnsi="Times New Roman"/>
          <w:lang w:val="en-HK"/>
        </w:rPr>
        <w:t xml:space="preserve"> and </w:t>
      </w:r>
      <w:r w:rsidRPr="00CA0FC2">
        <w:rPr>
          <w:rFonts w:ascii="Times New Roman" w:hAnsi="Times New Roman"/>
          <w:b/>
          <w:bCs/>
          <w:lang w:val="en-HK"/>
        </w:rPr>
        <w:t>Member State regulatory autonomy</w:t>
      </w:r>
      <w:r w:rsidRPr="00CA0FC2">
        <w:rPr>
          <w:rFonts w:ascii="Times New Roman" w:hAnsi="Times New Roman"/>
          <w:lang w:val="en-HK"/>
        </w:rPr>
        <w:t>.</w:t>
      </w:r>
    </w:p>
    <w:p w14:paraId="45BC7751" w14:textId="77777777" w:rsidR="00CA0FC2" w:rsidRPr="00CA0FC2" w:rsidRDefault="00CA0FC2" w:rsidP="00CA0FC2">
      <w:pPr>
        <w:numPr>
          <w:ilvl w:val="0"/>
          <w:numId w:val="35"/>
        </w:numPr>
        <w:spacing w:before="100" w:beforeAutospacing="1" w:after="100" w:afterAutospacing="1"/>
        <w:rPr>
          <w:rFonts w:ascii="Times New Roman" w:hAnsi="Times New Roman"/>
          <w:lang w:val="en-HK"/>
        </w:rPr>
      </w:pPr>
      <w:r w:rsidRPr="00CA0FC2">
        <w:rPr>
          <w:rFonts w:ascii="Times New Roman" w:hAnsi="Times New Roman"/>
          <w:lang w:val="en-HK"/>
        </w:rPr>
        <w:t xml:space="preserve">However, Horsley notes that recent developments, particularly the </w:t>
      </w:r>
      <w:r w:rsidRPr="00CA0FC2">
        <w:rPr>
          <w:rFonts w:ascii="Times New Roman" w:hAnsi="Times New Roman"/>
          <w:b/>
          <w:bCs/>
          <w:lang w:val="en-HK"/>
        </w:rPr>
        <w:t>market access test</w:t>
      </w:r>
      <w:r w:rsidRPr="00CA0FC2">
        <w:rPr>
          <w:rFonts w:ascii="Times New Roman" w:hAnsi="Times New Roman"/>
          <w:lang w:val="en-HK"/>
        </w:rPr>
        <w:t xml:space="preserve"> introduced in </w:t>
      </w:r>
      <w:r w:rsidRPr="00CA0FC2">
        <w:rPr>
          <w:rFonts w:ascii="Times New Roman" w:hAnsi="Times New Roman"/>
          <w:b/>
          <w:bCs/>
          <w:lang w:val="en-HK"/>
        </w:rPr>
        <w:t>Commission v Italy (Motorcycle Trailers, Case C-110/05)</w:t>
      </w:r>
      <w:r w:rsidRPr="00CA0FC2">
        <w:rPr>
          <w:rFonts w:ascii="Times New Roman" w:hAnsi="Times New Roman"/>
          <w:lang w:val="en-HK"/>
        </w:rPr>
        <w:t>, have complicated this framework by expanding the scope of Article 34.</w:t>
      </w:r>
    </w:p>
    <w:p w14:paraId="6A3A272E" w14:textId="77777777" w:rsidR="00CA0FC2" w:rsidRPr="00CA0FC2" w:rsidRDefault="00480C6B" w:rsidP="00CA0FC2">
      <w:pPr>
        <w:rPr>
          <w:rFonts w:ascii="Times New Roman" w:hAnsi="Times New Roman"/>
          <w:lang w:val="en-HK"/>
        </w:rPr>
      </w:pPr>
      <w:r w:rsidRPr="00480C6B">
        <w:rPr>
          <w:rFonts w:ascii="Times New Roman" w:hAnsi="Times New Roman"/>
          <w:noProof/>
          <w:lang w:val="en-HK"/>
          <w14:ligatures w14:val="standardContextual"/>
        </w:rPr>
        <w:lastRenderedPageBreak/>
        <w:pict w14:anchorId="3F3D1FBD">
          <v:rect id="_x0000_i1030" alt="" style="width:451.3pt;height:.05pt;mso-width-percent:0;mso-height-percent:0;mso-width-percent:0;mso-height-percent:0" o:hralign="center" o:hrstd="t" o:hr="t" fillcolor="#a0a0a0" stroked="f"/>
        </w:pict>
      </w:r>
    </w:p>
    <w:p w14:paraId="53FDF7DC" w14:textId="77777777" w:rsidR="00CA0FC2" w:rsidRPr="00CA0FC2" w:rsidRDefault="00CA0FC2" w:rsidP="00CA0FC2">
      <w:pPr>
        <w:spacing w:before="100" w:beforeAutospacing="1" w:after="100" w:afterAutospacing="1"/>
        <w:outlineLvl w:val="3"/>
        <w:rPr>
          <w:rFonts w:ascii="Times New Roman" w:hAnsi="Times New Roman"/>
          <w:b/>
          <w:bCs/>
          <w:lang w:val="en-HK"/>
        </w:rPr>
      </w:pPr>
      <w:r w:rsidRPr="00CA0FC2">
        <w:rPr>
          <w:rFonts w:ascii="Times New Roman" w:hAnsi="Times New Roman"/>
          <w:b/>
          <w:bCs/>
          <w:lang w:val="en-HK"/>
        </w:rPr>
        <w:t>The Incomplete Internal Market</w:t>
      </w:r>
    </w:p>
    <w:p w14:paraId="511A9F31" w14:textId="77777777" w:rsidR="00CA0FC2" w:rsidRPr="00CA0FC2" w:rsidRDefault="00CA0FC2" w:rsidP="00CA0FC2">
      <w:pPr>
        <w:numPr>
          <w:ilvl w:val="0"/>
          <w:numId w:val="36"/>
        </w:numPr>
        <w:spacing w:before="100" w:beforeAutospacing="1" w:after="100" w:afterAutospacing="1"/>
        <w:rPr>
          <w:rFonts w:ascii="Times New Roman" w:hAnsi="Times New Roman"/>
          <w:lang w:val="en-HK"/>
        </w:rPr>
      </w:pPr>
      <w:r w:rsidRPr="00CA0FC2">
        <w:rPr>
          <w:rFonts w:ascii="Times New Roman" w:hAnsi="Times New Roman"/>
          <w:lang w:val="en-HK"/>
        </w:rPr>
        <w:t>Horsley describes the EU internal market as "incomplete" due to the inherent tension between two objectives:</w:t>
      </w:r>
    </w:p>
    <w:p w14:paraId="055A06B4" w14:textId="77777777" w:rsidR="00CA0FC2" w:rsidRPr="00CA0FC2" w:rsidRDefault="00CA0FC2" w:rsidP="00CA0FC2">
      <w:pPr>
        <w:numPr>
          <w:ilvl w:val="1"/>
          <w:numId w:val="36"/>
        </w:numPr>
        <w:spacing w:before="100" w:beforeAutospacing="1" w:after="100" w:afterAutospacing="1"/>
        <w:rPr>
          <w:rFonts w:ascii="Times New Roman" w:hAnsi="Times New Roman"/>
          <w:lang w:val="en-HK"/>
        </w:rPr>
      </w:pPr>
      <w:r w:rsidRPr="00CA0FC2">
        <w:rPr>
          <w:rFonts w:ascii="Times New Roman" w:hAnsi="Times New Roman"/>
          <w:b/>
          <w:bCs/>
          <w:lang w:val="en-HK"/>
        </w:rPr>
        <w:t>Removing Barriers to Trade</w:t>
      </w:r>
      <w:r w:rsidRPr="00CA0FC2">
        <w:rPr>
          <w:rFonts w:ascii="Times New Roman" w:hAnsi="Times New Roman"/>
          <w:lang w:val="en-HK"/>
        </w:rPr>
        <w:t>:</w:t>
      </w:r>
    </w:p>
    <w:p w14:paraId="69BFCA15" w14:textId="77777777" w:rsidR="00CA0FC2" w:rsidRPr="00CA0FC2" w:rsidRDefault="00CA0FC2" w:rsidP="00CA0FC2">
      <w:pPr>
        <w:numPr>
          <w:ilvl w:val="2"/>
          <w:numId w:val="36"/>
        </w:numPr>
        <w:spacing w:before="100" w:beforeAutospacing="1" w:after="100" w:afterAutospacing="1"/>
        <w:rPr>
          <w:rFonts w:ascii="Times New Roman" w:hAnsi="Times New Roman"/>
          <w:lang w:val="en-HK"/>
        </w:rPr>
      </w:pPr>
      <w:r w:rsidRPr="00CA0FC2">
        <w:rPr>
          <w:rFonts w:ascii="Times New Roman" w:hAnsi="Times New Roman"/>
          <w:lang w:val="en-HK"/>
        </w:rPr>
        <w:t>Article 34 seeks to ensure the free movement of goods within the EU by prohibiting quantitative restrictions and measures having equivalent effect.</w:t>
      </w:r>
    </w:p>
    <w:p w14:paraId="7DB86549" w14:textId="77777777" w:rsidR="00CA0FC2" w:rsidRPr="00CA0FC2" w:rsidRDefault="00CA0FC2" w:rsidP="00CA0FC2">
      <w:pPr>
        <w:numPr>
          <w:ilvl w:val="1"/>
          <w:numId w:val="36"/>
        </w:numPr>
        <w:spacing w:before="100" w:beforeAutospacing="1" w:after="100" w:afterAutospacing="1"/>
        <w:rPr>
          <w:rFonts w:ascii="Times New Roman" w:hAnsi="Times New Roman"/>
          <w:lang w:val="en-HK"/>
        </w:rPr>
      </w:pPr>
      <w:r w:rsidRPr="00CA0FC2">
        <w:rPr>
          <w:rFonts w:ascii="Times New Roman" w:hAnsi="Times New Roman"/>
          <w:b/>
          <w:bCs/>
          <w:lang w:val="en-HK"/>
        </w:rPr>
        <w:t>Preserving Member State Sovereignty</w:t>
      </w:r>
      <w:r w:rsidRPr="00CA0FC2">
        <w:rPr>
          <w:rFonts w:ascii="Times New Roman" w:hAnsi="Times New Roman"/>
          <w:lang w:val="en-HK"/>
        </w:rPr>
        <w:t>:</w:t>
      </w:r>
    </w:p>
    <w:p w14:paraId="2612A3AC" w14:textId="77777777" w:rsidR="00CA0FC2" w:rsidRPr="00CA0FC2" w:rsidRDefault="00CA0FC2" w:rsidP="00CA0FC2">
      <w:pPr>
        <w:numPr>
          <w:ilvl w:val="2"/>
          <w:numId w:val="36"/>
        </w:numPr>
        <w:spacing w:before="100" w:beforeAutospacing="1" w:after="100" w:afterAutospacing="1"/>
        <w:rPr>
          <w:rFonts w:ascii="Times New Roman" w:hAnsi="Times New Roman"/>
          <w:lang w:val="en-HK"/>
        </w:rPr>
      </w:pPr>
      <w:r w:rsidRPr="00CA0FC2">
        <w:rPr>
          <w:rFonts w:ascii="Times New Roman" w:hAnsi="Times New Roman"/>
          <w:lang w:val="en-HK"/>
        </w:rPr>
        <w:t>The subsidiarity principle (Article 5(3) TEU) ensures that Member States retain the right to regulate their domestic markets, particularly in areas where EU harmonization is unnecessary or unwarranted.</w:t>
      </w:r>
    </w:p>
    <w:p w14:paraId="341DC498" w14:textId="77777777" w:rsidR="00CA0FC2" w:rsidRPr="00CA0FC2" w:rsidRDefault="00CA0FC2" w:rsidP="00CA0FC2">
      <w:pPr>
        <w:numPr>
          <w:ilvl w:val="0"/>
          <w:numId w:val="36"/>
        </w:numPr>
        <w:spacing w:before="100" w:beforeAutospacing="1" w:after="100" w:afterAutospacing="1"/>
        <w:rPr>
          <w:rFonts w:ascii="Times New Roman" w:hAnsi="Times New Roman"/>
          <w:lang w:val="en-HK"/>
        </w:rPr>
      </w:pPr>
      <w:r w:rsidRPr="00CA0FC2">
        <w:rPr>
          <w:rFonts w:ascii="Times New Roman" w:hAnsi="Times New Roman"/>
          <w:b/>
          <w:bCs/>
          <w:lang w:val="en-HK"/>
        </w:rPr>
        <w:t>Judicial Management</w:t>
      </w:r>
      <w:r w:rsidRPr="00CA0FC2">
        <w:rPr>
          <w:rFonts w:ascii="Times New Roman" w:hAnsi="Times New Roman"/>
          <w:lang w:val="en-HK"/>
        </w:rPr>
        <w:t>:</w:t>
      </w:r>
    </w:p>
    <w:p w14:paraId="750BBD27" w14:textId="77777777" w:rsidR="00CA0FC2" w:rsidRPr="00CA0FC2" w:rsidRDefault="00CA0FC2" w:rsidP="00CA0FC2">
      <w:pPr>
        <w:numPr>
          <w:ilvl w:val="1"/>
          <w:numId w:val="37"/>
        </w:numPr>
        <w:spacing w:before="100" w:beforeAutospacing="1" w:after="100" w:afterAutospacing="1"/>
        <w:rPr>
          <w:rFonts w:ascii="Times New Roman" w:hAnsi="Times New Roman"/>
          <w:lang w:val="en-HK"/>
        </w:rPr>
      </w:pPr>
      <w:r w:rsidRPr="00CA0FC2">
        <w:rPr>
          <w:rFonts w:ascii="Times New Roman" w:hAnsi="Times New Roman"/>
          <w:lang w:val="en-HK"/>
        </w:rPr>
        <w:t>The CJEU’s exclusionary rules are tools to reconcile these competing objectives. By limiting the application of Article 34 to measures that genuinely hinder trade, the Court seeks to prevent EU law from encroaching excessively on national regulatory autonomy.</w:t>
      </w:r>
    </w:p>
    <w:p w14:paraId="5E647B60" w14:textId="77777777" w:rsidR="00CA0FC2" w:rsidRPr="00CA0FC2" w:rsidRDefault="00CA0FC2" w:rsidP="00CA0FC2">
      <w:pPr>
        <w:numPr>
          <w:ilvl w:val="1"/>
          <w:numId w:val="37"/>
        </w:numPr>
        <w:spacing w:before="100" w:beforeAutospacing="1" w:after="100" w:afterAutospacing="1"/>
        <w:rPr>
          <w:rFonts w:ascii="Times New Roman" w:hAnsi="Times New Roman"/>
          <w:lang w:val="en-HK"/>
        </w:rPr>
      </w:pPr>
      <w:r w:rsidRPr="00CA0FC2">
        <w:rPr>
          <w:rFonts w:ascii="Times New Roman" w:hAnsi="Times New Roman"/>
          <w:lang w:val="en-HK"/>
        </w:rPr>
        <w:t>Horsley notes that these rules, while normatively justified, are often inconsistently applied, leading to legal uncertainty for traders and Member States.</w:t>
      </w:r>
    </w:p>
    <w:p w14:paraId="4FDDF59B" w14:textId="77777777" w:rsidR="00CA0FC2" w:rsidRPr="00CA0FC2" w:rsidRDefault="00480C6B" w:rsidP="00CA0FC2">
      <w:pPr>
        <w:rPr>
          <w:rFonts w:ascii="Times New Roman" w:hAnsi="Times New Roman"/>
          <w:lang w:val="en-HK"/>
        </w:rPr>
      </w:pPr>
      <w:r w:rsidRPr="00480C6B">
        <w:rPr>
          <w:rFonts w:ascii="Times New Roman" w:hAnsi="Times New Roman"/>
          <w:noProof/>
          <w:lang w:val="en-HK"/>
          <w14:ligatures w14:val="standardContextual"/>
        </w:rPr>
        <w:pict w14:anchorId="26F7672F">
          <v:rect id="_x0000_i1029" alt="" style="width:451.3pt;height:.05pt;mso-width-percent:0;mso-height-percent:0;mso-width-percent:0;mso-height-percent:0" o:hralign="center" o:hrstd="t" o:hr="t" fillcolor="#a0a0a0" stroked="f"/>
        </w:pict>
      </w:r>
    </w:p>
    <w:p w14:paraId="11240C16" w14:textId="77777777" w:rsidR="00CA0FC2" w:rsidRPr="00CA0FC2" w:rsidRDefault="00CA0FC2" w:rsidP="00CA0FC2">
      <w:pPr>
        <w:spacing w:before="100" w:beforeAutospacing="1" w:after="100" w:afterAutospacing="1"/>
        <w:outlineLvl w:val="3"/>
        <w:rPr>
          <w:rFonts w:ascii="Times New Roman" w:hAnsi="Times New Roman"/>
          <w:b/>
          <w:bCs/>
          <w:lang w:val="en-HK"/>
        </w:rPr>
      </w:pPr>
      <w:r w:rsidRPr="00CA0FC2">
        <w:rPr>
          <w:rFonts w:ascii="Times New Roman" w:hAnsi="Times New Roman"/>
          <w:b/>
          <w:bCs/>
          <w:lang w:val="en-HK"/>
        </w:rPr>
        <w:t>Tensions Between Exclusionary Rules and Market Access Test</w:t>
      </w:r>
    </w:p>
    <w:p w14:paraId="2EF05420" w14:textId="77777777" w:rsidR="00CA0FC2" w:rsidRPr="00CA0FC2" w:rsidRDefault="00CA0FC2" w:rsidP="00CA0FC2">
      <w:pPr>
        <w:numPr>
          <w:ilvl w:val="0"/>
          <w:numId w:val="38"/>
        </w:numPr>
        <w:spacing w:before="100" w:beforeAutospacing="1" w:after="100" w:afterAutospacing="1"/>
        <w:rPr>
          <w:rFonts w:ascii="Times New Roman" w:hAnsi="Times New Roman"/>
          <w:lang w:val="en-HK"/>
        </w:rPr>
      </w:pPr>
      <w:r w:rsidRPr="00CA0FC2">
        <w:rPr>
          <w:rFonts w:ascii="Times New Roman" w:hAnsi="Times New Roman"/>
          <w:lang w:val="en-HK"/>
        </w:rPr>
        <w:t xml:space="preserve">Horsley highlights the growing tension between the </w:t>
      </w:r>
      <w:r w:rsidRPr="00CA0FC2">
        <w:rPr>
          <w:rFonts w:ascii="Times New Roman" w:hAnsi="Times New Roman"/>
          <w:b/>
          <w:bCs/>
          <w:lang w:val="en-HK"/>
        </w:rPr>
        <w:t>exclusionary rules</w:t>
      </w:r>
      <w:r w:rsidRPr="00CA0FC2">
        <w:rPr>
          <w:rFonts w:ascii="Times New Roman" w:hAnsi="Times New Roman"/>
          <w:lang w:val="en-HK"/>
        </w:rPr>
        <w:t xml:space="preserve"> and the </w:t>
      </w:r>
      <w:r w:rsidRPr="00CA0FC2">
        <w:rPr>
          <w:rFonts w:ascii="Times New Roman" w:hAnsi="Times New Roman"/>
          <w:b/>
          <w:bCs/>
          <w:lang w:val="en-HK"/>
        </w:rPr>
        <w:t>market access test</w:t>
      </w:r>
      <w:r w:rsidRPr="00CA0FC2">
        <w:rPr>
          <w:rFonts w:ascii="Times New Roman" w:hAnsi="Times New Roman"/>
          <w:lang w:val="en-HK"/>
        </w:rPr>
        <w:t xml:space="preserve">, which emerged in </w:t>
      </w:r>
      <w:r w:rsidRPr="00CA0FC2">
        <w:rPr>
          <w:rFonts w:ascii="Times New Roman" w:hAnsi="Times New Roman"/>
          <w:b/>
          <w:bCs/>
          <w:lang w:val="en-HK"/>
        </w:rPr>
        <w:t>Motorcycle Trailers</w:t>
      </w:r>
      <w:r w:rsidRPr="00CA0FC2">
        <w:rPr>
          <w:rFonts w:ascii="Times New Roman" w:hAnsi="Times New Roman"/>
          <w:lang w:val="en-HK"/>
        </w:rPr>
        <w:t>.</w:t>
      </w:r>
    </w:p>
    <w:p w14:paraId="54D828F0" w14:textId="77777777" w:rsidR="00CA0FC2" w:rsidRPr="00CA0FC2" w:rsidRDefault="00CA0FC2" w:rsidP="00CA0FC2">
      <w:pPr>
        <w:numPr>
          <w:ilvl w:val="0"/>
          <w:numId w:val="38"/>
        </w:numPr>
        <w:spacing w:before="100" w:beforeAutospacing="1" w:after="100" w:afterAutospacing="1"/>
        <w:rPr>
          <w:rFonts w:ascii="Times New Roman" w:hAnsi="Times New Roman"/>
          <w:lang w:val="en-HK"/>
        </w:rPr>
      </w:pPr>
      <w:r w:rsidRPr="00CA0FC2">
        <w:rPr>
          <w:rFonts w:ascii="Times New Roman" w:hAnsi="Times New Roman"/>
          <w:b/>
          <w:bCs/>
          <w:lang w:val="en-HK"/>
        </w:rPr>
        <w:t>Market Access Test</w:t>
      </w:r>
      <w:r w:rsidRPr="00CA0FC2">
        <w:rPr>
          <w:rFonts w:ascii="Times New Roman" w:hAnsi="Times New Roman"/>
          <w:lang w:val="en-HK"/>
        </w:rPr>
        <w:t>:</w:t>
      </w:r>
    </w:p>
    <w:p w14:paraId="03A76CD0" w14:textId="77777777" w:rsidR="00CA0FC2" w:rsidRPr="00CA0FC2" w:rsidRDefault="00CA0FC2" w:rsidP="00CA0FC2">
      <w:pPr>
        <w:numPr>
          <w:ilvl w:val="1"/>
          <w:numId w:val="38"/>
        </w:numPr>
        <w:spacing w:before="100" w:beforeAutospacing="1" w:after="100" w:afterAutospacing="1"/>
        <w:rPr>
          <w:rFonts w:ascii="Times New Roman" w:hAnsi="Times New Roman"/>
          <w:lang w:val="en-HK"/>
        </w:rPr>
      </w:pPr>
      <w:r w:rsidRPr="00CA0FC2">
        <w:rPr>
          <w:rFonts w:ascii="Times New Roman" w:hAnsi="Times New Roman"/>
          <w:lang w:val="en-HK"/>
        </w:rPr>
        <w:t>This test broadens Article 34’s scope by including any national measure that hinders market access, regardless of whether it discriminates against imports or applies equally to domestic products.</w:t>
      </w:r>
    </w:p>
    <w:p w14:paraId="49061113" w14:textId="77777777" w:rsidR="00CA0FC2" w:rsidRPr="00CA0FC2" w:rsidRDefault="00CA0FC2" w:rsidP="00CA0FC2">
      <w:pPr>
        <w:numPr>
          <w:ilvl w:val="1"/>
          <w:numId w:val="38"/>
        </w:numPr>
        <w:spacing w:before="100" w:beforeAutospacing="1" w:after="100" w:afterAutospacing="1"/>
        <w:rPr>
          <w:rFonts w:ascii="Times New Roman" w:hAnsi="Times New Roman"/>
          <w:lang w:val="en-HK"/>
        </w:rPr>
      </w:pPr>
      <w:r w:rsidRPr="00CA0FC2">
        <w:rPr>
          <w:rFonts w:ascii="Times New Roman" w:hAnsi="Times New Roman"/>
          <w:lang w:val="en-HK"/>
        </w:rPr>
        <w:t>Horsley argues that this approach risks undermining the clarity and coherence provided by the exclusionary rules, particularly the Keck jurisprudence.</w:t>
      </w:r>
    </w:p>
    <w:p w14:paraId="08C9D182" w14:textId="77777777" w:rsidR="00CA0FC2" w:rsidRPr="00CA0FC2" w:rsidRDefault="00CA0FC2" w:rsidP="00CA0FC2">
      <w:pPr>
        <w:numPr>
          <w:ilvl w:val="0"/>
          <w:numId w:val="38"/>
        </w:numPr>
        <w:spacing w:before="100" w:beforeAutospacing="1" w:after="100" w:afterAutospacing="1"/>
        <w:rPr>
          <w:rFonts w:ascii="Times New Roman" w:hAnsi="Times New Roman"/>
          <w:lang w:val="en-HK"/>
        </w:rPr>
      </w:pPr>
      <w:r w:rsidRPr="00CA0FC2">
        <w:rPr>
          <w:rFonts w:ascii="Times New Roman" w:hAnsi="Times New Roman"/>
          <w:b/>
          <w:bCs/>
          <w:lang w:val="en-HK"/>
        </w:rPr>
        <w:t>Blurred Boundaries</w:t>
      </w:r>
      <w:r w:rsidRPr="00CA0FC2">
        <w:rPr>
          <w:rFonts w:ascii="Times New Roman" w:hAnsi="Times New Roman"/>
          <w:lang w:val="en-HK"/>
        </w:rPr>
        <w:t>:</w:t>
      </w:r>
    </w:p>
    <w:p w14:paraId="41772644" w14:textId="77777777" w:rsidR="00CA0FC2" w:rsidRPr="00CA0FC2" w:rsidRDefault="00CA0FC2" w:rsidP="00CA0FC2">
      <w:pPr>
        <w:numPr>
          <w:ilvl w:val="1"/>
          <w:numId w:val="38"/>
        </w:numPr>
        <w:spacing w:before="100" w:beforeAutospacing="1" w:after="100" w:afterAutospacing="1"/>
        <w:rPr>
          <w:rFonts w:ascii="Times New Roman" w:hAnsi="Times New Roman"/>
          <w:lang w:val="en-HK"/>
        </w:rPr>
      </w:pPr>
      <w:r w:rsidRPr="00CA0FC2">
        <w:rPr>
          <w:rFonts w:ascii="Times New Roman" w:hAnsi="Times New Roman"/>
          <w:lang w:val="en-HK"/>
        </w:rPr>
        <w:t xml:space="preserve">The distinction between product rules and selling arrangements, established in </w:t>
      </w:r>
      <w:r w:rsidRPr="00CA0FC2">
        <w:rPr>
          <w:rFonts w:ascii="Times New Roman" w:hAnsi="Times New Roman"/>
          <w:b/>
          <w:bCs/>
          <w:lang w:val="en-HK"/>
        </w:rPr>
        <w:t xml:space="preserve">Keck and </w:t>
      </w:r>
      <w:proofErr w:type="spellStart"/>
      <w:r w:rsidRPr="00CA0FC2">
        <w:rPr>
          <w:rFonts w:ascii="Times New Roman" w:hAnsi="Times New Roman"/>
          <w:b/>
          <w:bCs/>
          <w:lang w:val="en-HK"/>
        </w:rPr>
        <w:t>Mithouard</w:t>
      </w:r>
      <w:proofErr w:type="spellEnd"/>
      <w:r w:rsidRPr="00CA0FC2">
        <w:rPr>
          <w:rFonts w:ascii="Times New Roman" w:hAnsi="Times New Roman"/>
          <w:b/>
          <w:bCs/>
          <w:lang w:val="en-HK"/>
        </w:rPr>
        <w:t xml:space="preserve"> (Joined Cases C-267/91 and C-268/91)</w:t>
      </w:r>
      <w:r w:rsidRPr="00CA0FC2">
        <w:rPr>
          <w:rFonts w:ascii="Times New Roman" w:hAnsi="Times New Roman"/>
          <w:lang w:val="en-HK"/>
        </w:rPr>
        <w:t>, has been eroded by the market access test.</w:t>
      </w:r>
    </w:p>
    <w:p w14:paraId="1303E7D5" w14:textId="77777777" w:rsidR="00CA0FC2" w:rsidRPr="00CA0FC2" w:rsidRDefault="00CA0FC2" w:rsidP="00CA0FC2">
      <w:pPr>
        <w:numPr>
          <w:ilvl w:val="1"/>
          <w:numId w:val="38"/>
        </w:numPr>
        <w:spacing w:before="100" w:beforeAutospacing="1" w:after="100" w:afterAutospacing="1"/>
        <w:rPr>
          <w:rFonts w:ascii="Times New Roman" w:hAnsi="Times New Roman"/>
          <w:lang w:val="en-HK"/>
        </w:rPr>
      </w:pPr>
      <w:r w:rsidRPr="00CA0FC2">
        <w:rPr>
          <w:rFonts w:ascii="Times New Roman" w:hAnsi="Times New Roman"/>
          <w:lang w:val="en-HK"/>
        </w:rPr>
        <w:t xml:space="preserve">For example, in </w:t>
      </w:r>
      <w:r w:rsidRPr="00CA0FC2">
        <w:rPr>
          <w:rFonts w:ascii="Times New Roman" w:hAnsi="Times New Roman"/>
          <w:b/>
          <w:bCs/>
          <w:lang w:val="en-HK"/>
        </w:rPr>
        <w:t>Ker-</w:t>
      </w:r>
      <w:proofErr w:type="spellStart"/>
      <w:r w:rsidRPr="00CA0FC2">
        <w:rPr>
          <w:rFonts w:ascii="Times New Roman" w:hAnsi="Times New Roman"/>
          <w:b/>
          <w:bCs/>
          <w:lang w:val="en-HK"/>
        </w:rPr>
        <w:t>Optika</w:t>
      </w:r>
      <w:proofErr w:type="spellEnd"/>
      <w:r w:rsidRPr="00CA0FC2">
        <w:rPr>
          <w:rFonts w:ascii="Times New Roman" w:hAnsi="Times New Roman"/>
          <w:b/>
          <w:bCs/>
          <w:lang w:val="en-HK"/>
        </w:rPr>
        <w:t xml:space="preserve"> v ÀNTSZ (Case C-108/09)</w:t>
      </w:r>
      <w:r w:rsidRPr="00CA0FC2">
        <w:rPr>
          <w:rFonts w:ascii="Times New Roman" w:hAnsi="Times New Roman"/>
          <w:lang w:val="en-HK"/>
        </w:rPr>
        <w:t>, a restriction on online sales (traditionally a selling arrangement) was treated as a market access issue under Article 34.</w:t>
      </w:r>
    </w:p>
    <w:p w14:paraId="17E183CA" w14:textId="77777777" w:rsidR="00CA0FC2" w:rsidRPr="00CA0FC2" w:rsidRDefault="00CA0FC2" w:rsidP="00CA0FC2">
      <w:pPr>
        <w:numPr>
          <w:ilvl w:val="1"/>
          <w:numId w:val="38"/>
        </w:numPr>
        <w:spacing w:before="100" w:beforeAutospacing="1" w:after="100" w:afterAutospacing="1"/>
        <w:rPr>
          <w:rFonts w:ascii="Times New Roman" w:hAnsi="Times New Roman"/>
          <w:lang w:val="en-HK"/>
        </w:rPr>
      </w:pPr>
      <w:r w:rsidRPr="00CA0FC2">
        <w:rPr>
          <w:rFonts w:ascii="Times New Roman" w:hAnsi="Times New Roman"/>
          <w:lang w:val="en-HK"/>
        </w:rPr>
        <w:t>Horsley warns that this blurring of boundaries creates legal uncertainty and increases the regulatory burden on Member States.</w:t>
      </w:r>
    </w:p>
    <w:p w14:paraId="418992B5" w14:textId="77777777" w:rsidR="00CA0FC2" w:rsidRPr="00CA0FC2" w:rsidRDefault="00480C6B" w:rsidP="00CA0FC2">
      <w:pPr>
        <w:rPr>
          <w:rFonts w:ascii="Times New Roman" w:hAnsi="Times New Roman"/>
          <w:lang w:val="en-HK"/>
        </w:rPr>
      </w:pPr>
      <w:r w:rsidRPr="00480C6B">
        <w:rPr>
          <w:rFonts w:ascii="Times New Roman" w:hAnsi="Times New Roman"/>
          <w:noProof/>
          <w:lang w:val="en-HK"/>
          <w14:ligatures w14:val="standardContextual"/>
        </w:rPr>
        <w:pict w14:anchorId="7C3E4186">
          <v:rect id="_x0000_i1028" alt="" style="width:451.3pt;height:.05pt;mso-width-percent:0;mso-height-percent:0;mso-width-percent:0;mso-height-percent:0" o:hralign="center" o:hrstd="t" o:hr="t" fillcolor="#a0a0a0" stroked="f"/>
        </w:pict>
      </w:r>
    </w:p>
    <w:p w14:paraId="55CDF7AE" w14:textId="77777777" w:rsidR="00CA0FC2" w:rsidRPr="00CA0FC2" w:rsidRDefault="00CA0FC2" w:rsidP="00CA0FC2">
      <w:pPr>
        <w:spacing w:before="100" w:beforeAutospacing="1" w:after="100" w:afterAutospacing="1"/>
        <w:outlineLvl w:val="3"/>
        <w:rPr>
          <w:rFonts w:ascii="Times New Roman" w:hAnsi="Times New Roman"/>
          <w:b/>
          <w:bCs/>
          <w:lang w:val="en-HK"/>
        </w:rPr>
      </w:pPr>
      <w:r w:rsidRPr="00CA0FC2">
        <w:rPr>
          <w:rFonts w:ascii="Times New Roman" w:hAnsi="Times New Roman"/>
          <w:b/>
          <w:bCs/>
          <w:lang w:val="en-HK"/>
        </w:rPr>
        <w:t>Normative Implications</w:t>
      </w:r>
    </w:p>
    <w:p w14:paraId="59A3A474" w14:textId="77777777" w:rsidR="00CA0FC2" w:rsidRPr="00CA0FC2" w:rsidRDefault="00CA0FC2" w:rsidP="00CA0FC2">
      <w:pPr>
        <w:numPr>
          <w:ilvl w:val="0"/>
          <w:numId w:val="39"/>
        </w:numPr>
        <w:spacing w:before="100" w:beforeAutospacing="1" w:after="100" w:afterAutospacing="1"/>
        <w:rPr>
          <w:rFonts w:ascii="Times New Roman" w:hAnsi="Times New Roman"/>
          <w:lang w:val="en-HK"/>
        </w:rPr>
      </w:pPr>
      <w:r w:rsidRPr="00CA0FC2">
        <w:rPr>
          <w:rFonts w:ascii="Times New Roman" w:hAnsi="Times New Roman"/>
          <w:b/>
          <w:bCs/>
          <w:lang w:val="en-HK"/>
        </w:rPr>
        <w:t>Subsidiarity and Proportionality</w:t>
      </w:r>
      <w:r w:rsidRPr="00CA0FC2">
        <w:rPr>
          <w:rFonts w:ascii="Times New Roman" w:hAnsi="Times New Roman"/>
          <w:lang w:val="en-HK"/>
        </w:rPr>
        <w:t>:</w:t>
      </w:r>
    </w:p>
    <w:p w14:paraId="75E8D299" w14:textId="77777777" w:rsidR="00CA0FC2" w:rsidRPr="00CA0FC2" w:rsidRDefault="00CA0FC2" w:rsidP="00CA0FC2">
      <w:pPr>
        <w:numPr>
          <w:ilvl w:val="1"/>
          <w:numId w:val="39"/>
        </w:numPr>
        <w:spacing w:before="100" w:beforeAutospacing="1" w:after="100" w:afterAutospacing="1"/>
        <w:rPr>
          <w:rFonts w:ascii="Times New Roman" w:hAnsi="Times New Roman"/>
          <w:lang w:val="en-HK"/>
        </w:rPr>
      </w:pPr>
      <w:r w:rsidRPr="00CA0FC2">
        <w:rPr>
          <w:rFonts w:ascii="Times New Roman" w:hAnsi="Times New Roman"/>
          <w:lang w:val="en-HK"/>
        </w:rPr>
        <w:lastRenderedPageBreak/>
        <w:t>Horsley argues that the exclusionary rules reflect the principles of subsidiarity (Article 5(3) TEU) and proportionality (Article 5(4) TEU), ensuring that EU intervention is limited to cases where Member States cannot achieve objectives effectively.</w:t>
      </w:r>
    </w:p>
    <w:p w14:paraId="7FE43D53" w14:textId="77777777" w:rsidR="00CA0FC2" w:rsidRPr="00CA0FC2" w:rsidRDefault="00CA0FC2" w:rsidP="00CA0FC2">
      <w:pPr>
        <w:numPr>
          <w:ilvl w:val="1"/>
          <w:numId w:val="39"/>
        </w:numPr>
        <w:spacing w:before="100" w:beforeAutospacing="1" w:after="100" w:afterAutospacing="1"/>
        <w:rPr>
          <w:rFonts w:ascii="Times New Roman" w:hAnsi="Times New Roman"/>
          <w:lang w:val="en-HK"/>
        </w:rPr>
      </w:pPr>
      <w:r w:rsidRPr="00CA0FC2">
        <w:rPr>
          <w:rFonts w:ascii="Times New Roman" w:hAnsi="Times New Roman"/>
          <w:lang w:val="en-HK"/>
        </w:rPr>
        <w:t>However, the market access test, by expanding the scope of Article 34, risks undermining these principles by subjecting a broader range of national measures to EU scrutiny.</w:t>
      </w:r>
    </w:p>
    <w:p w14:paraId="7211A232" w14:textId="77777777" w:rsidR="00CA0FC2" w:rsidRPr="00CA0FC2" w:rsidRDefault="00CA0FC2" w:rsidP="00CA0FC2">
      <w:pPr>
        <w:numPr>
          <w:ilvl w:val="0"/>
          <w:numId w:val="39"/>
        </w:numPr>
        <w:spacing w:before="100" w:beforeAutospacing="1" w:after="100" w:afterAutospacing="1"/>
        <w:rPr>
          <w:rFonts w:ascii="Times New Roman" w:hAnsi="Times New Roman"/>
          <w:lang w:val="en-HK"/>
        </w:rPr>
      </w:pPr>
      <w:r w:rsidRPr="00CA0FC2">
        <w:rPr>
          <w:rFonts w:ascii="Times New Roman" w:hAnsi="Times New Roman"/>
          <w:b/>
          <w:bCs/>
          <w:lang w:val="en-HK"/>
        </w:rPr>
        <w:t>Judicial Balancing</w:t>
      </w:r>
      <w:r w:rsidRPr="00CA0FC2">
        <w:rPr>
          <w:rFonts w:ascii="Times New Roman" w:hAnsi="Times New Roman"/>
          <w:lang w:val="en-HK"/>
        </w:rPr>
        <w:t>:</w:t>
      </w:r>
    </w:p>
    <w:p w14:paraId="29883A8C" w14:textId="77777777" w:rsidR="00CA0FC2" w:rsidRPr="00CA0FC2" w:rsidRDefault="00CA0FC2" w:rsidP="00CA0FC2">
      <w:pPr>
        <w:numPr>
          <w:ilvl w:val="1"/>
          <w:numId w:val="39"/>
        </w:numPr>
        <w:spacing w:before="100" w:beforeAutospacing="1" w:after="100" w:afterAutospacing="1"/>
        <w:rPr>
          <w:rFonts w:ascii="Times New Roman" w:hAnsi="Times New Roman"/>
          <w:lang w:val="en-HK"/>
        </w:rPr>
      </w:pPr>
      <w:r w:rsidRPr="00CA0FC2">
        <w:rPr>
          <w:rFonts w:ascii="Times New Roman" w:hAnsi="Times New Roman"/>
          <w:lang w:val="en-HK"/>
        </w:rPr>
        <w:t>The CJEU must strike a careful balance between ensuring the free movement of goods and respecting national regulatory diversity.</w:t>
      </w:r>
    </w:p>
    <w:p w14:paraId="6A3AD35D" w14:textId="77777777" w:rsidR="00CA0FC2" w:rsidRPr="00CA0FC2" w:rsidRDefault="00CA0FC2" w:rsidP="00CA0FC2">
      <w:pPr>
        <w:numPr>
          <w:ilvl w:val="1"/>
          <w:numId w:val="39"/>
        </w:numPr>
        <w:spacing w:before="100" w:beforeAutospacing="1" w:after="100" w:afterAutospacing="1"/>
        <w:rPr>
          <w:rFonts w:ascii="Times New Roman" w:hAnsi="Times New Roman"/>
          <w:lang w:val="en-HK"/>
        </w:rPr>
      </w:pPr>
      <w:r w:rsidRPr="00CA0FC2">
        <w:rPr>
          <w:rFonts w:ascii="Times New Roman" w:hAnsi="Times New Roman"/>
          <w:lang w:val="en-HK"/>
        </w:rPr>
        <w:t>Horsley suggests that this balance requires a clearer articulation of the relationship between exclusionary rules and the market access test.</w:t>
      </w:r>
    </w:p>
    <w:p w14:paraId="6DCB9410" w14:textId="77777777" w:rsidR="00CA0FC2" w:rsidRPr="00CA0FC2" w:rsidRDefault="00480C6B" w:rsidP="00CA0FC2">
      <w:pPr>
        <w:rPr>
          <w:rFonts w:ascii="Times New Roman" w:hAnsi="Times New Roman"/>
          <w:lang w:val="en-HK"/>
        </w:rPr>
      </w:pPr>
      <w:r w:rsidRPr="00480C6B">
        <w:rPr>
          <w:rFonts w:ascii="Times New Roman" w:hAnsi="Times New Roman"/>
          <w:noProof/>
          <w:lang w:val="en-HK"/>
          <w14:ligatures w14:val="standardContextual"/>
        </w:rPr>
        <w:pict w14:anchorId="7B64AE82">
          <v:rect id="_x0000_i1027" alt="" style="width:451.3pt;height:.05pt;mso-width-percent:0;mso-height-percent:0;mso-width-percent:0;mso-height-percent:0" o:hralign="center" o:hrstd="t" o:hr="t" fillcolor="#a0a0a0" stroked="f"/>
        </w:pict>
      </w:r>
    </w:p>
    <w:p w14:paraId="35FC1EA0" w14:textId="77777777" w:rsidR="00CA0FC2" w:rsidRPr="00CA0FC2" w:rsidRDefault="00CA0FC2" w:rsidP="00CA0FC2">
      <w:pPr>
        <w:spacing w:before="100" w:beforeAutospacing="1" w:after="100" w:afterAutospacing="1"/>
        <w:outlineLvl w:val="3"/>
        <w:rPr>
          <w:rFonts w:ascii="Times New Roman" w:hAnsi="Times New Roman"/>
          <w:b/>
          <w:bCs/>
          <w:lang w:val="en-HK"/>
        </w:rPr>
      </w:pPr>
      <w:r w:rsidRPr="00CA0FC2">
        <w:rPr>
          <w:rFonts w:ascii="Times New Roman" w:hAnsi="Times New Roman"/>
          <w:b/>
          <w:bCs/>
          <w:lang w:val="en-HK"/>
        </w:rPr>
        <w:t>Recommendations for Reform</w:t>
      </w:r>
    </w:p>
    <w:p w14:paraId="242FC0DC" w14:textId="77777777" w:rsidR="00CA0FC2" w:rsidRPr="00CA0FC2" w:rsidRDefault="00CA0FC2" w:rsidP="00CA0FC2">
      <w:pPr>
        <w:numPr>
          <w:ilvl w:val="0"/>
          <w:numId w:val="40"/>
        </w:numPr>
        <w:spacing w:before="100" w:beforeAutospacing="1" w:after="100" w:afterAutospacing="1"/>
        <w:rPr>
          <w:rFonts w:ascii="Times New Roman" w:hAnsi="Times New Roman"/>
          <w:lang w:val="en-HK"/>
        </w:rPr>
      </w:pPr>
      <w:r w:rsidRPr="00CA0FC2">
        <w:rPr>
          <w:rFonts w:ascii="Times New Roman" w:hAnsi="Times New Roman"/>
          <w:lang w:val="en-HK"/>
        </w:rPr>
        <w:t xml:space="preserve">Horsley calls for a more </w:t>
      </w:r>
      <w:r w:rsidRPr="00CA0FC2">
        <w:rPr>
          <w:rFonts w:ascii="Times New Roman" w:hAnsi="Times New Roman"/>
          <w:b/>
          <w:bCs/>
          <w:lang w:val="en-HK"/>
        </w:rPr>
        <w:t>coherent and predictable framework</w:t>
      </w:r>
      <w:r w:rsidRPr="00CA0FC2">
        <w:rPr>
          <w:rFonts w:ascii="Times New Roman" w:hAnsi="Times New Roman"/>
          <w:lang w:val="en-HK"/>
        </w:rPr>
        <w:t xml:space="preserve"> for interpreting Article 34. He offers the following recommendations:</w:t>
      </w:r>
    </w:p>
    <w:p w14:paraId="57067E81" w14:textId="77777777" w:rsidR="00CA0FC2" w:rsidRPr="00CA0FC2" w:rsidRDefault="00CA0FC2" w:rsidP="00CA0FC2">
      <w:pPr>
        <w:numPr>
          <w:ilvl w:val="1"/>
          <w:numId w:val="40"/>
        </w:numPr>
        <w:spacing w:before="100" w:beforeAutospacing="1" w:after="100" w:afterAutospacing="1"/>
        <w:rPr>
          <w:rFonts w:ascii="Times New Roman" w:hAnsi="Times New Roman"/>
          <w:lang w:val="en-HK"/>
        </w:rPr>
      </w:pPr>
      <w:r w:rsidRPr="00CA0FC2">
        <w:rPr>
          <w:rFonts w:ascii="Times New Roman" w:hAnsi="Times New Roman"/>
          <w:b/>
          <w:bCs/>
          <w:lang w:val="en-HK"/>
        </w:rPr>
        <w:t>Reasserting the Exclusionary Rules</w:t>
      </w:r>
      <w:r w:rsidRPr="00CA0FC2">
        <w:rPr>
          <w:rFonts w:ascii="Times New Roman" w:hAnsi="Times New Roman"/>
          <w:lang w:val="en-HK"/>
        </w:rPr>
        <w:t>:</w:t>
      </w:r>
    </w:p>
    <w:p w14:paraId="2F2FF8C0" w14:textId="77777777" w:rsidR="00CA0FC2" w:rsidRPr="00CA0FC2" w:rsidRDefault="00CA0FC2" w:rsidP="00CA0FC2">
      <w:pPr>
        <w:numPr>
          <w:ilvl w:val="2"/>
          <w:numId w:val="40"/>
        </w:numPr>
        <w:spacing w:before="100" w:beforeAutospacing="1" w:after="100" w:afterAutospacing="1"/>
        <w:rPr>
          <w:rFonts w:ascii="Times New Roman" w:hAnsi="Times New Roman"/>
          <w:lang w:val="en-HK"/>
        </w:rPr>
      </w:pPr>
      <w:r w:rsidRPr="00CA0FC2">
        <w:rPr>
          <w:rFonts w:ascii="Times New Roman" w:hAnsi="Times New Roman"/>
          <w:lang w:val="en-HK"/>
        </w:rPr>
        <w:t>The Court should reaffirm the role of exclusionary rules in limiting Article 34’s scope. This includes providing clearer criteria for applying rules such as “effects too uncertain and indirect” and “insignificant effects.”</w:t>
      </w:r>
    </w:p>
    <w:p w14:paraId="5E66A814" w14:textId="77777777" w:rsidR="00CA0FC2" w:rsidRPr="00CA0FC2" w:rsidRDefault="00CA0FC2" w:rsidP="00CA0FC2">
      <w:pPr>
        <w:numPr>
          <w:ilvl w:val="1"/>
          <w:numId w:val="40"/>
        </w:numPr>
        <w:spacing w:before="100" w:beforeAutospacing="1" w:after="100" w:afterAutospacing="1"/>
        <w:rPr>
          <w:rFonts w:ascii="Times New Roman" w:hAnsi="Times New Roman"/>
          <w:lang w:val="en-HK"/>
        </w:rPr>
      </w:pPr>
      <w:r w:rsidRPr="00CA0FC2">
        <w:rPr>
          <w:rFonts w:ascii="Times New Roman" w:hAnsi="Times New Roman"/>
          <w:b/>
          <w:bCs/>
          <w:lang w:val="en-HK"/>
        </w:rPr>
        <w:t>Clarifying the Market Access Test</w:t>
      </w:r>
      <w:r w:rsidRPr="00CA0FC2">
        <w:rPr>
          <w:rFonts w:ascii="Times New Roman" w:hAnsi="Times New Roman"/>
          <w:lang w:val="en-HK"/>
        </w:rPr>
        <w:t>:</w:t>
      </w:r>
    </w:p>
    <w:p w14:paraId="234AE84D" w14:textId="77777777" w:rsidR="00CA0FC2" w:rsidRPr="00CA0FC2" w:rsidRDefault="00CA0FC2" w:rsidP="00CA0FC2">
      <w:pPr>
        <w:numPr>
          <w:ilvl w:val="2"/>
          <w:numId w:val="40"/>
        </w:numPr>
        <w:spacing w:before="100" w:beforeAutospacing="1" w:after="100" w:afterAutospacing="1"/>
        <w:rPr>
          <w:rFonts w:ascii="Times New Roman" w:hAnsi="Times New Roman"/>
          <w:lang w:val="en-HK"/>
        </w:rPr>
      </w:pPr>
      <w:r w:rsidRPr="00CA0FC2">
        <w:rPr>
          <w:rFonts w:ascii="Times New Roman" w:hAnsi="Times New Roman"/>
          <w:lang w:val="en-HK"/>
        </w:rPr>
        <w:t>The CJEU should establish clear guidelines for determining when a measure constitutes a barrier to market access, particularly in cases involving selling arrangements.</w:t>
      </w:r>
    </w:p>
    <w:p w14:paraId="0BBE8E12" w14:textId="77777777" w:rsidR="00CA0FC2" w:rsidRPr="00CA0FC2" w:rsidRDefault="00CA0FC2" w:rsidP="00CA0FC2">
      <w:pPr>
        <w:numPr>
          <w:ilvl w:val="1"/>
          <w:numId w:val="40"/>
        </w:numPr>
        <w:spacing w:before="100" w:beforeAutospacing="1" w:after="100" w:afterAutospacing="1"/>
        <w:rPr>
          <w:rFonts w:ascii="Times New Roman" w:hAnsi="Times New Roman"/>
          <w:lang w:val="en-HK"/>
        </w:rPr>
      </w:pPr>
      <w:r w:rsidRPr="00CA0FC2">
        <w:rPr>
          <w:rFonts w:ascii="Times New Roman" w:hAnsi="Times New Roman"/>
          <w:b/>
          <w:bCs/>
          <w:lang w:val="en-HK"/>
        </w:rPr>
        <w:t>Balancing Market Integration and Sovereignty</w:t>
      </w:r>
      <w:r w:rsidRPr="00CA0FC2">
        <w:rPr>
          <w:rFonts w:ascii="Times New Roman" w:hAnsi="Times New Roman"/>
          <w:lang w:val="en-HK"/>
        </w:rPr>
        <w:t>:</w:t>
      </w:r>
    </w:p>
    <w:p w14:paraId="285CEF94" w14:textId="77777777" w:rsidR="00CA0FC2" w:rsidRPr="00CA0FC2" w:rsidRDefault="00CA0FC2" w:rsidP="00CA0FC2">
      <w:pPr>
        <w:numPr>
          <w:ilvl w:val="2"/>
          <w:numId w:val="40"/>
        </w:numPr>
        <w:spacing w:before="100" w:beforeAutospacing="1" w:after="100" w:afterAutospacing="1"/>
        <w:rPr>
          <w:rFonts w:ascii="Times New Roman" w:hAnsi="Times New Roman"/>
          <w:lang w:val="en-HK"/>
        </w:rPr>
      </w:pPr>
      <w:r w:rsidRPr="00CA0FC2">
        <w:rPr>
          <w:rFonts w:ascii="Times New Roman" w:hAnsi="Times New Roman"/>
          <w:lang w:val="en-HK"/>
        </w:rPr>
        <w:t>The Court should ensure that Article 34 is applied proportionately, allowing Member States to regulate their markets in areas where EU harmonization is unnecessary.</w:t>
      </w:r>
    </w:p>
    <w:p w14:paraId="105FCC99" w14:textId="77777777" w:rsidR="00CA0FC2" w:rsidRPr="00CA0FC2" w:rsidRDefault="00CA0FC2" w:rsidP="00CA0FC2">
      <w:pPr>
        <w:numPr>
          <w:ilvl w:val="0"/>
          <w:numId w:val="40"/>
        </w:numPr>
        <w:spacing w:before="100" w:beforeAutospacing="1" w:after="100" w:afterAutospacing="1"/>
        <w:rPr>
          <w:rFonts w:ascii="Times New Roman" w:hAnsi="Times New Roman"/>
          <w:lang w:val="en-HK"/>
        </w:rPr>
      </w:pPr>
      <w:r w:rsidRPr="00CA0FC2">
        <w:rPr>
          <w:rFonts w:ascii="Times New Roman" w:hAnsi="Times New Roman"/>
          <w:b/>
          <w:bCs/>
          <w:lang w:val="en-HK"/>
        </w:rPr>
        <w:t>Scholarly Support</w:t>
      </w:r>
      <w:r w:rsidRPr="00CA0FC2">
        <w:rPr>
          <w:rFonts w:ascii="Times New Roman" w:hAnsi="Times New Roman"/>
          <w:lang w:val="en-HK"/>
        </w:rPr>
        <w:t>:</w:t>
      </w:r>
    </w:p>
    <w:p w14:paraId="4638B62A" w14:textId="77777777" w:rsidR="00CA0FC2" w:rsidRPr="00CA0FC2" w:rsidRDefault="00CA0FC2" w:rsidP="00CA0FC2">
      <w:pPr>
        <w:numPr>
          <w:ilvl w:val="1"/>
          <w:numId w:val="41"/>
        </w:numPr>
        <w:spacing w:before="100" w:beforeAutospacing="1" w:after="100" w:afterAutospacing="1"/>
        <w:rPr>
          <w:rFonts w:ascii="Times New Roman" w:hAnsi="Times New Roman"/>
          <w:lang w:val="en-HK"/>
        </w:rPr>
      </w:pPr>
      <w:proofErr w:type="spellStart"/>
      <w:r w:rsidRPr="00CA0FC2">
        <w:rPr>
          <w:rFonts w:ascii="Times New Roman" w:hAnsi="Times New Roman"/>
          <w:b/>
          <w:bCs/>
          <w:lang w:val="en-HK"/>
        </w:rPr>
        <w:t>Weatherill</w:t>
      </w:r>
      <w:proofErr w:type="spellEnd"/>
      <w:r w:rsidRPr="00CA0FC2">
        <w:rPr>
          <w:rFonts w:ascii="Times New Roman" w:hAnsi="Times New Roman"/>
          <w:lang w:val="en-HK"/>
        </w:rPr>
        <w:t xml:space="preserve"> (2017): Warns against overreliance on the market access test, arguing that it risks turning Article 34 into a tool for challenging virtually all national regulations.</w:t>
      </w:r>
    </w:p>
    <w:p w14:paraId="08B14606" w14:textId="77777777" w:rsidR="00CA0FC2" w:rsidRPr="00CA0FC2" w:rsidRDefault="00CA0FC2" w:rsidP="00CA0FC2">
      <w:pPr>
        <w:numPr>
          <w:ilvl w:val="1"/>
          <w:numId w:val="41"/>
        </w:numPr>
        <w:spacing w:before="100" w:beforeAutospacing="1" w:after="100" w:afterAutospacing="1"/>
        <w:rPr>
          <w:rFonts w:ascii="Times New Roman" w:hAnsi="Times New Roman"/>
          <w:lang w:val="en-HK"/>
        </w:rPr>
      </w:pPr>
      <w:proofErr w:type="spellStart"/>
      <w:r w:rsidRPr="00CA0FC2">
        <w:rPr>
          <w:rFonts w:ascii="Times New Roman" w:hAnsi="Times New Roman"/>
          <w:b/>
          <w:bCs/>
          <w:lang w:val="en-HK"/>
        </w:rPr>
        <w:t>Spaventa</w:t>
      </w:r>
      <w:proofErr w:type="spellEnd"/>
      <w:r w:rsidRPr="00CA0FC2">
        <w:rPr>
          <w:rFonts w:ascii="Times New Roman" w:hAnsi="Times New Roman"/>
          <w:lang w:val="en-HK"/>
        </w:rPr>
        <w:t xml:space="preserve"> (2009): Advocates for a more transparent application of exclusionary rules to reduce legal uncertainty and enhance predictability.</w:t>
      </w:r>
    </w:p>
    <w:p w14:paraId="13D802B7" w14:textId="77777777" w:rsidR="00CA0FC2" w:rsidRPr="00CA0FC2" w:rsidRDefault="00480C6B" w:rsidP="00CA0FC2">
      <w:pPr>
        <w:rPr>
          <w:rFonts w:ascii="Times New Roman" w:hAnsi="Times New Roman"/>
          <w:lang w:val="en-HK"/>
        </w:rPr>
      </w:pPr>
      <w:r w:rsidRPr="00480C6B">
        <w:rPr>
          <w:rFonts w:ascii="Times New Roman" w:hAnsi="Times New Roman"/>
          <w:noProof/>
          <w:lang w:val="en-HK"/>
          <w14:ligatures w14:val="standardContextual"/>
        </w:rPr>
        <w:pict w14:anchorId="6087A297">
          <v:rect id="_x0000_i1026" alt="" style="width:451.3pt;height:.05pt;mso-width-percent:0;mso-height-percent:0;mso-width-percent:0;mso-height-percent:0" o:hralign="center" o:hrstd="t" o:hr="t" fillcolor="#a0a0a0" stroked="f"/>
        </w:pict>
      </w:r>
    </w:p>
    <w:p w14:paraId="60ECD23D" w14:textId="77777777" w:rsidR="00CA0FC2" w:rsidRPr="00CA0FC2" w:rsidRDefault="00CA0FC2" w:rsidP="00CA0FC2">
      <w:pPr>
        <w:spacing w:before="100" w:beforeAutospacing="1" w:after="100" w:afterAutospacing="1"/>
        <w:outlineLvl w:val="3"/>
        <w:rPr>
          <w:rFonts w:ascii="Times New Roman" w:hAnsi="Times New Roman"/>
          <w:b/>
          <w:bCs/>
          <w:lang w:val="en-HK"/>
        </w:rPr>
      </w:pPr>
      <w:r w:rsidRPr="00CA0FC2">
        <w:rPr>
          <w:rFonts w:ascii="Times New Roman" w:hAnsi="Times New Roman"/>
          <w:b/>
          <w:bCs/>
          <w:lang w:val="en-HK"/>
        </w:rPr>
        <w:t>Final Reflection</w:t>
      </w:r>
    </w:p>
    <w:p w14:paraId="784A4AFE" w14:textId="77777777" w:rsidR="00CA0FC2" w:rsidRPr="00CA0FC2" w:rsidRDefault="00CA0FC2" w:rsidP="00CA0FC2">
      <w:pPr>
        <w:numPr>
          <w:ilvl w:val="0"/>
          <w:numId w:val="42"/>
        </w:numPr>
        <w:spacing w:before="100" w:beforeAutospacing="1" w:after="100" w:afterAutospacing="1"/>
        <w:rPr>
          <w:rFonts w:ascii="Times New Roman" w:hAnsi="Times New Roman"/>
          <w:lang w:val="en-HK"/>
        </w:rPr>
      </w:pPr>
      <w:r w:rsidRPr="00CA0FC2">
        <w:rPr>
          <w:rFonts w:ascii="Times New Roman" w:hAnsi="Times New Roman"/>
          <w:lang w:val="en-HK"/>
        </w:rPr>
        <w:t xml:space="preserve">Horsley concludes that the </w:t>
      </w:r>
      <w:r w:rsidRPr="00CA0FC2">
        <w:rPr>
          <w:rFonts w:ascii="Times New Roman" w:hAnsi="Times New Roman"/>
          <w:b/>
          <w:bCs/>
          <w:lang w:val="en-HK"/>
        </w:rPr>
        <w:t>CJEU’s approach to Article 34 TFEU</w:t>
      </w:r>
      <w:r w:rsidRPr="00CA0FC2">
        <w:rPr>
          <w:rFonts w:ascii="Times New Roman" w:hAnsi="Times New Roman"/>
          <w:lang w:val="en-HK"/>
        </w:rPr>
        <w:t xml:space="preserve"> remains a work in progress. While the exclusionary rules provide a pragmatic framework for managing the scope of Article 34, their inconsistent application and the emergence of the market access test have introduced new challenges.</w:t>
      </w:r>
    </w:p>
    <w:p w14:paraId="552BF47F" w14:textId="77777777" w:rsidR="00CA0FC2" w:rsidRPr="00CA0FC2" w:rsidRDefault="00CA0FC2" w:rsidP="00CA0FC2">
      <w:pPr>
        <w:numPr>
          <w:ilvl w:val="0"/>
          <w:numId w:val="42"/>
        </w:numPr>
        <w:spacing w:before="100" w:beforeAutospacing="1" w:after="100" w:afterAutospacing="1"/>
        <w:rPr>
          <w:rFonts w:ascii="Times New Roman" w:hAnsi="Times New Roman"/>
          <w:lang w:val="en-HK"/>
        </w:rPr>
      </w:pPr>
      <w:r w:rsidRPr="00CA0FC2">
        <w:rPr>
          <w:rFonts w:ascii="Times New Roman" w:hAnsi="Times New Roman"/>
          <w:lang w:val="en-HK"/>
        </w:rPr>
        <w:t>He emphasizes the need for a more transparent and balanced interpretation of Article 34, one that respects the constitutional principles of subsidiarity and proportionality while promoting market integration.</w:t>
      </w:r>
    </w:p>
    <w:p w14:paraId="124FA081" w14:textId="77777777" w:rsidR="00CA0FC2" w:rsidRPr="00CA0FC2" w:rsidRDefault="00480C6B" w:rsidP="00CA0FC2">
      <w:pPr>
        <w:rPr>
          <w:rFonts w:ascii="Times New Roman" w:hAnsi="Times New Roman"/>
          <w:lang w:val="en-HK"/>
        </w:rPr>
      </w:pPr>
      <w:r w:rsidRPr="00480C6B">
        <w:rPr>
          <w:rFonts w:ascii="Times New Roman" w:hAnsi="Times New Roman"/>
          <w:noProof/>
          <w:lang w:val="en-HK"/>
          <w14:ligatures w14:val="standardContextual"/>
        </w:rPr>
        <w:lastRenderedPageBreak/>
        <w:pict w14:anchorId="4E757450">
          <v:rect id="_x0000_i1025" alt="" style="width:451.3pt;height:.05pt;mso-width-percent:0;mso-height-percent:0;mso-width-percent:0;mso-height-percent:0" o:hralign="center" o:hrstd="t" o:hr="t" fillcolor="#a0a0a0" stroked="f"/>
        </w:pict>
      </w:r>
    </w:p>
    <w:p w14:paraId="13CD2BB7" w14:textId="77777777" w:rsidR="00CA0FC2" w:rsidRPr="00CA0FC2" w:rsidRDefault="00CA0FC2" w:rsidP="00CA0FC2">
      <w:pPr>
        <w:spacing w:before="100" w:beforeAutospacing="1" w:after="100" w:afterAutospacing="1"/>
        <w:outlineLvl w:val="2"/>
        <w:rPr>
          <w:rFonts w:ascii="Times New Roman" w:hAnsi="Times New Roman"/>
          <w:b/>
          <w:bCs/>
          <w:sz w:val="27"/>
          <w:szCs w:val="27"/>
          <w:lang w:val="en-HK"/>
        </w:rPr>
      </w:pPr>
      <w:r w:rsidRPr="00CA0FC2">
        <w:rPr>
          <w:rFonts w:ascii="Times New Roman" w:hAnsi="Times New Roman"/>
          <w:b/>
          <w:bCs/>
          <w:sz w:val="27"/>
          <w:szCs w:val="27"/>
          <w:lang w:val="en-HK"/>
        </w:rPr>
        <w:t>Conclusion of Section 6</w:t>
      </w:r>
    </w:p>
    <w:p w14:paraId="4112BD75" w14:textId="77777777" w:rsidR="00CA0FC2" w:rsidRPr="00CA0FC2" w:rsidRDefault="00CA0FC2" w:rsidP="00CA0FC2">
      <w:pPr>
        <w:spacing w:before="100" w:beforeAutospacing="1" w:after="100" w:afterAutospacing="1"/>
        <w:rPr>
          <w:rFonts w:ascii="Times New Roman" w:hAnsi="Times New Roman"/>
          <w:lang w:val="en-HK"/>
        </w:rPr>
      </w:pPr>
      <w:r w:rsidRPr="00CA0FC2">
        <w:rPr>
          <w:rFonts w:ascii="Times New Roman" w:hAnsi="Times New Roman"/>
          <w:lang w:val="en-HK"/>
        </w:rPr>
        <w:t>Horsley’s conclusion underscores the complexity of interpreting Article 34 TFEU. He highlights the importance of exclusionary rules in balancing market integration with Member State autonomy but warns that the market access test risks undermining this balance. Horsley calls for a more coherent framework to reconcile these competing objectives, ensuring that EU law remains effective and predictable in promoting the free movement of goods.</w:t>
      </w:r>
    </w:p>
    <w:p w14:paraId="019DA657" w14:textId="77777777" w:rsidR="003401CB" w:rsidRPr="00120CB9" w:rsidRDefault="003401CB" w:rsidP="003401CB">
      <w:pPr>
        <w:spacing w:after="240" w:line="360" w:lineRule="auto"/>
        <w:rPr>
          <w:rFonts w:ascii="Times New Roman" w:hAnsi="Times New Roman"/>
          <w:lang w:val="en-US"/>
        </w:rPr>
      </w:pPr>
    </w:p>
    <w:sectPr w:rsidR="003401CB" w:rsidRPr="00120C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021C3"/>
    <w:multiLevelType w:val="multilevel"/>
    <w:tmpl w:val="D398F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6515C"/>
    <w:multiLevelType w:val="multilevel"/>
    <w:tmpl w:val="18A4C4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7697F8B"/>
    <w:multiLevelType w:val="multilevel"/>
    <w:tmpl w:val="B46E9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563E0"/>
    <w:multiLevelType w:val="multilevel"/>
    <w:tmpl w:val="A86256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C60A0"/>
    <w:multiLevelType w:val="multilevel"/>
    <w:tmpl w:val="2F9842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65613"/>
    <w:multiLevelType w:val="multilevel"/>
    <w:tmpl w:val="B05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A08C6"/>
    <w:multiLevelType w:val="multilevel"/>
    <w:tmpl w:val="66AC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14E36"/>
    <w:multiLevelType w:val="multilevel"/>
    <w:tmpl w:val="5C38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F2EA5"/>
    <w:multiLevelType w:val="multilevel"/>
    <w:tmpl w:val="7E9CC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73969"/>
    <w:multiLevelType w:val="multilevel"/>
    <w:tmpl w:val="6C2A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F3050"/>
    <w:multiLevelType w:val="multilevel"/>
    <w:tmpl w:val="60786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A04FA5"/>
    <w:multiLevelType w:val="multilevel"/>
    <w:tmpl w:val="539CE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A16A7D"/>
    <w:multiLevelType w:val="multilevel"/>
    <w:tmpl w:val="3790F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D42D4B"/>
    <w:multiLevelType w:val="multilevel"/>
    <w:tmpl w:val="C6AEA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9F2544"/>
    <w:multiLevelType w:val="hybridMultilevel"/>
    <w:tmpl w:val="0E8C6470"/>
    <w:lvl w:ilvl="0" w:tplc="45FC555C">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345FD9"/>
    <w:multiLevelType w:val="multilevel"/>
    <w:tmpl w:val="9A2295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9E693A"/>
    <w:multiLevelType w:val="multilevel"/>
    <w:tmpl w:val="4FE46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8607B4"/>
    <w:multiLevelType w:val="multilevel"/>
    <w:tmpl w:val="49E2C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75291E"/>
    <w:multiLevelType w:val="multilevel"/>
    <w:tmpl w:val="200A6A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75354D"/>
    <w:multiLevelType w:val="multilevel"/>
    <w:tmpl w:val="22D4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524D1C"/>
    <w:multiLevelType w:val="multilevel"/>
    <w:tmpl w:val="CBDEB95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FF7730F"/>
    <w:multiLevelType w:val="multilevel"/>
    <w:tmpl w:val="93D26E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2D501DF"/>
    <w:multiLevelType w:val="multilevel"/>
    <w:tmpl w:val="D660BC9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2F36EAE"/>
    <w:multiLevelType w:val="multilevel"/>
    <w:tmpl w:val="8C808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44159B"/>
    <w:multiLevelType w:val="multilevel"/>
    <w:tmpl w:val="422610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816E79"/>
    <w:multiLevelType w:val="multilevel"/>
    <w:tmpl w:val="C8F05D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4F4DDD"/>
    <w:multiLevelType w:val="multilevel"/>
    <w:tmpl w:val="A43AB2F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AF82A58"/>
    <w:multiLevelType w:val="multilevel"/>
    <w:tmpl w:val="4154BE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CC81D94"/>
    <w:multiLevelType w:val="hybridMultilevel"/>
    <w:tmpl w:val="158611DE"/>
    <w:lvl w:ilvl="0" w:tplc="F9968F26">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D4A17F5"/>
    <w:multiLevelType w:val="multilevel"/>
    <w:tmpl w:val="8D0A1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6372FB"/>
    <w:multiLevelType w:val="multilevel"/>
    <w:tmpl w:val="8D70AD4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5F0A5FAE"/>
    <w:multiLevelType w:val="multilevel"/>
    <w:tmpl w:val="C53AF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D42540"/>
    <w:multiLevelType w:val="multilevel"/>
    <w:tmpl w:val="88B4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1D3B17"/>
    <w:multiLevelType w:val="multilevel"/>
    <w:tmpl w:val="4CFA7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785285"/>
    <w:multiLevelType w:val="hybridMultilevel"/>
    <w:tmpl w:val="6986C8E6"/>
    <w:lvl w:ilvl="0" w:tplc="8CF051FA">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3C947B3"/>
    <w:multiLevelType w:val="multilevel"/>
    <w:tmpl w:val="D1B81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7153E0"/>
    <w:multiLevelType w:val="multilevel"/>
    <w:tmpl w:val="EB76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710337">
    <w:abstractNumId w:val="14"/>
  </w:num>
  <w:num w:numId="2" w16cid:durableId="1135179618">
    <w:abstractNumId w:val="34"/>
  </w:num>
  <w:num w:numId="3" w16cid:durableId="1846744198">
    <w:abstractNumId w:val="35"/>
  </w:num>
  <w:num w:numId="4" w16cid:durableId="1460033878">
    <w:abstractNumId w:val="28"/>
  </w:num>
  <w:num w:numId="5" w16cid:durableId="857810411">
    <w:abstractNumId w:val="7"/>
  </w:num>
  <w:num w:numId="6" w16cid:durableId="538933427">
    <w:abstractNumId w:val="22"/>
  </w:num>
  <w:num w:numId="7" w16cid:durableId="854610543">
    <w:abstractNumId w:val="10"/>
  </w:num>
  <w:num w:numId="8" w16cid:durableId="1917780820">
    <w:abstractNumId w:val="9"/>
  </w:num>
  <w:num w:numId="9" w16cid:durableId="380401168">
    <w:abstractNumId w:val="33"/>
  </w:num>
  <w:num w:numId="10" w16cid:durableId="27419186">
    <w:abstractNumId w:val="4"/>
  </w:num>
  <w:num w:numId="11" w16cid:durableId="1890802041">
    <w:abstractNumId w:val="23"/>
  </w:num>
  <w:num w:numId="12" w16cid:durableId="2066219864">
    <w:abstractNumId w:val="11"/>
  </w:num>
  <w:num w:numId="13" w16cid:durableId="554127276">
    <w:abstractNumId w:val="0"/>
  </w:num>
  <w:num w:numId="14" w16cid:durableId="1084037433">
    <w:abstractNumId w:val="18"/>
  </w:num>
  <w:num w:numId="15" w16cid:durableId="86271441">
    <w:abstractNumId w:val="20"/>
  </w:num>
  <w:num w:numId="16" w16cid:durableId="1012103397">
    <w:abstractNumId w:val="21"/>
  </w:num>
  <w:num w:numId="17" w16cid:durableId="886794511">
    <w:abstractNumId w:val="21"/>
    <w:lvlOverride w:ilvl="2">
      <w:lvl w:ilvl="2">
        <w:numFmt w:val="bullet"/>
        <w:lvlText w:val=""/>
        <w:lvlJc w:val="left"/>
        <w:pPr>
          <w:tabs>
            <w:tab w:val="num" w:pos="2160"/>
          </w:tabs>
          <w:ind w:left="2160" w:hanging="360"/>
        </w:pPr>
        <w:rPr>
          <w:rFonts w:ascii="Wingdings" w:hAnsi="Wingdings" w:hint="default"/>
          <w:sz w:val="20"/>
        </w:rPr>
      </w:lvl>
    </w:lvlOverride>
  </w:num>
  <w:num w:numId="18" w16cid:durableId="722289036">
    <w:abstractNumId w:val="21"/>
    <w:lvlOverride w:ilvl="2">
      <w:lvl w:ilvl="2">
        <w:numFmt w:val="bullet"/>
        <w:lvlText w:val=""/>
        <w:lvlJc w:val="left"/>
        <w:pPr>
          <w:tabs>
            <w:tab w:val="num" w:pos="2160"/>
          </w:tabs>
          <w:ind w:left="2160" w:hanging="360"/>
        </w:pPr>
        <w:rPr>
          <w:rFonts w:ascii="Wingdings" w:hAnsi="Wingdings" w:hint="default"/>
          <w:sz w:val="20"/>
        </w:rPr>
      </w:lvl>
    </w:lvlOverride>
  </w:num>
  <w:num w:numId="19" w16cid:durableId="1426195171">
    <w:abstractNumId w:val="21"/>
    <w:lvlOverride w:ilvl="2">
      <w:lvl w:ilvl="2">
        <w:numFmt w:val="bullet"/>
        <w:lvlText w:val=""/>
        <w:lvlJc w:val="left"/>
        <w:pPr>
          <w:tabs>
            <w:tab w:val="num" w:pos="2160"/>
          </w:tabs>
          <w:ind w:left="2160" w:hanging="360"/>
        </w:pPr>
        <w:rPr>
          <w:rFonts w:ascii="Wingdings" w:hAnsi="Wingdings" w:hint="default"/>
          <w:sz w:val="20"/>
        </w:rPr>
      </w:lvl>
    </w:lvlOverride>
  </w:num>
  <w:num w:numId="20" w16cid:durableId="548079439">
    <w:abstractNumId w:val="29"/>
  </w:num>
  <w:num w:numId="21" w16cid:durableId="642077038">
    <w:abstractNumId w:val="8"/>
  </w:num>
  <w:num w:numId="22" w16cid:durableId="1250500349">
    <w:abstractNumId w:val="3"/>
  </w:num>
  <w:num w:numId="23" w16cid:durableId="1693259737">
    <w:abstractNumId w:val="2"/>
  </w:num>
  <w:num w:numId="24" w16cid:durableId="235405526">
    <w:abstractNumId w:val="1"/>
  </w:num>
  <w:num w:numId="25" w16cid:durableId="1136990314">
    <w:abstractNumId w:val="19"/>
  </w:num>
  <w:num w:numId="26" w16cid:durableId="787971613">
    <w:abstractNumId w:val="15"/>
  </w:num>
  <w:num w:numId="27" w16cid:durableId="267078866">
    <w:abstractNumId w:val="32"/>
  </w:num>
  <w:num w:numId="28" w16cid:durableId="938954932">
    <w:abstractNumId w:val="6"/>
  </w:num>
  <w:num w:numId="29" w16cid:durableId="594555114">
    <w:abstractNumId w:val="16"/>
  </w:num>
  <w:num w:numId="30" w16cid:durableId="1500997824">
    <w:abstractNumId w:val="12"/>
  </w:num>
  <w:num w:numId="31" w16cid:durableId="197282082">
    <w:abstractNumId w:val="26"/>
  </w:num>
  <w:num w:numId="32" w16cid:durableId="671495973">
    <w:abstractNumId w:val="30"/>
  </w:num>
  <w:num w:numId="33" w16cid:durableId="1819807654">
    <w:abstractNumId w:val="17"/>
  </w:num>
  <w:num w:numId="34" w16cid:durableId="1073356698">
    <w:abstractNumId w:val="36"/>
  </w:num>
  <w:num w:numId="35" w16cid:durableId="427821458">
    <w:abstractNumId w:val="27"/>
  </w:num>
  <w:num w:numId="36" w16cid:durableId="1284114634">
    <w:abstractNumId w:val="24"/>
  </w:num>
  <w:num w:numId="37" w16cid:durableId="665089226">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38" w16cid:durableId="1493644783">
    <w:abstractNumId w:val="13"/>
  </w:num>
  <w:num w:numId="39" w16cid:durableId="705370395">
    <w:abstractNumId w:val="31"/>
  </w:num>
  <w:num w:numId="40" w16cid:durableId="1818065533">
    <w:abstractNumId w:val="25"/>
  </w:num>
  <w:num w:numId="41" w16cid:durableId="1318537395">
    <w:abstractNumId w:val="25"/>
    <w:lvlOverride w:ilvl="1">
      <w:lvl w:ilvl="1">
        <w:numFmt w:val="bullet"/>
        <w:lvlText w:val="o"/>
        <w:lvlJc w:val="left"/>
        <w:pPr>
          <w:tabs>
            <w:tab w:val="num" w:pos="1440"/>
          </w:tabs>
          <w:ind w:left="1440" w:hanging="360"/>
        </w:pPr>
        <w:rPr>
          <w:rFonts w:ascii="Courier New" w:hAnsi="Courier New" w:hint="default"/>
          <w:sz w:val="20"/>
        </w:rPr>
      </w:lvl>
    </w:lvlOverride>
  </w:num>
  <w:num w:numId="42" w16cid:durableId="9772960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1CB"/>
    <w:rsid w:val="000147A9"/>
    <w:rsid w:val="00042755"/>
    <w:rsid w:val="0006107D"/>
    <w:rsid w:val="000623A3"/>
    <w:rsid w:val="00094D65"/>
    <w:rsid w:val="000A2074"/>
    <w:rsid w:val="000A3F4D"/>
    <w:rsid w:val="000C4ABC"/>
    <w:rsid w:val="000C58D7"/>
    <w:rsid w:val="000E15ED"/>
    <w:rsid w:val="000F3F73"/>
    <w:rsid w:val="00101CCF"/>
    <w:rsid w:val="00120CB9"/>
    <w:rsid w:val="0019260C"/>
    <w:rsid w:val="001B0E31"/>
    <w:rsid w:val="001D360C"/>
    <w:rsid w:val="001E2584"/>
    <w:rsid w:val="00223837"/>
    <w:rsid w:val="00243CED"/>
    <w:rsid w:val="00257540"/>
    <w:rsid w:val="0026510F"/>
    <w:rsid w:val="002B3377"/>
    <w:rsid w:val="002D715D"/>
    <w:rsid w:val="002E46F2"/>
    <w:rsid w:val="002F1DB1"/>
    <w:rsid w:val="002F53C9"/>
    <w:rsid w:val="003048A0"/>
    <w:rsid w:val="0031138E"/>
    <w:rsid w:val="0031474F"/>
    <w:rsid w:val="00315815"/>
    <w:rsid w:val="003278F5"/>
    <w:rsid w:val="00330665"/>
    <w:rsid w:val="003401CB"/>
    <w:rsid w:val="00361975"/>
    <w:rsid w:val="00376E23"/>
    <w:rsid w:val="0039416B"/>
    <w:rsid w:val="003A1271"/>
    <w:rsid w:val="003A5DF7"/>
    <w:rsid w:val="003E1CAA"/>
    <w:rsid w:val="0040210F"/>
    <w:rsid w:val="004222FD"/>
    <w:rsid w:val="004319FA"/>
    <w:rsid w:val="0048097D"/>
    <w:rsid w:val="00480C6B"/>
    <w:rsid w:val="0048175B"/>
    <w:rsid w:val="004845CE"/>
    <w:rsid w:val="004B1048"/>
    <w:rsid w:val="004D01FE"/>
    <w:rsid w:val="004E458E"/>
    <w:rsid w:val="004F0E12"/>
    <w:rsid w:val="004F5A36"/>
    <w:rsid w:val="00542B57"/>
    <w:rsid w:val="00557B52"/>
    <w:rsid w:val="0058416B"/>
    <w:rsid w:val="00595357"/>
    <w:rsid w:val="005C50B3"/>
    <w:rsid w:val="005D57DA"/>
    <w:rsid w:val="005E7702"/>
    <w:rsid w:val="00605F8E"/>
    <w:rsid w:val="00650543"/>
    <w:rsid w:val="00654D8B"/>
    <w:rsid w:val="00661136"/>
    <w:rsid w:val="006C42B8"/>
    <w:rsid w:val="006C50C7"/>
    <w:rsid w:val="00713CA9"/>
    <w:rsid w:val="007455C6"/>
    <w:rsid w:val="007475C7"/>
    <w:rsid w:val="0075265A"/>
    <w:rsid w:val="0075498E"/>
    <w:rsid w:val="00757BE5"/>
    <w:rsid w:val="00760E46"/>
    <w:rsid w:val="007643D2"/>
    <w:rsid w:val="007678B2"/>
    <w:rsid w:val="0078776B"/>
    <w:rsid w:val="00796A93"/>
    <w:rsid w:val="007E1559"/>
    <w:rsid w:val="007E28AF"/>
    <w:rsid w:val="007F776E"/>
    <w:rsid w:val="00830C88"/>
    <w:rsid w:val="00861B11"/>
    <w:rsid w:val="008829C2"/>
    <w:rsid w:val="008A54BE"/>
    <w:rsid w:val="008C7B0A"/>
    <w:rsid w:val="008D0642"/>
    <w:rsid w:val="008E745B"/>
    <w:rsid w:val="008F4EA7"/>
    <w:rsid w:val="008F5A10"/>
    <w:rsid w:val="00905ED0"/>
    <w:rsid w:val="0093405B"/>
    <w:rsid w:val="00974434"/>
    <w:rsid w:val="00977514"/>
    <w:rsid w:val="009A48B0"/>
    <w:rsid w:val="009B24D6"/>
    <w:rsid w:val="009B2F21"/>
    <w:rsid w:val="009C6498"/>
    <w:rsid w:val="009E62AF"/>
    <w:rsid w:val="00A03BBD"/>
    <w:rsid w:val="00A3736B"/>
    <w:rsid w:val="00A37AB0"/>
    <w:rsid w:val="00A4085F"/>
    <w:rsid w:val="00A45953"/>
    <w:rsid w:val="00A93FBA"/>
    <w:rsid w:val="00A95C7E"/>
    <w:rsid w:val="00AB609D"/>
    <w:rsid w:val="00AC3AB8"/>
    <w:rsid w:val="00AE4348"/>
    <w:rsid w:val="00AE4BAF"/>
    <w:rsid w:val="00B03D5A"/>
    <w:rsid w:val="00B23297"/>
    <w:rsid w:val="00B360EE"/>
    <w:rsid w:val="00B53B6F"/>
    <w:rsid w:val="00B568B6"/>
    <w:rsid w:val="00B651D9"/>
    <w:rsid w:val="00B67231"/>
    <w:rsid w:val="00B73742"/>
    <w:rsid w:val="00B914E6"/>
    <w:rsid w:val="00BC4186"/>
    <w:rsid w:val="00BC5F25"/>
    <w:rsid w:val="00BD7714"/>
    <w:rsid w:val="00BD7C9B"/>
    <w:rsid w:val="00C072F8"/>
    <w:rsid w:val="00C17D79"/>
    <w:rsid w:val="00C24A8A"/>
    <w:rsid w:val="00C54722"/>
    <w:rsid w:val="00C65F70"/>
    <w:rsid w:val="00C96A36"/>
    <w:rsid w:val="00CA0FC2"/>
    <w:rsid w:val="00CA350B"/>
    <w:rsid w:val="00CA3F60"/>
    <w:rsid w:val="00CC2EFF"/>
    <w:rsid w:val="00CC4FEF"/>
    <w:rsid w:val="00CD39F1"/>
    <w:rsid w:val="00CF74EF"/>
    <w:rsid w:val="00D02AC8"/>
    <w:rsid w:val="00D0623C"/>
    <w:rsid w:val="00D07271"/>
    <w:rsid w:val="00D16917"/>
    <w:rsid w:val="00DA31CB"/>
    <w:rsid w:val="00DA4488"/>
    <w:rsid w:val="00DC0040"/>
    <w:rsid w:val="00DC495B"/>
    <w:rsid w:val="00DC7181"/>
    <w:rsid w:val="00DD6F5C"/>
    <w:rsid w:val="00DE6C87"/>
    <w:rsid w:val="00E14A1A"/>
    <w:rsid w:val="00E14E1F"/>
    <w:rsid w:val="00E2730E"/>
    <w:rsid w:val="00E438AC"/>
    <w:rsid w:val="00E60DF5"/>
    <w:rsid w:val="00E80D33"/>
    <w:rsid w:val="00EA6ED5"/>
    <w:rsid w:val="00EB53BC"/>
    <w:rsid w:val="00EB7051"/>
    <w:rsid w:val="00EC68EB"/>
    <w:rsid w:val="00EC7C43"/>
    <w:rsid w:val="00F012E4"/>
    <w:rsid w:val="00F248D2"/>
    <w:rsid w:val="00F27F00"/>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C921A"/>
  <w15:chartTrackingRefBased/>
  <w15:docId w15:val="{17760072-CB83-7B46-978D-3D1725159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3401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01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401C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401C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01C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401C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401C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401C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401C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1CB"/>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3401CB"/>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3401CB"/>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3401CB"/>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3401CB"/>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3401CB"/>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3401CB"/>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3401CB"/>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3401CB"/>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3401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1CB"/>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3401C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1CB"/>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3401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01CB"/>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3401CB"/>
    <w:pPr>
      <w:ind w:left="720"/>
      <w:contextualSpacing/>
    </w:pPr>
  </w:style>
  <w:style w:type="character" w:styleId="IntenseEmphasis">
    <w:name w:val="Intense Emphasis"/>
    <w:basedOn w:val="DefaultParagraphFont"/>
    <w:uiPriority w:val="21"/>
    <w:qFormat/>
    <w:rsid w:val="003401CB"/>
    <w:rPr>
      <w:i/>
      <w:iCs/>
      <w:color w:val="2F5496" w:themeColor="accent1" w:themeShade="BF"/>
    </w:rPr>
  </w:style>
  <w:style w:type="paragraph" w:styleId="IntenseQuote">
    <w:name w:val="Intense Quote"/>
    <w:basedOn w:val="Normal"/>
    <w:next w:val="Normal"/>
    <w:link w:val="IntenseQuoteChar"/>
    <w:uiPriority w:val="30"/>
    <w:qFormat/>
    <w:rsid w:val="003401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01CB"/>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3401CB"/>
    <w:rPr>
      <w:b/>
      <w:bCs/>
      <w:smallCaps/>
      <w:color w:val="2F5496" w:themeColor="accent1" w:themeShade="BF"/>
      <w:spacing w:val="5"/>
    </w:rPr>
  </w:style>
  <w:style w:type="character" w:styleId="Strong">
    <w:name w:val="Strong"/>
    <w:basedOn w:val="DefaultParagraphFont"/>
    <w:uiPriority w:val="22"/>
    <w:qFormat/>
    <w:rsid w:val="003401CB"/>
    <w:rPr>
      <w:b/>
      <w:bCs/>
    </w:rPr>
  </w:style>
  <w:style w:type="paragraph" w:styleId="NormalWeb">
    <w:name w:val="Normal (Web)"/>
    <w:basedOn w:val="Normal"/>
    <w:uiPriority w:val="99"/>
    <w:semiHidden/>
    <w:unhideWhenUsed/>
    <w:rsid w:val="003401CB"/>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120CB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9995257">
      <w:bodyDiv w:val="1"/>
      <w:marLeft w:val="0"/>
      <w:marRight w:val="0"/>
      <w:marTop w:val="0"/>
      <w:marBottom w:val="0"/>
      <w:divBdr>
        <w:top w:val="none" w:sz="0" w:space="0" w:color="auto"/>
        <w:left w:val="none" w:sz="0" w:space="0" w:color="auto"/>
        <w:bottom w:val="none" w:sz="0" w:space="0" w:color="auto"/>
        <w:right w:val="none" w:sz="0" w:space="0" w:color="auto"/>
      </w:divBdr>
    </w:div>
    <w:div w:id="520512100">
      <w:bodyDiv w:val="1"/>
      <w:marLeft w:val="0"/>
      <w:marRight w:val="0"/>
      <w:marTop w:val="0"/>
      <w:marBottom w:val="0"/>
      <w:divBdr>
        <w:top w:val="none" w:sz="0" w:space="0" w:color="auto"/>
        <w:left w:val="none" w:sz="0" w:space="0" w:color="auto"/>
        <w:bottom w:val="none" w:sz="0" w:space="0" w:color="auto"/>
        <w:right w:val="none" w:sz="0" w:space="0" w:color="auto"/>
      </w:divBdr>
    </w:div>
    <w:div w:id="529537455">
      <w:bodyDiv w:val="1"/>
      <w:marLeft w:val="0"/>
      <w:marRight w:val="0"/>
      <w:marTop w:val="0"/>
      <w:marBottom w:val="0"/>
      <w:divBdr>
        <w:top w:val="none" w:sz="0" w:space="0" w:color="auto"/>
        <w:left w:val="none" w:sz="0" w:space="0" w:color="auto"/>
        <w:bottom w:val="none" w:sz="0" w:space="0" w:color="auto"/>
        <w:right w:val="none" w:sz="0" w:space="0" w:color="auto"/>
      </w:divBdr>
    </w:div>
    <w:div w:id="697659073">
      <w:bodyDiv w:val="1"/>
      <w:marLeft w:val="0"/>
      <w:marRight w:val="0"/>
      <w:marTop w:val="0"/>
      <w:marBottom w:val="0"/>
      <w:divBdr>
        <w:top w:val="none" w:sz="0" w:space="0" w:color="auto"/>
        <w:left w:val="none" w:sz="0" w:space="0" w:color="auto"/>
        <w:bottom w:val="none" w:sz="0" w:space="0" w:color="auto"/>
        <w:right w:val="none" w:sz="0" w:space="0" w:color="auto"/>
      </w:divBdr>
    </w:div>
    <w:div w:id="1070469682">
      <w:bodyDiv w:val="1"/>
      <w:marLeft w:val="0"/>
      <w:marRight w:val="0"/>
      <w:marTop w:val="0"/>
      <w:marBottom w:val="0"/>
      <w:divBdr>
        <w:top w:val="none" w:sz="0" w:space="0" w:color="auto"/>
        <w:left w:val="none" w:sz="0" w:space="0" w:color="auto"/>
        <w:bottom w:val="none" w:sz="0" w:space="0" w:color="auto"/>
        <w:right w:val="none" w:sz="0" w:space="0" w:color="auto"/>
      </w:divBdr>
    </w:div>
    <w:div w:id="1368986768">
      <w:bodyDiv w:val="1"/>
      <w:marLeft w:val="0"/>
      <w:marRight w:val="0"/>
      <w:marTop w:val="0"/>
      <w:marBottom w:val="0"/>
      <w:divBdr>
        <w:top w:val="none" w:sz="0" w:space="0" w:color="auto"/>
        <w:left w:val="none" w:sz="0" w:space="0" w:color="auto"/>
        <w:bottom w:val="none" w:sz="0" w:space="0" w:color="auto"/>
        <w:right w:val="none" w:sz="0" w:space="0" w:color="auto"/>
      </w:divBdr>
    </w:div>
    <w:div w:id="1612400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4356</Words>
  <Characters>24833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2025-01-24T15:36:00Z</dcterms:created>
  <dcterms:modified xsi:type="dcterms:W3CDTF">2025-01-24T15:36:00Z</dcterms:modified>
</cp:coreProperties>
</file>