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43B4A" w14:textId="02452D0F" w:rsidR="00EC7103" w:rsidRPr="00FE4842" w:rsidRDefault="00FE4842"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 xml:space="preserve">1. </w:t>
      </w:r>
      <w:r w:rsidR="00EC7103" w:rsidRPr="00FE4842">
        <w:rPr>
          <w:rFonts w:ascii="Times New Roman" w:hAnsi="Times New Roman"/>
          <w:b/>
          <w:bCs/>
          <w:lang w:val="en-HK"/>
        </w:rPr>
        <w:t>Introduction</w:t>
      </w:r>
    </w:p>
    <w:p w14:paraId="6BF375D3"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Background and Context</w:t>
      </w:r>
    </w:p>
    <w:p w14:paraId="75FC07BA" w14:textId="77777777" w:rsidR="00EC7103" w:rsidRPr="00FE4842" w:rsidRDefault="00EC7103" w:rsidP="00CA12C8">
      <w:pPr>
        <w:numPr>
          <w:ilvl w:val="0"/>
          <w:numId w:val="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The Problem</w:t>
      </w:r>
      <w:r w:rsidRPr="00FE4842">
        <w:rPr>
          <w:rFonts w:ascii="Times New Roman" w:hAnsi="Times New Roman"/>
          <w:lang w:val="en-HK"/>
        </w:rPr>
        <w:t>:</w:t>
      </w:r>
    </w:p>
    <w:p w14:paraId="60C14FF2" w14:textId="77777777" w:rsidR="00EC7103" w:rsidRPr="00FE4842" w:rsidRDefault="00EC7103" w:rsidP="00CA12C8">
      <w:pPr>
        <w:numPr>
          <w:ilvl w:val="1"/>
          <w:numId w:val="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Scotland faced a public health crisis due to excessive alcohol consumption, with significant social and economic consequences. High-strength, low-cost alcohol disproportionately contributed to hazardous drinking patterns among vulnerable groups.</w:t>
      </w:r>
    </w:p>
    <w:p w14:paraId="7324EDF9" w14:textId="77777777" w:rsidR="00EC7103" w:rsidRPr="00FE4842" w:rsidRDefault="00EC7103" w:rsidP="00CA12C8">
      <w:pPr>
        <w:numPr>
          <w:ilvl w:val="1"/>
          <w:numId w:val="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Minimum Unit Pricing (MUP) was introduced through the </w:t>
      </w:r>
      <w:r w:rsidRPr="00FE4842">
        <w:rPr>
          <w:rFonts w:ascii="Times New Roman" w:hAnsi="Times New Roman"/>
          <w:b/>
          <w:bCs/>
          <w:lang w:val="en-HK"/>
        </w:rPr>
        <w:t>Alcohol (Minimum Pricing) (Scotland) Act 2012</w:t>
      </w:r>
      <w:r w:rsidRPr="00FE4842">
        <w:rPr>
          <w:rFonts w:ascii="Times New Roman" w:hAnsi="Times New Roman"/>
          <w:lang w:val="en-HK"/>
        </w:rPr>
        <w:t>, setting a minimum price per unit of alcohol, ensuring that no product could be sold below a certain threshold. This directly targeted affordability as a driver of excessive consumption.</w:t>
      </w:r>
    </w:p>
    <w:p w14:paraId="6ACA5B59" w14:textId="77777777" w:rsidR="00EC7103" w:rsidRPr="00FE4842" w:rsidRDefault="00EC7103" w:rsidP="00CA12C8">
      <w:pPr>
        <w:numPr>
          <w:ilvl w:val="0"/>
          <w:numId w:val="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Policy Objectives</w:t>
      </w:r>
      <w:r w:rsidRPr="00FE4842">
        <w:rPr>
          <w:rFonts w:ascii="Times New Roman" w:hAnsi="Times New Roman"/>
          <w:lang w:val="en-HK"/>
        </w:rPr>
        <w:t>:</w:t>
      </w:r>
    </w:p>
    <w:p w14:paraId="701F42C4" w14:textId="77777777" w:rsidR="00EC7103" w:rsidRPr="00FE4842" w:rsidRDefault="00EC7103" w:rsidP="00CA12C8">
      <w:pPr>
        <w:numPr>
          <w:ilvl w:val="1"/>
          <w:numId w:val="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aimed to reduce alcohol-related harm by making cheap, high-alcohol-content drinks less accessible. It was a focused intervention targeting harmful consumption patterns without affecting moderate drinkers significantly.</w:t>
      </w:r>
    </w:p>
    <w:p w14:paraId="7A514685" w14:textId="77777777" w:rsidR="00EC7103" w:rsidRPr="00FE4842" w:rsidRDefault="00EC7103" w:rsidP="00CA12C8">
      <w:pPr>
        <w:numPr>
          <w:ilvl w:val="0"/>
          <w:numId w:val="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Core Legal Conflict</w:t>
      </w:r>
      <w:r w:rsidRPr="00FE4842">
        <w:rPr>
          <w:rFonts w:ascii="Times New Roman" w:hAnsi="Times New Roman"/>
          <w:lang w:val="en-HK"/>
        </w:rPr>
        <w:t>:</w:t>
      </w:r>
    </w:p>
    <w:p w14:paraId="1B0B5D1F" w14:textId="77777777" w:rsidR="00EC7103" w:rsidRPr="00FE4842" w:rsidRDefault="00EC7103" w:rsidP="00CA12C8">
      <w:pPr>
        <w:numPr>
          <w:ilvl w:val="1"/>
          <w:numId w:val="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MUP intersected with EU law, specifically the free movement of goods under </w:t>
      </w:r>
      <w:r w:rsidRPr="00FE4842">
        <w:rPr>
          <w:rFonts w:ascii="Times New Roman" w:hAnsi="Times New Roman"/>
          <w:b/>
          <w:bCs/>
          <w:lang w:val="en-HK"/>
        </w:rPr>
        <w:t>Articles 34 and 36 TFEU</w:t>
      </w:r>
      <w:r w:rsidRPr="00FE4842">
        <w:rPr>
          <w:rFonts w:ascii="Times New Roman" w:hAnsi="Times New Roman"/>
          <w:lang w:val="en-HK"/>
        </w:rPr>
        <w:t xml:space="preserve">. While Member States have autonomy to pursue public health objectives, measures restricting market access must satisfy the </w:t>
      </w:r>
      <w:r w:rsidRPr="00FE4842">
        <w:rPr>
          <w:rFonts w:ascii="Times New Roman" w:hAnsi="Times New Roman"/>
          <w:b/>
          <w:bCs/>
          <w:lang w:val="en-HK"/>
        </w:rPr>
        <w:t>proportionality principle</w:t>
      </w:r>
      <w:r w:rsidRPr="00FE4842">
        <w:rPr>
          <w:rFonts w:ascii="Times New Roman" w:hAnsi="Times New Roman"/>
          <w:lang w:val="en-HK"/>
        </w:rPr>
        <w:t>.</w:t>
      </w:r>
    </w:p>
    <w:p w14:paraId="1E002B08" w14:textId="77777777" w:rsidR="00EC7103" w:rsidRPr="00FE4842" w:rsidRDefault="00EC7103" w:rsidP="00CA12C8">
      <w:pPr>
        <w:numPr>
          <w:ilvl w:val="0"/>
          <w:numId w:val="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Question</w:t>
      </w:r>
      <w:r w:rsidRPr="00FE4842">
        <w:rPr>
          <w:rFonts w:ascii="Times New Roman" w:hAnsi="Times New Roman"/>
          <w:lang w:val="en-HK"/>
        </w:rPr>
        <w:t>:</w:t>
      </w:r>
    </w:p>
    <w:p w14:paraId="077F914D" w14:textId="77777777" w:rsidR="00EC7103" w:rsidRPr="00FE4842" w:rsidRDefault="00EC7103" w:rsidP="00CA12C8">
      <w:pPr>
        <w:numPr>
          <w:ilvl w:val="1"/>
          <w:numId w:val="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Was MUP a proportionate and legitimate restriction on free trade, or did it violate EU law by unnecessarily discriminating against imported goods?</w:t>
      </w:r>
    </w:p>
    <w:p w14:paraId="43F5DDB6" w14:textId="77777777" w:rsidR="00EC7103" w:rsidRPr="00FE4842" w:rsidRDefault="00D2368A" w:rsidP="00CA12C8">
      <w:pPr>
        <w:spacing w:line="276" w:lineRule="auto"/>
        <w:rPr>
          <w:rFonts w:ascii="Times New Roman" w:hAnsi="Times New Roman"/>
          <w:lang w:val="en-HK"/>
        </w:rPr>
      </w:pPr>
      <w:r>
        <w:pict w14:anchorId="09EBE1E5">
          <v:rect id="Horizontal Line 1" o:spid="_x0000_s10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47656F"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Intersection of EU Law and Public Health</w:t>
      </w:r>
    </w:p>
    <w:p w14:paraId="300B36C1" w14:textId="77777777" w:rsidR="00EC7103" w:rsidRPr="00FE4842" w:rsidRDefault="00EC7103" w:rsidP="00CA12C8">
      <w:pPr>
        <w:numPr>
          <w:ilvl w:val="0"/>
          <w:numId w:val="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Articles 34 and 36 TFEU</w:t>
      </w:r>
      <w:r w:rsidRPr="00FE4842">
        <w:rPr>
          <w:rFonts w:ascii="Times New Roman" w:hAnsi="Times New Roman"/>
          <w:lang w:val="en-HK"/>
        </w:rPr>
        <w:t>:</w:t>
      </w:r>
    </w:p>
    <w:p w14:paraId="39406560" w14:textId="77777777" w:rsidR="00EC7103" w:rsidRPr="00FE4842" w:rsidRDefault="00EC7103" w:rsidP="00CA12C8">
      <w:pPr>
        <w:numPr>
          <w:ilvl w:val="1"/>
          <w:numId w:val="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Article 34</w:t>
      </w:r>
      <w:r w:rsidRPr="00FE4842">
        <w:rPr>
          <w:rFonts w:ascii="Times New Roman" w:hAnsi="Times New Roman"/>
          <w:lang w:val="en-HK"/>
        </w:rPr>
        <w:t xml:space="preserve"> prohibits quantitative restrictions and measures having equivalent effect (MEEs) on imports between Member States. The broad interpretation in cases like </w:t>
      </w:r>
      <w:proofErr w:type="spellStart"/>
      <w:r w:rsidRPr="00FE4842">
        <w:rPr>
          <w:rFonts w:ascii="Times New Roman" w:hAnsi="Times New Roman"/>
          <w:i/>
          <w:iCs/>
          <w:lang w:val="en-HK"/>
        </w:rPr>
        <w:t>Dassonville</w:t>
      </w:r>
      <w:proofErr w:type="spellEnd"/>
      <w:r w:rsidRPr="00FE4842">
        <w:rPr>
          <w:rFonts w:ascii="Times New Roman" w:hAnsi="Times New Roman"/>
          <w:lang w:val="en-HK"/>
        </w:rPr>
        <w:t xml:space="preserve"> and </w:t>
      </w:r>
      <w:r w:rsidRPr="00FE4842">
        <w:rPr>
          <w:rFonts w:ascii="Times New Roman" w:hAnsi="Times New Roman"/>
          <w:i/>
          <w:iCs/>
          <w:lang w:val="en-HK"/>
        </w:rPr>
        <w:t>Keck</w:t>
      </w:r>
      <w:r w:rsidRPr="00FE4842">
        <w:rPr>
          <w:rFonts w:ascii="Times New Roman" w:hAnsi="Times New Roman"/>
          <w:lang w:val="en-HK"/>
        </w:rPr>
        <w:t xml:space="preserve"> ensures minimal barriers to trade.</w:t>
      </w:r>
    </w:p>
    <w:p w14:paraId="767DF6DA" w14:textId="77777777" w:rsidR="00EC7103" w:rsidRPr="00FE4842" w:rsidRDefault="00EC7103" w:rsidP="00CA12C8">
      <w:pPr>
        <w:numPr>
          <w:ilvl w:val="1"/>
          <w:numId w:val="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Article 36</w:t>
      </w:r>
      <w:r w:rsidRPr="00FE4842">
        <w:rPr>
          <w:rFonts w:ascii="Times New Roman" w:hAnsi="Times New Roman"/>
          <w:lang w:val="en-HK"/>
        </w:rPr>
        <w:t xml:space="preserve"> allows derogations from Article 34 for reasons such as public morality, public policy, or public health, provided the measure is proportionate and non-discriminatory.</w:t>
      </w:r>
    </w:p>
    <w:p w14:paraId="59740760" w14:textId="77777777" w:rsidR="00EC7103" w:rsidRPr="00FE4842" w:rsidRDefault="00EC7103" w:rsidP="00CA12C8">
      <w:pPr>
        <w:numPr>
          <w:ilvl w:val="0"/>
          <w:numId w:val="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MUP as a Measure Having Equivalent Effect</w:t>
      </w:r>
      <w:r w:rsidRPr="00FE4842">
        <w:rPr>
          <w:rFonts w:ascii="Times New Roman" w:hAnsi="Times New Roman"/>
          <w:lang w:val="en-HK"/>
        </w:rPr>
        <w:t>:</w:t>
      </w:r>
    </w:p>
    <w:p w14:paraId="534BC338" w14:textId="77777777" w:rsidR="00EC7103" w:rsidRPr="00FE4842" w:rsidRDefault="00EC7103" w:rsidP="00CA12C8">
      <w:pPr>
        <w:numPr>
          <w:ilvl w:val="1"/>
          <w:numId w:val="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considered an MEE because it disrupted the competitive advantage of cheaper imported alcohol, eliminating price-based competition. The CJEU’s jurisprudence consistently treats price-related regulations as potential trade barriers (</w:t>
      </w:r>
      <w:r w:rsidRPr="00FE4842">
        <w:rPr>
          <w:rFonts w:ascii="Times New Roman" w:hAnsi="Times New Roman"/>
          <w:i/>
          <w:iCs/>
          <w:lang w:val="en-HK"/>
        </w:rPr>
        <w:t>Commission v. Italy (Trailers)</w:t>
      </w:r>
      <w:r w:rsidRPr="00FE4842">
        <w:rPr>
          <w:rFonts w:ascii="Times New Roman" w:hAnsi="Times New Roman"/>
          <w:lang w:val="en-HK"/>
        </w:rPr>
        <w:t>).</w:t>
      </w:r>
    </w:p>
    <w:p w14:paraId="1C8D10EA" w14:textId="77777777" w:rsidR="00EC7103" w:rsidRPr="00FE4842" w:rsidRDefault="00EC7103" w:rsidP="00CA12C8">
      <w:pPr>
        <w:numPr>
          <w:ilvl w:val="1"/>
          <w:numId w:val="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This classification triggered the need for a proportionality assessment under Article 36.</w:t>
      </w:r>
    </w:p>
    <w:p w14:paraId="6ACEA51E" w14:textId="77777777" w:rsidR="00EC7103" w:rsidRPr="00FE4842" w:rsidRDefault="00D2368A" w:rsidP="00CA12C8">
      <w:pPr>
        <w:spacing w:line="276" w:lineRule="auto"/>
        <w:rPr>
          <w:rFonts w:ascii="Times New Roman" w:hAnsi="Times New Roman"/>
          <w:lang w:val="en-HK"/>
        </w:rPr>
      </w:pPr>
      <w:r>
        <w:pict w14:anchorId="3BBC5953">
          <v:rect id="Horizontal Line 2"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A14E03"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Legal and Political Tensions</w:t>
      </w:r>
    </w:p>
    <w:p w14:paraId="0B3A81F7" w14:textId="77777777" w:rsidR="00EC7103" w:rsidRPr="00FE4842" w:rsidRDefault="00EC7103" w:rsidP="00CA12C8">
      <w:pPr>
        <w:numPr>
          <w:ilvl w:val="0"/>
          <w:numId w:val="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Judicial Tensions</w:t>
      </w:r>
      <w:r w:rsidRPr="00FE4842">
        <w:rPr>
          <w:rFonts w:ascii="Times New Roman" w:hAnsi="Times New Roman"/>
          <w:lang w:val="en-HK"/>
        </w:rPr>
        <w:t>:</w:t>
      </w:r>
    </w:p>
    <w:p w14:paraId="5E988F09" w14:textId="77777777" w:rsidR="00EC7103" w:rsidRPr="00FE4842" w:rsidRDefault="00EC7103" w:rsidP="00CA12C8">
      <w:pPr>
        <w:numPr>
          <w:ilvl w:val="1"/>
          <w:numId w:val="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legal dispute highlighted the differing priorities of the </w:t>
      </w:r>
      <w:r w:rsidRPr="00FE4842">
        <w:rPr>
          <w:rFonts w:ascii="Times New Roman" w:hAnsi="Times New Roman"/>
          <w:b/>
          <w:bCs/>
          <w:lang w:val="en-HK"/>
        </w:rPr>
        <w:t>CJEU</w:t>
      </w:r>
      <w:r w:rsidRPr="00FE4842">
        <w:rPr>
          <w:rFonts w:ascii="Times New Roman" w:hAnsi="Times New Roman"/>
          <w:lang w:val="en-HK"/>
        </w:rPr>
        <w:t xml:space="preserve"> and </w:t>
      </w:r>
      <w:r w:rsidRPr="00FE4842">
        <w:rPr>
          <w:rFonts w:ascii="Times New Roman" w:hAnsi="Times New Roman"/>
          <w:b/>
          <w:bCs/>
          <w:lang w:val="en-HK"/>
        </w:rPr>
        <w:t>UK courts</w:t>
      </w:r>
      <w:r w:rsidRPr="00FE4842">
        <w:rPr>
          <w:rFonts w:ascii="Times New Roman" w:hAnsi="Times New Roman"/>
          <w:lang w:val="en-HK"/>
        </w:rPr>
        <w:t>:</w:t>
      </w:r>
    </w:p>
    <w:p w14:paraId="1DB42FDA" w14:textId="77777777" w:rsidR="00EC7103" w:rsidRPr="00FE4842" w:rsidRDefault="00EC7103" w:rsidP="00CA12C8">
      <w:pPr>
        <w:numPr>
          <w:ilvl w:val="2"/>
          <w:numId w:val="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emphasized market integration and questioned whether MUP was the least restrictive means of achieving Scotland’s public health objectives.</w:t>
      </w:r>
    </w:p>
    <w:p w14:paraId="249C8109" w14:textId="77777777" w:rsidR="00EC7103" w:rsidRPr="00FE4842" w:rsidRDefault="00EC7103" w:rsidP="00CA12C8">
      <w:pPr>
        <w:numPr>
          <w:ilvl w:val="2"/>
          <w:numId w:val="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UK courts prioritized devolved policymaking autonomy and the specific public health concerns of Scotland.</w:t>
      </w:r>
    </w:p>
    <w:p w14:paraId="230EEAA6" w14:textId="77777777" w:rsidR="00EC7103" w:rsidRPr="00FE4842" w:rsidRDefault="00EC7103" w:rsidP="00CA12C8">
      <w:pPr>
        <w:numPr>
          <w:ilvl w:val="0"/>
          <w:numId w:val="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Economic and Policy Implications</w:t>
      </w:r>
      <w:r w:rsidRPr="00FE4842">
        <w:rPr>
          <w:rFonts w:ascii="Times New Roman" w:hAnsi="Times New Roman"/>
          <w:lang w:val="en-HK"/>
        </w:rPr>
        <w:t>:</w:t>
      </w:r>
    </w:p>
    <w:p w14:paraId="0E4C9483" w14:textId="77777777" w:rsidR="00EC7103" w:rsidRPr="00FE4842" w:rsidRDefault="00EC7103" w:rsidP="00CA12C8">
      <w:pPr>
        <w:numPr>
          <w:ilvl w:val="1"/>
          <w:numId w:val="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EU’s focus on alternatives like taxation reflected a bias toward harmonized economic instruments. However, taxation was politically and legally impractical in Scotland due to devolved governance limitations.</w:t>
      </w:r>
    </w:p>
    <w:p w14:paraId="2AEA0D87" w14:textId="77777777" w:rsidR="00EC7103" w:rsidRPr="00FE4842" w:rsidRDefault="00EC7103" w:rsidP="00CA12C8">
      <w:pPr>
        <w:numPr>
          <w:ilvl w:val="1"/>
          <w:numId w:val="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UK Supreme Court’s decision ultimately </w:t>
      </w:r>
      <w:proofErr w:type="spellStart"/>
      <w:r w:rsidRPr="00FE4842">
        <w:rPr>
          <w:rFonts w:ascii="Times New Roman" w:hAnsi="Times New Roman"/>
          <w:lang w:val="en-HK"/>
        </w:rPr>
        <w:t>favored</w:t>
      </w:r>
      <w:proofErr w:type="spellEnd"/>
      <w:r w:rsidRPr="00FE4842">
        <w:rPr>
          <w:rFonts w:ascii="Times New Roman" w:hAnsi="Times New Roman"/>
          <w:lang w:val="en-HK"/>
        </w:rPr>
        <w:t xml:space="preserve"> the Scottish Government’s rationale for MUP, rejecting taxation as a viable alternative.</w:t>
      </w:r>
    </w:p>
    <w:p w14:paraId="7015C6C3" w14:textId="77777777" w:rsidR="00EC7103" w:rsidRPr="00FE4842" w:rsidRDefault="00D2368A" w:rsidP="00CA12C8">
      <w:pPr>
        <w:spacing w:line="276" w:lineRule="auto"/>
        <w:rPr>
          <w:rFonts w:ascii="Times New Roman" w:hAnsi="Times New Roman"/>
          <w:lang w:val="en-HK"/>
        </w:rPr>
      </w:pPr>
      <w:r>
        <w:pict w14:anchorId="5DFAD0EC">
          <v:rect id="Horizontal Line 3"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771510"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Key Themes in the Legal Dispute</w:t>
      </w:r>
    </w:p>
    <w:p w14:paraId="096FC1C9" w14:textId="77777777" w:rsidR="00EC7103" w:rsidRPr="00FE4842" w:rsidRDefault="00EC7103" w:rsidP="00CA12C8">
      <w:pPr>
        <w:numPr>
          <w:ilvl w:val="0"/>
          <w:numId w:val="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and Its Challenges</w:t>
      </w:r>
      <w:r w:rsidRPr="00FE4842">
        <w:rPr>
          <w:rFonts w:ascii="Times New Roman" w:hAnsi="Times New Roman"/>
          <w:lang w:val="en-HK"/>
        </w:rPr>
        <w:t>:</w:t>
      </w:r>
    </w:p>
    <w:p w14:paraId="1F69EDA0" w14:textId="77777777" w:rsidR="00EC7103" w:rsidRPr="00FE4842" w:rsidRDefault="00EC7103" w:rsidP="00CA12C8">
      <w:pPr>
        <w:numPr>
          <w:ilvl w:val="1"/>
          <w:numId w:val="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case illustrates the difficulties of applying the proportionality principle to public health measures. Balancing public health and free trade often involves comparing incommensurable values, as highlighted in </w:t>
      </w:r>
      <w:r w:rsidRPr="00FE4842">
        <w:rPr>
          <w:rFonts w:ascii="Times New Roman" w:hAnsi="Times New Roman"/>
          <w:i/>
          <w:iCs/>
          <w:lang w:val="en-HK"/>
        </w:rPr>
        <w:t>Scotch Whisky Association v. Lord Advocate</w:t>
      </w:r>
      <w:r w:rsidRPr="00FE4842">
        <w:rPr>
          <w:rFonts w:ascii="Times New Roman" w:hAnsi="Times New Roman"/>
          <w:lang w:val="en-HK"/>
        </w:rPr>
        <w:t>.</w:t>
      </w:r>
    </w:p>
    <w:p w14:paraId="3DCDD00B" w14:textId="77777777" w:rsidR="00EC7103" w:rsidRPr="00FE4842" w:rsidRDefault="00EC7103" w:rsidP="00CA12C8">
      <w:pPr>
        <w:numPr>
          <w:ilvl w:val="1"/>
          <w:numId w:val="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Argument</w:t>
      </w:r>
      <w:r w:rsidRPr="00FE4842">
        <w:rPr>
          <w:rFonts w:ascii="Times New Roman" w:hAnsi="Times New Roman"/>
          <w:lang w:val="en-HK"/>
        </w:rPr>
        <w:t>: “Public health and economic freedoms are essentially incomparable, yet EU law demands their reconciliation through proportionality analysis.”</w:t>
      </w:r>
    </w:p>
    <w:p w14:paraId="1BB30353" w14:textId="77777777" w:rsidR="00EC7103" w:rsidRPr="00FE4842" w:rsidRDefault="00EC7103" w:rsidP="00CA12C8">
      <w:pPr>
        <w:numPr>
          <w:ilvl w:val="0"/>
          <w:numId w:val="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Market Access and Regulatory Autonomy</w:t>
      </w:r>
      <w:r w:rsidRPr="00FE4842">
        <w:rPr>
          <w:rFonts w:ascii="Times New Roman" w:hAnsi="Times New Roman"/>
          <w:lang w:val="en-HK"/>
        </w:rPr>
        <w:t>:</w:t>
      </w:r>
    </w:p>
    <w:p w14:paraId="3D934C03" w14:textId="77777777" w:rsidR="00EC7103" w:rsidRPr="00FE4842" w:rsidRDefault="00EC7103" w:rsidP="00CA12C8">
      <w:pPr>
        <w:numPr>
          <w:ilvl w:val="1"/>
          <w:numId w:val="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dispute highlighted the tension between the EU’s commitment to a barrier-free internal market and Member States’ right to regulate for public health.</w:t>
      </w:r>
    </w:p>
    <w:p w14:paraId="56D7E628" w14:textId="77777777" w:rsidR="00EC7103" w:rsidRPr="00FE4842" w:rsidRDefault="00EC7103" w:rsidP="00CA12C8">
      <w:pPr>
        <w:numPr>
          <w:ilvl w:val="1"/>
          <w:numId w:val="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Court’s focus on market access reflects its traditional prioritization of economic integration, sometimes at the expense of regulatory diversity.</w:t>
      </w:r>
    </w:p>
    <w:p w14:paraId="33A568EB" w14:textId="77777777" w:rsidR="00EC7103" w:rsidRPr="00FE4842" w:rsidRDefault="00D2368A" w:rsidP="00CA12C8">
      <w:pPr>
        <w:spacing w:line="276" w:lineRule="auto"/>
        <w:rPr>
          <w:rFonts w:ascii="Times New Roman" w:hAnsi="Times New Roman"/>
          <w:lang w:val="en-HK"/>
        </w:rPr>
      </w:pPr>
      <w:r>
        <w:pict w14:anchorId="784E1DC9">
          <v:rect id="Horizontal Line 4"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B6D7C9"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Significance of the Case</w:t>
      </w:r>
    </w:p>
    <w:p w14:paraId="608120BF" w14:textId="77777777" w:rsidR="00EC7103" w:rsidRPr="00FE4842" w:rsidRDefault="00EC7103" w:rsidP="00CA12C8">
      <w:pPr>
        <w:numPr>
          <w:ilvl w:val="0"/>
          <w:numId w:val="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Precedent for Public Health Justifications</w:t>
      </w:r>
      <w:r w:rsidRPr="00FE4842">
        <w:rPr>
          <w:rFonts w:ascii="Times New Roman" w:hAnsi="Times New Roman"/>
          <w:lang w:val="en-HK"/>
        </w:rPr>
        <w:t>:</w:t>
      </w:r>
    </w:p>
    <w:p w14:paraId="54D21A6C" w14:textId="77777777" w:rsidR="00EC7103" w:rsidRPr="00FE4842" w:rsidRDefault="00EC7103" w:rsidP="00CA12C8">
      <w:pPr>
        <w:numPr>
          <w:ilvl w:val="1"/>
          <w:numId w:val="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Scotch Whisky case is a landmark example of how public health justifications are treated under EU law. It raises questions about the limits of </w:t>
      </w:r>
      <w:r w:rsidRPr="00FE4842">
        <w:rPr>
          <w:rFonts w:ascii="Times New Roman" w:hAnsi="Times New Roman"/>
          <w:lang w:val="en-HK"/>
        </w:rPr>
        <w:lastRenderedPageBreak/>
        <w:t>national autonomy in pursuing localized policy objectives within the internal market framework.</w:t>
      </w:r>
    </w:p>
    <w:p w14:paraId="1B4C95AD" w14:textId="77777777" w:rsidR="00EC7103" w:rsidRPr="00FE4842" w:rsidRDefault="00EC7103" w:rsidP="00CA12C8">
      <w:pPr>
        <w:numPr>
          <w:ilvl w:val="0"/>
          <w:numId w:val="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Judicial Divergence</w:t>
      </w:r>
      <w:r w:rsidRPr="00FE4842">
        <w:rPr>
          <w:rFonts w:ascii="Times New Roman" w:hAnsi="Times New Roman"/>
          <w:lang w:val="en-HK"/>
        </w:rPr>
        <w:t>:</w:t>
      </w:r>
    </w:p>
    <w:p w14:paraId="6416CBA9" w14:textId="77777777" w:rsidR="00EC7103" w:rsidRPr="00FE4842" w:rsidRDefault="00EC7103" w:rsidP="00CA12C8">
      <w:pPr>
        <w:numPr>
          <w:ilvl w:val="1"/>
          <w:numId w:val="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and UK Supreme Court took divergent approaches to balancing trade and public health:</w:t>
      </w:r>
    </w:p>
    <w:p w14:paraId="59900CFA" w14:textId="77777777" w:rsidR="00EC7103" w:rsidRPr="00FE4842" w:rsidRDefault="00EC7103" w:rsidP="00CA12C8">
      <w:pPr>
        <w:numPr>
          <w:ilvl w:val="2"/>
          <w:numId w:val="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CJEU’s proportionality analysis questioned MUP’s necessity, suggesting taxation as a less restrictive alternative.</w:t>
      </w:r>
    </w:p>
    <w:p w14:paraId="064EB2F5" w14:textId="77777777" w:rsidR="00EC7103" w:rsidRPr="00FE4842" w:rsidRDefault="00EC7103" w:rsidP="00CA12C8">
      <w:pPr>
        <w:numPr>
          <w:ilvl w:val="2"/>
          <w:numId w:val="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UK Supreme Court, in contrast, upheld MUP, emphasizing Scotland’s policy rationale and dismissing taxation as impractical.</w:t>
      </w:r>
    </w:p>
    <w:p w14:paraId="14341635" w14:textId="77777777" w:rsidR="00EC7103" w:rsidRPr="00FE4842" w:rsidRDefault="00D2368A" w:rsidP="00CA12C8">
      <w:pPr>
        <w:spacing w:line="276" w:lineRule="auto"/>
        <w:rPr>
          <w:rFonts w:ascii="Times New Roman" w:hAnsi="Times New Roman"/>
          <w:lang w:val="en-HK"/>
        </w:rPr>
      </w:pPr>
      <w:r>
        <w:pict w14:anchorId="73B63CA6">
          <v:rect id="Horizontal Line 5" o:sp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44A162"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Broader Implications</w:t>
      </w:r>
    </w:p>
    <w:p w14:paraId="3CEFF3EF" w14:textId="77777777" w:rsidR="00EC7103" w:rsidRPr="00FE4842" w:rsidRDefault="00EC7103" w:rsidP="00CA12C8">
      <w:pPr>
        <w:numPr>
          <w:ilvl w:val="0"/>
          <w:numId w:val="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Future of EU Public Health Policy</w:t>
      </w:r>
      <w:r w:rsidRPr="00FE4842">
        <w:rPr>
          <w:rFonts w:ascii="Times New Roman" w:hAnsi="Times New Roman"/>
          <w:lang w:val="en-HK"/>
        </w:rPr>
        <w:t>:</w:t>
      </w:r>
    </w:p>
    <w:p w14:paraId="5C6DEEAA" w14:textId="77777777" w:rsidR="00EC7103" w:rsidRPr="00FE4842" w:rsidRDefault="00EC7103" w:rsidP="00CA12C8">
      <w:pPr>
        <w:numPr>
          <w:ilvl w:val="1"/>
          <w:numId w:val="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underscores the challenges of reconciling national public health priorities with EU market integration objectives. It also raises broader questions about the role of evidence and proportionality in public health regulation.</w:t>
      </w:r>
    </w:p>
    <w:p w14:paraId="0069DD9B" w14:textId="77777777" w:rsidR="00EC7103" w:rsidRPr="00FE4842" w:rsidRDefault="00EC7103" w:rsidP="00CA12C8">
      <w:pPr>
        <w:numPr>
          <w:ilvl w:val="0"/>
          <w:numId w:val="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Perspective</w:t>
      </w:r>
      <w:r w:rsidRPr="00FE4842">
        <w:rPr>
          <w:rFonts w:ascii="Times New Roman" w:hAnsi="Times New Roman"/>
          <w:lang w:val="en-HK"/>
        </w:rPr>
        <w:t>:</w:t>
      </w:r>
    </w:p>
    <w:p w14:paraId="786741B9" w14:textId="77777777" w:rsidR="00EC7103" w:rsidRPr="00FE4842" w:rsidRDefault="00EC7103" w:rsidP="00CA12C8">
      <w:pPr>
        <w:numPr>
          <w:ilvl w:val="1"/>
          <w:numId w:val="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Dunne emphasizes that “the tension between market access and public health autonomy remains a central challenge for the future of EU free movement law.” The case serves as a reminder of the need for flexibility and nuance in balancing these competing objectives.</w:t>
      </w:r>
    </w:p>
    <w:p w14:paraId="2C513BD0" w14:textId="77777777" w:rsidR="00EC7103" w:rsidRPr="00FE4842" w:rsidRDefault="00D2368A" w:rsidP="00CA12C8">
      <w:pPr>
        <w:spacing w:line="276" w:lineRule="auto"/>
        <w:rPr>
          <w:rFonts w:ascii="Times New Roman" w:hAnsi="Times New Roman"/>
          <w:lang w:val="en-HK"/>
        </w:rPr>
      </w:pPr>
      <w:r>
        <w:pict w14:anchorId="1732B201">
          <v:rect id="Horizontal Line 6" o:spid="_x0000_s10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B7B873" w14:textId="15D6F8D5" w:rsidR="00EC7103" w:rsidRPr="00FE4842" w:rsidRDefault="00FE4842"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 xml:space="preserve">2. </w:t>
      </w:r>
      <w:r w:rsidR="00EC7103" w:rsidRPr="00FE4842">
        <w:rPr>
          <w:rFonts w:ascii="Times New Roman" w:hAnsi="Times New Roman"/>
          <w:b/>
          <w:bCs/>
          <w:lang w:val="en-HK"/>
        </w:rPr>
        <w:t>Facts and Evolution of the Dispute</w:t>
      </w:r>
    </w:p>
    <w:p w14:paraId="182C05D2"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Policy Background: Minimum Unit Pricing (MUP)</w:t>
      </w:r>
    </w:p>
    <w:p w14:paraId="6BE80E4C" w14:textId="77777777" w:rsidR="00EC7103" w:rsidRPr="00FE4842" w:rsidRDefault="00EC7103" w:rsidP="00CA12C8">
      <w:pPr>
        <w:numPr>
          <w:ilvl w:val="0"/>
          <w:numId w:val="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Public Health Crisis</w:t>
      </w:r>
      <w:r w:rsidRPr="00FE4842">
        <w:rPr>
          <w:rFonts w:ascii="Times New Roman" w:hAnsi="Times New Roman"/>
          <w:lang w:val="en-HK"/>
        </w:rPr>
        <w:t>:</w:t>
      </w:r>
    </w:p>
    <w:p w14:paraId="40795E9D" w14:textId="77777777" w:rsidR="00EC7103" w:rsidRPr="00FE4842" w:rsidRDefault="00EC7103" w:rsidP="00CA12C8">
      <w:pPr>
        <w:numPr>
          <w:ilvl w:val="1"/>
          <w:numId w:val="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Scotland faced a severe public health issue linked to alcohol consumption, particularly due to the availability of cheap, high-strength alcoholic beverages. This disproportionately affected vulnerable groups, including hazardous and dependent drinkers.</w:t>
      </w:r>
    </w:p>
    <w:p w14:paraId="0B2F812F" w14:textId="77777777" w:rsidR="00EC7103" w:rsidRPr="00FE4842" w:rsidRDefault="00EC7103" w:rsidP="00CA12C8">
      <w:pPr>
        <w:numPr>
          <w:ilvl w:val="1"/>
          <w:numId w:val="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Scottish Government identified </w:t>
      </w:r>
      <w:r w:rsidRPr="00FE4842">
        <w:rPr>
          <w:rFonts w:ascii="Times New Roman" w:hAnsi="Times New Roman"/>
          <w:b/>
          <w:bCs/>
          <w:lang w:val="en-HK"/>
        </w:rPr>
        <w:t>affordability</w:t>
      </w:r>
      <w:r w:rsidRPr="00FE4842">
        <w:rPr>
          <w:rFonts w:ascii="Times New Roman" w:hAnsi="Times New Roman"/>
          <w:lang w:val="en-HK"/>
        </w:rPr>
        <w:t xml:space="preserve"> as a key driver of excessive alcohol consumption.</w:t>
      </w:r>
    </w:p>
    <w:p w14:paraId="387B9AE0" w14:textId="77777777" w:rsidR="00EC7103" w:rsidRPr="00FE4842" w:rsidRDefault="00EC7103" w:rsidP="00CA12C8">
      <w:pPr>
        <w:numPr>
          <w:ilvl w:val="0"/>
          <w:numId w:val="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MUP Proposal</w:t>
      </w:r>
      <w:r w:rsidRPr="00FE4842">
        <w:rPr>
          <w:rFonts w:ascii="Times New Roman" w:hAnsi="Times New Roman"/>
          <w:lang w:val="en-HK"/>
        </w:rPr>
        <w:t>:</w:t>
      </w:r>
    </w:p>
    <w:p w14:paraId="78F1630E" w14:textId="77777777" w:rsidR="00EC7103" w:rsidRPr="00FE4842" w:rsidRDefault="00EC7103" w:rsidP="00CA12C8">
      <w:pPr>
        <w:numPr>
          <w:ilvl w:val="1"/>
          <w:numId w:val="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w:t>
      </w:r>
      <w:r w:rsidRPr="00FE4842">
        <w:rPr>
          <w:rFonts w:ascii="Times New Roman" w:hAnsi="Times New Roman"/>
          <w:b/>
          <w:bCs/>
          <w:lang w:val="en-HK"/>
        </w:rPr>
        <w:t>Alcohol (Minimum Pricing) (Scotland) Act 2012</w:t>
      </w:r>
      <w:r w:rsidRPr="00FE4842">
        <w:rPr>
          <w:rFonts w:ascii="Times New Roman" w:hAnsi="Times New Roman"/>
          <w:lang w:val="en-HK"/>
        </w:rPr>
        <w:t xml:space="preserve"> introduced a floor price for alcohol based on the number of units of alcohol in a product. This ensured that no alcoholic beverage could be sold below a specific price threshold.</w:t>
      </w:r>
    </w:p>
    <w:p w14:paraId="5F720E90" w14:textId="77777777" w:rsidR="00EC7103" w:rsidRPr="00FE4842" w:rsidRDefault="00EC7103" w:rsidP="00CA12C8">
      <w:pPr>
        <w:numPr>
          <w:ilvl w:val="1"/>
          <w:numId w:val="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MUP directly targeted the affordability of harmful drinking patterns without increasing taxes or affecting moderate drinkers significantly.</w:t>
      </w:r>
    </w:p>
    <w:p w14:paraId="35A59B88" w14:textId="77777777" w:rsidR="00EC7103" w:rsidRPr="00FE4842" w:rsidRDefault="00D2368A" w:rsidP="00CA12C8">
      <w:pPr>
        <w:spacing w:line="276" w:lineRule="auto"/>
        <w:rPr>
          <w:rFonts w:ascii="Times New Roman" w:hAnsi="Times New Roman"/>
          <w:lang w:val="en-HK"/>
        </w:rPr>
      </w:pPr>
      <w:r>
        <w:pict w14:anchorId="42E9D90F">
          <v:rect id="Horizontal Line 7" o:spid="_x0000_s104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4C757E"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Legal Challenges: Key Phases of the Dispute</w:t>
      </w:r>
    </w:p>
    <w:p w14:paraId="69442861" w14:textId="77777777" w:rsidR="00EC7103" w:rsidRPr="00FE4842" w:rsidRDefault="00EC7103" w:rsidP="00CA12C8">
      <w:pPr>
        <w:numPr>
          <w:ilvl w:val="0"/>
          <w:numId w:val="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Initial Adoption and Industry Challenge</w:t>
      </w:r>
      <w:r w:rsidRPr="00FE4842">
        <w:rPr>
          <w:rFonts w:ascii="Times New Roman" w:hAnsi="Times New Roman"/>
          <w:lang w:val="en-HK"/>
        </w:rPr>
        <w:t>:</w:t>
      </w:r>
    </w:p>
    <w:p w14:paraId="76CE079F" w14:textId="77777777" w:rsidR="00EC7103" w:rsidRPr="00FE4842" w:rsidRDefault="00EC7103" w:rsidP="00CA12C8">
      <w:pPr>
        <w:numPr>
          <w:ilvl w:val="1"/>
          <w:numId w:val="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Scotch Whisky Association and other trade organizations launched legal proceedings, arguing that MUP was incompatible with </w:t>
      </w:r>
      <w:r w:rsidRPr="00FE4842">
        <w:rPr>
          <w:rFonts w:ascii="Times New Roman" w:hAnsi="Times New Roman"/>
          <w:b/>
          <w:bCs/>
          <w:lang w:val="en-HK"/>
        </w:rPr>
        <w:t>Articles 34 and 36 TFEU</w:t>
      </w:r>
      <w:r w:rsidRPr="00FE4842">
        <w:rPr>
          <w:rFonts w:ascii="Times New Roman" w:hAnsi="Times New Roman"/>
          <w:lang w:val="en-HK"/>
        </w:rPr>
        <w:t>.</w:t>
      </w:r>
    </w:p>
    <w:p w14:paraId="59075EAA" w14:textId="77777777" w:rsidR="00EC7103" w:rsidRPr="00FE4842" w:rsidRDefault="00EC7103" w:rsidP="00CA12C8">
      <w:pPr>
        <w:numPr>
          <w:ilvl w:val="1"/>
          <w:numId w:val="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Primary Allegations</w:t>
      </w:r>
      <w:r w:rsidRPr="00FE4842">
        <w:rPr>
          <w:rFonts w:ascii="Times New Roman" w:hAnsi="Times New Roman"/>
          <w:lang w:val="en-HK"/>
        </w:rPr>
        <w:t>:</w:t>
      </w:r>
    </w:p>
    <w:p w14:paraId="0AC77C00" w14:textId="77777777" w:rsidR="00EC7103" w:rsidRPr="00FE4842" w:rsidRDefault="00EC7103" w:rsidP="00CA12C8">
      <w:pPr>
        <w:numPr>
          <w:ilvl w:val="2"/>
          <w:numId w:val="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MUP constituted a measure having equivalent effect (MEE) to a quantitative restriction, violating </w:t>
      </w:r>
      <w:r w:rsidRPr="00FE4842">
        <w:rPr>
          <w:rFonts w:ascii="Times New Roman" w:hAnsi="Times New Roman"/>
          <w:b/>
          <w:bCs/>
          <w:lang w:val="en-HK"/>
        </w:rPr>
        <w:t>Article 34 TFEU</w:t>
      </w:r>
      <w:r w:rsidRPr="00FE4842">
        <w:rPr>
          <w:rFonts w:ascii="Times New Roman" w:hAnsi="Times New Roman"/>
          <w:lang w:val="en-HK"/>
        </w:rPr>
        <w:t>.</w:t>
      </w:r>
    </w:p>
    <w:p w14:paraId="21ECB01E" w14:textId="77777777" w:rsidR="00EC7103" w:rsidRPr="00FE4842" w:rsidRDefault="00EC7103" w:rsidP="00CA12C8">
      <w:pPr>
        <w:numPr>
          <w:ilvl w:val="2"/>
          <w:numId w:val="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Less restrictive alternatives, such as increased alcohol taxation, could achieve the same public health objectives without hindering trade.</w:t>
      </w:r>
    </w:p>
    <w:p w14:paraId="102D3782" w14:textId="77777777" w:rsidR="00EC7103" w:rsidRPr="00FE4842" w:rsidRDefault="00EC7103" w:rsidP="00CA12C8">
      <w:pPr>
        <w:numPr>
          <w:ilvl w:val="0"/>
          <w:numId w:val="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 xml:space="preserve">Scottish Government’s </w:t>
      </w:r>
      <w:proofErr w:type="spellStart"/>
      <w:r w:rsidRPr="00FE4842">
        <w:rPr>
          <w:rFonts w:ascii="Times New Roman" w:hAnsi="Times New Roman"/>
          <w:b/>
          <w:bCs/>
          <w:lang w:val="en-HK"/>
        </w:rPr>
        <w:t>Defense</w:t>
      </w:r>
      <w:proofErr w:type="spellEnd"/>
      <w:r w:rsidRPr="00FE4842">
        <w:rPr>
          <w:rFonts w:ascii="Times New Roman" w:hAnsi="Times New Roman"/>
          <w:lang w:val="en-HK"/>
        </w:rPr>
        <w:t>:</w:t>
      </w:r>
    </w:p>
    <w:p w14:paraId="31B72A14" w14:textId="77777777" w:rsidR="00EC7103" w:rsidRPr="00FE4842" w:rsidRDefault="00EC7103" w:rsidP="00CA12C8">
      <w:pPr>
        <w:numPr>
          <w:ilvl w:val="1"/>
          <w:numId w:val="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government argued that MUP was justified under </w:t>
      </w:r>
      <w:r w:rsidRPr="00FE4842">
        <w:rPr>
          <w:rFonts w:ascii="Times New Roman" w:hAnsi="Times New Roman"/>
          <w:b/>
          <w:bCs/>
          <w:lang w:val="en-HK"/>
        </w:rPr>
        <w:t>Article 36 TFEU</w:t>
      </w:r>
      <w:r w:rsidRPr="00FE4842">
        <w:rPr>
          <w:rFonts w:ascii="Times New Roman" w:hAnsi="Times New Roman"/>
          <w:lang w:val="en-HK"/>
        </w:rPr>
        <w:t xml:space="preserve"> as a public health measure.</w:t>
      </w:r>
    </w:p>
    <w:p w14:paraId="5AD60F6A" w14:textId="77777777" w:rsidR="00EC7103" w:rsidRPr="00FE4842" w:rsidRDefault="00EC7103" w:rsidP="00CA12C8">
      <w:pPr>
        <w:numPr>
          <w:ilvl w:val="1"/>
          <w:numId w:val="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specifically designed to target cheap alcohol disproportionately consumed by hazardous drinkers, a public health issue that could not be effectively addressed through general taxation.</w:t>
      </w:r>
    </w:p>
    <w:p w14:paraId="611A40A7" w14:textId="77777777" w:rsidR="00EC7103" w:rsidRPr="00FE4842" w:rsidRDefault="00D2368A" w:rsidP="00CA12C8">
      <w:pPr>
        <w:spacing w:line="276" w:lineRule="auto"/>
        <w:rPr>
          <w:rFonts w:ascii="Times New Roman" w:hAnsi="Times New Roman"/>
          <w:lang w:val="en-HK"/>
        </w:rPr>
      </w:pPr>
      <w:r>
        <w:pict w14:anchorId="08691BC9">
          <v:rect id="Horizontal Line 8" o:spid="_x0000_s104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2F3D21"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Outer House of the Court of Session (Scotland)</w:t>
      </w:r>
    </w:p>
    <w:p w14:paraId="7A48FB7E" w14:textId="77777777" w:rsidR="00EC7103" w:rsidRPr="00FE4842" w:rsidRDefault="00EC7103" w:rsidP="00CA12C8">
      <w:pPr>
        <w:numPr>
          <w:ilvl w:val="0"/>
          <w:numId w:val="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Lord Doherty’s Ruling</w:t>
      </w:r>
      <w:r w:rsidRPr="00FE4842">
        <w:rPr>
          <w:rFonts w:ascii="Times New Roman" w:hAnsi="Times New Roman"/>
          <w:lang w:val="en-HK"/>
        </w:rPr>
        <w:t>:</w:t>
      </w:r>
    </w:p>
    <w:p w14:paraId="5CE50F2D" w14:textId="77777777" w:rsidR="00EC7103" w:rsidRPr="00FE4842" w:rsidRDefault="00EC7103" w:rsidP="00CA12C8">
      <w:pPr>
        <w:numPr>
          <w:ilvl w:val="1"/>
          <w:numId w:val="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upheld as proportionate to the public health objectives it sought to achieve.</w:t>
      </w:r>
    </w:p>
    <w:p w14:paraId="5A841BAB" w14:textId="77777777" w:rsidR="00EC7103" w:rsidRPr="00FE4842" w:rsidRDefault="00EC7103" w:rsidP="00CA12C8">
      <w:pPr>
        <w:numPr>
          <w:ilvl w:val="1"/>
          <w:numId w:val="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Reasoning</w:t>
      </w:r>
      <w:r w:rsidRPr="00FE4842">
        <w:rPr>
          <w:rFonts w:ascii="Times New Roman" w:hAnsi="Times New Roman"/>
          <w:lang w:val="en-HK"/>
        </w:rPr>
        <w:t>:</w:t>
      </w:r>
    </w:p>
    <w:p w14:paraId="192665A9" w14:textId="77777777" w:rsidR="00EC7103" w:rsidRPr="00FE4842" w:rsidRDefault="00EC7103" w:rsidP="00CA12C8">
      <w:pPr>
        <w:numPr>
          <w:ilvl w:val="2"/>
          <w:numId w:val="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deemed both appropriate and necessary to reduce alcohol-related harms, particularly among heavy drinkers.</w:t>
      </w:r>
    </w:p>
    <w:p w14:paraId="7116C581" w14:textId="77777777" w:rsidR="00EC7103" w:rsidRPr="00FE4842" w:rsidRDefault="00EC7103" w:rsidP="00CA12C8">
      <w:pPr>
        <w:numPr>
          <w:ilvl w:val="2"/>
          <w:numId w:val="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Lord Doherty emphasized the targeted nature of MUP, which directly addressed harmful drinking </w:t>
      </w:r>
      <w:proofErr w:type="spellStart"/>
      <w:r w:rsidRPr="00FE4842">
        <w:rPr>
          <w:rFonts w:ascii="Times New Roman" w:hAnsi="Times New Roman"/>
          <w:lang w:val="en-HK"/>
        </w:rPr>
        <w:t>behaviors</w:t>
      </w:r>
      <w:proofErr w:type="spellEnd"/>
      <w:r w:rsidRPr="00FE4842">
        <w:rPr>
          <w:rFonts w:ascii="Times New Roman" w:hAnsi="Times New Roman"/>
          <w:lang w:val="en-HK"/>
        </w:rPr>
        <w:t xml:space="preserve"> without unduly affecting moderate drinkers or creating excessive trade barriers.</w:t>
      </w:r>
    </w:p>
    <w:p w14:paraId="11A3E026" w14:textId="77777777" w:rsidR="00EC7103" w:rsidRPr="00FE4842" w:rsidRDefault="00D2368A" w:rsidP="00CA12C8">
      <w:pPr>
        <w:spacing w:line="276" w:lineRule="auto"/>
        <w:rPr>
          <w:rFonts w:ascii="Times New Roman" w:hAnsi="Times New Roman"/>
          <w:lang w:val="en-HK"/>
        </w:rPr>
      </w:pPr>
      <w:r>
        <w:pict w14:anchorId="05E20C25">
          <v:rect id="Horizontal Line 9" o:spid="_x0000_s104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DAD610"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Referral to the CJEU</w:t>
      </w:r>
    </w:p>
    <w:p w14:paraId="24530FDC" w14:textId="77777777" w:rsidR="00EC7103" w:rsidRPr="00FE4842" w:rsidRDefault="00EC7103" w:rsidP="00CA12C8">
      <w:pPr>
        <w:numPr>
          <w:ilvl w:val="0"/>
          <w:numId w:val="1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w:t>
      </w:r>
      <w:r w:rsidRPr="00FE4842">
        <w:rPr>
          <w:rFonts w:ascii="Times New Roman" w:hAnsi="Times New Roman"/>
          <w:b/>
          <w:bCs/>
          <w:lang w:val="en-HK"/>
        </w:rPr>
        <w:t>Court of Justice of the European Union (CJEU)</w:t>
      </w:r>
      <w:r w:rsidRPr="00FE4842">
        <w:rPr>
          <w:rFonts w:ascii="Times New Roman" w:hAnsi="Times New Roman"/>
          <w:lang w:val="en-HK"/>
        </w:rPr>
        <w:t xml:space="preserve"> was asked to assess MUP’s compatibility with EU law.</w:t>
      </w:r>
    </w:p>
    <w:p w14:paraId="219441EA" w14:textId="77777777" w:rsidR="00EC7103" w:rsidRPr="00FE4842" w:rsidRDefault="00EC7103" w:rsidP="00CA12C8">
      <w:pPr>
        <w:numPr>
          <w:ilvl w:val="0"/>
          <w:numId w:val="1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Article 34 TFEU Analysis</w:t>
      </w:r>
      <w:r w:rsidRPr="00FE4842">
        <w:rPr>
          <w:rFonts w:ascii="Times New Roman" w:hAnsi="Times New Roman"/>
          <w:lang w:val="en-HK"/>
        </w:rPr>
        <w:t>:</w:t>
      </w:r>
    </w:p>
    <w:p w14:paraId="4FB1836D" w14:textId="77777777" w:rsidR="00EC7103" w:rsidRPr="00FE4842" w:rsidRDefault="00EC7103" w:rsidP="00CA12C8">
      <w:pPr>
        <w:numPr>
          <w:ilvl w:val="1"/>
          <w:numId w:val="1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The CJEU confirmed that MUP constituted an MEE, as it directly affected market access by disadvantaging imported goods, which often relied on competitive pricing strategies (</w:t>
      </w:r>
      <w:proofErr w:type="spellStart"/>
      <w:r w:rsidRPr="00FE4842">
        <w:rPr>
          <w:rFonts w:ascii="Times New Roman" w:hAnsi="Times New Roman"/>
          <w:i/>
          <w:iCs/>
          <w:lang w:val="en-HK"/>
        </w:rPr>
        <w:t>Dassonville</w:t>
      </w:r>
      <w:proofErr w:type="spellEnd"/>
      <w:r w:rsidRPr="00FE4842">
        <w:rPr>
          <w:rFonts w:ascii="Times New Roman" w:hAnsi="Times New Roman"/>
          <w:lang w:val="en-HK"/>
        </w:rPr>
        <w:t xml:space="preserve"> and </w:t>
      </w:r>
      <w:r w:rsidRPr="00FE4842">
        <w:rPr>
          <w:rFonts w:ascii="Times New Roman" w:hAnsi="Times New Roman"/>
          <w:i/>
          <w:iCs/>
          <w:lang w:val="en-HK"/>
        </w:rPr>
        <w:t>Keck</w:t>
      </w:r>
      <w:r w:rsidRPr="00FE4842">
        <w:rPr>
          <w:rFonts w:ascii="Times New Roman" w:hAnsi="Times New Roman"/>
          <w:lang w:val="en-HK"/>
        </w:rPr>
        <w:t xml:space="preserve"> principles applied).</w:t>
      </w:r>
    </w:p>
    <w:p w14:paraId="680BC922" w14:textId="77777777" w:rsidR="00EC7103" w:rsidRPr="00FE4842" w:rsidRDefault="00EC7103" w:rsidP="00CA12C8">
      <w:pPr>
        <w:numPr>
          <w:ilvl w:val="1"/>
          <w:numId w:val="1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Judgments Referenced</w:t>
      </w:r>
      <w:r w:rsidRPr="00FE4842">
        <w:rPr>
          <w:rFonts w:ascii="Times New Roman" w:hAnsi="Times New Roman"/>
          <w:lang w:val="en-HK"/>
        </w:rPr>
        <w:t>:</w:t>
      </w:r>
    </w:p>
    <w:p w14:paraId="273003B5" w14:textId="77777777" w:rsidR="00EC7103" w:rsidRPr="00FE4842" w:rsidRDefault="00EC7103" w:rsidP="00CA12C8">
      <w:pPr>
        <w:numPr>
          <w:ilvl w:val="2"/>
          <w:numId w:val="10"/>
        </w:numPr>
        <w:spacing w:before="100" w:beforeAutospacing="1" w:after="100" w:afterAutospacing="1" w:line="276" w:lineRule="auto"/>
        <w:rPr>
          <w:rFonts w:ascii="Times New Roman" w:hAnsi="Times New Roman"/>
          <w:lang w:val="en-HK"/>
        </w:rPr>
      </w:pPr>
      <w:r w:rsidRPr="00FE4842">
        <w:rPr>
          <w:rFonts w:ascii="Times New Roman" w:hAnsi="Times New Roman"/>
          <w:i/>
          <w:iCs/>
          <w:lang w:val="en-HK"/>
        </w:rPr>
        <w:t>Commission v. Italy (Trailers)</w:t>
      </w:r>
      <w:r w:rsidRPr="00FE4842">
        <w:rPr>
          <w:rFonts w:ascii="Times New Roman" w:hAnsi="Times New Roman"/>
          <w:lang w:val="en-HK"/>
        </w:rPr>
        <w:t>: Established the market access principle, under which any measure hindering access to the market could fall within the scope of Article 34.</w:t>
      </w:r>
    </w:p>
    <w:p w14:paraId="780AEEDF" w14:textId="77777777" w:rsidR="00EC7103" w:rsidRPr="00FE4842" w:rsidRDefault="00EC7103" w:rsidP="00CA12C8">
      <w:pPr>
        <w:numPr>
          <w:ilvl w:val="0"/>
          <w:numId w:val="1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Assessment under Article 36 TFEU</w:t>
      </w:r>
      <w:r w:rsidRPr="00FE4842">
        <w:rPr>
          <w:rFonts w:ascii="Times New Roman" w:hAnsi="Times New Roman"/>
          <w:lang w:val="en-HK"/>
        </w:rPr>
        <w:t>:</w:t>
      </w:r>
    </w:p>
    <w:p w14:paraId="567AE316" w14:textId="77777777" w:rsidR="00EC7103" w:rsidRPr="00FE4842" w:rsidRDefault="00EC7103" w:rsidP="00CA12C8">
      <w:pPr>
        <w:numPr>
          <w:ilvl w:val="1"/>
          <w:numId w:val="1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questioned whether MUP was the least restrictive means of achieving the public health objective.</w:t>
      </w:r>
    </w:p>
    <w:p w14:paraId="4366A96B" w14:textId="77777777" w:rsidR="00EC7103" w:rsidRPr="00FE4842" w:rsidRDefault="00EC7103" w:rsidP="00CA12C8">
      <w:pPr>
        <w:numPr>
          <w:ilvl w:val="1"/>
          <w:numId w:val="1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Proposed Alternative</w:t>
      </w:r>
      <w:r w:rsidRPr="00FE4842">
        <w:rPr>
          <w:rFonts w:ascii="Times New Roman" w:hAnsi="Times New Roman"/>
          <w:lang w:val="en-HK"/>
        </w:rPr>
        <w:t>:</w:t>
      </w:r>
    </w:p>
    <w:p w14:paraId="547E5353" w14:textId="77777777" w:rsidR="00EC7103" w:rsidRPr="00FE4842" w:rsidRDefault="00EC7103" w:rsidP="00CA12C8">
      <w:pPr>
        <w:numPr>
          <w:ilvl w:val="2"/>
          <w:numId w:val="1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suggested that increased taxation on alcohol could achieve the same public health goals without distorting trade to the same extent.</w:t>
      </w:r>
    </w:p>
    <w:p w14:paraId="0D4F6EBF" w14:textId="77777777" w:rsidR="00EC7103" w:rsidRPr="00FE4842" w:rsidRDefault="00EC7103" w:rsidP="00CA12C8">
      <w:pPr>
        <w:numPr>
          <w:ilvl w:val="1"/>
          <w:numId w:val="1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3B5855D3" w14:textId="77777777" w:rsidR="00EC7103" w:rsidRPr="00FE4842" w:rsidRDefault="00EC7103" w:rsidP="00CA12C8">
      <w:pPr>
        <w:numPr>
          <w:ilvl w:val="2"/>
          <w:numId w:val="1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CJEU’s emphasis on taxation ignored the legal and political realities of Scotland’s devolved governance, where taxation powers were limited.</w:t>
      </w:r>
    </w:p>
    <w:p w14:paraId="46E16195" w14:textId="77777777" w:rsidR="00EC7103" w:rsidRPr="00FE4842" w:rsidRDefault="00D2368A" w:rsidP="00CA12C8">
      <w:pPr>
        <w:spacing w:line="276" w:lineRule="auto"/>
        <w:rPr>
          <w:rFonts w:ascii="Times New Roman" w:hAnsi="Times New Roman"/>
          <w:lang w:val="en-HK"/>
        </w:rPr>
      </w:pPr>
      <w:r>
        <w:pict w14:anchorId="0277849C">
          <v:rect id="Horizontal Line 10"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697A7A"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UK Supreme Court</w:t>
      </w:r>
    </w:p>
    <w:p w14:paraId="1C8C82FF" w14:textId="77777777" w:rsidR="00EC7103" w:rsidRPr="00FE4842" w:rsidRDefault="00EC7103" w:rsidP="00CA12C8">
      <w:pPr>
        <w:numPr>
          <w:ilvl w:val="0"/>
          <w:numId w:val="1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returned to the UK Supreme Court after the CJEU’s preliminary ruling.</w:t>
      </w:r>
    </w:p>
    <w:p w14:paraId="558A40F5" w14:textId="77777777" w:rsidR="00EC7103" w:rsidRPr="00FE4842" w:rsidRDefault="00EC7103" w:rsidP="00CA12C8">
      <w:pPr>
        <w:numPr>
          <w:ilvl w:val="0"/>
          <w:numId w:val="1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 xml:space="preserve">Lord </w:t>
      </w:r>
      <w:proofErr w:type="spellStart"/>
      <w:r w:rsidRPr="00FE4842">
        <w:rPr>
          <w:rFonts w:ascii="Times New Roman" w:hAnsi="Times New Roman"/>
          <w:b/>
          <w:bCs/>
          <w:lang w:val="en-HK"/>
        </w:rPr>
        <w:t>Mance’s</w:t>
      </w:r>
      <w:proofErr w:type="spellEnd"/>
      <w:r w:rsidRPr="00FE4842">
        <w:rPr>
          <w:rFonts w:ascii="Times New Roman" w:hAnsi="Times New Roman"/>
          <w:b/>
          <w:bCs/>
          <w:lang w:val="en-HK"/>
        </w:rPr>
        <w:t xml:space="preserve"> Judgment</w:t>
      </w:r>
      <w:r w:rsidRPr="00FE4842">
        <w:rPr>
          <w:rFonts w:ascii="Times New Roman" w:hAnsi="Times New Roman"/>
          <w:lang w:val="en-HK"/>
        </w:rPr>
        <w:t>:</w:t>
      </w:r>
    </w:p>
    <w:p w14:paraId="33EAEC6B" w14:textId="77777777" w:rsidR="00EC7103" w:rsidRPr="00FE4842" w:rsidRDefault="00EC7103" w:rsidP="00CA12C8">
      <w:pPr>
        <w:numPr>
          <w:ilvl w:val="1"/>
          <w:numId w:val="1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UK Supreme Court unanimously upheld MUP as lawful, rejecting the CJEU’s suggestion that taxation was a viable alternative.</w:t>
      </w:r>
    </w:p>
    <w:p w14:paraId="567C908C" w14:textId="77777777" w:rsidR="00EC7103" w:rsidRPr="00FE4842" w:rsidRDefault="00EC7103" w:rsidP="00CA12C8">
      <w:pPr>
        <w:numPr>
          <w:ilvl w:val="1"/>
          <w:numId w:val="1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Reasoning</w:t>
      </w:r>
      <w:r w:rsidRPr="00FE4842">
        <w:rPr>
          <w:rFonts w:ascii="Times New Roman" w:hAnsi="Times New Roman"/>
          <w:lang w:val="en-HK"/>
        </w:rPr>
        <w:t>:</w:t>
      </w:r>
    </w:p>
    <w:p w14:paraId="03C2363C" w14:textId="77777777" w:rsidR="00EC7103" w:rsidRPr="00FE4842" w:rsidRDefault="00EC7103" w:rsidP="00CA12C8">
      <w:pPr>
        <w:numPr>
          <w:ilvl w:val="2"/>
          <w:numId w:val="1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specifically targeted at reducing consumption of cheap, high-strength alcohol, a policy objective that taxation could not achieve with the same precision.</w:t>
      </w:r>
    </w:p>
    <w:p w14:paraId="4CA75A70" w14:textId="77777777" w:rsidR="00EC7103" w:rsidRPr="00FE4842" w:rsidRDefault="00EC7103" w:rsidP="00CA12C8">
      <w:pPr>
        <w:numPr>
          <w:ilvl w:val="2"/>
          <w:numId w:val="1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Taxation would affect all drinkers, including moderate ones, whereas MUP focused on heavy drinkers.</w:t>
      </w:r>
    </w:p>
    <w:p w14:paraId="4B454ED5" w14:textId="77777777" w:rsidR="00EC7103" w:rsidRPr="00FE4842" w:rsidRDefault="00EC7103" w:rsidP="00CA12C8">
      <w:pPr>
        <w:numPr>
          <w:ilvl w:val="2"/>
          <w:numId w:val="1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recognized Scotland’s lack of direct control over taxation policy, highlighting the practical constraints of the devolved system.</w:t>
      </w:r>
    </w:p>
    <w:p w14:paraId="3CEE1A8B" w14:textId="77777777" w:rsidR="00EC7103" w:rsidRPr="00FE4842" w:rsidRDefault="00EC7103" w:rsidP="00CA12C8">
      <w:pPr>
        <w:numPr>
          <w:ilvl w:val="1"/>
          <w:numId w:val="1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 xml:space="preserve">Key Quote from Lord </w:t>
      </w:r>
      <w:proofErr w:type="spellStart"/>
      <w:r w:rsidRPr="00FE4842">
        <w:rPr>
          <w:rFonts w:ascii="Times New Roman" w:hAnsi="Times New Roman"/>
          <w:b/>
          <w:bCs/>
          <w:lang w:val="en-HK"/>
        </w:rPr>
        <w:t>Mance</w:t>
      </w:r>
      <w:proofErr w:type="spellEnd"/>
      <w:r w:rsidRPr="00FE4842">
        <w:rPr>
          <w:rFonts w:ascii="Times New Roman" w:hAnsi="Times New Roman"/>
          <w:lang w:val="en-HK"/>
        </w:rPr>
        <w:t>: “The balancing of interests under proportionality must account for the particular circumstances in which the measure is adopted, including legal and practical constraints.”</w:t>
      </w:r>
    </w:p>
    <w:p w14:paraId="157D262F" w14:textId="77777777" w:rsidR="00EC7103" w:rsidRPr="00FE4842" w:rsidRDefault="00D2368A" w:rsidP="00CA12C8">
      <w:pPr>
        <w:spacing w:line="276" w:lineRule="auto"/>
        <w:rPr>
          <w:rFonts w:ascii="Times New Roman" w:hAnsi="Times New Roman"/>
          <w:lang w:val="en-HK"/>
        </w:rPr>
      </w:pPr>
      <w:r>
        <w:pict w14:anchorId="35ACE1F2">
          <v:rect id="Horizontal Line 11"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2E8AD3"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Critical Themes Emerging from the Dispute</w:t>
      </w:r>
    </w:p>
    <w:p w14:paraId="7D90B1DE" w14:textId="77777777" w:rsidR="00EC7103" w:rsidRPr="00FE4842" w:rsidRDefault="00EC7103" w:rsidP="00CA12C8">
      <w:pPr>
        <w:numPr>
          <w:ilvl w:val="0"/>
          <w:numId w:val="1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Market Access vs. Public Health</w:t>
      </w:r>
      <w:r w:rsidRPr="00FE4842">
        <w:rPr>
          <w:rFonts w:ascii="Times New Roman" w:hAnsi="Times New Roman"/>
          <w:lang w:val="en-HK"/>
        </w:rPr>
        <w:t>:</w:t>
      </w:r>
    </w:p>
    <w:p w14:paraId="33047D2C" w14:textId="77777777" w:rsidR="00EC7103" w:rsidRPr="00FE4842" w:rsidRDefault="00EC7103" w:rsidP="00CA12C8">
      <w:pPr>
        <w:numPr>
          <w:ilvl w:val="1"/>
          <w:numId w:val="1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The dispute underscored the tension between market integration under EU law and national regulatory autonomy in addressing public health issues.</w:t>
      </w:r>
    </w:p>
    <w:p w14:paraId="4E42CDA3" w14:textId="77777777" w:rsidR="00EC7103" w:rsidRPr="00FE4842" w:rsidRDefault="00EC7103" w:rsidP="00CA12C8">
      <w:pPr>
        <w:numPr>
          <w:ilvl w:val="1"/>
          <w:numId w:val="1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CJEU’s preference for taxation reflected its bias toward maintaining market access, whereas the UK courts prioritized Scotland’s specific public health concerns.</w:t>
      </w:r>
    </w:p>
    <w:p w14:paraId="73D7B915" w14:textId="77777777" w:rsidR="00EC7103" w:rsidRPr="00FE4842" w:rsidRDefault="00EC7103" w:rsidP="00CA12C8">
      <w:pPr>
        <w:numPr>
          <w:ilvl w:val="0"/>
          <w:numId w:val="1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and Local Autonomy</w:t>
      </w:r>
      <w:r w:rsidRPr="00FE4842">
        <w:rPr>
          <w:rFonts w:ascii="Times New Roman" w:hAnsi="Times New Roman"/>
          <w:lang w:val="en-HK"/>
        </w:rPr>
        <w:t>:</w:t>
      </w:r>
    </w:p>
    <w:p w14:paraId="35E456C9" w14:textId="77777777" w:rsidR="00EC7103" w:rsidRPr="00FE4842" w:rsidRDefault="00EC7103" w:rsidP="00CA12C8">
      <w:pPr>
        <w:numPr>
          <w:ilvl w:val="1"/>
          <w:numId w:val="1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proportionality principle became the central test for determining the lawfulness of MUP. The case highlighted the challenges of applying proportionality in a devolved governance context where taxation was not a feasible policy tool.</w:t>
      </w:r>
    </w:p>
    <w:p w14:paraId="13E2361D" w14:textId="77777777" w:rsidR="00EC7103" w:rsidRPr="00FE4842" w:rsidRDefault="00D2368A" w:rsidP="00CA12C8">
      <w:pPr>
        <w:spacing w:line="276" w:lineRule="auto"/>
        <w:rPr>
          <w:rFonts w:ascii="Times New Roman" w:hAnsi="Times New Roman"/>
          <w:lang w:val="en-HK"/>
        </w:rPr>
      </w:pPr>
      <w:r>
        <w:pict w14:anchorId="1F5CB81B">
          <v:rect id="Horizontal Line 12" o:sp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42A8E3"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Significance of the Case</w:t>
      </w:r>
    </w:p>
    <w:p w14:paraId="6055E8B3" w14:textId="77777777" w:rsidR="00EC7103" w:rsidRPr="00FE4842" w:rsidRDefault="00EC7103" w:rsidP="00CA12C8">
      <w:pPr>
        <w:numPr>
          <w:ilvl w:val="0"/>
          <w:numId w:val="1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Judicial Divergence</w:t>
      </w:r>
      <w:r w:rsidRPr="00FE4842">
        <w:rPr>
          <w:rFonts w:ascii="Times New Roman" w:hAnsi="Times New Roman"/>
          <w:lang w:val="en-HK"/>
        </w:rPr>
        <w:t>:</w:t>
      </w:r>
    </w:p>
    <w:p w14:paraId="5ACD0BDE" w14:textId="77777777" w:rsidR="00EC7103" w:rsidRPr="00FE4842" w:rsidRDefault="00EC7103" w:rsidP="00CA12C8">
      <w:pPr>
        <w:numPr>
          <w:ilvl w:val="1"/>
          <w:numId w:val="1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illustrated the differing approaches of the CJEU and national courts in balancing free movement and public interest objectives. The UK Supreme Court’s emphasis on local policy considerations contrasted sharply with the CJEU’s focus on harmonized economic solutions.</w:t>
      </w:r>
    </w:p>
    <w:p w14:paraId="074D329F" w14:textId="77777777" w:rsidR="00EC7103" w:rsidRPr="00FE4842" w:rsidRDefault="00EC7103" w:rsidP="00CA12C8">
      <w:pPr>
        <w:numPr>
          <w:ilvl w:val="0"/>
          <w:numId w:val="1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Broader Implications for EU Law</w:t>
      </w:r>
      <w:r w:rsidRPr="00FE4842">
        <w:rPr>
          <w:rFonts w:ascii="Times New Roman" w:hAnsi="Times New Roman"/>
          <w:lang w:val="en-HK"/>
        </w:rPr>
        <w:t>:</w:t>
      </w:r>
    </w:p>
    <w:p w14:paraId="379BB19D" w14:textId="77777777" w:rsidR="00EC7103" w:rsidRPr="00FE4842" w:rsidRDefault="00EC7103" w:rsidP="00CA12C8">
      <w:pPr>
        <w:numPr>
          <w:ilvl w:val="1"/>
          <w:numId w:val="1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highlighted the challenges of reconciling localized public health measures with EU market rules. It also raised questions about the role of evidence and the limits of judicial intervention in complex policy areas.</w:t>
      </w:r>
    </w:p>
    <w:p w14:paraId="6AF9A22F" w14:textId="77777777" w:rsidR="00EC7103" w:rsidRPr="00FE4842" w:rsidRDefault="00D2368A" w:rsidP="00CA12C8">
      <w:pPr>
        <w:spacing w:line="276" w:lineRule="auto"/>
        <w:rPr>
          <w:rFonts w:ascii="Times New Roman" w:hAnsi="Times New Roman"/>
          <w:lang w:val="en-HK"/>
        </w:rPr>
      </w:pPr>
      <w:r>
        <w:pict w14:anchorId="006F79AA">
          <v:rect id="Horizontal Line 13"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CFD03A" w14:textId="77777777" w:rsidR="00EC7103" w:rsidRPr="00FE4842" w:rsidRDefault="00EC7103"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Conclusion of Facts and Evolution of the Dispute</w:t>
      </w:r>
    </w:p>
    <w:p w14:paraId="1073EACF" w14:textId="77777777" w:rsidR="00EC7103" w:rsidRPr="00FE4842" w:rsidRDefault="00EC7103" w:rsidP="00CA12C8">
      <w:pPr>
        <w:numPr>
          <w:ilvl w:val="0"/>
          <w:numId w:val="1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exemplifies the complexities of balancing trade and public health within the EU legal framework. While the CJEU emphasized market integration and questioned the necessity of MUP, the UK Supreme Court upheld it as a targeted and proportionate measure addressing a specific public health issue. The case underscores the importance of proportionality and the tension between supranational trade rules and national policymaking autonomy.</w:t>
      </w:r>
    </w:p>
    <w:p w14:paraId="5DE69728" w14:textId="7241B35E" w:rsidR="00EC7103" w:rsidRPr="00FE4842" w:rsidRDefault="00D2368A" w:rsidP="00CA12C8">
      <w:pPr>
        <w:spacing w:before="100" w:beforeAutospacing="1" w:after="100" w:afterAutospacing="1" w:line="276" w:lineRule="auto"/>
        <w:outlineLvl w:val="2"/>
        <w:rPr>
          <w:rFonts w:ascii="Times New Roman" w:hAnsi="Times New Roman"/>
          <w:b/>
          <w:bCs/>
          <w:lang w:val="en-HK"/>
        </w:rPr>
      </w:pPr>
      <w:r>
        <w:pict w14:anchorId="238FCE17">
          <v:rect id="Horizontal Line 14"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8F4BFC" w14:textId="7B30EE63" w:rsidR="00EC7103" w:rsidRPr="00FE4842" w:rsidRDefault="00FE4842"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highlight w:val="yellow"/>
          <w:lang w:val="en-HK"/>
        </w:rPr>
        <w:t xml:space="preserve">3. </w:t>
      </w:r>
      <w:r w:rsidR="00EC7103" w:rsidRPr="00FE4842">
        <w:rPr>
          <w:rFonts w:ascii="Times New Roman" w:hAnsi="Times New Roman"/>
          <w:b/>
          <w:bCs/>
          <w:highlight w:val="yellow"/>
          <w:lang w:val="en-HK"/>
        </w:rPr>
        <w:t>Articles 34 and 36 TFEU: Scope of Free Movement of Goods</w:t>
      </w:r>
    </w:p>
    <w:p w14:paraId="3B62EEE5"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1. Article 34 TFEU: Prohibition of Quantitative Restrictions and Measures Having Equivalent Effect (MEEs)</w:t>
      </w:r>
    </w:p>
    <w:p w14:paraId="5D7393B1"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Legal Framework and Principles</w:t>
      </w:r>
    </w:p>
    <w:p w14:paraId="35F5D899" w14:textId="77777777" w:rsidR="00EC7103" w:rsidRPr="00FE4842" w:rsidRDefault="00EC7103" w:rsidP="00CA12C8">
      <w:pPr>
        <w:numPr>
          <w:ilvl w:val="0"/>
          <w:numId w:val="1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lastRenderedPageBreak/>
        <w:t>Article 34 TFEU Text</w:t>
      </w:r>
      <w:r w:rsidRPr="00FE4842">
        <w:rPr>
          <w:rFonts w:ascii="Times New Roman" w:hAnsi="Times New Roman"/>
          <w:lang w:val="en-HK"/>
        </w:rPr>
        <w:t>:</w:t>
      </w:r>
    </w:p>
    <w:p w14:paraId="3383439E" w14:textId="77777777" w:rsidR="00EC7103" w:rsidRPr="00FE4842" w:rsidRDefault="00EC7103" w:rsidP="00CA12C8">
      <w:pPr>
        <w:numPr>
          <w:ilvl w:val="1"/>
          <w:numId w:val="1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“Quantitative restrictions on imports and all measures having equivalent effect shall be prohibited between Member States.”</w:t>
      </w:r>
    </w:p>
    <w:p w14:paraId="4DC5DCAA" w14:textId="77777777" w:rsidR="00EC7103" w:rsidRPr="00FE4842" w:rsidRDefault="00EC7103" w:rsidP="00CA12C8">
      <w:pPr>
        <w:numPr>
          <w:ilvl w:val="0"/>
          <w:numId w:val="1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Core Purpose</w:t>
      </w:r>
      <w:r w:rsidRPr="00FE4842">
        <w:rPr>
          <w:rFonts w:ascii="Times New Roman" w:hAnsi="Times New Roman"/>
          <w:lang w:val="en-HK"/>
        </w:rPr>
        <w:t>:</w:t>
      </w:r>
    </w:p>
    <w:p w14:paraId="3AAF3E8C" w14:textId="77777777" w:rsidR="00EC7103" w:rsidRPr="00FE4842" w:rsidRDefault="00EC7103" w:rsidP="00CA12C8">
      <w:pPr>
        <w:numPr>
          <w:ilvl w:val="1"/>
          <w:numId w:val="1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Article 34 ensures the free movement of goods by eliminating trade barriers that restrict market access for products lawfully produced or marketed in another Member State.</w:t>
      </w:r>
    </w:p>
    <w:p w14:paraId="6FFF6410"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Interpretation of Measures Having Equivalent Effect (MEEs)</w:t>
      </w:r>
    </w:p>
    <w:p w14:paraId="33AEA689" w14:textId="77777777" w:rsidR="00EC7103" w:rsidRPr="00FE4842" w:rsidRDefault="00EC7103" w:rsidP="00CA12C8">
      <w:pPr>
        <w:numPr>
          <w:ilvl w:val="0"/>
          <w:numId w:val="16"/>
        </w:numPr>
        <w:spacing w:before="100" w:beforeAutospacing="1" w:after="100" w:afterAutospacing="1" w:line="276" w:lineRule="auto"/>
        <w:rPr>
          <w:rFonts w:ascii="Times New Roman" w:hAnsi="Times New Roman"/>
          <w:lang w:val="en-HK"/>
        </w:rPr>
      </w:pPr>
      <w:proofErr w:type="spellStart"/>
      <w:r w:rsidRPr="00FE4842">
        <w:rPr>
          <w:rFonts w:ascii="Times New Roman" w:hAnsi="Times New Roman"/>
          <w:b/>
          <w:bCs/>
          <w:lang w:val="en-HK"/>
        </w:rPr>
        <w:t>Dassonville</w:t>
      </w:r>
      <w:proofErr w:type="spellEnd"/>
      <w:r w:rsidRPr="00FE4842">
        <w:rPr>
          <w:rFonts w:ascii="Times New Roman" w:hAnsi="Times New Roman"/>
          <w:b/>
          <w:bCs/>
          <w:lang w:val="en-HK"/>
        </w:rPr>
        <w:t xml:space="preserve"> Formula</w:t>
      </w:r>
      <w:r w:rsidRPr="00FE4842">
        <w:rPr>
          <w:rFonts w:ascii="Times New Roman" w:hAnsi="Times New Roman"/>
          <w:lang w:val="en-HK"/>
        </w:rPr>
        <w:t>:</w:t>
      </w:r>
    </w:p>
    <w:p w14:paraId="4E379ED3" w14:textId="77777777" w:rsidR="00EC7103" w:rsidRPr="00FE4842" w:rsidRDefault="00EC7103" w:rsidP="00CA12C8">
      <w:pPr>
        <w:numPr>
          <w:ilvl w:val="1"/>
          <w:numId w:val="1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In </w:t>
      </w:r>
      <w:r w:rsidRPr="00FE4842">
        <w:rPr>
          <w:rFonts w:ascii="Times New Roman" w:hAnsi="Times New Roman"/>
          <w:i/>
          <w:iCs/>
          <w:lang w:val="en-HK"/>
        </w:rPr>
        <w:t xml:space="preserve">Procureur du Roi v. </w:t>
      </w:r>
      <w:proofErr w:type="spellStart"/>
      <w:r w:rsidRPr="00FE4842">
        <w:rPr>
          <w:rFonts w:ascii="Times New Roman" w:hAnsi="Times New Roman"/>
          <w:i/>
          <w:iCs/>
          <w:lang w:val="en-HK"/>
        </w:rPr>
        <w:t>Dassonville</w:t>
      </w:r>
      <w:proofErr w:type="spellEnd"/>
      <w:r w:rsidRPr="00FE4842">
        <w:rPr>
          <w:rFonts w:ascii="Times New Roman" w:hAnsi="Times New Roman"/>
          <w:i/>
          <w:iCs/>
          <w:lang w:val="en-HK"/>
        </w:rPr>
        <w:t xml:space="preserve"> (Case 8/74)</w:t>
      </w:r>
      <w:r w:rsidRPr="00FE4842">
        <w:rPr>
          <w:rFonts w:ascii="Times New Roman" w:hAnsi="Times New Roman"/>
          <w:lang w:val="en-HK"/>
        </w:rPr>
        <w:t>, the Court of Justice of the European Union (CJEU) defined MEEs broadly as:</w:t>
      </w:r>
    </w:p>
    <w:p w14:paraId="46D4E250" w14:textId="77777777" w:rsidR="00EC7103" w:rsidRPr="00FE4842" w:rsidRDefault="00EC7103" w:rsidP="00CA12C8">
      <w:pPr>
        <w:numPr>
          <w:ilvl w:val="2"/>
          <w:numId w:val="1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"All trading rules enacted by Member States which are capable of hindering, directly or indirectly, actually or potentially, intra-EU trade."</w:t>
      </w:r>
    </w:p>
    <w:p w14:paraId="6FFAF2D9" w14:textId="77777777" w:rsidR="00EC7103" w:rsidRPr="00FE4842" w:rsidRDefault="00EC7103" w:rsidP="00CA12C8">
      <w:pPr>
        <w:numPr>
          <w:ilvl w:val="1"/>
          <w:numId w:val="1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This expansive interpretation underpins Article 34's role in preventing barriers to market access.</w:t>
      </w:r>
    </w:p>
    <w:p w14:paraId="09435C3B"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Market Access Principle</w:t>
      </w:r>
    </w:p>
    <w:p w14:paraId="7835FE66" w14:textId="77777777" w:rsidR="00EC7103" w:rsidRPr="00FE4842" w:rsidRDefault="00EC7103" w:rsidP="00CA12C8">
      <w:pPr>
        <w:numPr>
          <w:ilvl w:val="0"/>
          <w:numId w:val="1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principle of market access, introduced in </w:t>
      </w:r>
      <w:r w:rsidRPr="00FE4842">
        <w:rPr>
          <w:rFonts w:ascii="Times New Roman" w:hAnsi="Times New Roman"/>
          <w:i/>
          <w:iCs/>
          <w:lang w:val="en-HK"/>
        </w:rPr>
        <w:t>Commission v. Italy (Trailers) (Case C-110/05)</w:t>
      </w:r>
      <w:r w:rsidRPr="00FE4842">
        <w:rPr>
          <w:rFonts w:ascii="Times New Roman" w:hAnsi="Times New Roman"/>
          <w:lang w:val="en-HK"/>
        </w:rPr>
        <w:t>, extends Article 34 to include restrictions on how goods are used or marketed, even if these do not constitute direct trade barriers.</w:t>
      </w:r>
    </w:p>
    <w:p w14:paraId="4A6D8D62" w14:textId="77777777" w:rsidR="00EC7103" w:rsidRPr="00FE4842" w:rsidRDefault="00EC7103" w:rsidP="00CA12C8">
      <w:pPr>
        <w:numPr>
          <w:ilvl w:val="1"/>
          <w:numId w:val="1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Example</w:t>
      </w:r>
      <w:r w:rsidRPr="00FE4842">
        <w:rPr>
          <w:rFonts w:ascii="Times New Roman" w:hAnsi="Times New Roman"/>
          <w:lang w:val="en-HK"/>
        </w:rPr>
        <w:t>:</w:t>
      </w:r>
    </w:p>
    <w:p w14:paraId="67D5CBE1" w14:textId="77777777" w:rsidR="00EC7103" w:rsidRPr="00FE4842" w:rsidRDefault="00EC7103" w:rsidP="00CA12C8">
      <w:pPr>
        <w:numPr>
          <w:ilvl w:val="2"/>
          <w:numId w:val="1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prohibition of trailers for motorcycles in Italy was deemed an MEE because it restricted access to the market for such trailers.</w:t>
      </w:r>
    </w:p>
    <w:p w14:paraId="0FFB6A6E"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Application to MUP</w:t>
      </w:r>
    </w:p>
    <w:p w14:paraId="3B2EC2D2" w14:textId="77777777" w:rsidR="00EC7103" w:rsidRPr="00FE4842" w:rsidRDefault="00EC7103" w:rsidP="00CA12C8">
      <w:pPr>
        <w:numPr>
          <w:ilvl w:val="0"/>
          <w:numId w:val="1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w:t>
      </w:r>
      <w:r w:rsidRPr="00FE4842">
        <w:rPr>
          <w:rFonts w:ascii="Times New Roman" w:hAnsi="Times New Roman"/>
          <w:b/>
          <w:bCs/>
          <w:lang w:val="en-HK"/>
        </w:rPr>
        <w:t>Minimum Unit Pricing (MUP)</w:t>
      </w:r>
      <w:r w:rsidRPr="00FE4842">
        <w:rPr>
          <w:rFonts w:ascii="Times New Roman" w:hAnsi="Times New Roman"/>
          <w:lang w:val="en-HK"/>
        </w:rPr>
        <w:t xml:space="preserve"> measure in Scotland was classified as an MEE under Article 34 because it directly interfered with price competition in the alcohol market.</w:t>
      </w:r>
    </w:p>
    <w:p w14:paraId="0BF4C95C" w14:textId="77777777" w:rsidR="00EC7103" w:rsidRPr="00FE4842" w:rsidRDefault="00EC7103" w:rsidP="00CA12C8">
      <w:pPr>
        <w:numPr>
          <w:ilvl w:val="1"/>
          <w:numId w:val="1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Impact on Imports</w:t>
      </w:r>
      <w:r w:rsidRPr="00FE4842">
        <w:rPr>
          <w:rFonts w:ascii="Times New Roman" w:hAnsi="Times New Roman"/>
          <w:lang w:val="en-HK"/>
        </w:rPr>
        <w:t>:</w:t>
      </w:r>
    </w:p>
    <w:p w14:paraId="48DD8472" w14:textId="77777777" w:rsidR="00EC7103" w:rsidRPr="00FE4842" w:rsidRDefault="00EC7103" w:rsidP="00CA12C8">
      <w:pPr>
        <w:numPr>
          <w:ilvl w:val="2"/>
          <w:numId w:val="1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disproportionately affected cheaper imported alcoholic products by eliminating their price advantage.</w:t>
      </w:r>
    </w:p>
    <w:p w14:paraId="752EE1D4" w14:textId="77777777" w:rsidR="00EC7103" w:rsidRPr="00FE4842" w:rsidRDefault="00EC7103" w:rsidP="00CA12C8">
      <w:pPr>
        <w:numPr>
          <w:ilvl w:val="1"/>
          <w:numId w:val="1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Court’s View</w:t>
      </w:r>
      <w:r w:rsidRPr="00FE4842">
        <w:rPr>
          <w:rFonts w:ascii="Times New Roman" w:hAnsi="Times New Roman"/>
          <w:lang w:val="en-HK"/>
        </w:rPr>
        <w:t>:</w:t>
      </w:r>
    </w:p>
    <w:p w14:paraId="229A68BF" w14:textId="77777777" w:rsidR="00EC7103" w:rsidRPr="00FE4842" w:rsidRDefault="00EC7103" w:rsidP="00CA12C8">
      <w:pPr>
        <w:numPr>
          <w:ilvl w:val="2"/>
          <w:numId w:val="1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confirmed that price controls, including MUP, fall under the scope of Article 34 as they hinder the ability of products to compete freely on price.</w:t>
      </w:r>
    </w:p>
    <w:p w14:paraId="18B11C10"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Case Law Highlight: Keck and Selling Arrangements</w:t>
      </w:r>
    </w:p>
    <w:p w14:paraId="5D8E5FE3" w14:textId="77777777" w:rsidR="00EC7103" w:rsidRPr="00FE4842" w:rsidRDefault="00EC7103" w:rsidP="00CA12C8">
      <w:pPr>
        <w:numPr>
          <w:ilvl w:val="0"/>
          <w:numId w:val="1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In </w:t>
      </w:r>
      <w:r w:rsidRPr="00FE4842">
        <w:rPr>
          <w:rFonts w:ascii="Times New Roman" w:hAnsi="Times New Roman"/>
          <w:i/>
          <w:iCs/>
          <w:lang w:val="en-HK"/>
        </w:rPr>
        <w:t xml:space="preserve">Keck and </w:t>
      </w:r>
      <w:proofErr w:type="spellStart"/>
      <w:r w:rsidRPr="00FE4842">
        <w:rPr>
          <w:rFonts w:ascii="Times New Roman" w:hAnsi="Times New Roman"/>
          <w:i/>
          <w:iCs/>
          <w:lang w:val="en-HK"/>
        </w:rPr>
        <w:t>Mithouard</w:t>
      </w:r>
      <w:proofErr w:type="spellEnd"/>
      <w:r w:rsidRPr="00FE4842">
        <w:rPr>
          <w:rFonts w:ascii="Times New Roman" w:hAnsi="Times New Roman"/>
          <w:i/>
          <w:iCs/>
          <w:lang w:val="en-HK"/>
        </w:rPr>
        <w:t xml:space="preserve"> (Cases C-267/91 and C-268/91)</w:t>
      </w:r>
      <w:r w:rsidRPr="00FE4842">
        <w:rPr>
          <w:rFonts w:ascii="Times New Roman" w:hAnsi="Times New Roman"/>
          <w:lang w:val="en-HK"/>
        </w:rPr>
        <w:t>, the CJEU distinguished between:</w:t>
      </w:r>
    </w:p>
    <w:p w14:paraId="3A016BA5" w14:textId="77777777" w:rsidR="00EC7103" w:rsidRPr="00FE4842" w:rsidRDefault="00EC7103" w:rsidP="00CA12C8">
      <w:pPr>
        <w:numPr>
          <w:ilvl w:val="1"/>
          <w:numId w:val="1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lastRenderedPageBreak/>
        <w:t>Product Requirements</w:t>
      </w:r>
      <w:r w:rsidRPr="00FE4842">
        <w:rPr>
          <w:rFonts w:ascii="Times New Roman" w:hAnsi="Times New Roman"/>
          <w:lang w:val="en-HK"/>
        </w:rPr>
        <w:t>: Subject to Article 34 because they affect the intrinsic characteristics of goods.</w:t>
      </w:r>
    </w:p>
    <w:p w14:paraId="638B6D29" w14:textId="77777777" w:rsidR="00EC7103" w:rsidRPr="00FE4842" w:rsidRDefault="00EC7103" w:rsidP="00CA12C8">
      <w:pPr>
        <w:numPr>
          <w:ilvl w:val="1"/>
          <w:numId w:val="1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Selling Arrangements</w:t>
      </w:r>
      <w:r w:rsidRPr="00FE4842">
        <w:rPr>
          <w:rFonts w:ascii="Times New Roman" w:hAnsi="Times New Roman"/>
          <w:lang w:val="en-HK"/>
        </w:rPr>
        <w:t>: Not subject to Article 34 unless they have a discriminatory or disproportionate impact on imports.</w:t>
      </w:r>
    </w:p>
    <w:p w14:paraId="76E79E06" w14:textId="77777777" w:rsidR="00EC7103" w:rsidRPr="00FE4842" w:rsidRDefault="00EC7103" w:rsidP="00CA12C8">
      <w:pPr>
        <w:numPr>
          <w:ilvl w:val="0"/>
          <w:numId w:val="1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Relevance to MUP</w:t>
      </w:r>
      <w:r w:rsidRPr="00FE4842">
        <w:rPr>
          <w:rFonts w:ascii="Times New Roman" w:hAnsi="Times New Roman"/>
          <w:lang w:val="en-HK"/>
        </w:rPr>
        <w:t>:</w:t>
      </w:r>
    </w:p>
    <w:p w14:paraId="2EA64E1B" w14:textId="77777777" w:rsidR="00EC7103" w:rsidRPr="00FE4842" w:rsidRDefault="00EC7103" w:rsidP="00CA12C8">
      <w:pPr>
        <w:numPr>
          <w:ilvl w:val="1"/>
          <w:numId w:val="2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is not a selling arrangement but a price control measure. Thus, it does not fall within the Keck exception and remains subject to Article 34 scrutiny.</w:t>
      </w:r>
    </w:p>
    <w:p w14:paraId="3D0F3A4D" w14:textId="77777777" w:rsidR="00EC7103" w:rsidRPr="00FE4842" w:rsidRDefault="00D2368A" w:rsidP="00CA12C8">
      <w:pPr>
        <w:spacing w:line="276" w:lineRule="auto"/>
        <w:rPr>
          <w:rFonts w:ascii="Times New Roman" w:hAnsi="Times New Roman"/>
          <w:lang w:val="en-HK"/>
        </w:rPr>
      </w:pPr>
      <w:r>
        <w:pict w14:anchorId="783C68C1">
          <v:rect id="Horizontal Line 15"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3C634F"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2. Article 36 TFEU: Justifications for Restrictions on Free Movement</w:t>
      </w:r>
    </w:p>
    <w:p w14:paraId="03BA7E2F"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Legal Framework and Purpose</w:t>
      </w:r>
    </w:p>
    <w:p w14:paraId="24877232" w14:textId="77777777" w:rsidR="00EC7103" w:rsidRPr="00FE4842" w:rsidRDefault="00EC7103" w:rsidP="00CA12C8">
      <w:pPr>
        <w:numPr>
          <w:ilvl w:val="0"/>
          <w:numId w:val="2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Article 36 TFEU Text</w:t>
      </w:r>
      <w:r w:rsidRPr="00FE4842">
        <w:rPr>
          <w:rFonts w:ascii="Times New Roman" w:hAnsi="Times New Roman"/>
          <w:lang w:val="en-HK"/>
        </w:rPr>
        <w:t>:</w:t>
      </w:r>
    </w:p>
    <w:p w14:paraId="7B34A693" w14:textId="77777777" w:rsidR="00EC7103" w:rsidRPr="00FE4842" w:rsidRDefault="00EC7103" w:rsidP="00CA12C8">
      <w:pPr>
        <w:numPr>
          <w:ilvl w:val="1"/>
          <w:numId w:val="2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provisions of Articles 34 and 35 shall not preclude prohibitions or restrictions on imports, exports, or goods in transit justified on grounds of public morality, public policy, public security, the protection of health and life of humans, animals or plants, the protection of national treasures possessing artistic, historic or archaeological value, or the protection of industrial and commercial property.”</w:t>
      </w:r>
    </w:p>
    <w:p w14:paraId="2DE7615F" w14:textId="77777777" w:rsidR="00EC7103" w:rsidRPr="00FE4842" w:rsidRDefault="00EC7103" w:rsidP="00CA12C8">
      <w:pPr>
        <w:numPr>
          <w:ilvl w:val="1"/>
          <w:numId w:val="2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Such restrictions must not constitute a “means of arbitrary discrimination or a disguised restriction on trade.”</w:t>
      </w:r>
    </w:p>
    <w:p w14:paraId="208F38AE"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Proportionality Principle</w:t>
      </w:r>
    </w:p>
    <w:p w14:paraId="317E2369" w14:textId="77777777" w:rsidR="00EC7103" w:rsidRPr="00FE4842" w:rsidRDefault="00EC7103" w:rsidP="00CA12C8">
      <w:pPr>
        <w:numPr>
          <w:ilvl w:val="0"/>
          <w:numId w:val="2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To justify a restriction under Article 36, Member States must satisfy the </w:t>
      </w:r>
      <w:r w:rsidRPr="00FE4842">
        <w:rPr>
          <w:rFonts w:ascii="Times New Roman" w:hAnsi="Times New Roman"/>
          <w:b/>
          <w:bCs/>
          <w:lang w:val="en-HK"/>
        </w:rPr>
        <w:t>proportionality test</w:t>
      </w:r>
      <w:r w:rsidRPr="00FE4842">
        <w:rPr>
          <w:rFonts w:ascii="Times New Roman" w:hAnsi="Times New Roman"/>
          <w:lang w:val="en-HK"/>
        </w:rPr>
        <w:t>, which requires:</w:t>
      </w:r>
    </w:p>
    <w:p w14:paraId="4F212F76" w14:textId="77777777" w:rsidR="00EC7103" w:rsidRPr="00FE4842" w:rsidRDefault="00EC7103" w:rsidP="00CA12C8">
      <w:pPr>
        <w:numPr>
          <w:ilvl w:val="1"/>
          <w:numId w:val="2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Suitability</w:t>
      </w:r>
      <w:r w:rsidRPr="00FE4842">
        <w:rPr>
          <w:rFonts w:ascii="Times New Roman" w:hAnsi="Times New Roman"/>
          <w:lang w:val="en-HK"/>
        </w:rPr>
        <w:t>: The measure must be appropriate for achieving the public interest objective.</w:t>
      </w:r>
    </w:p>
    <w:p w14:paraId="4726A42C" w14:textId="77777777" w:rsidR="00EC7103" w:rsidRPr="00FE4842" w:rsidRDefault="00EC7103" w:rsidP="00CA12C8">
      <w:pPr>
        <w:numPr>
          <w:ilvl w:val="1"/>
          <w:numId w:val="2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Necessity</w:t>
      </w:r>
      <w:r w:rsidRPr="00FE4842">
        <w:rPr>
          <w:rFonts w:ascii="Times New Roman" w:hAnsi="Times New Roman"/>
          <w:lang w:val="en-HK"/>
        </w:rPr>
        <w:t>: The measure must be the least restrictive means of achieving the objective.</w:t>
      </w:r>
    </w:p>
    <w:p w14:paraId="307511D0" w14:textId="77777777" w:rsidR="00EC7103" w:rsidRPr="00FE4842" w:rsidRDefault="00EC7103" w:rsidP="00CA12C8">
      <w:pPr>
        <w:numPr>
          <w:ilvl w:val="1"/>
          <w:numId w:val="2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in the Narrow Sense</w:t>
      </w:r>
      <w:r w:rsidRPr="00FE4842">
        <w:rPr>
          <w:rFonts w:ascii="Times New Roman" w:hAnsi="Times New Roman"/>
          <w:lang w:val="en-HK"/>
        </w:rPr>
        <w:t>: The benefits of the measure must outweigh its trade-restrictive effects.</w:t>
      </w:r>
    </w:p>
    <w:p w14:paraId="16392CA3"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Public Health Justifications</w:t>
      </w:r>
    </w:p>
    <w:p w14:paraId="2A72150D" w14:textId="77777777" w:rsidR="00EC7103" w:rsidRPr="00FE4842" w:rsidRDefault="00EC7103" w:rsidP="00CA12C8">
      <w:pPr>
        <w:numPr>
          <w:ilvl w:val="0"/>
          <w:numId w:val="2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Relevance to MUP</w:t>
      </w:r>
      <w:r w:rsidRPr="00FE4842">
        <w:rPr>
          <w:rFonts w:ascii="Times New Roman" w:hAnsi="Times New Roman"/>
          <w:lang w:val="en-HK"/>
        </w:rPr>
        <w:t>:</w:t>
      </w:r>
    </w:p>
    <w:p w14:paraId="759E5129" w14:textId="77777777" w:rsidR="00EC7103" w:rsidRPr="00FE4842" w:rsidRDefault="00EC7103" w:rsidP="00CA12C8">
      <w:pPr>
        <w:numPr>
          <w:ilvl w:val="1"/>
          <w:numId w:val="2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Scottish Government invoked Article 36, arguing that MUP was necessary to protect public health by reducing excessive alcohol consumption.</w:t>
      </w:r>
    </w:p>
    <w:p w14:paraId="559C8FFF" w14:textId="77777777" w:rsidR="00EC7103" w:rsidRPr="00FE4842" w:rsidRDefault="00EC7103" w:rsidP="00CA12C8">
      <w:pPr>
        <w:numPr>
          <w:ilvl w:val="1"/>
          <w:numId w:val="2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Public health is a recognized ground for derogation under Article 36, but Member States must provide evidence to demonstrate the measure’s necessity and proportionality.</w:t>
      </w:r>
    </w:p>
    <w:p w14:paraId="724D1E72"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Judicial Interpretation of Article 36</w:t>
      </w:r>
    </w:p>
    <w:p w14:paraId="13960270" w14:textId="77777777" w:rsidR="00EC7103" w:rsidRPr="00FE4842" w:rsidRDefault="00EC7103" w:rsidP="00CA12C8">
      <w:pPr>
        <w:numPr>
          <w:ilvl w:val="0"/>
          <w:numId w:val="2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lastRenderedPageBreak/>
        <w:t>CJEU's Preliminary Ruling</w:t>
      </w:r>
      <w:r w:rsidRPr="00FE4842">
        <w:rPr>
          <w:rFonts w:ascii="Times New Roman" w:hAnsi="Times New Roman"/>
          <w:lang w:val="en-HK"/>
        </w:rPr>
        <w:t>:</w:t>
      </w:r>
    </w:p>
    <w:p w14:paraId="7CE8424C" w14:textId="77777777" w:rsidR="00EC7103" w:rsidRPr="00FE4842" w:rsidRDefault="00EC7103" w:rsidP="00CA12C8">
      <w:pPr>
        <w:numPr>
          <w:ilvl w:val="1"/>
          <w:numId w:val="2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accepted that public health can justify price-based measures but questioned whether MUP was necessary.</w:t>
      </w:r>
    </w:p>
    <w:p w14:paraId="754465FA" w14:textId="77777777" w:rsidR="00EC7103" w:rsidRPr="00FE4842" w:rsidRDefault="00EC7103" w:rsidP="00CA12C8">
      <w:pPr>
        <w:numPr>
          <w:ilvl w:val="1"/>
          <w:numId w:val="2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Court suggested that </w:t>
      </w:r>
      <w:r w:rsidRPr="00FE4842">
        <w:rPr>
          <w:rFonts w:ascii="Times New Roman" w:hAnsi="Times New Roman"/>
          <w:b/>
          <w:bCs/>
          <w:lang w:val="en-HK"/>
        </w:rPr>
        <w:t>taxation</w:t>
      </w:r>
      <w:r w:rsidRPr="00FE4842">
        <w:rPr>
          <w:rFonts w:ascii="Times New Roman" w:hAnsi="Times New Roman"/>
          <w:lang w:val="en-HK"/>
        </w:rPr>
        <w:t xml:space="preserve"> could achieve similar public health benefits with fewer trade restrictions.</w:t>
      </w:r>
    </w:p>
    <w:p w14:paraId="5C091823" w14:textId="77777777" w:rsidR="00EC7103" w:rsidRPr="00FE4842" w:rsidRDefault="00EC7103" w:rsidP="00CA12C8">
      <w:pPr>
        <w:numPr>
          <w:ilvl w:val="0"/>
          <w:numId w:val="2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and Evidence</w:t>
      </w:r>
      <w:r w:rsidRPr="00FE4842">
        <w:rPr>
          <w:rFonts w:ascii="Times New Roman" w:hAnsi="Times New Roman"/>
          <w:lang w:val="en-HK"/>
        </w:rPr>
        <w:t>:</w:t>
      </w:r>
    </w:p>
    <w:p w14:paraId="63EFDB57" w14:textId="77777777" w:rsidR="00EC7103" w:rsidRPr="00FE4842" w:rsidRDefault="00EC7103" w:rsidP="00CA12C8">
      <w:pPr>
        <w:numPr>
          <w:ilvl w:val="1"/>
          <w:numId w:val="2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emphasized that Member States must provide robust evidence to substantiate claims under Article 36. General assertions about public health are insufficient.</w:t>
      </w:r>
    </w:p>
    <w:p w14:paraId="03BE96A4" w14:textId="77777777" w:rsidR="00EC7103" w:rsidRPr="00FE4842" w:rsidRDefault="00EC7103" w:rsidP="00CA12C8">
      <w:pPr>
        <w:spacing w:before="100" w:beforeAutospacing="1" w:after="100" w:afterAutospacing="1" w:line="276" w:lineRule="auto"/>
        <w:outlineLvl w:val="4"/>
        <w:rPr>
          <w:rFonts w:ascii="Times New Roman" w:hAnsi="Times New Roman"/>
          <w:b/>
          <w:bCs/>
          <w:lang w:val="en-HK"/>
        </w:rPr>
      </w:pPr>
      <w:r w:rsidRPr="00FE4842">
        <w:rPr>
          <w:rFonts w:ascii="Times New Roman" w:hAnsi="Times New Roman"/>
          <w:b/>
          <w:bCs/>
          <w:lang w:val="en-HK"/>
        </w:rPr>
        <w:t>Supreme Court’s Approach:</w:t>
      </w:r>
    </w:p>
    <w:p w14:paraId="41A5B29F" w14:textId="77777777" w:rsidR="00EC7103" w:rsidRPr="00FE4842" w:rsidRDefault="00EC7103" w:rsidP="00CA12C8">
      <w:pPr>
        <w:numPr>
          <w:ilvl w:val="0"/>
          <w:numId w:val="2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UK Supreme Court ultimately upheld MUP, rejecting the CJEU’s reliance on taxation as an alternative.</w:t>
      </w:r>
    </w:p>
    <w:p w14:paraId="0CC25B93" w14:textId="77777777" w:rsidR="00EC7103" w:rsidRPr="00FE4842" w:rsidRDefault="00EC7103" w:rsidP="00CA12C8">
      <w:pPr>
        <w:numPr>
          <w:ilvl w:val="1"/>
          <w:numId w:val="2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Reasoning</w:t>
      </w:r>
      <w:r w:rsidRPr="00FE4842">
        <w:rPr>
          <w:rFonts w:ascii="Times New Roman" w:hAnsi="Times New Roman"/>
          <w:lang w:val="en-HK"/>
        </w:rPr>
        <w:t>:</w:t>
      </w:r>
    </w:p>
    <w:p w14:paraId="173FD9C4" w14:textId="77777777" w:rsidR="00EC7103" w:rsidRPr="00FE4842" w:rsidRDefault="00EC7103" w:rsidP="00CA12C8">
      <w:pPr>
        <w:numPr>
          <w:ilvl w:val="2"/>
          <w:numId w:val="2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specifically designed to target hazardous drinkers who purchase cheap, high-alcohol products. Taxation would affect all drinkers, including moderate consumers, making it less targeted.</w:t>
      </w:r>
    </w:p>
    <w:p w14:paraId="0791F2FF" w14:textId="77777777" w:rsidR="00EC7103" w:rsidRPr="00FE4842" w:rsidRDefault="00EC7103" w:rsidP="00CA12C8">
      <w:pPr>
        <w:numPr>
          <w:ilvl w:val="2"/>
          <w:numId w:val="2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Lord </w:t>
      </w:r>
      <w:proofErr w:type="spellStart"/>
      <w:r w:rsidRPr="00FE4842">
        <w:rPr>
          <w:rFonts w:ascii="Times New Roman" w:hAnsi="Times New Roman"/>
          <w:lang w:val="en-HK"/>
        </w:rPr>
        <w:t>Mance</w:t>
      </w:r>
      <w:proofErr w:type="spellEnd"/>
      <w:r w:rsidRPr="00FE4842">
        <w:rPr>
          <w:rFonts w:ascii="Times New Roman" w:hAnsi="Times New Roman"/>
          <w:lang w:val="en-HK"/>
        </w:rPr>
        <w:t xml:space="preserve"> stressed that proportionality must account for the practical realities of policymaking, including Scotland’s lack of taxation powers.</w:t>
      </w:r>
    </w:p>
    <w:p w14:paraId="0523DC5C" w14:textId="77777777" w:rsidR="00EC7103" w:rsidRPr="00FE4842" w:rsidRDefault="00D2368A" w:rsidP="00CA12C8">
      <w:pPr>
        <w:spacing w:line="276" w:lineRule="auto"/>
        <w:rPr>
          <w:rFonts w:ascii="Times New Roman" w:hAnsi="Times New Roman"/>
          <w:lang w:val="en-HK"/>
        </w:rPr>
      </w:pPr>
      <w:r>
        <w:pict w14:anchorId="669E7786">
          <v:rect id="Horizontal Line 16"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C95FFB"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3. Tension Between Articles 34 and 36</w:t>
      </w:r>
    </w:p>
    <w:p w14:paraId="0774009F" w14:textId="77777777" w:rsidR="00EC7103" w:rsidRPr="00FE4842" w:rsidRDefault="00EC7103" w:rsidP="00CA12C8">
      <w:pPr>
        <w:numPr>
          <w:ilvl w:val="0"/>
          <w:numId w:val="2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Market Access vs. Public Interest</w:t>
      </w:r>
      <w:r w:rsidRPr="00FE4842">
        <w:rPr>
          <w:rFonts w:ascii="Times New Roman" w:hAnsi="Times New Roman"/>
          <w:lang w:val="en-HK"/>
        </w:rPr>
        <w:t>:</w:t>
      </w:r>
    </w:p>
    <w:p w14:paraId="08487E79" w14:textId="77777777" w:rsidR="00EC7103" w:rsidRPr="00FE4842" w:rsidRDefault="00EC7103" w:rsidP="00CA12C8">
      <w:pPr>
        <w:numPr>
          <w:ilvl w:val="1"/>
          <w:numId w:val="2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highlights the tension between the EU’s commitment to a barrier-free internal market and Member States’ regulatory autonomy to pursue legitimate public interest objectives.</w:t>
      </w:r>
    </w:p>
    <w:p w14:paraId="6028AFF6" w14:textId="77777777" w:rsidR="00EC7103" w:rsidRPr="00FE4842" w:rsidRDefault="00EC7103" w:rsidP="00CA12C8">
      <w:pPr>
        <w:numPr>
          <w:ilvl w:val="0"/>
          <w:numId w:val="2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13F35F90" w14:textId="77777777" w:rsidR="00EC7103" w:rsidRPr="00FE4842" w:rsidRDefault="00EC7103" w:rsidP="00CA12C8">
      <w:pPr>
        <w:numPr>
          <w:ilvl w:val="1"/>
          <w:numId w:val="2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Dunne argues that the rigid application of Article 34 risks undermining public interest measures by prioritizing market integration over localized policy needs.</w:t>
      </w:r>
    </w:p>
    <w:p w14:paraId="7AA5E011" w14:textId="77777777" w:rsidR="00EC7103" w:rsidRPr="00FE4842" w:rsidRDefault="00EC7103" w:rsidP="00CA12C8">
      <w:pPr>
        <w:numPr>
          <w:ilvl w:val="1"/>
          <w:numId w:val="2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proportionality principle, while essential, is challenging to apply in cases involving incommensurable values like public health and economic freedoms.</w:t>
      </w:r>
    </w:p>
    <w:p w14:paraId="4891D453" w14:textId="77777777" w:rsidR="00EC7103" w:rsidRPr="00FE4842" w:rsidRDefault="00D2368A" w:rsidP="00CA12C8">
      <w:pPr>
        <w:spacing w:line="276" w:lineRule="auto"/>
        <w:rPr>
          <w:rFonts w:ascii="Times New Roman" w:hAnsi="Times New Roman"/>
          <w:lang w:val="en-HK"/>
        </w:rPr>
      </w:pPr>
      <w:r>
        <w:pict w14:anchorId="2DBB5229">
          <v:rect id="Horizontal Line 17"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8B606D" w14:textId="77777777" w:rsidR="00EC7103" w:rsidRPr="00FE4842" w:rsidRDefault="00EC7103"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Conclusion of the Section</w:t>
      </w:r>
    </w:p>
    <w:p w14:paraId="06FEFB23" w14:textId="77777777" w:rsidR="00EC7103" w:rsidRPr="00FE4842" w:rsidRDefault="00EC7103" w:rsidP="00CA12C8">
      <w:pPr>
        <w:numPr>
          <w:ilvl w:val="0"/>
          <w:numId w:val="2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Article 34</w:t>
      </w:r>
      <w:r w:rsidRPr="00FE4842">
        <w:rPr>
          <w:rFonts w:ascii="Times New Roman" w:hAnsi="Times New Roman"/>
          <w:lang w:val="en-HK"/>
        </w:rPr>
        <w:t xml:space="preserve"> establishes a broad prohibition on measures restricting market access, while </w:t>
      </w:r>
      <w:r w:rsidRPr="00FE4842">
        <w:rPr>
          <w:rFonts w:ascii="Times New Roman" w:hAnsi="Times New Roman"/>
          <w:b/>
          <w:bCs/>
          <w:lang w:val="en-HK"/>
        </w:rPr>
        <w:t>Article 36</w:t>
      </w:r>
      <w:r w:rsidRPr="00FE4842">
        <w:rPr>
          <w:rFonts w:ascii="Times New Roman" w:hAnsi="Times New Roman"/>
          <w:lang w:val="en-HK"/>
        </w:rPr>
        <w:t xml:space="preserve"> allows Member States to derogate for specific public interest objectives, subject to proportionality.</w:t>
      </w:r>
    </w:p>
    <w:p w14:paraId="7EF51067" w14:textId="77777777" w:rsidR="00EC7103" w:rsidRPr="00FE4842" w:rsidRDefault="00EC7103" w:rsidP="00CA12C8">
      <w:pPr>
        <w:numPr>
          <w:ilvl w:val="0"/>
          <w:numId w:val="2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In the context of MUP, the Scottish Government successfully demonstrated that the measure was a proportionate and necessary intervention to address a severe public health issue, despite its trade-restrictive effects.</w:t>
      </w:r>
    </w:p>
    <w:p w14:paraId="1A834372" w14:textId="77777777" w:rsidR="00EC7103" w:rsidRPr="00FE4842" w:rsidRDefault="00EC7103" w:rsidP="00CA12C8">
      <w:pPr>
        <w:numPr>
          <w:ilvl w:val="0"/>
          <w:numId w:val="2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underscores the difficulties of reconciling supranational trade rules with national regulatory autonomy, particularly when public health and economic freedoms are at odds.</w:t>
      </w:r>
    </w:p>
    <w:p w14:paraId="38BF21D7" w14:textId="77777777" w:rsidR="00EC7103" w:rsidRPr="00FE4842" w:rsidRDefault="00D2368A" w:rsidP="00CA12C8">
      <w:pPr>
        <w:spacing w:line="276" w:lineRule="auto"/>
        <w:rPr>
          <w:rFonts w:ascii="Times New Roman" w:hAnsi="Times New Roman"/>
          <w:lang w:val="en-HK"/>
        </w:rPr>
      </w:pPr>
      <w:r>
        <w:pict w14:anchorId="2DF5B4A2">
          <v:rect id="Horizontal Line 18" o:sp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BA3BB6" w14:textId="2B1F2127" w:rsidR="003B504C" w:rsidRPr="00FE4842" w:rsidRDefault="00FE4842"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 xml:space="preserve">4. </w:t>
      </w:r>
      <w:r w:rsidR="003B504C" w:rsidRPr="00FE4842">
        <w:rPr>
          <w:rFonts w:ascii="Times New Roman" w:hAnsi="Times New Roman"/>
          <w:b/>
          <w:bCs/>
          <w:lang w:val="en-HK"/>
        </w:rPr>
        <w:t>Proportionality in Theory and Practice</w:t>
      </w:r>
    </w:p>
    <w:p w14:paraId="7B9192ED"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Overview</w:t>
      </w:r>
    </w:p>
    <w:p w14:paraId="1ABE77D3" w14:textId="77777777" w:rsidR="003B504C" w:rsidRPr="00FE4842" w:rsidRDefault="003B504C" w:rsidP="00CA12C8">
      <w:pPr>
        <w:numPr>
          <w:ilvl w:val="0"/>
          <w:numId w:val="2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Core Principle</w:t>
      </w:r>
      <w:r w:rsidRPr="00FE4842">
        <w:rPr>
          <w:rFonts w:ascii="Times New Roman" w:hAnsi="Times New Roman"/>
          <w:lang w:val="en-HK"/>
        </w:rPr>
        <w:t>:</w:t>
      </w:r>
    </w:p>
    <w:p w14:paraId="18079885" w14:textId="77777777" w:rsidR="003B504C" w:rsidRPr="00FE4842" w:rsidRDefault="003B504C" w:rsidP="00CA12C8">
      <w:pPr>
        <w:numPr>
          <w:ilvl w:val="1"/>
          <w:numId w:val="2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Proportionality serves as the primary legal tool for assessing the compatibility of public interest justifications under </w:t>
      </w:r>
      <w:r w:rsidRPr="00FE4842">
        <w:rPr>
          <w:rFonts w:ascii="Times New Roman" w:hAnsi="Times New Roman"/>
          <w:b/>
          <w:bCs/>
          <w:lang w:val="en-HK"/>
        </w:rPr>
        <w:t>Article 36 TFEU</w:t>
      </w:r>
      <w:r w:rsidRPr="00FE4842">
        <w:rPr>
          <w:rFonts w:ascii="Times New Roman" w:hAnsi="Times New Roman"/>
          <w:lang w:val="en-HK"/>
        </w:rPr>
        <w:t xml:space="preserve"> with the principles of free movement under </w:t>
      </w:r>
      <w:r w:rsidRPr="00FE4842">
        <w:rPr>
          <w:rFonts w:ascii="Times New Roman" w:hAnsi="Times New Roman"/>
          <w:b/>
          <w:bCs/>
          <w:lang w:val="en-HK"/>
        </w:rPr>
        <w:t>Article 34 TFEU</w:t>
      </w:r>
      <w:r w:rsidRPr="00FE4842">
        <w:rPr>
          <w:rFonts w:ascii="Times New Roman" w:hAnsi="Times New Roman"/>
          <w:lang w:val="en-HK"/>
        </w:rPr>
        <w:t>.</w:t>
      </w:r>
    </w:p>
    <w:p w14:paraId="7672E900" w14:textId="77777777" w:rsidR="003B504C" w:rsidRPr="00FE4842" w:rsidRDefault="003B504C" w:rsidP="00CA12C8">
      <w:pPr>
        <w:numPr>
          <w:ilvl w:val="1"/>
          <w:numId w:val="2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principle ensures that any restriction on trade is appropriate, necessary, and balanced in achieving its public interest objective.</w:t>
      </w:r>
    </w:p>
    <w:p w14:paraId="3161982A" w14:textId="77777777" w:rsidR="003B504C" w:rsidRPr="00FE4842" w:rsidRDefault="003B504C" w:rsidP="00CA12C8">
      <w:pPr>
        <w:numPr>
          <w:ilvl w:val="0"/>
          <w:numId w:val="2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Argument</w:t>
      </w:r>
      <w:r w:rsidRPr="00FE4842">
        <w:rPr>
          <w:rFonts w:ascii="Times New Roman" w:hAnsi="Times New Roman"/>
          <w:lang w:val="en-HK"/>
        </w:rPr>
        <w:t>:</w:t>
      </w:r>
    </w:p>
    <w:p w14:paraId="08176425" w14:textId="77777777" w:rsidR="003B504C" w:rsidRPr="00FE4842" w:rsidRDefault="003B504C" w:rsidP="00CA12C8">
      <w:pPr>
        <w:numPr>
          <w:ilvl w:val="1"/>
          <w:numId w:val="2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Dunne explores how proportionality operates as both a theoretical construct and a practical judicial test, highlighting challenges in balancing public health and economic freedoms.</w:t>
      </w:r>
    </w:p>
    <w:p w14:paraId="04698D9A" w14:textId="77777777" w:rsidR="003B504C" w:rsidRPr="00FE4842" w:rsidRDefault="00D2368A" w:rsidP="00CA12C8">
      <w:pPr>
        <w:spacing w:line="276" w:lineRule="auto"/>
        <w:rPr>
          <w:rFonts w:ascii="Times New Roman" w:hAnsi="Times New Roman"/>
          <w:lang w:val="en-HK"/>
        </w:rPr>
      </w:pPr>
      <w:r>
        <w:pict w14:anchorId="61731420">
          <v:rect id="Horizontal Line 19"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69FC39"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1. The Proportionality Test: Theoretical Framework</w:t>
      </w:r>
    </w:p>
    <w:p w14:paraId="5CFE0826"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Three Elements of Proportionality</w:t>
      </w:r>
    </w:p>
    <w:p w14:paraId="188B73CC" w14:textId="77777777" w:rsidR="003B504C" w:rsidRPr="00FE4842" w:rsidRDefault="003B504C" w:rsidP="00CA12C8">
      <w:pPr>
        <w:numPr>
          <w:ilvl w:val="0"/>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Suitability</w:t>
      </w:r>
      <w:r w:rsidRPr="00FE4842">
        <w:rPr>
          <w:rFonts w:ascii="Times New Roman" w:hAnsi="Times New Roman"/>
          <w:lang w:val="en-HK"/>
        </w:rPr>
        <w:t>:</w:t>
      </w:r>
    </w:p>
    <w:p w14:paraId="38E6125B"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measure must be appropriate for achieving the stated objective.</w:t>
      </w:r>
    </w:p>
    <w:p w14:paraId="6D5AFE34"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Legal Basis</w:t>
      </w:r>
      <w:r w:rsidRPr="00FE4842">
        <w:rPr>
          <w:rFonts w:ascii="Times New Roman" w:hAnsi="Times New Roman"/>
          <w:lang w:val="en-HK"/>
        </w:rPr>
        <w:t>:</w:t>
      </w:r>
    </w:p>
    <w:p w14:paraId="56D7063A" w14:textId="77777777" w:rsidR="003B504C" w:rsidRPr="00FE4842" w:rsidRDefault="003B504C" w:rsidP="00CA12C8">
      <w:pPr>
        <w:numPr>
          <w:ilvl w:val="2"/>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Article 36 TFEU requires that public interest justifications align with legitimate objectives such as public health or safety.</w:t>
      </w:r>
    </w:p>
    <w:p w14:paraId="1216CA25"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Judicial Precedent</w:t>
      </w:r>
      <w:r w:rsidRPr="00FE4842">
        <w:rPr>
          <w:rFonts w:ascii="Times New Roman" w:hAnsi="Times New Roman"/>
          <w:lang w:val="en-HK"/>
        </w:rPr>
        <w:t>:</w:t>
      </w:r>
    </w:p>
    <w:p w14:paraId="0F55B693" w14:textId="77777777" w:rsidR="003B504C" w:rsidRPr="00FE4842" w:rsidRDefault="003B504C" w:rsidP="00CA12C8">
      <w:pPr>
        <w:numPr>
          <w:ilvl w:val="2"/>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In </w:t>
      </w:r>
      <w:proofErr w:type="spellStart"/>
      <w:r w:rsidRPr="00FE4842">
        <w:rPr>
          <w:rFonts w:ascii="Times New Roman" w:hAnsi="Times New Roman"/>
          <w:i/>
          <w:iCs/>
          <w:lang w:val="en-HK"/>
        </w:rPr>
        <w:t>Bluhme</w:t>
      </w:r>
      <w:proofErr w:type="spellEnd"/>
      <w:r w:rsidRPr="00FE4842">
        <w:rPr>
          <w:rFonts w:ascii="Times New Roman" w:hAnsi="Times New Roman"/>
          <w:i/>
          <w:iCs/>
          <w:lang w:val="en-HK"/>
        </w:rPr>
        <w:t xml:space="preserve"> (Case C-67/97)</w:t>
      </w:r>
      <w:r w:rsidRPr="00FE4842">
        <w:rPr>
          <w:rFonts w:ascii="Times New Roman" w:hAnsi="Times New Roman"/>
          <w:lang w:val="en-HK"/>
        </w:rPr>
        <w:t xml:space="preserve">, Denmark’s ban on importing non-native bees was upheld as suitable for preserving biodiversity on the island of </w:t>
      </w:r>
      <w:proofErr w:type="spellStart"/>
      <w:r w:rsidRPr="00FE4842">
        <w:rPr>
          <w:rFonts w:ascii="Times New Roman" w:hAnsi="Times New Roman"/>
          <w:lang w:val="en-HK"/>
        </w:rPr>
        <w:t>Læsø</w:t>
      </w:r>
      <w:proofErr w:type="spellEnd"/>
      <w:r w:rsidRPr="00FE4842">
        <w:rPr>
          <w:rFonts w:ascii="Times New Roman" w:hAnsi="Times New Roman"/>
          <w:lang w:val="en-HK"/>
        </w:rPr>
        <w:t>.</w:t>
      </w:r>
    </w:p>
    <w:p w14:paraId="6649E3AA" w14:textId="77777777" w:rsidR="003B504C" w:rsidRPr="00FE4842" w:rsidRDefault="003B504C" w:rsidP="00CA12C8">
      <w:pPr>
        <w:numPr>
          <w:ilvl w:val="0"/>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Necessity</w:t>
      </w:r>
      <w:r w:rsidRPr="00FE4842">
        <w:rPr>
          <w:rFonts w:ascii="Times New Roman" w:hAnsi="Times New Roman"/>
          <w:lang w:val="en-HK"/>
        </w:rPr>
        <w:t>:</w:t>
      </w:r>
    </w:p>
    <w:p w14:paraId="3BAFEECA"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measure must be the least restrictive means of achieving the objective.</w:t>
      </w:r>
    </w:p>
    <w:p w14:paraId="676882CA"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Judicial Emphasis</w:t>
      </w:r>
      <w:r w:rsidRPr="00FE4842">
        <w:rPr>
          <w:rFonts w:ascii="Times New Roman" w:hAnsi="Times New Roman"/>
          <w:lang w:val="en-HK"/>
        </w:rPr>
        <w:t>:</w:t>
      </w:r>
    </w:p>
    <w:p w14:paraId="2F6E5D32" w14:textId="77777777" w:rsidR="003B504C" w:rsidRPr="00FE4842" w:rsidRDefault="003B504C" w:rsidP="00CA12C8">
      <w:pPr>
        <w:numPr>
          <w:ilvl w:val="2"/>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necessity test is central to proportionality, requiring Member States to prove that no less trade-restrictive alternatives exist.</w:t>
      </w:r>
    </w:p>
    <w:p w14:paraId="37FA0A87" w14:textId="77777777" w:rsidR="003B504C" w:rsidRPr="00FE4842" w:rsidRDefault="003B504C" w:rsidP="00CA12C8">
      <w:pPr>
        <w:numPr>
          <w:ilvl w:val="2"/>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 xml:space="preserve">In </w:t>
      </w:r>
      <w:r w:rsidRPr="00FE4842">
        <w:rPr>
          <w:rFonts w:ascii="Times New Roman" w:hAnsi="Times New Roman"/>
          <w:i/>
          <w:iCs/>
          <w:lang w:val="en-HK"/>
        </w:rPr>
        <w:t>Decker (Case C-120/95)</w:t>
      </w:r>
      <w:r w:rsidRPr="00FE4842">
        <w:rPr>
          <w:rFonts w:ascii="Times New Roman" w:hAnsi="Times New Roman"/>
          <w:lang w:val="en-HK"/>
        </w:rPr>
        <w:t>, the CJEU invalidated Luxembourg’s restriction on healthcare reimbursement, as less restrictive measures could achieve the same goal.</w:t>
      </w:r>
    </w:p>
    <w:p w14:paraId="0E729BD6" w14:textId="77777777" w:rsidR="003B504C" w:rsidRPr="00FE4842" w:rsidRDefault="003B504C" w:rsidP="00CA12C8">
      <w:pPr>
        <w:numPr>
          <w:ilvl w:val="0"/>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in the Narrow Sense</w:t>
      </w:r>
      <w:r w:rsidRPr="00FE4842">
        <w:rPr>
          <w:rFonts w:ascii="Times New Roman" w:hAnsi="Times New Roman"/>
          <w:lang w:val="en-HK"/>
        </w:rPr>
        <w:t>:</w:t>
      </w:r>
    </w:p>
    <w:p w14:paraId="5DD11C75"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measure’s benefits must outweigh its trade-restrictive effects.</w:t>
      </w:r>
    </w:p>
    <w:p w14:paraId="3A3DABCA" w14:textId="77777777" w:rsidR="003B504C" w:rsidRPr="00FE4842" w:rsidRDefault="003B504C" w:rsidP="00CA12C8">
      <w:pPr>
        <w:numPr>
          <w:ilvl w:val="1"/>
          <w:numId w:val="2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Balancing Competing Interests</w:t>
      </w:r>
      <w:r w:rsidRPr="00FE4842">
        <w:rPr>
          <w:rFonts w:ascii="Times New Roman" w:hAnsi="Times New Roman"/>
          <w:lang w:val="en-HK"/>
        </w:rPr>
        <w:t>:</w:t>
      </w:r>
    </w:p>
    <w:p w14:paraId="6AF444D0" w14:textId="77777777" w:rsidR="003B504C" w:rsidRPr="00FE4842" w:rsidRDefault="003B504C" w:rsidP="00CA12C8">
      <w:pPr>
        <w:numPr>
          <w:ilvl w:val="2"/>
          <w:numId w:val="2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Courts weigh the public interest objective against the disruption to the internal market, often involving subjective judgment.</w:t>
      </w:r>
    </w:p>
    <w:p w14:paraId="3800D700"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Critiques of Proportionality as a Concept</w:t>
      </w:r>
    </w:p>
    <w:p w14:paraId="1344E302" w14:textId="77777777" w:rsidR="003B504C" w:rsidRPr="00FE4842" w:rsidRDefault="003B504C" w:rsidP="00CA12C8">
      <w:pPr>
        <w:numPr>
          <w:ilvl w:val="0"/>
          <w:numId w:val="3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proportionality principle has been criticized for its inherent subjectivity and the difficulty of comparing </w:t>
      </w:r>
      <w:r w:rsidRPr="00FE4842">
        <w:rPr>
          <w:rFonts w:ascii="Times New Roman" w:hAnsi="Times New Roman"/>
          <w:b/>
          <w:bCs/>
          <w:lang w:val="en-HK"/>
        </w:rPr>
        <w:t>incommensurable values</w:t>
      </w:r>
      <w:r w:rsidRPr="00FE4842">
        <w:rPr>
          <w:rFonts w:ascii="Times New Roman" w:hAnsi="Times New Roman"/>
          <w:lang w:val="en-HK"/>
        </w:rPr>
        <w:t>, such as public health and economic freedoms.</w:t>
      </w:r>
    </w:p>
    <w:p w14:paraId="54C58C8E" w14:textId="77777777" w:rsidR="003B504C" w:rsidRPr="00FE4842" w:rsidRDefault="003B504C" w:rsidP="00CA12C8">
      <w:pPr>
        <w:numPr>
          <w:ilvl w:val="0"/>
          <w:numId w:val="3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Dunne’s Argument</w:t>
      </w:r>
      <w:r w:rsidRPr="00FE4842">
        <w:rPr>
          <w:rFonts w:ascii="Times New Roman" w:hAnsi="Times New Roman"/>
          <w:lang w:val="en-HK"/>
        </w:rPr>
        <w:t>:</w:t>
      </w:r>
    </w:p>
    <w:p w14:paraId="39AE12B5" w14:textId="77777777" w:rsidR="003B504C" w:rsidRPr="00FE4842" w:rsidRDefault="003B504C" w:rsidP="00CA12C8">
      <w:pPr>
        <w:numPr>
          <w:ilvl w:val="1"/>
          <w:numId w:val="3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balancing process required by proportionality often masks deeper policy judgments, making it a flawed but necessary tool for adjudicating trade and regulatory conflicts.”</w:t>
      </w:r>
    </w:p>
    <w:p w14:paraId="66106B8A"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0B4D7157">
          <v:rect id="_x0000_i1042" alt="" style="width:451.3pt;height:.05pt;mso-width-percent:0;mso-height-percent:0;mso-width-percent:0;mso-height-percent:0" o:hralign="center" o:hrstd="t" o:hr="t" fillcolor="#a0a0a0" stroked="f"/>
        </w:pict>
      </w:r>
    </w:p>
    <w:p w14:paraId="1EFA7968"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2. Proportionality in Practice: The Role of Evidence</w:t>
      </w:r>
    </w:p>
    <w:p w14:paraId="0A105051"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Empirical Focus in Judicial Assessment</w:t>
      </w:r>
    </w:p>
    <w:p w14:paraId="2EE5FC7B" w14:textId="77777777" w:rsidR="003B504C" w:rsidRPr="00FE4842" w:rsidRDefault="003B504C" w:rsidP="00CA12C8">
      <w:pPr>
        <w:numPr>
          <w:ilvl w:val="0"/>
          <w:numId w:val="3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Evidence is crucial for establishing that a measure satisfies the proportionality test. Courts demand:</w:t>
      </w:r>
    </w:p>
    <w:p w14:paraId="4813D858" w14:textId="77777777" w:rsidR="003B504C" w:rsidRPr="00FE4842" w:rsidRDefault="003B504C" w:rsidP="00CA12C8">
      <w:pPr>
        <w:numPr>
          <w:ilvl w:val="1"/>
          <w:numId w:val="3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Data demonstrating the measure’s effectiveness in achieving its objective.</w:t>
      </w:r>
    </w:p>
    <w:p w14:paraId="3C5F83C2" w14:textId="77777777" w:rsidR="003B504C" w:rsidRPr="00FE4842" w:rsidRDefault="003B504C" w:rsidP="00CA12C8">
      <w:pPr>
        <w:numPr>
          <w:ilvl w:val="1"/>
          <w:numId w:val="3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Comparative evidence showing that no less restrictive alternatives are available.</w:t>
      </w:r>
    </w:p>
    <w:p w14:paraId="374E7082" w14:textId="77777777" w:rsidR="003B504C" w:rsidRPr="00FE4842" w:rsidRDefault="003B504C" w:rsidP="00CA12C8">
      <w:pPr>
        <w:numPr>
          <w:ilvl w:val="0"/>
          <w:numId w:val="3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Case Examples</w:t>
      </w:r>
      <w:r w:rsidRPr="00FE4842">
        <w:rPr>
          <w:rFonts w:ascii="Times New Roman" w:hAnsi="Times New Roman"/>
          <w:lang w:val="en-HK"/>
        </w:rPr>
        <w:t>:</w:t>
      </w:r>
    </w:p>
    <w:p w14:paraId="573F0C8F" w14:textId="77777777" w:rsidR="003B504C" w:rsidRPr="00FE4842" w:rsidRDefault="003B504C" w:rsidP="00CA12C8">
      <w:pPr>
        <w:numPr>
          <w:ilvl w:val="1"/>
          <w:numId w:val="3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In </w:t>
      </w:r>
      <w:r w:rsidRPr="00FE4842">
        <w:rPr>
          <w:rFonts w:ascii="Times New Roman" w:hAnsi="Times New Roman"/>
          <w:i/>
          <w:iCs/>
          <w:lang w:val="en-HK"/>
        </w:rPr>
        <w:t>Scotch Whisky Association v. Lord Advocate</w:t>
      </w:r>
      <w:r w:rsidRPr="00FE4842">
        <w:rPr>
          <w:rFonts w:ascii="Times New Roman" w:hAnsi="Times New Roman"/>
          <w:lang w:val="en-HK"/>
        </w:rPr>
        <w:t>, Scotland presented public health studies showing that MUP would significantly reduce alcohol-related harms among hazardous drinkers.</w:t>
      </w:r>
    </w:p>
    <w:p w14:paraId="28D1A1EB"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CJEU’s Application of Proportionality</w:t>
      </w:r>
    </w:p>
    <w:p w14:paraId="0D3D714B" w14:textId="77777777" w:rsidR="003B504C" w:rsidRPr="00FE4842" w:rsidRDefault="003B504C" w:rsidP="00CA12C8">
      <w:pPr>
        <w:numPr>
          <w:ilvl w:val="0"/>
          <w:numId w:val="3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CJEU’s Preliminary Ruling</w:t>
      </w:r>
      <w:r w:rsidRPr="00FE4842">
        <w:rPr>
          <w:rFonts w:ascii="Times New Roman" w:hAnsi="Times New Roman"/>
          <w:lang w:val="en-HK"/>
        </w:rPr>
        <w:t>:</w:t>
      </w:r>
    </w:p>
    <w:p w14:paraId="092FF136" w14:textId="77777777" w:rsidR="003B504C" w:rsidRPr="00FE4842" w:rsidRDefault="003B504C" w:rsidP="00CA12C8">
      <w:pPr>
        <w:numPr>
          <w:ilvl w:val="1"/>
          <w:numId w:val="3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recognized MUP as suitable for reducing alcohol-related harms but questioned its necessity.</w:t>
      </w:r>
    </w:p>
    <w:p w14:paraId="0F45697B" w14:textId="77777777" w:rsidR="003B504C" w:rsidRPr="00FE4842" w:rsidRDefault="003B504C" w:rsidP="00CA12C8">
      <w:pPr>
        <w:numPr>
          <w:ilvl w:val="1"/>
          <w:numId w:val="3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It suggested that </w:t>
      </w:r>
      <w:r w:rsidRPr="00FE4842">
        <w:rPr>
          <w:rFonts w:ascii="Times New Roman" w:hAnsi="Times New Roman"/>
          <w:b/>
          <w:bCs/>
          <w:lang w:val="en-HK"/>
        </w:rPr>
        <w:t>increased taxation</w:t>
      </w:r>
      <w:r w:rsidRPr="00FE4842">
        <w:rPr>
          <w:rFonts w:ascii="Times New Roman" w:hAnsi="Times New Roman"/>
          <w:lang w:val="en-HK"/>
        </w:rPr>
        <w:t xml:space="preserve"> could achieve similar outcomes with fewer trade restrictions.</w:t>
      </w:r>
    </w:p>
    <w:p w14:paraId="74EC4462" w14:textId="77777777" w:rsidR="003B504C" w:rsidRPr="00FE4842" w:rsidRDefault="003B504C" w:rsidP="00CA12C8">
      <w:pPr>
        <w:numPr>
          <w:ilvl w:val="1"/>
          <w:numId w:val="3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2708665A" w14:textId="77777777" w:rsidR="003B504C" w:rsidRPr="00FE4842" w:rsidRDefault="003B504C" w:rsidP="00CA12C8">
      <w:pPr>
        <w:numPr>
          <w:ilvl w:val="2"/>
          <w:numId w:val="3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The CJEU’s preference for taxation overlooked Scotland’s devolved governance constraints, where direct control over alcohol taxation was limited.</w:t>
      </w:r>
    </w:p>
    <w:p w14:paraId="084B6330"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UK Supreme Court’s Divergent Approach</w:t>
      </w:r>
    </w:p>
    <w:p w14:paraId="4F28EFC5" w14:textId="77777777" w:rsidR="003B504C" w:rsidRPr="00FE4842" w:rsidRDefault="003B504C" w:rsidP="00CA12C8">
      <w:pPr>
        <w:numPr>
          <w:ilvl w:val="0"/>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UK Supreme Court applied proportionality differently, emphasizing Scotland’s localized public health context:</w:t>
      </w:r>
    </w:p>
    <w:p w14:paraId="70832F68" w14:textId="77777777" w:rsidR="003B504C" w:rsidRPr="00FE4842" w:rsidRDefault="003B504C" w:rsidP="00CA12C8">
      <w:pPr>
        <w:numPr>
          <w:ilvl w:val="1"/>
          <w:numId w:val="3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Suitability</w:t>
      </w:r>
      <w:r w:rsidRPr="00FE4842">
        <w:rPr>
          <w:rFonts w:ascii="Times New Roman" w:hAnsi="Times New Roman"/>
          <w:lang w:val="en-HK"/>
        </w:rPr>
        <w:t>:</w:t>
      </w:r>
    </w:p>
    <w:p w14:paraId="73BE96A0" w14:textId="77777777" w:rsidR="003B504C" w:rsidRPr="00FE4842" w:rsidRDefault="003B504C" w:rsidP="00CA12C8">
      <w:pPr>
        <w:numPr>
          <w:ilvl w:val="2"/>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found MUP appropriate for reducing hazardous drinking, particularly among heavy drinkers who consume high-strength, low-cost alcohol.</w:t>
      </w:r>
    </w:p>
    <w:p w14:paraId="71A55CE7" w14:textId="77777777" w:rsidR="003B504C" w:rsidRPr="00FE4842" w:rsidRDefault="003B504C" w:rsidP="00CA12C8">
      <w:pPr>
        <w:numPr>
          <w:ilvl w:val="1"/>
          <w:numId w:val="3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Necessity</w:t>
      </w:r>
      <w:r w:rsidRPr="00FE4842">
        <w:rPr>
          <w:rFonts w:ascii="Times New Roman" w:hAnsi="Times New Roman"/>
          <w:lang w:val="en-HK"/>
        </w:rPr>
        <w:t>:</w:t>
      </w:r>
    </w:p>
    <w:p w14:paraId="6FE9EF98" w14:textId="77777777" w:rsidR="003B504C" w:rsidRPr="00FE4842" w:rsidRDefault="003B504C" w:rsidP="00CA12C8">
      <w:pPr>
        <w:numPr>
          <w:ilvl w:val="2"/>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rejected taxation as a viable alternative, noting that:</w:t>
      </w:r>
    </w:p>
    <w:p w14:paraId="7C9986C9" w14:textId="77777777" w:rsidR="003B504C" w:rsidRPr="00FE4842" w:rsidRDefault="003B504C" w:rsidP="00CA12C8">
      <w:pPr>
        <w:numPr>
          <w:ilvl w:val="3"/>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Taxation lacks the precision of MUP in targeting cheap alcohol.</w:t>
      </w:r>
    </w:p>
    <w:p w14:paraId="28D4D4DE" w14:textId="77777777" w:rsidR="003B504C" w:rsidRPr="00FE4842" w:rsidRDefault="003B504C" w:rsidP="00CA12C8">
      <w:pPr>
        <w:numPr>
          <w:ilvl w:val="3"/>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Taxation would affect all consumers, including moderate drinkers, making it less proportionate.</w:t>
      </w:r>
    </w:p>
    <w:p w14:paraId="07F70844" w14:textId="77777777" w:rsidR="003B504C" w:rsidRPr="00FE4842" w:rsidRDefault="003B504C" w:rsidP="00CA12C8">
      <w:pPr>
        <w:numPr>
          <w:ilvl w:val="1"/>
          <w:numId w:val="3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in the Narrow Sense</w:t>
      </w:r>
      <w:r w:rsidRPr="00FE4842">
        <w:rPr>
          <w:rFonts w:ascii="Times New Roman" w:hAnsi="Times New Roman"/>
          <w:lang w:val="en-HK"/>
        </w:rPr>
        <w:t>:</w:t>
      </w:r>
    </w:p>
    <w:p w14:paraId="2B04D459" w14:textId="77777777" w:rsidR="003B504C" w:rsidRPr="00FE4842" w:rsidRDefault="003B504C" w:rsidP="00CA12C8">
      <w:pPr>
        <w:numPr>
          <w:ilvl w:val="2"/>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concluded that the health benefits of MUP outweighed its trade-restrictive effects.</w:t>
      </w:r>
    </w:p>
    <w:p w14:paraId="73532449" w14:textId="77777777" w:rsidR="003B504C" w:rsidRPr="00FE4842" w:rsidRDefault="003B504C" w:rsidP="00CA12C8">
      <w:pPr>
        <w:numPr>
          <w:ilvl w:val="2"/>
          <w:numId w:val="3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 xml:space="preserve">Lord </w:t>
      </w:r>
      <w:proofErr w:type="spellStart"/>
      <w:r w:rsidRPr="00FE4842">
        <w:rPr>
          <w:rFonts w:ascii="Times New Roman" w:hAnsi="Times New Roman"/>
          <w:b/>
          <w:bCs/>
          <w:lang w:val="en-HK"/>
        </w:rPr>
        <w:t>Mance’s</w:t>
      </w:r>
      <w:proofErr w:type="spellEnd"/>
      <w:r w:rsidRPr="00FE4842">
        <w:rPr>
          <w:rFonts w:ascii="Times New Roman" w:hAnsi="Times New Roman"/>
          <w:b/>
          <w:bCs/>
          <w:lang w:val="en-HK"/>
        </w:rPr>
        <w:t xml:space="preserve"> Judgment</w:t>
      </w:r>
      <w:r w:rsidRPr="00FE4842">
        <w:rPr>
          <w:rFonts w:ascii="Times New Roman" w:hAnsi="Times New Roman"/>
          <w:lang w:val="en-HK"/>
        </w:rPr>
        <w:t>:</w:t>
      </w:r>
    </w:p>
    <w:p w14:paraId="57A3E912" w14:textId="77777777" w:rsidR="003B504C" w:rsidRPr="00FE4842" w:rsidRDefault="003B504C" w:rsidP="00CA12C8">
      <w:pPr>
        <w:numPr>
          <w:ilvl w:val="3"/>
          <w:numId w:val="3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balancing of interests must consider the unique circumstances and constraints of the policymaking process, particularly when addressing urgent public health concerns.”</w:t>
      </w:r>
    </w:p>
    <w:p w14:paraId="46314E9A" w14:textId="77777777" w:rsidR="003B504C" w:rsidRPr="00FE4842" w:rsidRDefault="00D2368A" w:rsidP="00CA12C8">
      <w:pPr>
        <w:spacing w:line="276" w:lineRule="auto"/>
        <w:rPr>
          <w:rFonts w:ascii="Times New Roman" w:hAnsi="Times New Roman"/>
          <w:lang w:val="en-HK"/>
        </w:rPr>
      </w:pPr>
      <w:r>
        <w:pict w14:anchorId="5C9037DB">
          <v:rect id="Horizontal Line 21"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A13578"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3. Challenges in Applying Proportionality</w:t>
      </w:r>
    </w:p>
    <w:p w14:paraId="7F8D4064"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Incommensurability of Public Health and Economic Freedoms</w:t>
      </w:r>
    </w:p>
    <w:p w14:paraId="68EC29A5" w14:textId="77777777" w:rsidR="003B504C" w:rsidRPr="00FE4842" w:rsidRDefault="003B504C" w:rsidP="00CA12C8">
      <w:pPr>
        <w:numPr>
          <w:ilvl w:val="0"/>
          <w:numId w:val="3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requires courts to compare fundamentally different values, such as public health benefits and market access.</w:t>
      </w:r>
    </w:p>
    <w:p w14:paraId="47069FBE" w14:textId="77777777" w:rsidR="003B504C" w:rsidRPr="00FE4842" w:rsidRDefault="003B504C" w:rsidP="00CA12C8">
      <w:pPr>
        <w:numPr>
          <w:ilvl w:val="0"/>
          <w:numId w:val="3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Observation</w:t>
      </w:r>
      <w:r w:rsidRPr="00FE4842">
        <w:rPr>
          <w:rFonts w:ascii="Times New Roman" w:hAnsi="Times New Roman"/>
          <w:lang w:val="en-HK"/>
        </w:rPr>
        <w:t>:</w:t>
      </w:r>
    </w:p>
    <w:p w14:paraId="642B1F14" w14:textId="77777777" w:rsidR="003B504C" w:rsidRPr="00FE4842" w:rsidRDefault="003B504C" w:rsidP="00CA12C8">
      <w:pPr>
        <w:numPr>
          <w:ilvl w:val="1"/>
          <w:numId w:val="3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“Public health and economic freedoms are essentially incomparable, yet EU law compels their reconciliation through the proportionality framework.”</w:t>
      </w:r>
    </w:p>
    <w:p w14:paraId="6554210C"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Judicial Overreach</w:t>
      </w:r>
    </w:p>
    <w:p w14:paraId="6784C0F1" w14:textId="77777777" w:rsidR="003B504C" w:rsidRPr="00FE4842" w:rsidRDefault="003B504C" w:rsidP="00CA12C8">
      <w:pPr>
        <w:numPr>
          <w:ilvl w:val="0"/>
          <w:numId w:val="3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necessity test often involves subjective judgments about the adequacy of alternatives, leading to concerns about judicial overreach into policymaking domains.</w:t>
      </w:r>
    </w:p>
    <w:p w14:paraId="6AEAD9DB" w14:textId="77777777" w:rsidR="003B504C" w:rsidRPr="00FE4842" w:rsidRDefault="003B504C" w:rsidP="00CA12C8">
      <w:pPr>
        <w:numPr>
          <w:ilvl w:val="0"/>
          <w:numId w:val="3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Example</w:t>
      </w:r>
      <w:r w:rsidRPr="00FE4842">
        <w:rPr>
          <w:rFonts w:ascii="Times New Roman" w:hAnsi="Times New Roman"/>
          <w:lang w:val="en-HK"/>
        </w:rPr>
        <w:t>:</w:t>
      </w:r>
    </w:p>
    <w:p w14:paraId="4EB48D82" w14:textId="77777777" w:rsidR="003B504C" w:rsidRPr="00FE4842" w:rsidRDefault="003B504C" w:rsidP="00CA12C8">
      <w:pPr>
        <w:numPr>
          <w:ilvl w:val="1"/>
          <w:numId w:val="3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In </w:t>
      </w:r>
      <w:r w:rsidRPr="00FE4842">
        <w:rPr>
          <w:rFonts w:ascii="Times New Roman" w:hAnsi="Times New Roman"/>
          <w:i/>
          <w:iCs/>
          <w:lang w:val="en-HK"/>
        </w:rPr>
        <w:t>Italian Trailers (Case C-110/05)</w:t>
      </w:r>
      <w:r w:rsidRPr="00FE4842">
        <w:rPr>
          <w:rFonts w:ascii="Times New Roman" w:hAnsi="Times New Roman"/>
          <w:lang w:val="en-HK"/>
        </w:rPr>
        <w:t>, the CJEU upheld Italy’s road safety measure but faced criticism for second-guessing national policy priorities.</w:t>
      </w:r>
    </w:p>
    <w:p w14:paraId="7FA5A417"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lastRenderedPageBreak/>
        <w:t>Evidentiary Burden on Member States</w:t>
      </w:r>
    </w:p>
    <w:p w14:paraId="10950DD4" w14:textId="77777777" w:rsidR="003B504C" w:rsidRPr="00FE4842" w:rsidRDefault="003B504C" w:rsidP="00CA12C8">
      <w:pPr>
        <w:numPr>
          <w:ilvl w:val="0"/>
          <w:numId w:val="3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places significant evidentiary demands on Member States, requiring detailed data and projections to justify public interest measures.</w:t>
      </w:r>
    </w:p>
    <w:p w14:paraId="41404114" w14:textId="77777777" w:rsidR="003B504C" w:rsidRPr="00FE4842" w:rsidRDefault="003B504C" w:rsidP="00CA12C8">
      <w:pPr>
        <w:numPr>
          <w:ilvl w:val="0"/>
          <w:numId w:val="3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Critique</w:t>
      </w:r>
      <w:r w:rsidRPr="00FE4842">
        <w:rPr>
          <w:rFonts w:ascii="Times New Roman" w:hAnsi="Times New Roman"/>
          <w:lang w:val="en-HK"/>
        </w:rPr>
        <w:t>:</w:t>
      </w:r>
    </w:p>
    <w:p w14:paraId="590D658B" w14:textId="77777777" w:rsidR="003B504C" w:rsidRPr="00FE4842" w:rsidRDefault="003B504C" w:rsidP="00CA12C8">
      <w:pPr>
        <w:numPr>
          <w:ilvl w:val="1"/>
          <w:numId w:val="3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This burden can disadvantage smaller or less-resourced governments, as seen in </w:t>
      </w:r>
      <w:proofErr w:type="spellStart"/>
      <w:r w:rsidRPr="00FE4842">
        <w:rPr>
          <w:rFonts w:ascii="Times New Roman" w:hAnsi="Times New Roman"/>
          <w:i/>
          <w:iCs/>
          <w:lang w:val="en-HK"/>
        </w:rPr>
        <w:t>Fachverband</w:t>
      </w:r>
      <w:proofErr w:type="spellEnd"/>
      <w:r w:rsidRPr="00FE4842">
        <w:rPr>
          <w:rFonts w:ascii="Times New Roman" w:hAnsi="Times New Roman"/>
          <w:i/>
          <w:iCs/>
          <w:lang w:val="en-HK"/>
        </w:rPr>
        <w:t xml:space="preserve"> der Buch- und </w:t>
      </w:r>
      <w:proofErr w:type="spellStart"/>
      <w:r w:rsidRPr="00FE4842">
        <w:rPr>
          <w:rFonts w:ascii="Times New Roman" w:hAnsi="Times New Roman"/>
          <w:i/>
          <w:iCs/>
          <w:lang w:val="en-HK"/>
        </w:rPr>
        <w:t>Medienwirtschaft</w:t>
      </w:r>
      <w:proofErr w:type="spellEnd"/>
      <w:r w:rsidRPr="00FE4842">
        <w:rPr>
          <w:rFonts w:ascii="Times New Roman" w:hAnsi="Times New Roman"/>
          <w:lang w:val="en-HK"/>
        </w:rPr>
        <w:t>.</w:t>
      </w:r>
    </w:p>
    <w:p w14:paraId="71FD780F" w14:textId="77777777" w:rsidR="003B504C" w:rsidRPr="00FE4842" w:rsidRDefault="00D2368A" w:rsidP="00CA12C8">
      <w:pPr>
        <w:spacing w:line="276" w:lineRule="auto"/>
        <w:rPr>
          <w:rFonts w:ascii="Times New Roman" w:hAnsi="Times New Roman"/>
          <w:lang w:val="en-HK"/>
        </w:rPr>
      </w:pPr>
      <w:r>
        <w:pict w14:anchorId="15F87B81">
          <v:rect id="Horizontal Line 22"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F3CD3D"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4. Broader Implications for EU Law</w:t>
      </w:r>
    </w:p>
    <w:p w14:paraId="5B156551"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Balancing Local Autonomy and Market Integration</w:t>
      </w:r>
    </w:p>
    <w:p w14:paraId="5EDCAB31" w14:textId="77777777" w:rsidR="003B504C" w:rsidRPr="00FE4842" w:rsidRDefault="003B504C" w:rsidP="00CA12C8">
      <w:pPr>
        <w:numPr>
          <w:ilvl w:val="0"/>
          <w:numId w:val="3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reflects the tension between EU market integration and Member States’ regulatory autonomy.</w:t>
      </w:r>
    </w:p>
    <w:p w14:paraId="52A05DAD" w14:textId="77777777" w:rsidR="003B504C" w:rsidRPr="00FE4842" w:rsidRDefault="003B504C" w:rsidP="00CA12C8">
      <w:pPr>
        <w:numPr>
          <w:ilvl w:val="0"/>
          <w:numId w:val="3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In the Scotch Whisky case, the UK Supreme Court prioritized Scotland’s policy autonomy, diverging from the CJEU’s market-focused perspective.</w:t>
      </w:r>
    </w:p>
    <w:p w14:paraId="6D369EBF" w14:textId="77777777" w:rsidR="003B504C" w:rsidRPr="00FE4842" w:rsidRDefault="003B504C" w:rsidP="00CA12C8">
      <w:pPr>
        <w:numPr>
          <w:ilvl w:val="0"/>
          <w:numId w:val="3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6374EA9D" w14:textId="77777777" w:rsidR="003B504C" w:rsidRPr="00FE4842" w:rsidRDefault="003B504C" w:rsidP="00CA12C8">
      <w:pPr>
        <w:numPr>
          <w:ilvl w:val="1"/>
          <w:numId w:val="3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must remain flexible enough to accommodate localized policy concerns without undermining the integrity of the internal market.”</w:t>
      </w:r>
    </w:p>
    <w:p w14:paraId="1759722A"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Evolving Standards of Proportionality</w:t>
      </w:r>
    </w:p>
    <w:p w14:paraId="5D7D62AA" w14:textId="77777777" w:rsidR="003B504C" w:rsidRPr="00FE4842" w:rsidRDefault="003B504C" w:rsidP="00CA12C8">
      <w:pPr>
        <w:numPr>
          <w:ilvl w:val="0"/>
          <w:numId w:val="3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Recent case law suggests a shift toward greater judicial scrutiny of proportionality, reflecting the increasing role of evidence in justifying public interest measures.</w:t>
      </w:r>
    </w:p>
    <w:p w14:paraId="2E3EF072" w14:textId="77777777" w:rsidR="003B504C" w:rsidRPr="00FE4842" w:rsidRDefault="00D2368A" w:rsidP="00CA12C8">
      <w:pPr>
        <w:spacing w:line="276" w:lineRule="auto"/>
        <w:rPr>
          <w:rFonts w:ascii="Times New Roman" w:hAnsi="Times New Roman"/>
          <w:lang w:val="en-HK"/>
        </w:rPr>
      </w:pPr>
      <w:r>
        <w:pict w14:anchorId="0F22BF08">
          <v:rect id="Horizontal Line 23"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9B1357"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Conclusion of Proportionality in Theory and Practice</w:t>
      </w:r>
    </w:p>
    <w:p w14:paraId="3B41C6D9" w14:textId="77777777" w:rsidR="003B504C" w:rsidRPr="00FE4842" w:rsidRDefault="003B504C" w:rsidP="00CA12C8">
      <w:pPr>
        <w:numPr>
          <w:ilvl w:val="0"/>
          <w:numId w:val="4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remains a critical but contentious tool for balancing trade and public interest under EU law.</w:t>
      </w:r>
    </w:p>
    <w:p w14:paraId="65764F4B" w14:textId="77777777" w:rsidR="003B504C" w:rsidRPr="00FE4842" w:rsidRDefault="003B504C" w:rsidP="00CA12C8">
      <w:pPr>
        <w:numPr>
          <w:ilvl w:val="0"/>
          <w:numId w:val="4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illustrates the challenges of applying proportionality to complex policy issues like public health, where competing interests are difficult to reconcile.</w:t>
      </w:r>
    </w:p>
    <w:p w14:paraId="06CCCFA2" w14:textId="77777777" w:rsidR="003B504C" w:rsidRPr="00FE4842" w:rsidRDefault="003B504C" w:rsidP="00CA12C8">
      <w:pPr>
        <w:numPr>
          <w:ilvl w:val="0"/>
          <w:numId w:val="4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Takeaways</w:t>
      </w:r>
      <w:r w:rsidRPr="00FE4842">
        <w:rPr>
          <w:rFonts w:ascii="Times New Roman" w:hAnsi="Times New Roman"/>
          <w:lang w:val="en-HK"/>
        </w:rPr>
        <w:t>:</w:t>
      </w:r>
    </w:p>
    <w:p w14:paraId="7A463617" w14:textId="77777777" w:rsidR="003B504C" w:rsidRPr="00FE4842" w:rsidRDefault="003B504C" w:rsidP="00CA12C8">
      <w:pPr>
        <w:numPr>
          <w:ilvl w:val="1"/>
          <w:numId w:val="4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necessity test is central to proportionality but requires careful consideration of practical constraints and evidence.</w:t>
      </w:r>
    </w:p>
    <w:p w14:paraId="7296120E" w14:textId="77777777" w:rsidR="003B504C" w:rsidRPr="00FE4842" w:rsidRDefault="003B504C" w:rsidP="00CA12C8">
      <w:pPr>
        <w:numPr>
          <w:ilvl w:val="1"/>
          <w:numId w:val="4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Courts must balance market integration with Member States’ legitimate regulatory autonomy, particularly in devolved governance contexts.</w:t>
      </w:r>
    </w:p>
    <w:p w14:paraId="023F8D1D" w14:textId="77777777" w:rsidR="003B504C" w:rsidRPr="00FE4842" w:rsidRDefault="003B504C" w:rsidP="00CA12C8">
      <w:pPr>
        <w:numPr>
          <w:ilvl w:val="1"/>
          <w:numId w:val="4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Proportionality’s flexibility is both its strength and its limitation, requiring nuanced and context-specific application.</w:t>
      </w:r>
    </w:p>
    <w:p w14:paraId="5B1545E9" w14:textId="77777777" w:rsidR="003B504C" w:rsidRPr="00FE4842" w:rsidRDefault="00D2368A" w:rsidP="00CA12C8">
      <w:pPr>
        <w:spacing w:line="276" w:lineRule="auto"/>
        <w:rPr>
          <w:rFonts w:ascii="Times New Roman" w:hAnsi="Times New Roman"/>
          <w:lang w:val="en-HK"/>
        </w:rPr>
      </w:pPr>
      <w:r>
        <w:pict w14:anchorId="658D80F6">
          <v:rect id="Horizontal Line 24"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1C2570" w14:textId="08843D29" w:rsidR="003B504C" w:rsidRPr="00FE4842" w:rsidRDefault="00FE4842"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lastRenderedPageBreak/>
        <w:t xml:space="preserve">5. </w:t>
      </w:r>
      <w:r w:rsidR="003B504C" w:rsidRPr="00FE4842">
        <w:rPr>
          <w:rFonts w:ascii="Times New Roman" w:hAnsi="Times New Roman"/>
          <w:b/>
          <w:bCs/>
          <w:lang w:val="en-HK"/>
        </w:rPr>
        <w:t>Devolved Government and EU Law</w:t>
      </w:r>
    </w:p>
    <w:p w14:paraId="10D52A02"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Overview</w:t>
      </w:r>
    </w:p>
    <w:p w14:paraId="5CB94CEA" w14:textId="77777777" w:rsidR="003B504C" w:rsidRPr="00FE4842" w:rsidRDefault="003B504C" w:rsidP="00CA12C8">
      <w:pPr>
        <w:numPr>
          <w:ilvl w:val="0"/>
          <w:numId w:val="4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This section examines the interaction between EU law and Scotland's devolved governance, highlighting the complexities and constraints faced by Scotland in implementing the </w:t>
      </w:r>
      <w:r w:rsidRPr="00FE4842">
        <w:rPr>
          <w:rFonts w:ascii="Times New Roman" w:hAnsi="Times New Roman"/>
          <w:b/>
          <w:bCs/>
          <w:lang w:val="en-HK"/>
        </w:rPr>
        <w:t>Minimum Unit Pricing (MUP)</w:t>
      </w:r>
      <w:r w:rsidRPr="00FE4842">
        <w:rPr>
          <w:rFonts w:ascii="Times New Roman" w:hAnsi="Times New Roman"/>
          <w:lang w:val="en-HK"/>
        </w:rPr>
        <w:t xml:space="preserve"> policy.</w:t>
      </w:r>
    </w:p>
    <w:p w14:paraId="4BC8A412" w14:textId="77777777" w:rsidR="003B504C" w:rsidRPr="00FE4842" w:rsidRDefault="003B504C" w:rsidP="00CA12C8">
      <w:pPr>
        <w:numPr>
          <w:ilvl w:val="0"/>
          <w:numId w:val="4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Core Argument</w:t>
      </w:r>
      <w:r w:rsidRPr="00FE4842">
        <w:rPr>
          <w:rFonts w:ascii="Times New Roman" w:hAnsi="Times New Roman"/>
          <w:lang w:val="en-HK"/>
        </w:rPr>
        <w:t>:</w:t>
      </w:r>
    </w:p>
    <w:p w14:paraId="6B4B1211" w14:textId="77777777" w:rsidR="003B504C" w:rsidRPr="00FE4842" w:rsidRDefault="003B504C" w:rsidP="00CA12C8">
      <w:pPr>
        <w:numPr>
          <w:ilvl w:val="1"/>
          <w:numId w:val="4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case exposes the tensions between EU internal market rules and the </w:t>
      </w:r>
      <w:r w:rsidRPr="00FE4842">
        <w:rPr>
          <w:rFonts w:ascii="Times New Roman" w:hAnsi="Times New Roman"/>
          <w:b/>
          <w:bCs/>
          <w:lang w:val="en-HK"/>
        </w:rPr>
        <w:t>practical realities of policymaking in devolved regions like Scotland</w:t>
      </w:r>
      <w:r w:rsidRPr="00FE4842">
        <w:rPr>
          <w:rFonts w:ascii="Times New Roman" w:hAnsi="Times New Roman"/>
          <w:lang w:val="en-HK"/>
        </w:rPr>
        <w:t>. These tensions are particularly evident in areas where devolved powers do not extend to alternative policy tools, such as taxation.</w:t>
      </w:r>
    </w:p>
    <w:p w14:paraId="3A00F39D" w14:textId="77777777" w:rsidR="003B504C" w:rsidRPr="00FE4842" w:rsidRDefault="00D2368A" w:rsidP="00CA12C8">
      <w:pPr>
        <w:spacing w:line="276" w:lineRule="auto"/>
        <w:rPr>
          <w:rFonts w:ascii="Times New Roman" w:hAnsi="Times New Roman"/>
          <w:lang w:val="en-HK"/>
        </w:rPr>
      </w:pPr>
      <w:r>
        <w:pict w14:anchorId="4C139AEE">
          <v:rect id="Horizontal Line 31"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8E94FE"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1. The Role of Devolved Governance in Scotland</w:t>
      </w:r>
    </w:p>
    <w:p w14:paraId="65F6AEA3" w14:textId="77777777" w:rsidR="003B504C" w:rsidRPr="00FE4842" w:rsidRDefault="003B504C" w:rsidP="00CA12C8">
      <w:pPr>
        <w:numPr>
          <w:ilvl w:val="0"/>
          <w:numId w:val="4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Public Health as a Devolved Competence</w:t>
      </w:r>
      <w:r w:rsidRPr="00FE4842">
        <w:rPr>
          <w:rFonts w:ascii="Times New Roman" w:hAnsi="Times New Roman"/>
          <w:lang w:val="en-HK"/>
        </w:rPr>
        <w:t>:</w:t>
      </w:r>
    </w:p>
    <w:p w14:paraId="43967F4D" w14:textId="77777777" w:rsidR="003B504C" w:rsidRPr="00FE4842" w:rsidRDefault="003B504C" w:rsidP="00CA12C8">
      <w:pPr>
        <w:numPr>
          <w:ilvl w:val="1"/>
          <w:numId w:val="4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Public health policy, including alcohol regulation, falls under the jurisdiction of the Scottish Government as part of its devolved powers under the Scotland Act 1998.</w:t>
      </w:r>
    </w:p>
    <w:p w14:paraId="7F9E8FE0" w14:textId="77777777" w:rsidR="003B504C" w:rsidRPr="00FE4842" w:rsidRDefault="003B504C" w:rsidP="00CA12C8">
      <w:pPr>
        <w:numPr>
          <w:ilvl w:val="1"/>
          <w:numId w:val="4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MUP was introduced through the </w:t>
      </w:r>
      <w:r w:rsidRPr="00FE4842">
        <w:rPr>
          <w:rFonts w:ascii="Times New Roman" w:hAnsi="Times New Roman"/>
          <w:b/>
          <w:bCs/>
          <w:lang w:val="en-HK"/>
        </w:rPr>
        <w:t>Alcohol (Minimum Pricing) (Scotland) Act 2012</w:t>
      </w:r>
      <w:r w:rsidRPr="00FE4842">
        <w:rPr>
          <w:rFonts w:ascii="Times New Roman" w:hAnsi="Times New Roman"/>
          <w:lang w:val="en-HK"/>
        </w:rPr>
        <w:t>, reflecting Scotland’s unique approach to tackling alcohol misuse.</w:t>
      </w:r>
    </w:p>
    <w:p w14:paraId="01027B97" w14:textId="77777777" w:rsidR="003B504C" w:rsidRPr="00FE4842" w:rsidRDefault="003B504C" w:rsidP="00CA12C8">
      <w:pPr>
        <w:numPr>
          <w:ilvl w:val="0"/>
          <w:numId w:val="4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Legal and Political Constraints</w:t>
      </w:r>
      <w:r w:rsidRPr="00FE4842">
        <w:rPr>
          <w:rFonts w:ascii="Times New Roman" w:hAnsi="Times New Roman"/>
          <w:lang w:val="en-HK"/>
        </w:rPr>
        <w:t>:</w:t>
      </w:r>
    </w:p>
    <w:p w14:paraId="574C0308" w14:textId="77777777" w:rsidR="003B504C" w:rsidRPr="00FE4842" w:rsidRDefault="003B504C" w:rsidP="00CA12C8">
      <w:pPr>
        <w:numPr>
          <w:ilvl w:val="1"/>
          <w:numId w:val="4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Unlike taxation, which is reserved to the UK Government, pricing controls like MUP are within Scotland’s devolved competencies. This limited Scotland’s policy options for addressing alcohol-related harms.</w:t>
      </w:r>
    </w:p>
    <w:p w14:paraId="1A1D2612"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7CA925B1">
          <v:rect id="_x0000_i1036" alt="" style="width:451.3pt;height:.05pt;mso-width-percent:0;mso-height-percent:0;mso-width-percent:0;mso-height-percent:0" o:hralign="center" o:hrstd="t" o:hr="t" fillcolor="#a0a0a0" stroked="f"/>
        </w:pict>
      </w:r>
    </w:p>
    <w:p w14:paraId="6B4A4F83"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2. Tensions Between Devolved Governance and EU Law</w:t>
      </w:r>
    </w:p>
    <w:p w14:paraId="1CD93FAA"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EU Law’s Uniform Standards</w:t>
      </w:r>
    </w:p>
    <w:p w14:paraId="556C25F6" w14:textId="77777777" w:rsidR="003B504C" w:rsidRPr="00FE4842" w:rsidRDefault="003B504C" w:rsidP="00CA12C8">
      <w:pPr>
        <w:numPr>
          <w:ilvl w:val="0"/>
          <w:numId w:val="4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Internal Market Rules</w:t>
      </w:r>
      <w:r w:rsidRPr="00FE4842">
        <w:rPr>
          <w:rFonts w:ascii="Times New Roman" w:hAnsi="Times New Roman"/>
          <w:lang w:val="en-HK"/>
        </w:rPr>
        <w:t>:</w:t>
      </w:r>
    </w:p>
    <w:p w14:paraId="30F939F7" w14:textId="77777777" w:rsidR="003B504C" w:rsidRPr="00FE4842" w:rsidRDefault="003B504C" w:rsidP="00CA12C8">
      <w:pPr>
        <w:numPr>
          <w:ilvl w:val="1"/>
          <w:numId w:val="4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EU law imposes uniform standards across all Member States to ensure the free movement of goods under </w:t>
      </w:r>
      <w:r w:rsidRPr="00FE4842">
        <w:rPr>
          <w:rFonts w:ascii="Times New Roman" w:hAnsi="Times New Roman"/>
          <w:b/>
          <w:bCs/>
          <w:lang w:val="en-HK"/>
        </w:rPr>
        <w:t>Articles 34–36 TFEU</w:t>
      </w:r>
      <w:r w:rsidRPr="00FE4842">
        <w:rPr>
          <w:rFonts w:ascii="Times New Roman" w:hAnsi="Times New Roman"/>
          <w:lang w:val="en-HK"/>
        </w:rPr>
        <w:t>.</w:t>
      </w:r>
    </w:p>
    <w:p w14:paraId="64318C46" w14:textId="77777777" w:rsidR="003B504C" w:rsidRPr="00FE4842" w:rsidRDefault="003B504C" w:rsidP="00CA12C8">
      <w:pPr>
        <w:numPr>
          <w:ilvl w:val="1"/>
          <w:numId w:val="4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Scotland, as part of the UK at the time, was bound by these rules, creating a potential conflict between its public health objectives and EU market integration principles.</w:t>
      </w:r>
    </w:p>
    <w:p w14:paraId="5BDF4793" w14:textId="77777777" w:rsidR="003B504C" w:rsidRPr="00FE4842" w:rsidRDefault="003B504C" w:rsidP="00CA12C8">
      <w:pPr>
        <w:numPr>
          <w:ilvl w:val="0"/>
          <w:numId w:val="4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Impact on Policy Autonomy</w:t>
      </w:r>
      <w:r w:rsidRPr="00FE4842">
        <w:rPr>
          <w:rFonts w:ascii="Times New Roman" w:hAnsi="Times New Roman"/>
          <w:lang w:val="en-HK"/>
        </w:rPr>
        <w:t>:</w:t>
      </w:r>
    </w:p>
    <w:p w14:paraId="1FC9ACB1" w14:textId="77777777" w:rsidR="003B504C" w:rsidRPr="00FE4842" w:rsidRDefault="003B504C" w:rsidP="00CA12C8">
      <w:pPr>
        <w:numPr>
          <w:ilvl w:val="1"/>
          <w:numId w:val="4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proportionality assessment under </w:t>
      </w:r>
      <w:r w:rsidRPr="00FE4842">
        <w:rPr>
          <w:rFonts w:ascii="Times New Roman" w:hAnsi="Times New Roman"/>
          <w:b/>
          <w:bCs/>
          <w:lang w:val="en-HK"/>
        </w:rPr>
        <w:t>Article 36 TFEU</w:t>
      </w:r>
      <w:r w:rsidRPr="00FE4842">
        <w:rPr>
          <w:rFonts w:ascii="Times New Roman" w:hAnsi="Times New Roman"/>
          <w:lang w:val="en-HK"/>
        </w:rPr>
        <w:t xml:space="preserve"> required Scotland to justify MUP as a necessary and proportionate measure, which limited its ability to independently pursue innovative public health policies.</w:t>
      </w:r>
    </w:p>
    <w:p w14:paraId="16F2D76C"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lastRenderedPageBreak/>
        <w:t>CJEU’s Perspective on Devolved Competence</w:t>
      </w:r>
    </w:p>
    <w:p w14:paraId="7D3F0AE5" w14:textId="77777777" w:rsidR="003B504C" w:rsidRPr="00FE4842" w:rsidRDefault="003B504C" w:rsidP="00CA12C8">
      <w:pPr>
        <w:numPr>
          <w:ilvl w:val="0"/>
          <w:numId w:val="4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In its preliminary ruling, the CJEU did not explicitly address the implications of Scotland’s devolved governance. Instead, it focused on proportionality and questioned whether taxation, a reserved matter, could achieve similar public health outcomes.</w:t>
      </w:r>
    </w:p>
    <w:p w14:paraId="7691EA06" w14:textId="77777777" w:rsidR="003B504C" w:rsidRPr="00FE4842" w:rsidRDefault="003B504C" w:rsidP="00CA12C8">
      <w:pPr>
        <w:numPr>
          <w:ilvl w:val="0"/>
          <w:numId w:val="4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56CBEB87" w14:textId="77777777" w:rsidR="003B504C" w:rsidRPr="00FE4842" w:rsidRDefault="003B504C" w:rsidP="00CA12C8">
      <w:pPr>
        <w:numPr>
          <w:ilvl w:val="1"/>
          <w:numId w:val="4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Court’s failure to account for Scotland’s constitutional constraints reflected a lack of sensitivity to the practical realities of devolved policymaking.</w:t>
      </w:r>
    </w:p>
    <w:p w14:paraId="681783EA"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0017F988">
          <v:rect id="_x0000_i1035" alt="" style="width:451.3pt;height:.05pt;mso-width-percent:0;mso-height-percent:0;mso-width-percent:0;mso-height-percent:0" o:hralign="center" o:hrstd="t" o:hr="t" fillcolor="#a0a0a0" stroked="f"/>
        </w:pict>
      </w:r>
    </w:p>
    <w:p w14:paraId="692C9B18"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3. Alternative Policy Tools: The Taxation Debate</w:t>
      </w:r>
    </w:p>
    <w:p w14:paraId="6F46E7EB"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CJEU’s Emphasis on Taxation</w:t>
      </w:r>
    </w:p>
    <w:p w14:paraId="0E3C1A69" w14:textId="77777777" w:rsidR="003B504C" w:rsidRPr="00FE4842" w:rsidRDefault="003B504C" w:rsidP="00CA12C8">
      <w:pPr>
        <w:numPr>
          <w:ilvl w:val="0"/>
          <w:numId w:val="4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 suggested that increased alcohol taxation could serve as a less restrictive alternative to MUP for achieving public health objectives.</w:t>
      </w:r>
    </w:p>
    <w:p w14:paraId="32CDE12C" w14:textId="77777777" w:rsidR="003B504C" w:rsidRPr="00FE4842" w:rsidRDefault="003B504C" w:rsidP="00CA12C8">
      <w:pPr>
        <w:numPr>
          <w:ilvl w:val="0"/>
          <w:numId w:val="4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Issues with Taxation</w:t>
      </w:r>
      <w:r w:rsidRPr="00FE4842">
        <w:rPr>
          <w:rFonts w:ascii="Times New Roman" w:hAnsi="Times New Roman"/>
          <w:lang w:val="en-HK"/>
        </w:rPr>
        <w:t>:</w:t>
      </w:r>
    </w:p>
    <w:p w14:paraId="1F442336" w14:textId="77777777" w:rsidR="003B504C" w:rsidRPr="00FE4842" w:rsidRDefault="003B504C" w:rsidP="00CA12C8">
      <w:pPr>
        <w:numPr>
          <w:ilvl w:val="1"/>
          <w:numId w:val="4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Reserved Power</w:t>
      </w:r>
      <w:r w:rsidRPr="00FE4842">
        <w:rPr>
          <w:rFonts w:ascii="Times New Roman" w:hAnsi="Times New Roman"/>
          <w:lang w:val="en-HK"/>
        </w:rPr>
        <w:t>: Taxation was beyond Scotland’s control, as it fell under the remit of the UK Government.</w:t>
      </w:r>
    </w:p>
    <w:p w14:paraId="14079A5F" w14:textId="77777777" w:rsidR="003B504C" w:rsidRPr="00FE4842" w:rsidRDefault="003B504C" w:rsidP="00CA12C8">
      <w:pPr>
        <w:numPr>
          <w:ilvl w:val="1"/>
          <w:numId w:val="4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Ineffectiveness</w:t>
      </w:r>
      <w:r w:rsidRPr="00FE4842">
        <w:rPr>
          <w:rFonts w:ascii="Times New Roman" w:hAnsi="Times New Roman"/>
          <w:lang w:val="en-HK"/>
        </w:rPr>
        <w:t xml:space="preserve">: Taxation is a blunt instrument that affects all consumers, including moderate drinkers, whereas MUP specifically targets hazardous drinking </w:t>
      </w:r>
      <w:proofErr w:type="spellStart"/>
      <w:r w:rsidRPr="00FE4842">
        <w:rPr>
          <w:rFonts w:ascii="Times New Roman" w:hAnsi="Times New Roman"/>
          <w:lang w:val="en-HK"/>
        </w:rPr>
        <w:t>behaviors</w:t>
      </w:r>
      <w:proofErr w:type="spellEnd"/>
      <w:r w:rsidRPr="00FE4842">
        <w:rPr>
          <w:rFonts w:ascii="Times New Roman" w:hAnsi="Times New Roman"/>
          <w:lang w:val="en-HK"/>
        </w:rPr>
        <w:t>.</w:t>
      </w:r>
    </w:p>
    <w:p w14:paraId="02B9FA7E" w14:textId="77777777" w:rsidR="003B504C" w:rsidRPr="00FE4842" w:rsidRDefault="003B504C" w:rsidP="00CA12C8">
      <w:pPr>
        <w:numPr>
          <w:ilvl w:val="0"/>
          <w:numId w:val="4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Argument</w:t>
      </w:r>
      <w:r w:rsidRPr="00FE4842">
        <w:rPr>
          <w:rFonts w:ascii="Times New Roman" w:hAnsi="Times New Roman"/>
          <w:lang w:val="en-HK"/>
        </w:rPr>
        <w:t>:</w:t>
      </w:r>
    </w:p>
    <w:p w14:paraId="33CB6E4B" w14:textId="77777777" w:rsidR="003B504C" w:rsidRPr="00FE4842" w:rsidRDefault="003B504C" w:rsidP="00CA12C8">
      <w:pPr>
        <w:numPr>
          <w:ilvl w:val="1"/>
          <w:numId w:val="4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CJEU’s preference for taxation ignored the devolved nature of Scottish governance and the practical limitations it imposed on policy design.”</w:t>
      </w:r>
    </w:p>
    <w:p w14:paraId="1E5307C5"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UK Supreme Court’s Rejection of Taxation as an Alternative</w:t>
      </w:r>
    </w:p>
    <w:p w14:paraId="725DD6D9" w14:textId="77777777" w:rsidR="003B504C" w:rsidRPr="00FE4842" w:rsidRDefault="003B504C" w:rsidP="00CA12C8">
      <w:pPr>
        <w:numPr>
          <w:ilvl w:val="0"/>
          <w:numId w:val="4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UK Supreme Court explicitly recognized the limitations of taxation in its proportionality analysis:</w:t>
      </w:r>
    </w:p>
    <w:p w14:paraId="15082B36" w14:textId="77777777" w:rsidR="003B504C" w:rsidRPr="00FE4842" w:rsidRDefault="003B504C" w:rsidP="00CA12C8">
      <w:pPr>
        <w:numPr>
          <w:ilvl w:val="1"/>
          <w:numId w:val="4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Targeted Nature of MUP</w:t>
      </w:r>
      <w:r w:rsidRPr="00FE4842">
        <w:rPr>
          <w:rFonts w:ascii="Times New Roman" w:hAnsi="Times New Roman"/>
          <w:lang w:val="en-HK"/>
        </w:rPr>
        <w:t>:</w:t>
      </w:r>
    </w:p>
    <w:p w14:paraId="756E6B24" w14:textId="77777777" w:rsidR="003B504C" w:rsidRPr="00FE4842" w:rsidRDefault="003B504C" w:rsidP="00CA12C8">
      <w:pPr>
        <w:numPr>
          <w:ilvl w:val="2"/>
          <w:numId w:val="4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MUP was specifically designed to address the affordability of cheap, high-strength alcohol, which is disproportionately consumed by hazardous drinkers. Taxation would not achieve the same targeted impact.</w:t>
      </w:r>
    </w:p>
    <w:p w14:paraId="28112A95" w14:textId="77777777" w:rsidR="003B504C" w:rsidRPr="00FE4842" w:rsidRDefault="003B504C" w:rsidP="00CA12C8">
      <w:pPr>
        <w:numPr>
          <w:ilvl w:val="1"/>
          <w:numId w:val="4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Practical Constraints</w:t>
      </w:r>
      <w:r w:rsidRPr="00FE4842">
        <w:rPr>
          <w:rFonts w:ascii="Times New Roman" w:hAnsi="Times New Roman"/>
          <w:lang w:val="en-HK"/>
        </w:rPr>
        <w:t>:</w:t>
      </w:r>
    </w:p>
    <w:p w14:paraId="359B5C30" w14:textId="77777777" w:rsidR="003B504C" w:rsidRPr="00FE4842" w:rsidRDefault="003B504C" w:rsidP="00CA12C8">
      <w:pPr>
        <w:numPr>
          <w:ilvl w:val="2"/>
          <w:numId w:val="4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Court acknowledged Scotland’s inability to implement alcohol taxation independently, emphasizing that the proportionality assessment must account for these practical realities.</w:t>
      </w:r>
    </w:p>
    <w:p w14:paraId="242C70E9" w14:textId="77777777" w:rsidR="003B504C" w:rsidRPr="00FE4842" w:rsidRDefault="003B504C" w:rsidP="00CA12C8">
      <w:pPr>
        <w:numPr>
          <w:ilvl w:val="1"/>
          <w:numId w:val="46"/>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 xml:space="preserve">Lord </w:t>
      </w:r>
      <w:proofErr w:type="spellStart"/>
      <w:r w:rsidRPr="00FE4842">
        <w:rPr>
          <w:rFonts w:ascii="Times New Roman" w:hAnsi="Times New Roman"/>
          <w:b/>
          <w:bCs/>
          <w:lang w:val="en-HK"/>
        </w:rPr>
        <w:t>Mance’s</w:t>
      </w:r>
      <w:proofErr w:type="spellEnd"/>
      <w:r w:rsidRPr="00FE4842">
        <w:rPr>
          <w:rFonts w:ascii="Times New Roman" w:hAnsi="Times New Roman"/>
          <w:b/>
          <w:bCs/>
          <w:lang w:val="en-HK"/>
        </w:rPr>
        <w:t xml:space="preserve"> Judgment</w:t>
      </w:r>
      <w:r w:rsidRPr="00FE4842">
        <w:rPr>
          <w:rFonts w:ascii="Times New Roman" w:hAnsi="Times New Roman"/>
          <w:lang w:val="en-HK"/>
        </w:rPr>
        <w:t>:</w:t>
      </w:r>
    </w:p>
    <w:p w14:paraId="57F45B75" w14:textId="77777777" w:rsidR="003B504C" w:rsidRPr="00FE4842" w:rsidRDefault="003B504C" w:rsidP="00CA12C8">
      <w:pPr>
        <w:numPr>
          <w:ilvl w:val="2"/>
          <w:numId w:val="4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“The balancing of interests under proportionality must consider not only the measure’s effects but also the policy environment in which it operates, including constitutional and practical constraints.”</w:t>
      </w:r>
    </w:p>
    <w:p w14:paraId="546575EA" w14:textId="77777777" w:rsidR="003B504C" w:rsidRPr="00FE4842" w:rsidRDefault="00D2368A" w:rsidP="00CA12C8">
      <w:pPr>
        <w:spacing w:line="276" w:lineRule="auto"/>
        <w:rPr>
          <w:rFonts w:ascii="Times New Roman" w:hAnsi="Times New Roman"/>
          <w:lang w:val="en-HK"/>
        </w:rPr>
      </w:pPr>
      <w:r>
        <w:pict w14:anchorId="0A187090">
          <v:rect id="Horizontal Line 34"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6966C0"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4. Broader Implications for EU Law</w:t>
      </w:r>
    </w:p>
    <w:p w14:paraId="0D97BE4D"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Legal and Policy Challenges for Devolved Regions</w:t>
      </w:r>
    </w:p>
    <w:p w14:paraId="116C4EB1" w14:textId="77777777" w:rsidR="003B504C" w:rsidRPr="00FE4842" w:rsidRDefault="003B504C" w:rsidP="00CA12C8">
      <w:pPr>
        <w:numPr>
          <w:ilvl w:val="0"/>
          <w:numId w:val="4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Asymmetry in Governance</w:t>
      </w:r>
      <w:r w:rsidRPr="00FE4842">
        <w:rPr>
          <w:rFonts w:ascii="Times New Roman" w:hAnsi="Times New Roman"/>
          <w:lang w:val="en-HK"/>
        </w:rPr>
        <w:t>:</w:t>
      </w:r>
    </w:p>
    <w:p w14:paraId="0313910E" w14:textId="77777777" w:rsidR="003B504C" w:rsidRPr="00FE4842" w:rsidRDefault="003B504C" w:rsidP="00CA12C8">
      <w:pPr>
        <w:numPr>
          <w:ilvl w:val="1"/>
          <w:numId w:val="4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illustrates the difficulties faced by devolved governments in complying with EU law while addressing localized policy challenges.</w:t>
      </w:r>
    </w:p>
    <w:p w14:paraId="20B074C5" w14:textId="77777777" w:rsidR="003B504C" w:rsidRPr="00FE4842" w:rsidRDefault="003B504C" w:rsidP="00CA12C8">
      <w:pPr>
        <w:numPr>
          <w:ilvl w:val="1"/>
          <w:numId w:val="4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EU’s internal market rules often prioritize harmonization, leaving limited room for region-specific solutions.</w:t>
      </w:r>
    </w:p>
    <w:p w14:paraId="2C7C6344" w14:textId="77777777" w:rsidR="003B504C" w:rsidRPr="00FE4842" w:rsidRDefault="003B504C" w:rsidP="00CA12C8">
      <w:pPr>
        <w:numPr>
          <w:ilvl w:val="0"/>
          <w:numId w:val="4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Risk of Overreach</w:t>
      </w:r>
      <w:r w:rsidRPr="00FE4842">
        <w:rPr>
          <w:rFonts w:ascii="Times New Roman" w:hAnsi="Times New Roman"/>
          <w:lang w:val="en-HK"/>
        </w:rPr>
        <w:t>:</w:t>
      </w:r>
    </w:p>
    <w:p w14:paraId="3AF8ECF0" w14:textId="77777777" w:rsidR="003B504C" w:rsidRPr="00FE4842" w:rsidRDefault="003B504C" w:rsidP="00CA12C8">
      <w:pPr>
        <w:numPr>
          <w:ilvl w:val="1"/>
          <w:numId w:val="4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authors argue that the CJEU’s approach risks overstepping its role by imposing policy preferences (e.g., taxation) that may not be feasible or effective in certain national or regional contexts.</w:t>
      </w:r>
    </w:p>
    <w:p w14:paraId="7AA686BB"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Balancing Uniformity and Autonomy</w:t>
      </w:r>
    </w:p>
    <w:p w14:paraId="618BA214" w14:textId="77777777" w:rsidR="003B504C" w:rsidRPr="00FE4842" w:rsidRDefault="003B504C" w:rsidP="00CA12C8">
      <w:pPr>
        <w:numPr>
          <w:ilvl w:val="0"/>
          <w:numId w:val="4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highlights the need for a more nuanced application of EU law that balances the uniformity of the internal market with the diversity of governance structures within Member States.</w:t>
      </w:r>
    </w:p>
    <w:p w14:paraId="44D5B38E" w14:textId="77777777" w:rsidR="003B504C" w:rsidRPr="00FE4842" w:rsidRDefault="003B504C" w:rsidP="00CA12C8">
      <w:pPr>
        <w:numPr>
          <w:ilvl w:val="0"/>
          <w:numId w:val="48"/>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Recommendation</w:t>
      </w:r>
      <w:r w:rsidRPr="00FE4842">
        <w:rPr>
          <w:rFonts w:ascii="Times New Roman" w:hAnsi="Times New Roman"/>
          <w:lang w:val="en-HK"/>
        </w:rPr>
        <w:t>:</w:t>
      </w:r>
    </w:p>
    <w:p w14:paraId="555623B4" w14:textId="77777777" w:rsidR="003B504C" w:rsidRPr="00FE4842" w:rsidRDefault="003B504C" w:rsidP="00CA12C8">
      <w:pPr>
        <w:numPr>
          <w:ilvl w:val="1"/>
          <w:numId w:val="4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assessments should explicitly consider the constitutional and practical constraints of devolved governance to ensure that local autonomy is respected within the broader framework of EU law.</w:t>
      </w:r>
    </w:p>
    <w:p w14:paraId="64A4976A" w14:textId="77777777" w:rsidR="003B504C" w:rsidRPr="00FE4842" w:rsidRDefault="00D2368A" w:rsidP="00CA12C8">
      <w:pPr>
        <w:spacing w:line="276" w:lineRule="auto"/>
        <w:rPr>
          <w:rFonts w:ascii="Times New Roman" w:hAnsi="Times New Roman"/>
          <w:lang w:val="en-HK"/>
        </w:rPr>
      </w:pPr>
      <w:r>
        <w:pict w14:anchorId="11415F1C">
          <v:rect id="Horizontal Line 35"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51B459"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Conclusion of Devolved Government and EU Law</w:t>
      </w:r>
    </w:p>
    <w:p w14:paraId="6E8070F4" w14:textId="77777777" w:rsidR="003B504C" w:rsidRPr="00FE4842" w:rsidRDefault="003B504C" w:rsidP="00CA12C8">
      <w:pPr>
        <w:numPr>
          <w:ilvl w:val="0"/>
          <w:numId w:val="4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underscores the complexities of aligning EU internal market rules with devolved policymaking. While the CJEU prioritized market access and suggested taxation as an alternative, the UK Supreme Court recognized the unique constraints of Scotland’s devolved governance and upheld MUP as a proportionate public health measure.</w:t>
      </w:r>
    </w:p>
    <w:p w14:paraId="507A2A70" w14:textId="77777777" w:rsidR="003B504C" w:rsidRPr="00FE4842" w:rsidRDefault="003B504C" w:rsidP="00CA12C8">
      <w:pPr>
        <w:numPr>
          <w:ilvl w:val="0"/>
          <w:numId w:val="4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Takeaways</w:t>
      </w:r>
      <w:r w:rsidRPr="00FE4842">
        <w:rPr>
          <w:rFonts w:ascii="Times New Roman" w:hAnsi="Times New Roman"/>
          <w:lang w:val="en-HK"/>
        </w:rPr>
        <w:t>:</w:t>
      </w:r>
    </w:p>
    <w:p w14:paraId="79BAF6CE" w14:textId="77777777" w:rsidR="003B504C" w:rsidRPr="00FE4842" w:rsidRDefault="003B504C" w:rsidP="00CA12C8">
      <w:pPr>
        <w:numPr>
          <w:ilvl w:val="1"/>
          <w:numId w:val="4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Devolved regions face significant challenges in reconciling their policy objectives with EU law, particularly when alternative tools like taxation are beyond their control.</w:t>
      </w:r>
    </w:p>
    <w:p w14:paraId="149B412A" w14:textId="77777777" w:rsidR="003B504C" w:rsidRPr="00FE4842" w:rsidRDefault="003B504C" w:rsidP="00CA12C8">
      <w:pPr>
        <w:numPr>
          <w:ilvl w:val="1"/>
          <w:numId w:val="4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Proportionality assessments must account for the practical and constitutional realities of devolved governance to ensure fair and context-sensitive outcomes.</w:t>
      </w:r>
    </w:p>
    <w:p w14:paraId="231F9332" w14:textId="77777777" w:rsidR="003B504C" w:rsidRPr="00FE4842" w:rsidRDefault="003B504C" w:rsidP="00CA12C8">
      <w:pPr>
        <w:numPr>
          <w:ilvl w:val="1"/>
          <w:numId w:val="4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highlights the need for greater flexibility in EU law to accommodate the diversity of policymaking contexts within Member States.</w:t>
      </w:r>
    </w:p>
    <w:p w14:paraId="0D5E9BB7" w14:textId="77777777" w:rsidR="003B504C" w:rsidRPr="00FE4842" w:rsidRDefault="00D2368A" w:rsidP="00CA12C8">
      <w:pPr>
        <w:spacing w:line="276" w:lineRule="auto"/>
        <w:rPr>
          <w:rFonts w:ascii="Times New Roman" w:hAnsi="Times New Roman"/>
          <w:lang w:val="en-HK"/>
        </w:rPr>
      </w:pPr>
      <w:r>
        <w:pict w14:anchorId="1CF5EF51">
          <v:rect id="Horizontal Line 36"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DC3FE6" w14:textId="6335CDF2" w:rsidR="003B504C" w:rsidRPr="00FE4842" w:rsidRDefault="00FE4842"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 xml:space="preserve">6. </w:t>
      </w:r>
      <w:r w:rsidR="003B504C" w:rsidRPr="00FE4842">
        <w:rPr>
          <w:rFonts w:ascii="Times New Roman" w:hAnsi="Times New Roman"/>
          <w:b/>
          <w:bCs/>
          <w:lang w:val="en-HK"/>
        </w:rPr>
        <w:t>Conclusion</w:t>
      </w:r>
    </w:p>
    <w:p w14:paraId="3B8C2423"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Overview</w:t>
      </w:r>
    </w:p>
    <w:p w14:paraId="0A53146E" w14:textId="77777777" w:rsidR="003B504C" w:rsidRPr="00FE4842" w:rsidRDefault="003B504C" w:rsidP="00CA12C8">
      <w:pPr>
        <w:numPr>
          <w:ilvl w:val="0"/>
          <w:numId w:val="5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conclusion summarizes the critical insights and lessons drawn from the Scotch Whisky case regarding the interplay between EU law, public health objectives, and devolved governance.</w:t>
      </w:r>
    </w:p>
    <w:p w14:paraId="30437EE7" w14:textId="77777777" w:rsidR="003B504C" w:rsidRPr="00FE4842" w:rsidRDefault="003B504C" w:rsidP="00CA12C8">
      <w:pPr>
        <w:numPr>
          <w:ilvl w:val="0"/>
          <w:numId w:val="50"/>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Argument</w:t>
      </w:r>
      <w:r w:rsidRPr="00FE4842">
        <w:rPr>
          <w:rFonts w:ascii="Times New Roman" w:hAnsi="Times New Roman"/>
          <w:lang w:val="en-HK"/>
        </w:rPr>
        <w:t>:</w:t>
      </w:r>
    </w:p>
    <w:p w14:paraId="28682D93" w14:textId="77777777" w:rsidR="003B504C" w:rsidRPr="00FE4842" w:rsidRDefault="003B504C" w:rsidP="00CA12C8">
      <w:pPr>
        <w:numPr>
          <w:ilvl w:val="1"/>
          <w:numId w:val="5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highlights the inherent challenges of reconciling the EU’s commitment to market integration with Member States' or regions' autonomy to address pressing public interest concerns like public health. Proportionality remains central but fraught with difficulties, particularly in balancing fundamentally incomparable values—market access versus health.</w:t>
      </w:r>
    </w:p>
    <w:p w14:paraId="3FA92915"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5D00EC2E">
          <v:rect id="_x0000_i1031" alt="" style="width:451.3pt;height:.05pt;mso-width-percent:0;mso-height-percent:0;mso-width-percent:0;mso-height-percent:0" o:hralign="center" o:hrstd="t" o:hr="t" fillcolor="#a0a0a0" stroked="f"/>
        </w:pict>
      </w:r>
    </w:p>
    <w:p w14:paraId="5799EBCF"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1. Reconciling Trade and Public Interest</w:t>
      </w:r>
    </w:p>
    <w:p w14:paraId="46F85497"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Trade vs. Public Health</w:t>
      </w:r>
    </w:p>
    <w:p w14:paraId="3FD21061" w14:textId="77777777" w:rsidR="003B504C" w:rsidRPr="00FE4842" w:rsidRDefault="003B504C" w:rsidP="00CA12C8">
      <w:pPr>
        <w:numPr>
          <w:ilvl w:val="0"/>
          <w:numId w:val="5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Scotch Whisky case exemplifies the tension between the EU’s internal market principles under </w:t>
      </w:r>
      <w:r w:rsidRPr="00FE4842">
        <w:rPr>
          <w:rFonts w:ascii="Times New Roman" w:hAnsi="Times New Roman"/>
          <w:b/>
          <w:bCs/>
          <w:lang w:val="en-HK"/>
        </w:rPr>
        <w:t>Article 34 TFEU</w:t>
      </w:r>
      <w:r w:rsidRPr="00FE4842">
        <w:rPr>
          <w:rFonts w:ascii="Times New Roman" w:hAnsi="Times New Roman"/>
          <w:lang w:val="en-HK"/>
        </w:rPr>
        <w:t xml:space="preserve"> and the regulatory autonomy afforded to Member States under </w:t>
      </w:r>
      <w:r w:rsidRPr="00FE4842">
        <w:rPr>
          <w:rFonts w:ascii="Times New Roman" w:hAnsi="Times New Roman"/>
          <w:b/>
          <w:bCs/>
          <w:lang w:val="en-HK"/>
        </w:rPr>
        <w:t>Article 36 TFEU</w:t>
      </w:r>
      <w:r w:rsidRPr="00FE4842">
        <w:rPr>
          <w:rFonts w:ascii="Times New Roman" w:hAnsi="Times New Roman"/>
          <w:lang w:val="en-HK"/>
        </w:rPr>
        <w:t>.</w:t>
      </w:r>
    </w:p>
    <w:p w14:paraId="78CB25D0" w14:textId="77777777" w:rsidR="003B504C" w:rsidRPr="00FE4842" w:rsidRDefault="003B504C" w:rsidP="00CA12C8">
      <w:pPr>
        <w:numPr>
          <w:ilvl w:val="0"/>
          <w:numId w:val="5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24768ED5" w14:textId="77777777" w:rsidR="003B504C" w:rsidRPr="00FE4842" w:rsidRDefault="003B504C" w:rsidP="00CA12C8">
      <w:pPr>
        <w:numPr>
          <w:ilvl w:val="1"/>
          <w:numId w:val="5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underscores the difficulty of balancing the essentially incomparable: the economic freedoms underpinning the EU single market and the public health goals pursued by Member States.”</w:t>
      </w:r>
    </w:p>
    <w:p w14:paraId="73523500" w14:textId="77777777" w:rsidR="003B504C" w:rsidRPr="00FE4842" w:rsidRDefault="003B504C" w:rsidP="00CA12C8">
      <w:pPr>
        <w:numPr>
          <w:ilvl w:val="0"/>
          <w:numId w:val="5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Proportionality Test</w:t>
      </w:r>
      <w:r w:rsidRPr="00FE4842">
        <w:rPr>
          <w:rFonts w:ascii="Times New Roman" w:hAnsi="Times New Roman"/>
          <w:lang w:val="en-HK"/>
        </w:rPr>
        <w:t>:</w:t>
      </w:r>
    </w:p>
    <w:p w14:paraId="33C846F9" w14:textId="77777777" w:rsidR="003B504C" w:rsidRPr="00FE4842" w:rsidRDefault="003B504C" w:rsidP="00CA12C8">
      <w:pPr>
        <w:numPr>
          <w:ilvl w:val="1"/>
          <w:numId w:val="5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proportionality principle is pivotal in mediating this conflict, requiring Member States to justify that their measures are both necessary and proportionate. However, its application often hinges on subjective judicial assessments, as seen in the diverging approaches of the CJEU and UK Supreme Court.</w:t>
      </w:r>
    </w:p>
    <w:p w14:paraId="25578F9B"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CJEU’s Emphasis on Market Access</w:t>
      </w:r>
    </w:p>
    <w:p w14:paraId="2B2CFC49" w14:textId="77777777" w:rsidR="003B504C" w:rsidRPr="00FE4842" w:rsidRDefault="003B504C" w:rsidP="00CA12C8">
      <w:pPr>
        <w:numPr>
          <w:ilvl w:val="0"/>
          <w:numId w:val="5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CJEU’s interpretation of </w:t>
      </w:r>
      <w:r w:rsidRPr="00FE4842">
        <w:rPr>
          <w:rFonts w:ascii="Times New Roman" w:hAnsi="Times New Roman"/>
          <w:b/>
          <w:bCs/>
          <w:lang w:val="en-HK"/>
        </w:rPr>
        <w:t>Article 34</w:t>
      </w:r>
      <w:r w:rsidRPr="00FE4842">
        <w:rPr>
          <w:rFonts w:ascii="Times New Roman" w:hAnsi="Times New Roman"/>
          <w:lang w:val="en-HK"/>
        </w:rPr>
        <w:t xml:space="preserve"> </w:t>
      </w:r>
      <w:proofErr w:type="spellStart"/>
      <w:r w:rsidRPr="00FE4842">
        <w:rPr>
          <w:rFonts w:ascii="Times New Roman" w:hAnsi="Times New Roman"/>
          <w:lang w:val="en-HK"/>
        </w:rPr>
        <w:t>centered</w:t>
      </w:r>
      <w:proofErr w:type="spellEnd"/>
      <w:r w:rsidRPr="00FE4842">
        <w:rPr>
          <w:rFonts w:ascii="Times New Roman" w:hAnsi="Times New Roman"/>
          <w:lang w:val="en-HK"/>
        </w:rPr>
        <w:t xml:space="preserve"> on the potential market access barriers created by Minimum Unit Pricing (MUP). By disproportionately affecting </w:t>
      </w:r>
      <w:r w:rsidRPr="00FE4842">
        <w:rPr>
          <w:rFonts w:ascii="Times New Roman" w:hAnsi="Times New Roman"/>
          <w:lang w:val="en-HK"/>
        </w:rPr>
        <w:lastRenderedPageBreak/>
        <w:t xml:space="preserve">imported alcoholic beverages, MUP was deemed a </w:t>
      </w:r>
      <w:r w:rsidRPr="00FE4842">
        <w:rPr>
          <w:rFonts w:ascii="Times New Roman" w:hAnsi="Times New Roman"/>
          <w:b/>
          <w:bCs/>
          <w:lang w:val="en-HK"/>
        </w:rPr>
        <w:t>measure having equivalent effect (MEE)</w:t>
      </w:r>
      <w:r w:rsidRPr="00FE4842">
        <w:rPr>
          <w:rFonts w:ascii="Times New Roman" w:hAnsi="Times New Roman"/>
          <w:lang w:val="en-HK"/>
        </w:rPr>
        <w:t>.</w:t>
      </w:r>
    </w:p>
    <w:p w14:paraId="77D7413A" w14:textId="77777777" w:rsidR="003B504C" w:rsidRPr="00FE4842" w:rsidRDefault="003B504C" w:rsidP="00CA12C8">
      <w:pPr>
        <w:numPr>
          <w:ilvl w:val="0"/>
          <w:numId w:val="52"/>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Alternative Measures</w:t>
      </w:r>
      <w:r w:rsidRPr="00FE4842">
        <w:rPr>
          <w:rFonts w:ascii="Times New Roman" w:hAnsi="Times New Roman"/>
          <w:lang w:val="en-HK"/>
        </w:rPr>
        <w:t>:</w:t>
      </w:r>
    </w:p>
    <w:p w14:paraId="17EE3D91" w14:textId="77777777" w:rsidR="003B504C" w:rsidRPr="00FE4842" w:rsidRDefault="003B504C" w:rsidP="00CA12C8">
      <w:pPr>
        <w:numPr>
          <w:ilvl w:val="1"/>
          <w:numId w:val="52"/>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CJEU’s suggestion of increased taxation as a less trade-restrictive alternative reflects its bias toward harmonized fiscal instruments, often overlooking the nuanced realities of regional policymaking.</w:t>
      </w:r>
    </w:p>
    <w:p w14:paraId="29BCA1F1"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077191C8">
          <v:rect id="_x0000_i1030" alt="" style="width:451.3pt;height:.05pt;mso-width-percent:0;mso-height-percent:0;mso-width-percent:0;mso-height-percent:0" o:hralign="center" o:hrstd="t" o:hr="t" fillcolor="#a0a0a0" stroked="f"/>
        </w:pict>
      </w:r>
    </w:p>
    <w:p w14:paraId="449D7238"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2. Lessons on Proportionality</w:t>
      </w:r>
    </w:p>
    <w:p w14:paraId="673395C0"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Judicial Tensions</w:t>
      </w:r>
    </w:p>
    <w:p w14:paraId="4104C48F" w14:textId="77777777" w:rsidR="003B504C" w:rsidRPr="00FE4842" w:rsidRDefault="003B504C" w:rsidP="00CA12C8">
      <w:pPr>
        <w:numPr>
          <w:ilvl w:val="0"/>
          <w:numId w:val="53"/>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revealed divergent judicial priorities:</w:t>
      </w:r>
    </w:p>
    <w:p w14:paraId="6EF58BAC" w14:textId="77777777" w:rsidR="003B504C" w:rsidRPr="00FE4842" w:rsidRDefault="003B504C" w:rsidP="00CA12C8">
      <w:pPr>
        <w:numPr>
          <w:ilvl w:val="1"/>
          <w:numId w:val="5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CJEU</w:t>
      </w:r>
      <w:r w:rsidRPr="00FE4842">
        <w:rPr>
          <w:rFonts w:ascii="Times New Roman" w:hAnsi="Times New Roman"/>
          <w:lang w:val="en-HK"/>
        </w:rPr>
        <w:t>: Prioritized maintaining the integrity of the internal market by scrutinizing whether MUP was the least restrictive means of achieving public health objectives.</w:t>
      </w:r>
    </w:p>
    <w:p w14:paraId="5CFC2AA3" w14:textId="77777777" w:rsidR="003B504C" w:rsidRPr="00FE4842" w:rsidRDefault="003B504C" w:rsidP="00CA12C8">
      <w:pPr>
        <w:numPr>
          <w:ilvl w:val="1"/>
          <w:numId w:val="53"/>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UK Supreme Court</w:t>
      </w:r>
      <w:r w:rsidRPr="00FE4842">
        <w:rPr>
          <w:rFonts w:ascii="Times New Roman" w:hAnsi="Times New Roman"/>
          <w:lang w:val="en-HK"/>
        </w:rPr>
        <w:t>: Emphasized Scotland’s public health rationale, practical constraints (e.g., lack of taxation powers), and the targeted nature of MUP in addressing alcohol misuse.</w:t>
      </w:r>
    </w:p>
    <w:p w14:paraId="50FC914C"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Authors’ Perspective on Proportionality:</w:t>
      </w:r>
    </w:p>
    <w:p w14:paraId="045EE189" w14:textId="77777777" w:rsidR="003B504C" w:rsidRPr="00FE4842" w:rsidRDefault="003B504C" w:rsidP="00CA12C8">
      <w:pPr>
        <w:numPr>
          <w:ilvl w:val="0"/>
          <w:numId w:val="5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Challenges of Incommensurability</w:t>
      </w:r>
      <w:r w:rsidRPr="00FE4842">
        <w:rPr>
          <w:rFonts w:ascii="Times New Roman" w:hAnsi="Times New Roman"/>
          <w:lang w:val="en-HK"/>
        </w:rPr>
        <w:t>:</w:t>
      </w:r>
    </w:p>
    <w:p w14:paraId="46FEFED7" w14:textId="77777777" w:rsidR="003B504C" w:rsidRPr="00FE4842" w:rsidRDefault="003B504C" w:rsidP="00CA12C8">
      <w:pPr>
        <w:numPr>
          <w:ilvl w:val="1"/>
          <w:numId w:val="5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requires courts to balance public health benefits against economic freedoms, two values that are fundamentally incomparable.</w:t>
      </w:r>
    </w:p>
    <w:p w14:paraId="3F834F2E" w14:textId="77777777" w:rsidR="003B504C" w:rsidRPr="00FE4842" w:rsidRDefault="003B504C" w:rsidP="00CA12C8">
      <w:pPr>
        <w:numPr>
          <w:ilvl w:val="1"/>
          <w:numId w:val="5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Quote from Authors</w:t>
      </w:r>
      <w:r w:rsidRPr="00FE4842">
        <w:rPr>
          <w:rFonts w:ascii="Times New Roman" w:hAnsi="Times New Roman"/>
          <w:lang w:val="en-HK"/>
        </w:rPr>
        <w:t>: “Public health and economic freedoms represent incommensurable interests, yet EU law compels their reconciliation through proportionality analysis.”</w:t>
      </w:r>
    </w:p>
    <w:p w14:paraId="2B815FB8" w14:textId="77777777" w:rsidR="003B504C" w:rsidRPr="00FE4842" w:rsidRDefault="003B504C" w:rsidP="00CA12C8">
      <w:pPr>
        <w:numPr>
          <w:ilvl w:val="0"/>
          <w:numId w:val="54"/>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Contextual Sensitivity</w:t>
      </w:r>
      <w:r w:rsidRPr="00FE4842">
        <w:rPr>
          <w:rFonts w:ascii="Times New Roman" w:hAnsi="Times New Roman"/>
          <w:lang w:val="en-HK"/>
        </w:rPr>
        <w:t>:</w:t>
      </w:r>
    </w:p>
    <w:p w14:paraId="1D41DEAD" w14:textId="77777777" w:rsidR="003B504C" w:rsidRPr="00FE4842" w:rsidRDefault="003B504C" w:rsidP="00CA12C8">
      <w:pPr>
        <w:numPr>
          <w:ilvl w:val="1"/>
          <w:numId w:val="54"/>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Effective proportionality assessments must consider the specific circumstances of the policymaking environment, including constitutional and governance constraints.</w:t>
      </w:r>
    </w:p>
    <w:p w14:paraId="03085B9B"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2AF25CCE">
          <v:rect id="_x0000_i1029" alt="" style="width:451.3pt;height:.05pt;mso-width-percent:0;mso-height-percent:0;mso-width-percent:0;mso-height-percent:0" o:hralign="center" o:hrstd="t" o:hr="t" fillcolor="#a0a0a0" stroked="f"/>
        </w:pict>
      </w:r>
    </w:p>
    <w:p w14:paraId="72AF0B18"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3. Implications for Devolved Governance</w:t>
      </w:r>
    </w:p>
    <w:p w14:paraId="404983FE"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Impact of EU Law on Devolved Regions</w:t>
      </w:r>
    </w:p>
    <w:p w14:paraId="5F5983CF" w14:textId="77777777" w:rsidR="003B504C" w:rsidRPr="00FE4842" w:rsidRDefault="003B504C" w:rsidP="00CA12C8">
      <w:pPr>
        <w:numPr>
          <w:ilvl w:val="0"/>
          <w:numId w:val="5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Scotland’s reliance on MUP as a public health measure reflected the limitations of devolved governance. Unlike taxation, which was a reserved matter, price controls fell within Scotland’s legislative competence.</w:t>
      </w:r>
    </w:p>
    <w:p w14:paraId="0822828E" w14:textId="77777777" w:rsidR="003B504C" w:rsidRPr="00FE4842" w:rsidRDefault="003B504C" w:rsidP="00CA12C8">
      <w:pPr>
        <w:numPr>
          <w:ilvl w:val="0"/>
          <w:numId w:val="55"/>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Critique</w:t>
      </w:r>
      <w:r w:rsidRPr="00FE4842">
        <w:rPr>
          <w:rFonts w:ascii="Times New Roman" w:hAnsi="Times New Roman"/>
          <w:lang w:val="en-HK"/>
        </w:rPr>
        <w:t>:</w:t>
      </w:r>
    </w:p>
    <w:p w14:paraId="2EF739B5" w14:textId="77777777" w:rsidR="003B504C" w:rsidRPr="00FE4842" w:rsidRDefault="003B504C" w:rsidP="00CA12C8">
      <w:pPr>
        <w:numPr>
          <w:ilvl w:val="1"/>
          <w:numId w:val="5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lastRenderedPageBreak/>
        <w:t>The CJEU’s failure to account for Scotland’s constitutional constraints highlighted a lack of sensitivity to the realities of devolved policymaking.</w:t>
      </w:r>
    </w:p>
    <w:p w14:paraId="5D6DB077" w14:textId="77777777" w:rsidR="003B504C" w:rsidRPr="00FE4842" w:rsidRDefault="003B504C" w:rsidP="00CA12C8">
      <w:pPr>
        <w:numPr>
          <w:ilvl w:val="1"/>
          <w:numId w:val="55"/>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authors argue for a more nuanced application of EU law, one that respects the diversity of governance structures within Member States.</w:t>
      </w:r>
    </w:p>
    <w:p w14:paraId="5417ABA8"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Broader Lessons</w:t>
      </w:r>
    </w:p>
    <w:p w14:paraId="2B21317C" w14:textId="77777777" w:rsidR="003B504C" w:rsidRPr="00FE4842" w:rsidRDefault="003B504C" w:rsidP="00CA12C8">
      <w:pPr>
        <w:numPr>
          <w:ilvl w:val="0"/>
          <w:numId w:val="56"/>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underscores the need for flexibility in EU law to accommodate localized solutions to public interest challenges. Proportionality must not become a tool for imposing uniform solutions that disregard regional autonomy.</w:t>
      </w:r>
    </w:p>
    <w:p w14:paraId="337439A4"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2EDF18B0">
          <v:rect id="_x0000_i1028" alt="" style="width:451.3pt;height:.05pt;mso-width-percent:0;mso-height-percent:0;mso-width-percent:0;mso-height-percent:0" o:hralign="center" o:hrstd="t" o:hr="t" fillcolor="#a0a0a0" stroked="f"/>
        </w:pict>
      </w:r>
    </w:p>
    <w:p w14:paraId="0CD40905"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4. The Evolving Role of Evidence</w:t>
      </w:r>
    </w:p>
    <w:p w14:paraId="3D6AC063"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Empirical Standards</w:t>
      </w:r>
    </w:p>
    <w:p w14:paraId="436358F3" w14:textId="77777777" w:rsidR="003B504C" w:rsidRPr="00FE4842" w:rsidRDefault="003B504C" w:rsidP="00CA12C8">
      <w:pPr>
        <w:numPr>
          <w:ilvl w:val="0"/>
          <w:numId w:val="5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highlighted the growing importance of evidence in justifying public interest measures under EU law.</w:t>
      </w:r>
    </w:p>
    <w:p w14:paraId="55584AF4" w14:textId="77777777" w:rsidR="003B504C" w:rsidRPr="00FE4842" w:rsidRDefault="003B504C" w:rsidP="00CA12C8">
      <w:pPr>
        <w:numPr>
          <w:ilvl w:val="0"/>
          <w:numId w:val="5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CJEU’s Approach</w:t>
      </w:r>
      <w:r w:rsidRPr="00FE4842">
        <w:rPr>
          <w:rFonts w:ascii="Times New Roman" w:hAnsi="Times New Roman"/>
          <w:lang w:val="en-HK"/>
        </w:rPr>
        <w:t>:</w:t>
      </w:r>
    </w:p>
    <w:p w14:paraId="374042F7" w14:textId="77777777" w:rsidR="003B504C" w:rsidRPr="00FE4842" w:rsidRDefault="003B504C" w:rsidP="00CA12C8">
      <w:pPr>
        <w:numPr>
          <w:ilvl w:val="1"/>
          <w:numId w:val="5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 xml:space="preserve">The Court increasingly demands robust empirical evidence to substantiate claims under </w:t>
      </w:r>
      <w:r w:rsidRPr="00FE4842">
        <w:rPr>
          <w:rFonts w:ascii="Times New Roman" w:hAnsi="Times New Roman"/>
          <w:b/>
          <w:bCs/>
          <w:lang w:val="en-HK"/>
        </w:rPr>
        <w:t>Article 36</w:t>
      </w:r>
      <w:r w:rsidRPr="00FE4842">
        <w:rPr>
          <w:rFonts w:ascii="Times New Roman" w:hAnsi="Times New Roman"/>
          <w:lang w:val="en-HK"/>
        </w:rPr>
        <w:t>, particularly in the necessity and proportionality assessments.</w:t>
      </w:r>
    </w:p>
    <w:p w14:paraId="3755CCC8" w14:textId="77777777" w:rsidR="003B504C" w:rsidRPr="00FE4842" w:rsidRDefault="003B504C" w:rsidP="00CA12C8">
      <w:pPr>
        <w:numPr>
          <w:ilvl w:val="0"/>
          <w:numId w:val="57"/>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Practical Challenges</w:t>
      </w:r>
      <w:r w:rsidRPr="00FE4842">
        <w:rPr>
          <w:rFonts w:ascii="Times New Roman" w:hAnsi="Times New Roman"/>
          <w:lang w:val="en-HK"/>
        </w:rPr>
        <w:t>:</w:t>
      </w:r>
    </w:p>
    <w:p w14:paraId="719DE055" w14:textId="77777777" w:rsidR="003B504C" w:rsidRPr="00FE4842" w:rsidRDefault="003B504C" w:rsidP="00CA12C8">
      <w:pPr>
        <w:numPr>
          <w:ilvl w:val="1"/>
          <w:numId w:val="57"/>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For smaller or resource-constrained regions, meeting these evidentiary demands can be particularly onerous.</w:t>
      </w:r>
    </w:p>
    <w:p w14:paraId="50B40840"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Authors’ Recommendations:</w:t>
      </w:r>
    </w:p>
    <w:p w14:paraId="25AD6455" w14:textId="77777777" w:rsidR="003B504C" w:rsidRPr="00FE4842" w:rsidRDefault="003B504C" w:rsidP="00CA12C8">
      <w:pPr>
        <w:numPr>
          <w:ilvl w:val="0"/>
          <w:numId w:val="5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Develop clearer guidelines on the type and standard of evidence required to satisfy the proportionality test.</w:t>
      </w:r>
    </w:p>
    <w:p w14:paraId="07EEC5A2" w14:textId="77777777" w:rsidR="003B504C" w:rsidRPr="00FE4842" w:rsidRDefault="003B504C" w:rsidP="00CA12C8">
      <w:pPr>
        <w:numPr>
          <w:ilvl w:val="0"/>
          <w:numId w:val="58"/>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Balance the need for rigorous evidence with the practical realities of policymaking, particularly in emerging or complex areas like public health.</w:t>
      </w:r>
    </w:p>
    <w:p w14:paraId="6E208688" w14:textId="77777777" w:rsidR="003B504C" w:rsidRPr="00FE4842" w:rsidRDefault="00D2368A" w:rsidP="00CA12C8">
      <w:pPr>
        <w:spacing w:line="276" w:lineRule="auto"/>
        <w:rPr>
          <w:rFonts w:ascii="Times New Roman" w:hAnsi="Times New Roman"/>
          <w:lang w:val="en-HK"/>
        </w:rPr>
      </w:pPr>
      <w:r w:rsidRPr="00D2368A">
        <w:rPr>
          <w:rFonts w:ascii="Times New Roman" w:hAnsi="Times New Roman"/>
          <w:noProof/>
          <w:lang w:val="en-HK"/>
          <w14:ligatures w14:val="standardContextual"/>
        </w:rPr>
        <w:pict w14:anchorId="3FC2E736">
          <v:rect id="_x0000_i1027" alt="" style="width:451.3pt;height:.05pt;mso-width-percent:0;mso-height-percent:0;mso-width-percent:0;mso-height-percent:0" o:hralign="center" o:hrstd="t" o:hr="t" fillcolor="#a0a0a0" stroked="f"/>
        </w:pict>
      </w:r>
    </w:p>
    <w:p w14:paraId="70D5EF76"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5. Broader Implications for EU Law</w:t>
      </w:r>
    </w:p>
    <w:p w14:paraId="5A507CD3"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t>Market Integration vs. Regulatory Autonomy</w:t>
      </w:r>
    </w:p>
    <w:p w14:paraId="5CD18756" w14:textId="77777777" w:rsidR="003B504C" w:rsidRPr="00FE4842" w:rsidRDefault="003B504C" w:rsidP="00CA12C8">
      <w:pPr>
        <w:numPr>
          <w:ilvl w:val="0"/>
          <w:numId w:val="5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reflects broader tensions in EU law between harmonized market rules and Member State autonomy.</w:t>
      </w:r>
    </w:p>
    <w:p w14:paraId="6D41E287" w14:textId="77777777" w:rsidR="003B504C" w:rsidRPr="00FE4842" w:rsidRDefault="003B504C" w:rsidP="00CA12C8">
      <w:pPr>
        <w:numPr>
          <w:ilvl w:val="0"/>
          <w:numId w:val="59"/>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Authors’ Warning</w:t>
      </w:r>
      <w:r w:rsidRPr="00FE4842">
        <w:rPr>
          <w:rFonts w:ascii="Times New Roman" w:hAnsi="Times New Roman"/>
          <w:lang w:val="en-HK"/>
        </w:rPr>
        <w:t>:</w:t>
      </w:r>
    </w:p>
    <w:p w14:paraId="139C51A7" w14:textId="77777777" w:rsidR="003B504C" w:rsidRPr="00FE4842" w:rsidRDefault="003B504C" w:rsidP="00CA12C8">
      <w:pPr>
        <w:numPr>
          <w:ilvl w:val="1"/>
          <w:numId w:val="59"/>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rigid application of market access principles risks undermining the ability of Member States to address legitimate public interest objectives.”</w:t>
      </w:r>
    </w:p>
    <w:p w14:paraId="6EF529D7" w14:textId="77777777" w:rsidR="003B504C" w:rsidRPr="00FE4842" w:rsidRDefault="003B504C" w:rsidP="00CA12C8">
      <w:pPr>
        <w:spacing w:before="100" w:beforeAutospacing="1" w:after="100" w:afterAutospacing="1" w:line="276" w:lineRule="auto"/>
        <w:outlineLvl w:val="3"/>
        <w:rPr>
          <w:rFonts w:ascii="Times New Roman" w:hAnsi="Times New Roman"/>
          <w:b/>
          <w:bCs/>
          <w:lang w:val="en-HK"/>
        </w:rPr>
      </w:pPr>
      <w:r w:rsidRPr="00FE4842">
        <w:rPr>
          <w:rFonts w:ascii="Times New Roman" w:hAnsi="Times New Roman"/>
          <w:b/>
          <w:bCs/>
          <w:lang w:val="en-HK"/>
        </w:rPr>
        <w:lastRenderedPageBreak/>
        <w:t>Future of Public Interest Justifications</w:t>
      </w:r>
    </w:p>
    <w:p w14:paraId="4E530375" w14:textId="77777777" w:rsidR="003B504C" w:rsidRPr="00FE4842" w:rsidRDefault="003B504C" w:rsidP="00CA12C8">
      <w:pPr>
        <w:numPr>
          <w:ilvl w:val="0"/>
          <w:numId w:val="6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case raises important questions about the future role of public interest justifications under Article 36:</w:t>
      </w:r>
    </w:p>
    <w:p w14:paraId="61B87DFD" w14:textId="77777777" w:rsidR="003B504C" w:rsidRPr="00FE4842" w:rsidRDefault="003B504C" w:rsidP="00CA12C8">
      <w:pPr>
        <w:numPr>
          <w:ilvl w:val="1"/>
          <w:numId w:val="6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How should courts balance public health goals against economic freedoms?</w:t>
      </w:r>
    </w:p>
    <w:p w14:paraId="7DC62E9E" w14:textId="77777777" w:rsidR="003B504C" w:rsidRPr="00FE4842" w:rsidRDefault="003B504C" w:rsidP="00CA12C8">
      <w:pPr>
        <w:numPr>
          <w:ilvl w:val="1"/>
          <w:numId w:val="60"/>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To what extent should EU law accommodate localized policy solutions that diverge from harmonized standards?</w:t>
      </w:r>
    </w:p>
    <w:p w14:paraId="36F77031" w14:textId="77777777" w:rsidR="003B504C" w:rsidRPr="00FE4842" w:rsidRDefault="00D2368A" w:rsidP="00CA12C8">
      <w:pPr>
        <w:spacing w:line="276" w:lineRule="auto"/>
        <w:rPr>
          <w:rFonts w:ascii="Times New Roman" w:hAnsi="Times New Roman"/>
          <w:lang w:val="en-HK"/>
        </w:rPr>
      </w:pPr>
      <w:r>
        <w:pict w14:anchorId="7384BF64">
          <v:rect id="Horizontal Line 48"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97C6F7" w14:textId="77777777" w:rsidR="003B504C" w:rsidRPr="00FE4842" w:rsidRDefault="003B504C" w:rsidP="00CA12C8">
      <w:pPr>
        <w:spacing w:before="100" w:beforeAutospacing="1" w:after="100" w:afterAutospacing="1" w:line="276" w:lineRule="auto"/>
        <w:outlineLvl w:val="2"/>
        <w:rPr>
          <w:rFonts w:ascii="Times New Roman" w:hAnsi="Times New Roman"/>
          <w:b/>
          <w:bCs/>
          <w:lang w:val="en-HK"/>
        </w:rPr>
      </w:pPr>
      <w:r w:rsidRPr="00FE4842">
        <w:rPr>
          <w:rFonts w:ascii="Times New Roman" w:hAnsi="Times New Roman"/>
          <w:b/>
          <w:bCs/>
          <w:lang w:val="en-HK"/>
        </w:rPr>
        <w:t>Conclusion of Conclusion</w:t>
      </w:r>
    </w:p>
    <w:p w14:paraId="52B8D04A" w14:textId="77777777" w:rsidR="003B504C" w:rsidRPr="00FE4842" w:rsidRDefault="003B504C" w:rsidP="00CA12C8">
      <w:pPr>
        <w:numPr>
          <w:ilvl w:val="0"/>
          <w:numId w:val="6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Scotch Whisky case illustrates the complexities of balancing market access with public health, particularly in the context of devolved governance. While proportionality remains the key tool for resolving such disputes, its application must account for practical and constitutional constraints to ensure fair and effective outcomes.</w:t>
      </w:r>
    </w:p>
    <w:p w14:paraId="171B8991" w14:textId="77777777" w:rsidR="003B504C" w:rsidRPr="00FE4842" w:rsidRDefault="003B504C" w:rsidP="00CA12C8">
      <w:pPr>
        <w:numPr>
          <w:ilvl w:val="0"/>
          <w:numId w:val="61"/>
        </w:numPr>
        <w:spacing w:before="100" w:beforeAutospacing="1" w:after="100" w:afterAutospacing="1" w:line="276" w:lineRule="auto"/>
        <w:rPr>
          <w:rFonts w:ascii="Times New Roman" w:hAnsi="Times New Roman"/>
          <w:lang w:val="en-HK"/>
        </w:rPr>
      </w:pPr>
      <w:r w:rsidRPr="00FE4842">
        <w:rPr>
          <w:rFonts w:ascii="Times New Roman" w:hAnsi="Times New Roman"/>
          <w:b/>
          <w:bCs/>
          <w:lang w:val="en-HK"/>
        </w:rPr>
        <w:t>Key Takeaways</w:t>
      </w:r>
      <w:r w:rsidRPr="00FE4842">
        <w:rPr>
          <w:rFonts w:ascii="Times New Roman" w:hAnsi="Times New Roman"/>
          <w:lang w:val="en-HK"/>
        </w:rPr>
        <w:t>:</w:t>
      </w:r>
    </w:p>
    <w:p w14:paraId="16793B9F" w14:textId="77777777" w:rsidR="003B504C" w:rsidRPr="00FE4842" w:rsidRDefault="003B504C" w:rsidP="00CA12C8">
      <w:pPr>
        <w:numPr>
          <w:ilvl w:val="1"/>
          <w:numId w:val="6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Proportionality must be applied flexibly, with sensitivity to local contexts and governance structures.</w:t>
      </w:r>
    </w:p>
    <w:p w14:paraId="43F1023A" w14:textId="77777777" w:rsidR="003B504C" w:rsidRPr="00FE4842" w:rsidRDefault="003B504C" w:rsidP="00CA12C8">
      <w:pPr>
        <w:numPr>
          <w:ilvl w:val="1"/>
          <w:numId w:val="6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Courts must strike a balance between ensuring market integration and respecting Member States’ or regions’ regulatory autonomy.</w:t>
      </w:r>
    </w:p>
    <w:p w14:paraId="0FEF3F25" w14:textId="77777777" w:rsidR="003B504C" w:rsidRPr="00FE4842" w:rsidRDefault="003B504C" w:rsidP="00CA12C8">
      <w:pPr>
        <w:numPr>
          <w:ilvl w:val="1"/>
          <w:numId w:val="61"/>
        </w:numPr>
        <w:spacing w:before="100" w:beforeAutospacing="1" w:after="100" w:afterAutospacing="1" w:line="276" w:lineRule="auto"/>
        <w:rPr>
          <w:rFonts w:ascii="Times New Roman" w:hAnsi="Times New Roman"/>
          <w:lang w:val="en-HK"/>
        </w:rPr>
      </w:pPr>
      <w:r w:rsidRPr="00FE4842">
        <w:rPr>
          <w:rFonts w:ascii="Times New Roman" w:hAnsi="Times New Roman"/>
          <w:lang w:val="en-HK"/>
        </w:rPr>
        <w:t>The evolving evidentiary demands of EU law require clearer guidance to support policymakers in meeting proportionality standards.</w:t>
      </w:r>
    </w:p>
    <w:p w14:paraId="68561A46" w14:textId="77777777" w:rsidR="003B504C" w:rsidRPr="00FE4842" w:rsidRDefault="00D2368A" w:rsidP="00CA12C8">
      <w:pPr>
        <w:spacing w:line="276" w:lineRule="auto"/>
        <w:rPr>
          <w:rFonts w:ascii="Times New Roman" w:hAnsi="Times New Roman"/>
          <w:lang w:val="en-HK"/>
        </w:rPr>
      </w:pPr>
      <w:r>
        <w:pict w14:anchorId="27A3D2B8">
          <v:rect id="Horizontal Line 4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A816BC" w14:textId="10B9FECA" w:rsidR="00CD39F1" w:rsidRPr="00FE4842" w:rsidRDefault="00CD39F1" w:rsidP="00CA12C8">
      <w:pPr>
        <w:spacing w:line="276" w:lineRule="auto"/>
      </w:pPr>
    </w:p>
    <w:sectPr w:rsidR="00CD39F1" w:rsidRPr="00FE4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81F5B"/>
    <w:multiLevelType w:val="multilevel"/>
    <w:tmpl w:val="4D7E3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22204"/>
    <w:multiLevelType w:val="multilevel"/>
    <w:tmpl w:val="6F18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6A49"/>
    <w:multiLevelType w:val="multilevel"/>
    <w:tmpl w:val="8AB23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53D6"/>
    <w:multiLevelType w:val="multilevel"/>
    <w:tmpl w:val="E168F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87232"/>
    <w:multiLevelType w:val="multilevel"/>
    <w:tmpl w:val="54CC7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C2215"/>
    <w:multiLevelType w:val="multilevel"/>
    <w:tmpl w:val="6706E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32177"/>
    <w:multiLevelType w:val="multilevel"/>
    <w:tmpl w:val="FEFEE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35069"/>
    <w:multiLevelType w:val="multilevel"/>
    <w:tmpl w:val="20E0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8015F"/>
    <w:multiLevelType w:val="multilevel"/>
    <w:tmpl w:val="705A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A5F89"/>
    <w:multiLevelType w:val="multilevel"/>
    <w:tmpl w:val="C46C1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66D56"/>
    <w:multiLevelType w:val="multilevel"/>
    <w:tmpl w:val="7E90C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A29EF"/>
    <w:multiLevelType w:val="multilevel"/>
    <w:tmpl w:val="CF90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211BF"/>
    <w:multiLevelType w:val="multilevel"/>
    <w:tmpl w:val="F7A05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F1903"/>
    <w:multiLevelType w:val="multilevel"/>
    <w:tmpl w:val="6778E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A51D6"/>
    <w:multiLevelType w:val="multilevel"/>
    <w:tmpl w:val="A40E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26E89"/>
    <w:multiLevelType w:val="multilevel"/>
    <w:tmpl w:val="9FB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C43B3"/>
    <w:multiLevelType w:val="multilevel"/>
    <w:tmpl w:val="C632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36FDE"/>
    <w:multiLevelType w:val="multilevel"/>
    <w:tmpl w:val="E58A5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23E5A"/>
    <w:multiLevelType w:val="multilevel"/>
    <w:tmpl w:val="63D20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15114E"/>
    <w:multiLevelType w:val="multilevel"/>
    <w:tmpl w:val="4164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E23A9"/>
    <w:multiLevelType w:val="multilevel"/>
    <w:tmpl w:val="93C0C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95231"/>
    <w:multiLevelType w:val="multilevel"/>
    <w:tmpl w:val="BF6E7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F18C2"/>
    <w:multiLevelType w:val="multilevel"/>
    <w:tmpl w:val="1C6A9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6706A"/>
    <w:multiLevelType w:val="multilevel"/>
    <w:tmpl w:val="D34C9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23840"/>
    <w:multiLevelType w:val="multilevel"/>
    <w:tmpl w:val="5B008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65CF4"/>
    <w:multiLevelType w:val="multilevel"/>
    <w:tmpl w:val="AB10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6B4F39"/>
    <w:multiLevelType w:val="multilevel"/>
    <w:tmpl w:val="24E27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954BF"/>
    <w:multiLevelType w:val="multilevel"/>
    <w:tmpl w:val="B4CC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E49D6"/>
    <w:multiLevelType w:val="multilevel"/>
    <w:tmpl w:val="B91E6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183FE3"/>
    <w:multiLevelType w:val="multilevel"/>
    <w:tmpl w:val="73668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207F4"/>
    <w:multiLevelType w:val="multilevel"/>
    <w:tmpl w:val="BBDC9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A2ED6"/>
    <w:multiLevelType w:val="multilevel"/>
    <w:tmpl w:val="25AE0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17952"/>
    <w:multiLevelType w:val="multilevel"/>
    <w:tmpl w:val="3F8E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84D49"/>
    <w:multiLevelType w:val="multilevel"/>
    <w:tmpl w:val="7ACE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17186"/>
    <w:multiLevelType w:val="multilevel"/>
    <w:tmpl w:val="04243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75624"/>
    <w:multiLevelType w:val="multilevel"/>
    <w:tmpl w:val="E53E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D0154F"/>
    <w:multiLevelType w:val="multilevel"/>
    <w:tmpl w:val="37A6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A7830"/>
    <w:multiLevelType w:val="multilevel"/>
    <w:tmpl w:val="20ACE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608B8"/>
    <w:multiLevelType w:val="multilevel"/>
    <w:tmpl w:val="3426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82B64"/>
    <w:multiLevelType w:val="multilevel"/>
    <w:tmpl w:val="C054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43D8D"/>
    <w:multiLevelType w:val="multilevel"/>
    <w:tmpl w:val="060C4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F02D7"/>
    <w:multiLevelType w:val="multilevel"/>
    <w:tmpl w:val="46FC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77BD3"/>
    <w:multiLevelType w:val="multilevel"/>
    <w:tmpl w:val="2384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A4B32"/>
    <w:multiLevelType w:val="multilevel"/>
    <w:tmpl w:val="0744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5016F"/>
    <w:multiLevelType w:val="multilevel"/>
    <w:tmpl w:val="56B6F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C7778"/>
    <w:multiLevelType w:val="multilevel"/>
    <w:tmpl w:val="1AE2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8C703B"/>
    <w:multiLevelType w:val="multilevel"/>
    <w:tmpl w:val="9718F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F4F4A"/>
    <w:multiLevelType w:val="multilevel"/>
    <w:tmpl w:val="40A0C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E59CE"/>
    <w:multiLevelType w:val="multilevel"/>
    <w:tmpl w:val="07440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A7419F"/>
    <w:multiLevelType w:val="multilevel"/>
    <w:tmpl w:val="60620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AA21F1"/>
    <w:multiLevelType w:val="multilevel"/>
    <w:tmpl w:val="B596F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14727"/>
    <w:multiLevelType w:val="multilevel"/>
    <w:tmpl w:val="D9E8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797931"/>
    <w:multiLevelType w:val="multilevel"/>
    <w:tmpl w:val="4FC21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AC5925"/>
    <w:multiLevelType w:val="multilevel"/>
    <w:tmpl w:val="2D66F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E19B2"/>
    <w:multiLevelType w:val="multilevel"/>
    <w:tmpl w:val="CC2C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61400B"/>
    <w:multiLevelType w:val="multilevel"/>
    <w:tmpl w:val="367C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C0C68"/>
    <w:multiLevelType w:val="multilevel"/>
    <w:tmpl w:val="509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67163"/>
    <w:multiLevelType w:val="multilevel"/>
    <w:tmpl w:val="58EE2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14171"/>
    <w:multiLevelType w:val="multilevel"/>
    <w:tmpl w:val="BB36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128288">
    <w:abstractNumId w:val="7"/>
  </w:num>
  <w:num w:numId="2" w16cid:durableId="1776362233">
    <w:abstractNumId w:val="5"/>
  </w:num>
  <w:num w:numId="3" w16cid:durableId="245500118">
    <w:abstractNumId w:val="40"/>
  </w:num>
  <w:num w:numId="4" w16cid:durableId="1682319622">
    <w:abstractNumId w:val="14"/>
  </w:num>
  <w:num w:numId="5" w16cid:durableId="555707535">
    <w:abstractNumId w:val="57"/>
  </w:num>
  <w:num w:numId="6" w16cid:durableId="338043757">
    <w:abstractNumId w:val="50"/>
  </w:num>
  <w:num w:numId="7" w16cid:durableId="1392999048">
    <w:abstractNumId w:val="6"/>
  </w:num>
  <w:num w:numId="8" w16cid:durableId="173614101">
    <w:abstractNumId w:val="9"/>
  </w:num>
  <w:num w:numId="9" w16cid:durableId="1557476052">
    <w:abstractNumId w:val="49"/>
  </w:num>
  <w:num w:numId="10" w16cid:durableId="1107235715">
    <w:abstractNumId w:val="31"/>
  </w:num>
  <w:num w:numId="11" w16cid:durableId="565799028">
    <w:abstractNumId w:val="28"/>
  </w:num>
  <w:num w:numId="12" w16cid:durableId="1228875970">
    <w:abstractNumId w:val="3"/>
  </w:num>
  <w:num w:numId="13" w16cid:durableId="1078551625">
    <w:abstractNumId w:val="38"/>
  </w:num>
  <w:num w:numId="14" w16cid:durableId="2085446794">
    <w:abstractNumId w:val="58"/>
  </w:num>
  <w:num w:numId="15" w16cid:durableId="634608083">
    <w:abstractNumId w:val="44"/>
  </w:num>
  <w:num w:numId="16" w16cid:durableId="644624786">
    <w:abstractNumId w:val="27"/>
  </w:num>
  <w:num w:numId="17" w16cid:durableId="1026950149">
    <w:abstractNumId w:val="42"/>
  </w:num>
  <w:num w:numId="18" w16cid:durableId="617101711">
    <w:abstractNumId w:val="51"/>
  </w:num>
  <w:num w:numId="19" w16cid:durableId="314260146">
    <w:abstractNumId w:val="53"/>
  </w:num>
  <w:num w:numId="20" w16cid:durableId="1169054817">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527252962">
    <w:abstractNumId w:val="17"/>
  </w:num>
  <w:num w:numId="22" w16cid:durableId="756899538">
    <w:abstractNumId w:val="20"/>
  </w:num>
  <w:num w:numId="23" w16cid:durableId="1145464780">
    <w:abstractNumId w:val="39"/>
  </w:num>
  <w:num w:numId="24" w16cid:durableId="250244077">
    <w:abstractNumId w:val="43"/>
  </w:num>
  <w:num w:numId="25" w16cid:durableId="1426150195">
    <w:abstractNumId w:val="32"/>
  </w:num>
  <w:num w:numId="26" w16cid:durableId="1087774110">
    <w:abstractNumId w:val="8"/>
  </w:num>
  <w:num w:numId="27" w16cid:durableId="113788279">
    <w:abstractNumId w:val="45"/>
  </w:num>
  <w:num w:numId="28" w16cid:durableId="484317282">
    <w:abstractNumId w:val="54"/>
  </w:num>
  <w:num w:numId="29" w16cid:durableId="389309728">
    <w:abstractNumId w:val="18"/>
  </w:num>
  <w:num w:numId="30" w16cid:durableId="1491210249">
    <w:abstractNumId w:val="35"/>
  </w:num>
  <w:num w:numId="31" w16cid:durableId="1690831325">
    <w:abstractNumId w:val="52"/>
  </w:num>
  <w:num w:numId="32" w16cid:durableId="1965229379">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410859876">
    <w:abstractNumId w:val="30"/>
  </w:num>
  <w:num w:numId="34" w16cid:durableId="590814150">
    <w:abstractNumId w:val="46"/>
  </w:num>
  <w:num w:numId="35" w16cid:durableId="1619919953">
    <w:abstractNumId w:val="26"/>
  </w:num>
  <w:num w:numId="36" w16cid:durableId="584344561">
    <w:abstractNumId w:val="33"/>
  </w:num>
  <w:num w:numId="37" w16cid:durableId="1871840956">
    <w:abstractNumId w:val="41"/>
  </w:num>
  <w:num w:numId="38" w16cid:durableId="199981207">
    <w:abstractNumId w:val="55"/>
  </w:num>
  <w:num w:numId="39" w16cid:durableId="105199037">
    <w:abstractNumId w:val="56"/>
  </w:num>
  <w:num w:numId="40" w16cid:durableId="1052340176">
    <w:abstractNumId w:val="34"/>
  </w:num>
  <w:num w:numId="41" w16cid:durableId="1546453147">
    <w:abstractNumId w:val="10"/>
  </w:num>
  <w:num w:numId="42" w16cid:durableId="383455579">
    <w:abstractNumId w:val="47"/>
  </w:num>
  <w:num w:numId="43" w16cid:durableId="1859276032">
    <w:abstractNumId w:val="0"/>
  </w:num>
  <w:num w:numId="44" w16cid:durableId="1732385227">
    <w:abstractNumId w:val="29"/>
  </w:num>
  <w:num w:numId="45" w16cid:durableId="1730686806">
    <w:abstractNumId w:val="23"/>
  </w:num>
  <w:num w:numId="46" w16cid:durableId="568464648">
    <w:abstractNumId w:val="21"/>
  </w:num>
  <w:num w:numId="47" w16cid:durableId="522593190">
    <w:abstractNumId w:val="12"/>
  </w:num>
  <w:num w:numId="48" w16cid:durableId="884833338">
    <w:abstractNumId w:val="37"/>
  </w:num>
  <w:num w:numId="49" w16cid:durableId="1895503376">
    <w:abstractNumId w:val="13"/>
  </w:num>
  <w:num w:numId="50" w16cid:durableId="1428497757">
    <w:abstractNumId w:val="24"/>
  </w:num>
  <w:num w:numId="51" w16cid:durableId="1900242652">
    <w:abstractNumId w:val="19"/>
  </w:num>
  <w:num w:numId="52" w16cid:durableId="682433836">
    <w:abstractNumId w:val="36"/>
  </w:num>
  <w:num w:numId="53" w16cid:durableId="1427001500">
    <w:abstractNumId w:val="48"/>
  </w:num>
  <w:num w:numId="54" w16cid:durableId="1013147071">
    <w:abstractNumId w:val="25"/>
  </w:num>
  <w:num w:numId="55" w16cid:durableId="2035375894">
    <w:abstractNumId w:val="22"/>
  </w:num>
  <w:num w:numId="56" w16cid:durableId="1757634082">
    <w:abstractNumId w:val="15"/>
  </w:num>
  <w:num w:numId="57" w16cid:durableId="1371372446">
    <w:abstractNumId w:val="1"/>
  </w:num>
  <w:num w:numId="58" w16cid:durableId="2003002358">
    <w:abstractNumId w:val="16"/>
  </w:num>
  <w:num w:numId="59" w16cid:durableId="1809472611">
    <w:abstractNumId w:val="11"/>
  </w:num>
  <w:num w:numId="60" w16cid:durableId="884223098">
    <w:abstractNumId w:val="4"/>
  </w:num>
  <w:num w:numId="61" w16cid:durableId="1436553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2C"/>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2549B"/>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66000"/>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43F88"/>
    <w:rsid w:val="0036177C"/>
    <w:rsid w:val="00361975"/>
    <w:rsid w:val="00376E23"/>
    <w:rsid w:val="0039416B"/>
    <w:rsid w:val="003A1271"/>
    <w:rsid w:val="003A5DF7"/>
    <w:rsid w:val="003B3510"/>
    <w:rsid w:val="003B504C"/>
    <w:rsid w:val="003C116C"/>
    <w:rsid w:val="003D0CDD"/>
    <w:rsid w:val="003D710F"/>
    <w:rsid w:val="003E1CAA"/>
    <w:rsid w:val="0040210F"/>
    <w:rsid w:val="004222FD"/>
    <w:rsid w:val="004319FA"/>
    <w:rsid w:val="00442F56"/>
    <w:rsid w:val="0044593A"/>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5F7372"/>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22C2C"/>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0C8A"/>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12C8"/>
    <w:rsid w:val="00CA350B"/>
    <w:rsid w:val="00CA3F60"/>
    <w:rsid w:val="00CC2EFF"/>
    <w:rsid w:val="00CC4FEF"/>
    <w:rsid w:val="00CD39F1"/>
    <w:rsid w:val="00CE1439"/>
    <w:rsid w:val="00CF74EF"/>
    <w:rsid w:val="00D01E71"/>
    <w:rsid w:val="00D02AC8"/>
    <w:rsid w:val="00D0623C"/>
    <w:rsid w:val="00D07271"/>
    <w:rsid w:val="00D16917"/>
    <w:rsid w:val="00D2368A"/>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103"/>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4842"/>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1640BE04"/>
  <w15:chartTrackingRefBased/>
  <w15:docId w15:val="{03476946-AC93-9F49-B8F0-E428CE2C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22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2C2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2C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822C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2C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C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C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C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C2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22C2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22C2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22C2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822C2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22C2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22C2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22C2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22C2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22C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2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22C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2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22C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2C2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22C2C"/>
    <w:pPr>
      <w:ind w:left="720"/>
      <w:contextualSpacing/>
    </w:pPr>
  </w:style>
  <w:style w:type="character" w:styleId="IntenseEmphasis">
    <w:name w:val="Intense Emphasis"/>
    <w:basedOn w:val="DefaultParagraphFont"/>
    <w:uiPriority w:val="21"/>
    <w:qFormat/>
    <w:rsid w:val="00822C2C"/>
    <w:rPr>
      <w:i/>
      <w:iCs/>
      <w:color w:val="2F5496" w:themeColor="accent1" w:themeShade="BF"/>
    </w:rPr>
  </w:style>
  <w:style w:type="paragraph" w:styleId="IntenseQuote">
    <w:name w:val="Intense Quote"/>
    <w:basedOn w:val="Normal"/>
    <w:next w:val="Normal"/>
    <w:link w:val="IntenseQuoteChar"/>
    <w:uiPriority w:val="30"/>
    <w:qFormat/>
    <w:rsid w:val="00822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C2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22C2C"/>
    <w:rPr>
      <w:b/>
      <w:bCs/>
      <w:smallCaps/>
      <w:color w:val="2F5496" w:themeColor="accent1" w:themeShade="BF"/>
      <w:spacing w:val="5"/>
    </w:rPr>
  </w:style>
  <w:style w:type="character" w:styleId="Strong">
    <w:name w:val="Strong"/>
    <w:basedOn w:val="DefaultParagraphFont"/>
    <w:uiPriority w:val="22"/>
    <w:qFormat/>
    <w:rsid w:val="00EC7103"/>
    <w:rPr>
      <w:b/>
      <w:bCs/>
    </w:rPr>
  </w:style>
  <w:style w:type="character" w:styleId="Emphasis">
    <w:name w:val="Emphasis"/>
    <w:basedOn w:val="DefaultParagraphFont"/>
    <w:uiPriority w:val="20"/>
    <w:qFormat/>
    <w:rsid w:val="00EC71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987997">
      <w:bodyDiv w:val="1"/>
      <w:marLeft w:val="0"/>
      <w:marRight w:val="0"/>
      <w:marTop w:val="0"/>
      <w:marBottom w:val="0"/>
      <w:divBdr>
        <w:top w:val="none" w:sz="0" w:space="0" w:color="auto"/>
        <w:left w:val="none" w:sz="0" w:space="0" w:color="auto"/>
        <w:bottom w:val="none" w:sz="0" w:space="0" w:color="auto"/>
        <w:right w:val="none" w:sz="0" w:space="0" w:color="auto"/>
      </w:divBdr>
    </w:div>
    <w:div w:id="499394225">
      <w:bodyDiv w:val="1"/>
      <w:marLeft w:val="0"/>
      <w:marRight w:val="0"/>
      <w:marTop w:val="0"/>
      <w:marBottom w:val="0"/>
      <w:divBdr>
        <w:top w:val="none" w:sz="0" w:space="0" w:color="auto"/>
        <w:left w:val="none" w:sz="0" w:space="0" w:color="auto"/>
        <w:bottom w:val="none" w:sz="0" w:space="0" w:color="auto"/>
        <w:right w:val="none" w:sz="0" w:space="0" w:color="auto"/>
      </w:divBdr>
    </w:div>
    <w:div w:id="848370716">
      <w:bodyDiv w:val="1"/>
      <w:marLeft w:val="0"/>
      <w:marRight w:val="0"/>
      <w:marTop w:val="0"/>
      <w:marBottom w:val="0"/>
      <w:divBdr>
        <w:top w:val="none" w:sz="0" w:space="0" w:color="auto"/>
        <w:left w:val="none" w:sz="0" w:space="0" w:color="auto"/>
        <w:bottom w:val="none" w:sz="0" w:space="0" w:color="auto"/>
        <w:right w:val="none" w:sz="0" w:space="0" w:color="auto"/>
      </w:divBdr>
    </w:div>
    <w:div w:id="1016346447">
      <w:bodyDiv w:val="1"/>
      <w:marLeft w:val="0"/>
      <w:marRight w:val="0"/>
      <w:marTop w:val="0"/>
      <w:marBottom w:val="0"/>
      <w:divBdr>
        <w:top w:val="none" w:sz="0" w:space="0" w:color="auto"/>
        <w:left w:val="none" w:sz="0" w:space="0" w:color="auto"/>
        <w:bottom w:val="none" w:sz="0" w:space="0" w:color="auto"/>
        <w:right w:val="none" w:sz="0" w:space="0" w:color="auto"/>
      </w:divBdr>
    </w:div>
    <w:div w:id="1219166966">
      <w:bodyDiv w:val="1"/>
      <w:marLeft w:val="0"/>
      <w:marRight w:val="0"/>
      <w:marTop w:val="0"/>
      <w:marBottom w:val="0"/>
      <w:divBdr>
        <w:top w:val="none" w:sz="0" w:space="0" w:color="auto"/>
        <w:left w:val="none" w:sz="0" w:space="0" w:color="auto"/>
        <w:bottom w:val="none" w:sz="0" w:space="0" w:color="auto"/>
        <w:right w:val="none" w:sz="0" w:space="0" w:color="auto"/>
      </w:divBdr>
    </w:div>
    <w:div w:id="17356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5338</Words>
  <Characters>30433</Characters>
  <Application>Microsoft Office Word</Application>
  <DocSecurity>0</DocSecurity>
  <Lines>253</Lines>
  <Paragraphs>71</Paragraphs>
  <ScaleCrop>false</ScaleCrop>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2025-01-24T13:04:00Z</dcterms:created>
  <dcterms:modified xsi:type="dcterms:W3CDTF">2025-01-24T13:08:00Z</dcterms:modified>
</cp:coreProperties>
</file>