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EE9DD0" w14:textId="77777777" w:rsidR="000834B3" w:rsidRPr="000834B3" w:rsidRDefault="000834B3" w:rsidP="000834B3">
      <w:p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Article 30 and 36 Summary from the Document</w:t>
      </w:r>
    </w:p>
    <w:p w14:paraId="7F28D933"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Article 30 TFEU:</w:t>
      </w:r>
    </w:p>
    <w:p w14:paraId="5D2172E9" w14:textId="77777777" w:rsidR="000834B3" w:rsidRPr="000834B3" w:rsidRDefault="000834B3" w:rsidP="000834B3">
      <w:pPr>
        <w:spacing w:before="100" w:beforeAutospacing="1" w:after="100" w:afterAutospacing="1" w:line="276" w:lineRule="auto"/>
        <w:rPr>
          <w:rFonts w:ascii="Times New Roman" w:hAnsi="Times New Roman"/>
          <w:lang w:val="en-HK"/>
        </w:rPr>
      </w:pPr>
      <w:r w:rsidRPr="000834B3">
        <w:rPr>
          <w:rFonts w:ascii="Times New Roman" w:hAnsi="Times New Roman"/>
          <w:b/>
          <w:bCs/>
          <w:highlight w:val="yellow"/>
          <w:lang w:val="en-HK"/>
        </w:rPr>
        <w:t>Article 30 prohibits customs duties on imports and exports and charges having equivalent effect between Member States</w:t>
      </w:r>
      <w:r w:rsidRPr="000834B3">
        <w:rPr>
          <w:rFonts w:ascii="Times New Roman" w:hAnsi="Times New Roman"/>
          <w:lang w:val="en-HK"/>
        </w:rPr>
        <w:t>. The underlying principle is to eliminate financial barriers that impede the free movement of goods within the European Union's internal market. The Court of Justice of the European Union (CJEU) has emphasized the absolute nature of this prohibition, meaning no justification, whether economic or regulatory, can allow a Member State to impose such duties.</w:t>
      </w:r>
    </w:p>
    <w:p w14:paraId="6742385F"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Key Details and Arguments:</w:t>
      </w:r>
    </w:p>
    <w:p w14:paraId="72798BA5" w14:textId="77777777" w:rsidR="000834B3" w:rsidRPr="000834B3" w:rsidRDefault="000834B3" w:rsidP="000834B3">
      <w:pPr>
        <w:numPr>
          <w:ilvl w:val="0"/>
          <w:numId w:val="91"/>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Scope of Article 30:</w:t>
      </w:r>
    </w:p>
    <w:p w14:paraId="3BEF31CD" w14:textId="77777777" w:rsidR="000834B3" w:rsidRPr="000834B3" w:rsidRDefault="000834B3" w:rsidP="000834B3">
      <w:pPr>
        <w:numPr>
          <w:ilvl w:val="1"/>
          <w:numId w:val="9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Article 30 applies to charges levied at the border, irrespective of their purpose. Even if the proceeds are used for legitimate public interest, such as environmental protection or consumer safety, they are considered unlawful unless they fit exceptions like a fee for services rendered.</w:t>
      </w:r>
    </w:p>
    <w:p w14:paraId="62565EDC" w14:textId="77777777" w:rsidR="000834B3" w:rsidRPr="000834B3" w:rsidRDefault="000834B3" w:rsidP="000834B3">
      <w:pPr>
        <w:numPr>
          <w:ilvl w:val="1"/>
          <w:numId w:val="9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The CJEU in </w:t>
      </w:r>
      <w:r w:rsidRPr="000834B3">
        <w:rPr>
          <w:rFonts w:ascii="Times New Roman" w:hAnsi="Times New Roman"/>
          <w:i/>
          <w:iCs/>
          <w:lang w:val="en-HK"/>
        </w:rPr>
        <w:t>Commission v Italy (Statistical Levy)</w:t>
      </w:r>
      <w:r w:rsidRPr="000834B3">
        <w:rPr>
          <w:rFonts w:ascii="Times New Roman" w:hAnsi="Times New Roman"/>
          <w:lang w:val="en-HK"/>
        </w:rPr>
        <w:t xml:space="preserve"> confirmed this broad interpretation, asserting, "Charges cannot escape the prohibition of Article 30 even if they are non-discriminatory and provide funds for public interest measures."</w:t>
      </w:r>
    </w:p>
    <w:p w14:paraId="26821283" w14:textId="77777777" w:rsidR="000834B3" w:rsidRPr="000834B3" w:rsidRDefault="000834B3" w:rsidP="000834B3">
      <w:pPr>
        <w:numPr>
          <w:ilvl w:val="0"/>
          <w:numId w:val="91"/>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No Derogations Allowed:</w:t>
      </w:r>
    </w:p>
    <w:p w14:paraId="670CF757" w14:textId="77777777" w:rsidR="000834B3" w:rsidRPr="000834B3" w:rsidRDefault="000834B3" w:rsidP="000834B3">
      <w:pPr>
        <w:numPr>
          <w:ilvl w:val="1"/>
          <w:numId w:val="9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Unlike other Treaty articles such as Article 36, which allows exceptions for public interest justifications, Article 30 does not permit derogations. This rigid interpretation ensures uniformity across Member States.</w:t>
      </w:r>
    </w:p>
    <w:p w14:paraId="7779B6F1" w14:textId="77777777" w:rsidR="000834B3" w:rsidRPr="000834B3" w:rsidRDefault="000834B3" w:rsidP="000834B3">
      <w:pPr>
        <w:numPr>
          <w:ilvl w:val="0"/>
          <w:numId w:val="91"/>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Application to Private Parties:</w:t>
      </w:r>
    </w:p>
    <w:p w14:paraId="136C42CD" w14:textId="77777777" w:rsidR="000834B3" w:rsidRPr="000834B3" w:rsidRDefault="000834B3" w:rsidP="000834B3">
      <w:pPr>
        <w:numPr>
          <w:ilvl w:val="1"/>
          <w:numId w:val="9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Article 30 generally binds state actors. However, indirect application arises when Member States facilitate private agreements that amount to a de facto imposition of customs duties.</w:t>
      </w:r>
    </w:p>
    <w:p w14:paraId="3B4B60B4"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Article 36 TFEU:</w:t>
      </w:r>
    </w:p>
    <w:p w14:paraId="55C9B600" w14:textId="77777777" w:rsidR="000834B3" w:rsidRPr="000834B3" w:rsidRDefault="000834B3" w:rsidP="000834B3">
      <w:pPr>
        <w:spacing w:before="100" w:beforeAutospacing="1" w:after="100" w:afterAutospacing="1" w:line="276" w:lineRule="auto"/>
        <w:rPr>
          <w:rFonts w:ascii="Times New Roman" w:hAnsi="Times New Roman"/>
          <w:lang w:val="en-HK"/>
        </w:rPr>
      </w:pPr>
      <w:r w:rsidRPr="000834B3">
        <w:rPr>
          <w:rFonts w:ascii="Times New Roman" w:hAnsi="Times New Roman"/>
          <w:b/>
          <w:bCs/>
          <w:highlight w:val="yellow"/>
          <w:lang w:val="en-HK"/>
        </w:rPr>
        <w:t>Article 36 serves as a derogation from the prohibitions under Articles 34 and 35 TFEU, which regulate quantitative restrictions and measures having equivalent effect</w:t>
      </w:r>
      <w:r w:rsidRPr="000834B3">
        <w:rPr>
          <w:rFonts w:ascii="Times New Roman" w:hAnsi="Times New Roman"/>
          <w:lang w:val="en-HK"/>
        </w:rPr>
        <w:t>. It permits restrictions on imports, exports, and goods in transit if they are justified on grounds such as public morality, public policy, public security, or the protection of health and life of humans, animals, or plants.</w:t>
      </w:r>
    </w:p>
    <w:p w14:paraId="36580B52"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Key Details and Arguments:</w:t>
      </w:r>
    </w:p>
    <w:p w14:paraId="6AB72326" w14:textId="77777777" w:rsidR="000834B3" w:rsidRPr="000834B3" w:rsidRDefault="000834B3" w:rsidP="000834B3">
      <w:pPr>
        <w:numPr>
          <w:ilvl w:val="0"/>
          <w:numId w:val="9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Grounds for Justification:</w:t>
      </w:r>
    </w:p>
    <w:p w14:paraId="0ECC6B42" w14:textId="77777777" w:rsidR="000834B3" w:rsidRPr="000834B3" w:rsidRDefault="000834B3" w:rsidP="000834B3">
      <w:pPr>
        <w:numPr>
          <w:ilvl w:val="1"/>
          <w:numId w:val="92"/>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The article explicitly enumerates acceptable justifications for restrictive measures, ensuring that they align with the EU's overarching objectives. For instance, public health protection has been extensively litigated, as in </w:t>
      </w:r>
      <w:proofErr w:type="spellStart"/>
      <w:r w:rsidRPr="000834B3">
        <w:rPr>
          <w:rFonts w:ascii="Times New Roman" w:hAnsi="Times New Roman"/>
          <w:i/>
          <w:iCs/>
          <w:lang w:val="en-HK"/>
        </w:rPr>
        <w:lastRenderedPageBreak/>
        <w:t>Dusseldorp</w:t>
      </w:r>
      <w:proofErr w:type="spellEnd"/>
      <w:r w:rsidRPr="000834B3">
        <w:rPr>
          <w:rFonts w:ascii="Times New Roman" w:hAnsi="Times New Roman"/>
          <w:lang w:val="en-HK"/>
        </w:rPr>
        <w:t>, where the Court held, "Measures to restrict waste exports must protect environmental health and not serve economic interests."</w:t>
      </w:r>
    </w:p>
    <w:p w14:paraId="533B7F85" w14:textId="77777777" w:rsidR="000834B3" w:rsidRPr="000834B3" w:rsidRDefault="000834B3" w:rsidP="000834B3">
      <w:pPr>
        <w:numPr>
          <w:ilvl w:val="0"/>
          <w:numId w:val="9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Proportionality Principle:</w:t>
      </w:r>
    </w:p>
    <w:p w14:paraId="2C97E22A" w14:textId="77777777" w:rsidR="000834B3" w:rsidRPr="000834B3" w:rsidRDefault="000834B3" w:rsidP="000834B3">
      <w:pPr>
        <w:numPr>
          <w:ilvl w:val="1"/>
          <w:numId w:val="92"/>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The proportionality test under Article 36 requires Member States to demonstrate that restrictive measures are necessary and appropriate. In </w:t>
      </w:r>
      <w:proofErr w:type="spellStart"/>
      <w:r w:rsidRPr="000834B3">
        <w:rPr>
          <w:rFonts w:ascii="Times New Roman" w:hAnsi="Times New Roman"/>
          <w:i/>
          <w:iCs/>
          <w:lang w:val="en-HK"/>
        </w:rPr>
        <w:t>Cinéthèque</w:t>
      </w:r>
      <w:proofErr w:type="spellEnd"/>
      <w:r w:rsidRPr="000834B3">
        <w:rPr>
          <w:rFonts w:ascii="Times New Roman" w:hAnsi="Times New Roman"/>
          <w:i/>
          <w:iCs/>
          <w:lang w:val="en-HK"/>
        </w:rPr>
        <w:t xml:space="preserve"> SA</w:t>
      </w:r>
      <w:r w:rsidRPr="000834B3">
        <w:rPr>
          <w:rFonts w:ascii="Times New Roman" w:hAnsi="Times New Roman"/>
          <w:lang w:val="en-HK"/>
        </w:rPr>
        <w:t>, the Court noted, "Restrictions justified under Article 36 must not constitute a disguised restriction on trade or arbitrary discrimination."</w:t>
      </w:r>
    </w:p>
    <w:p w14:paraId="59CC3EB9" w14:textId="77777777" w:rsidR="000834B3" w:rsidRPr="000834B3" w:rsidRDefault="000834B3" w:rsidP="000834B3">
      <w:pPr>
        <w:numPr>
          <w:ilvl w:val="0"/>
          <w:numId w:val="9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Relationship with Article 30:</w:t>
      </w:r>
    </w:p>
    <w:p w14:paraId="0B8F1467" w14:textId="77777777" w:rsidR="000834B3" w:rsidRPr="000834B3" w:rsidRDefault="000834B3" w:rsidP="000834B3">
      <w:pPr>
        <w:numPr>
          <w:ilvl w:val="1"/>
          <w:numId w:val="9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 xml:space="preserve">A measure falling under Article 36 must also align with the free movement framework. </w:t>
      </w:r>
      <w:r w:rsidRPr="000834B3">
        <w:rPr>
          <w:rFonts w:ascii="Times New Roman" w:hAnsi="Times New Roman"/>
          <w:lang w:val="en-HK"/>
        </w:rPr>
        <w:t>Public health, for example, is considered under both mandatory requirements and Article 36 derogations, but Member States must prove that the measure satisfies proportionality and necessity.</w:t>
      </w:r>
    </w:p>
    <w:p w14:paraId="0B0E7B0E" w14:textId="77777777" w:rsidR="000834B3" w:rsidRPr="000834B3" w:rsidRDefault="000834B3" w:rsidP="000834B3">
      <w:pPr>
        <w:numPr>
          <w:ilvl w:val="0"/>
          <w:numId w:val="9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Evolving Scope:</w:t>
      </w:r>
    </w:p>
    <w:p w14:paraId="45936E13" w14:textId="77777777" w:rsidR="000834B3" w:rsidRPr="000834B3" w:rsidRDefault="000834B3" w:rsidP="000834B3">
      <w:pPr>
        <w:numPr>
          <w:ilvl w:val="1"/>
          <w:numId w:val="92"/>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Recent jurisprudence highlights the evolving nature of justifications under Article 36, particularly in light of technological advances and environmental concerns. In </w:t>
      </w:r>
      <w:proofErr w:type="spellStart"/>
      <w:r w:rsidRPr="000834B3">
        <w:rPr>
          <w:rFonts w:ascii="Times New Roman" w:hAnsi="Times New Roman"/>
          <w:i/>
          <w:iCs/>
          <w:lang w:val="en-HK"/>
        </w:rPr>
        <w:t>PreussenElektra</w:t>
      </w:r>
      <w:proofErr w:type="spellEnd"/>
      <w:r w:rsidRPr="000834B3">
        <w:rPr>
          <w:rFonts w:ascii="Times New Roman" w:hAnsi="Times New Roman"/>
          <w:lang w:val="en-HK"/>
        </w:rPr>
        <w:t>, the CJEU broadened the interpretation to include renewable energy promotion as a legitimate ground for public health and environmental protection.</w:t>
      </w:r>
    </w:p>
    <w:p w14:paraId="1A3B57DD"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Article 28 TFEU</w:t>
      </w:r>
    </w:p>
    <w:p w14:paraId="71A6863C" w14:textId="77777777" w:rsidR="000834B3" w:rsidRPr="000834B3" w:rsidRDefault="000834B3" w:rsidP="000834B3">
      <w:pPr>
        <w:spacing w:before="100" w:beforeAutospacing="1" w:after="100" w:afterAutospacing="1" w:line="276" w:lineRule="auto"/>
        <w:rPr>
          <w:rFonts w:ascii="Times New Roman" w:hAnsi="Times New Roman"/>
          <w:lang w:val="en-HK"/>
        </w:rPr>
      </w:pPr>
      <w:r w:rsidRPr="000834B3">
        <w:rPr>
          <w:rFonts w:ascii="Times New Roman" w:hAnsi="Times New Roman"/>
          <w:b/>
          <w:bCs/>
          <w:highlight w:val="yellow"/>
          <w:lang w:val="en-HK"/>
        </w:rPr>
        <w:t xml:space="preserve">Article 28 concerns the customs union established by the EU, which includes the prohibition of customs duties on imports and exports and all charges </w:t>
      </w:r>
      <w:r w:rsidRPr="000834B3">
        <w:rPr>
          <w:rFonts w:ascii="Times New Roman" w:hAnsi="Times New Roman"/>
          <w:b/>
          <w:bCs/>
          <w:highlight w:val="yellow"/>
          <w:u w:val="single"/>
          <w:lang w:val="en-HK"/>
        </w:rPr>
        <w:t>having equivalent effect between Member States.</w:t>
      </w:r>
      <w:r w:rsidRPr="000834B3">
        <w:rPr>
          <w:rFonts w:ascii="Times New Roman" w:hAnsi="Times New Roman"/>
          <w:lang w:val="en-HK"/>
        </w:rPr>
        <w:t xml:space="preserve"> The provision also includes a common customs tariff in relations with third countries.</w:t>
      </w:r>
    </w:p>
    <w:p w14:paraId="1C789A8B"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Details and Interpretation</w:t>
      </w:r>
    </w:p>
    <w:p w14:paraId="59CD8BCE" w14:textId="77777777" w:rsidR="000834B3" w:rsidRPr="000834B3" w:rsidRDefault="000834B3" w:rsidP="000834B3">
      <w:pPr>
        <w:numPr>
          <w:ilvl w:val="0"/>
          <w:numId w:val="93"/>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Scope</w:t>
      </w:r>
      <w:r w:rsidRPr="000834B3">
        <w:rPr>
          <w:rFonts w:ascii="Times New Roman" w:hAnsi="Times New Roman"/>
          <w:lang w:val="en-HK"/>
        </w:rPr>
        <w:t>: Article 28 establishes the EU's customs union, eliminating barriers to intra-EU trade by prohibiting customs duties and charges of equivalent effect. The measure aims to ensure that goods can flow freely across borders within the internal market.</w:t>
      </w:r>
    </w:p>
    <w:p w14:paraId="3D79385A" w14:textId="77777777" w:rsidR="000834B3" w:rsidRPr="000834B3" w:rsidRDefault="000834B3" w:rsidP="000834B3">
      <w:pPr>
        <w:numPr>
          <w:ilvl w:val="0"/>
          <w:numId w:val="93"/>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Historical Context</w:t>
      </w:r>
      <w:r w:rsidRPr="000834B3">
        <w:rPr>
          <w:rFonts w:ascii="Times New Roman" w:hAnsi="Times New Roman"/>
          <w:lang w:val="en-HK"/>
        </w:rPr>
        <w:t>: The customs union is foundational to the internal market. It supports economic integration and prevents Member States from erecting fiscal barriers that could undermine the single market concept.</w:t>
      </w:r>
    </w:p>
    <w:p w14:paraId="63A8B5B8" w14:textId="3347B940" w:rsidR="000834B3" w:rsidRPr="000834B3" w:rsidRDefault="000834B3" w:rsidP="000834B3">
      <w:pPr>
        <w:numPr>
          <w:ilvl w:val="0"/>
          <w:numId w:val="93"/>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Interaction with Article 34</w:t>
      </w:r>
      <w:r w:rsidRPr="000834B3">
        <w:rPr>
          <w:rFonts w:ascii="Times New Roman" w:hAnsi="Times New Roman"/>
          <w:lang w:val="en-HK"/>
        </w:rPr>
        <w:t>: While Article 28 focuses on eliminating customs duties and fiscal barriers, Article 34 complements this by addressing non-tariff barriers, ensuring broader market access for goods across the EU.</w:t>
      </w:r>
    </w:p>
    <w:p w14:paraId="5A504BCD"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Article 34 TFEU</w:t>
      </w:r>
    </w:p>
    <w:p w14:paraId="5578F042" w14:textId="77777777" w:rsidR="000834B3" w:rsidRPr="000834B3" w:rsidRDefault="000834B3" w:rsidP="000834B3">
      <w:pPr>
        <w:spacing w:before="100" w:beforeAutospacing="1" w:after="100" w:afterAutospacing="1" w:line="276" w:lineRule="auto"/>
        <w:rPr>
          <w:rFonts w:ascii="Times New Roman" w:hAnsi="Times New Roman"/>
          <w:lang w:val="en-HK"/>
        </w:rPr>
      </w:pPr>
      <w:r w:rsidRPr="000834B3">
        <w:rPr>
          <w:rFonts w:ascii="Times New Roman" w:hAnsi="Times New Roman"/>
          <w:b/>
          <w:bCs/>
          <w:highlight w:val="yellow"/>
          <w:lang w:val="en-HK"/>
        </w:rPr>
        <w:t>Article 34 prohibits quantitative restrictions on imports and all measures having equivalent effect (MEEs) between Member States</w:t>
      </w:r>
      <w:r w:rsidRPr="000834B3">
        <w:rPr>
          <w:rFonts w:ascii="Times New Roman" w:hAnsi="Times New Roman"/>
          <w:lang w:val="en-HK"/>
        </w:rPr>
        <w:t>. This provision ensures that goods lawfully marketed in one Member State can be introduced into another without barriers, reinforcing the EU’s internal market.</w:t>
      </w:r>
    </w:p>
    <w:p w14:paraId="1BA5E653"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lastRenderedPageBreak/>
        <w:t>Details and Interpretation</w:t>
      </w:r>
    </w:p>
    <w:p w14:paraId="4681C988" w14:textId="77777777" w:rsidR="000834B3" w:rsidRPr="000834B3" w:rsidRDefault="000834B3" w:rsidP="000834B3">
      <w:pPr>
        <w:numPr>
          <w:ilvl w:val="0"/>
          <w:numId w:val="94"/>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b/>
          <w:bCs/>
          <w:lang w:val="en-HK"/>
        </w:rPr>
        <w:t>Dassonville</w:t>
      </w:r>
      <w:proofErr w:type="spellEnd"/>
      <w:r w:rsidRPr="000834B3">
        <w:rPr>
          <w:rFonts w:ascii="Times New Roman" w:hAnsi="Times New Roman"/>
          <w:b/>
          <w:bCs/>
          <w:lang w:val="en-HK"/>
        </w:rPr>
        <w:t xml:space="preserve"> Formula</w:t>
      </w:r>
      <w:r w:rsidRPr="000834B3">
        <w:rPr>
          <w:rFonts w:ascii="Times New Roman" w:hAnsi="Times New Roman"/>
          <w:lang w:val="en-HK"/>
        </w:rPr>
        <w:t xml:space="preserve">: The seminal case of </w:t>
      </w:r>
      <w:proofErr w:type="spellStart"/>
      <w:r w:rsidRPr="000834B3">
        <w:rPr>
          <w:rFonts w:ascii="Times New Roman" w:hAnsi="Times New Roman"/>
          <w:i/>
          <w:iCs/>
          <w:lang w:val="en-HK"/>
        </w:rPr>
        <w:t>Dassonville</w:t>
      </w:r>
      <w:proofErr w:type="spellEnd"/>
      <w:r w:rsidRPr="000834B3">
        <w:rPr>
          <w:rFonts w:ascii="Times New Roman" w:hAnsi="Times New Roman"/>
          <w:lang w:val="en-HK"/>
        </w:rPr>
        <w:t xml:space="preserve"> defines MEEs broadly, including "all trading rules enacted by Member States which are capable of hindering, directly or indirectly, actually or potentially, intra-EU trade"​.</w:t>
      </w:r>
    </w:p>
    <w:p w14:paraId="7C1D35E7" w14:textId="77777777" w:rsidR="000834B3" w:rsidRPr="000834B3" w:rsidRDefault="000834B3" w:rsidP="000834B3">
      <w:pPr>
        <w:numPr>
          <w:ilvl w:val="0"/>
          <w:numId w:val="94"/>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Key Case Law</w:t>
      </w:r>
      <w:r w:rsidRPr="000834B3">
        <w:rPr>
          <w:rFonts w:ascii="Times New Roman" w:hAnsi="Times New Roman"/>
          <w:lang w:val="en-HK"/>
        </w:rPr>
        <w:t>:</w:t>
      </w:r>
    </w:p>
    <w:p w14:paraId="07A9D469" w14:textId="77777777" w:rsidR="000834B3" w:rsidRPr="000834B3" w:rsidRDefault="000834B3" w:rsidP="000834B3">
      <w:pPr>
        <w:numPr>
          <w:ilvl w:val="1"/>
          <w:numId w:val="94"/>
        </w:numPr>
        <w:spacing w:before="100" w:beforeAutospacing="1" w:after="100" w:afterAutospacing="1" w:line="276" w:lineRule="auto"/>
        <w:rPr>
          <w:rFonts w:ascii="Times New Roman" w:hAnsi="Times New Roman"/>
          <w:lang w:val="en-HK"/>
        </w:rPr>
      </w:pPr>
      <w:r w:rsidRPr="000834B3">
        <w:rPr>
          <w:rFonts w:ascii="Times New Roman" w:hAnsi="Times New Roman"/>
          <w:i/>
          <w:iCs/>
          <w:lang w:val="en-HK"/>
        </w:rPr>
        <w:t xml:space="preserve">Keck and </w:t>
      </w:r>
      <w:proofErr w:type="spellStart"/>
      <w:r w:rsidRPr="000834B3">
        <w:rPr>
          <w:rFonts w:ascii="Times New Roman" w:hAnsi="Times New Roman"/>
          <w:i/>
          <w:iCs/>
          <w:lang w:val="en-HK"/>
        </w:rPr>
        <w:t>Mithouard</w:t>
      </w:r>
      <w:proofErr w:type="spellEnd"/>
      <w:r w:rsidRPr="000834B3">
        <w:rPr>
          <w:rFonts w:ascii="Times New Roman" w:hAnsi="Times New Roman"/>
          <w:lang w:val="en-HK"/>
        </w:rPr>
        <w:t>: Established a distinction between product requirements (subject to Article 34) and selling arrangements (not inherently subject to Article 34 unless discriminatory in effect). This case refined the scope of Article 34 to avoid overextending its application​.</w:t>
      </w:r>
    </w:p>
    <w:p w14:paraId="19466C6E" w14:textId="77777777" w:rsidR="000834B3" w:rsidRPr="000834B3" w:rsidRDefault="000834B3" w:rsidP="000834B3">
      <w:pPr>
        <w:numPr>
          <w:ilvl w:val="1"/>
          <w:numId w:val="94"/>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i/>
          <w:iCs/>
          <w:lang w:val="en-HK"/>
        </w:rPr>
        <w:t>Schmidberger</w:t>
      </w:r>
      <w:proofErr w:type="spellEnd"/>
      <w:r w:rsidRPr="000834B3">
        <w:rPr>
          <w:rFonts w:ascii="Times New Roman" w:hAnsi="Times New Roman"/>
          <w:lang w:val="en-HK"/>
        </w:rPr>
        <w:t>: Highlighted the balance between free movement of goods and fundamental rights, such as the right to protest, demonstrating how Article 34 interacts with broader constitutional principles of the EU​.</w:t>
      </w:r>
    </w:p>
    <w:p w14:paraId="3DBA78D9" w14:textId="77777777" w:rsidR="000834B3" w:rsidRPr="000834B3" w:rsidRDefault="000834B3" w:rsidP="000834B3">
      <w:pPr>
        <w:numPr>
          <w:ilvl w:val="1"/>
          <w:numId w:val="94"/>
        </w:numPr>
        <w:spacing w:before="100" w:beforeAutospacing="1" w:after="100" w:afterAutospacing="1" w:line="276" w:lineRule="auto"/>
        <w:rPr>
          <w:rFonts w:ascii="Times New Roman" w:hAnsi="Times New Roman"/>
          <w:lang w:val="en-HK"/>
        </w:rPr>
      </w:pPr>
      <w:r w:rsidRPr="000834B3">
        <w:rPr>
          <w:rFonts w:ascii="Times New Roman" w:hAnsi="Times New Roman"/>
          <w:i/>
          <w:iCs/>
          <w:lang w:val="en-HK"/>
        </w:rPr>
        <w:t>Commission v. Italy (Trailers)</w:t>
      </w:r>
      <w:r w:rsidRPr="000834B3">
        <w:rPr>
          <w:rFonts w:ascii="Times New Roman" w:hAnsi="Times New Roman"/>
          <w:lang w:val="en-HK"/>
        </w:rPr>
        <w:t>: Introduced the market access principle, broadening the scope of Article 34 to include consumer-use restrictions that hinder market access​.</w:t>
      </w:r>
    </w:p>
    <w:p w14:paraId="35BB0236" w14:textId="77777777" w:rsidR="000834B3" w:rsidRPr="000834B3" w:rsidRDefault="000834B3" w:rsidP="000834B3">
      <w:pPr>
        <w:numPr>
          <w:ilvl w:val="0"/>
          <w:numId w:val="94"/>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Horizontal Direct Effect</w:t>
      </w:r>
      <w:r w:rsidRPr="000834B3">
        <w:rPr>
          <w:rFonts w:ascii="Times New Roman" w:hAnsi="Times New Roman"/>
          <w:lang w:val="en-HK"/>
        </w:rPr>
        <w:t xml:space="preserve">: Article 34 does not generally apply horizontally (to private parties). However, exceptions arise when private actions significantly disrupt market access, as illustrated in </w:t>
      </w:r>
      <w:r w:rsidRPr="000834B3">
        <w:rPr>
          <w:rFonts w:ascii="Times New Roman" w:hAnsi="Times New Roman"/>
          <w:i/>
          <w:iCs/>
          <w:lang w:val="en-HK"/>
        </w:rPr>
        <w:t>Commission v. France (Strawberry War)</w:t>
      </w:r>
      <w:r w:rsidRPr="000834B3">
        <w:rPr>
          <w:rFonts w:ascii="Times New Roman" w:hAnsi="Times New Roman"/>
          <w:lang w:val="en-HK"/>
        </w:rPr>
        <w:t>​.</w:t>
      </w:r>
    </w:p>
    <w:p w14:paraId="6250A23D" w14:textId="77777777" w:rsidR="000834B3" w:rsidRPr="000834B3" w:rsidRDefault="000834B3" w:rsidP="000834B3">
      <w:pPr>
        <w:numPr>
          <w:ilvl w:val="0"/>
          <w:numId w:val="94"/>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Proportionality and Justifications</w:t>
      </w:r>
      <w:r w:rsidRPr="000834B3">
        <w:rPr>
          <w:rFonts w:ascii="Times New Roman" w:hAnsi="Times New Roman"/>
          <w:lang w:val="en-HK"/>
        </w:rPr>
        <w:t>:</w:t>
      </w:r>
    </w:p>
    <w:p w14:paraId="4A6CE915" w14:textId="77777777" w:rsidR="000834B3" w:rsidRPr="000834B3" w:rsidRDefault="000834B3" w:rsidP="000834B3">
      <w:pPr>
        <w:numPr>
          <w:ilvl w:val="1"/>
          <w:numId w:val="9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Measures breaching Article 34 can be justified under Article 36 (e.g., public health, public security) or mandatory requirements established in </w:t>
      </w:r>
      <w:r w:rsidRPr="000834B3">
        <w:rPr>
          <w:rFonts w:ascii="Times New Roman" w:hAnsi="Times New Roman"/>
          <w:i/>
          <w:iCs/>
          <w:lang w:val="en-HK"/>
        </w:rPr>
        <w:t>Cassis de Dijon</w:t>
      </w:r>
      <w:r w:rsidRPr="000834B3">
        <w:rPr>
          <w:rFonts w:ascii="Times New Roman" w:hAnsi="Times New Roman"/>
          <w:lang w:val="en-HK"/>
        </w:rPr>
        <w:t>.</w:t>
      </w:r>
    </w:p>
    <w:p w14:paraId="4F36AC2F" w14:textId="77777777" w:rsidR="000834B3" w:rsidRPr="000834B3" w:rsidRDefault="000834B3" w:rsidP="000834B3">
      <w:pPr>
        <w:numPr>
          <w:ilvl w:val="1"/>
          <w:numId w:val="9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Proportionality plays a central role in assessing whether national measures that restrict trade can be justified.</w:t>
      </w:r>
    </w:p>
    <w:p w14:paraId="5F82A223" w14:textId="11B2D75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3CF19058">
          <v:rect id="_x0000_i1067" alt="" style="width:451.3pt;height:.05pt;mso-width-percent:0;mso-height-percent:0;mso-width-percent:0;mso-height-percent:0" o:hralign="center" o:hrstd="t" o:hr="t" fillcolor="#a0a0a0" stroked="f"/>
        </w:pict>
      </w:r>
    </w:p>
    <w:p w14:paraId="7E9BE04D" w14:textId="0A043C1C"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1. Introduction</w:t>
      </w:r>
    </w:p>
    <w:p w14:paraId="3CF8D7D1"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Core Theme</w:t>
      </w:r>
    </w:p>
    <w:p w14:paraId="317C51B5" w14:textId="77777777" w:rsidR="000834B3" w:rsidRPr="000834B3" w:rsidRDefault="000834B3" w:rsidP="000834B3">
      <w:pPr>
        <w:numPr>
          <w:ilvl w:val="0"/>
          <w:numId w:val="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The introduction frames the evolving significance of </w:t>
      </w:r>
      <w:r w:rsidRPr="000834B3">
        <w:rPr>
          <w:rFonts w:ascii="Times New Roman" w:hAnsi="Times New Roman"/>
          <w:b/>
          <w:bCs/>
          <w:lang w:val="en-HK"/>
        </w:rPr>
        <w:t>evidence</w:t>
      </w:r>
      <w:r w:rsidRPr="000834B3">
        <w:rPr>
          <w:rFonts w:ascii="Times New Roman" w:hAnsi="Times New Roman"/>
          <w:lang w:val="en-HK"/>
        </w:rPr>
        <w:t xml:space="preserve"> in the CJEU’s assessment of public interest justifications for national measures restricting free movement rights under EU law.</w:t>
      </w:r>
    </w:p>
    <w:p w14:paraId="09574BFF" w14:textId="77777777" w:rsidR="000834B3" w:rsidRPr="000834B3" w:rsidRDefault="000834B3" w:rsidP="000834B3">
      <w:pPr>
        <w:numPr>
          <w:ilvl w:val="0"/>
          <w:numId w:val="1"/>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Central Argument</w:t>
      </w:r>
      <w:r w:rsidRPr="000834B3">
        <w:rPr>
          <w:rFonts w:ascii="Times New Roman" w:hAnsi="Times New Roman"/>
          <w:lang w:val="en-HK"/>
        </w:rPr>
        <w:t>: While the principle of free movement forms the backbone of EU law, the increasing reliance on evidence and proof has introduced procedural and substantive challenges in the judicial evaluation of public interest claims.</w:t>
      </w:r>
    </w:p>
    <w:p w14:paraId="750B34CC" w14:textId="77777777" w:rsidR="000834B3" w:rsidRPr="000834B3" w:rsidRDefault="000834B3" w:rsidP="000834B3">
      <w:pPr>
        <w:numPr>
          <w:ilvl w:val="0"/>
          <w:numId w:val="1"/>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Focus</w:t>
      </w:r>
      <w:r w:rsidRPr="000834B3">
        <w:rPr>
          <w:rFonts w:ascii="Times New Roman" w:hAnsi="Times New Roman"/>
          <w:lang w:val="en-HK"/>
        </w:rPr>
        <w:t>: The analysis highlights how the lack of a systematic framework for evaluating evidence can lead to inconsistencies in the CJEU’s jurisprudence, undermining legal certainty and the effectiveness of EU law.</w:t>
      </w:r>
    </w:p>
    <w:p w14:paraId="49F57B08"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605581E2">
          <v:rect id="_x0000_i1066" alt="" style="width:451.3pt;height:.05pt;mso-width-percent:0;mso-height-percent:0;mso-width-percent:0;mso-height-percent:0" o:hralign="center" o:hrstd="t" o:hr="t" fillcolor="#a0a0a0" stroked="f"/>
        </w:pict>
      </w:r>
    </w:p>
    <w:p w14:paraId="697DC496"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lastRenderedPageBreak/>
        <w:t>1.1 Context and Legal Framework</w:t>
      </w:r>
    </w:p>
    <w:p w14:paraId="18EB90CD"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The Primacy of Free Movement</w:t>
      </w:r>
    </w:p>
    <w:p w14:paraId="201EC7F0" w14:textId="77777777" w:rsidR="000834B3" w:rsidRPr="000834B3" w:rsidRDefault="000834B3" w:rsidP="000834B3">
      <w:pPr>
        <w:numPr>
          <w:ilvl w:val="0"/>
          <w:numId w:val="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Statutory Basis</w:t>
      </w:r>
      <w:r w:rsidRPr="000834B3">
        <w:rPr>
          <w:rFonts w:ascii="Times New Roman" w:hAnsi="Times New Roman"/>
          <w:lang w:val="en-HK"/>
        </w:rPr>
        <w:t>:</w:t>
      </w:r>
    </w:p>
    <w:p w14:paraId="57E91642" w14:textId="77777777" w:rsidR="000834B3" w:rsidRPr="000834B3" w:rsidRDefault="000834B3" w:rsidP="000834B3">
      <w:pPr>
        <w:numPr>
          <w:ilvl w:val="1"/>
          <w:numId w:val="2"/>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principle of free movement is enshrined in Articles 34-36 TFEU (goods), 45 TFEU (workers), 49 TFEU (establishment), and 56 TFEU (services).</w:t>
      </w:r>
    </w:p>
    <w:p w14:paraId="2407B42D" w14:textId="77777777" w:rsidR="000834B3" w:rsidRPr="000834B3" w:rsidRDefault="000834B3" w:rsidP="000834B3">
      <w:pPr>
        <w:numPr>
          <w:ilvl w:val="1"/>
          <w:numId w:val="2"/>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Article 36 TFEU provides an </w:t>
      </w:r>
      <w:r w:rsidRPr="000834B3">
        <w:rPr>
          <w:rFonts w:ascii="Times New Roman" w:hAnsi="Times New Roman"/>
          <w:b/>
          <w:bCs/>
          <w:lang w:val="en-HK"/>
        </w:rPr>
        <w:t>exhaustive list of derogations</w:t>
      </w:r>
      <w:r w:rsidRPr="000834B3">
        <w:rPr>
          <w:rFonts w:ascii="Times New Roman" w:hAnsi="Times New Roman"/>
          <w:lang w:val="en-HK"/>
        </w:rPr>
        <w:t xml:space="preserve"> to free movement, allowing restrictions justified on grounds like public policy, public security, and public health.</w:t>
      </w:r>
    </w:p>
    <w:p w14:paraId="5697DFCA"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Mandatory Requirements and Judicial Interpretation</w:t>
      </w:r>
    </w:p>
    <w:p w14:paraId="1B712020" w14:textId="77777777" w:rsidR="000834B3" w:rsidRPr="000834B3" w:rsidRDefault="000834B3" w:rsidP="000834B3">
      <w:pPr>
        <w:numPr>
          <w:ilvl w:val="0"/>
          <w:numId w:val="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Beyond the Treaty derogations, the CJEU introduced </w:t>
      </w:r>
      <w:r w:rsidRPr="000834B3">
        <w:rPr>
          <w:rFonts w:ascii="Times New Roman" w:hAnsi="Times New Roman"/>
          <w:b/>
          <w:bCs/>
          <w:lang w:val="en-HK"/>
        </w:rPr>
        <w:t>mandatory requirements</w:t>
      </w:r>
      <w:r w:rsidRPr="000834B3">
        <w:rPr>
          <w:rFonts w:ascii="Times New Roman" w:hAnsi="Times New Roman"/>
          <w:lang w:val="en-HK"/>
        </w:rPr>
        <w:t xml:space="preserve"> in </w:t>
      </w:r>
      <w:r w:rsidRPr="000834B3">
        <w:rPr>
          <w:rFonts w:ascii="Times New Roman" w:hAnsi="Times New Roman"/>
          <w:i/>
          <w:iCs/>
          <w:lang w:val="en-HK"/>
        </w:rPr>
        <w:t>Cassis de Dijon (Case 120/78)</w:t>
      </w:r>
      <w:r w:rsidRPr="000834B3">
        <w:rPr>
          <w:rFonts w:ascii="Times New Roman" w:hAnsi="Times New Roman"/>
          <w:lang w:val="en-HK"/>
        </w:rPr>
        <w:t>, allowing Member States to justify indistinctly applicable measures restricting trade.</w:t>
      </w:r>
    </w:p>
    <w:p w14:paraId="5DEA3A00" w14:textId="77777777" w:rsidR="000834B3" w:rsidRPr="000834B3" w:rsidRDefault="000834B3" w:rsidP="000834B3">
      <w:pPr>
        <w:numPr>
          <w:ilvl w:val="0"/>
          <w:numId w:val="3"/>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Key Issue</w:t>
      </w:r>
      <w:r w:rsidRPr="000834B3">
        <w:rPr>
          <w:rFonts w:ascii="Times New Roman" w:hAnsi="Times New Roman"/>
          <w:lang w:val="en-HK"/>
        </w:rPr>
        <w:t>:</w:t>
      </w:r>
    </w:p>
    <w:p w14:paraId="7DBFEBB0" w14:textId="77777777" w:rsidR="000834B3" w:rsidRPr="000834B3" w:rsidRDefault="000834B3" w:rsidP="000834B3">
      <w:pPr>
        <w:numPr>
          <w:ilvl w:val="1"/>
          <w:numId w:val="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Justifications must demonstrate proportionality and necessity, requiring Member States to provide robust evidence to substantiate their claims.</w:t>
      </w:r>
    </w:p>
    <w:p w14:paraId="46C1A909" w14:textId="77777777" w:rsidR="000834B3" w:rsidRPr="000834B3" w:rsidRDefault="000834B3" w:rsidP="000834B3">
      <w:pPr>
        <w:numPr>
          <w:ilvl w:val="0"/>
          <w:numId w:val="3"/>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Shift in Focus</w:t>
      </w:r>
      <w:r w:rsidRPr="000834B3">
        <w:rPr>
          <w:rFonts w:ascii="Times New Roman" w:hAnsi="Times New Roman"/>
          <w:lang w:val="en-HK"/>
        </w:rPr>
        <w:t>:</w:t>
      </w:r>
    </w:p>
    <w:p w14:paraId="0E7E9FE8" w14:textId="77777777" w:rsidR="000834B3" w:rsidRPr="000834B3" w:rsidRDefault="000834B3" w:rsidP="000834B3">
      <w:pPr>
        <w:numPr>
          <w:ilvl w:val="1"/>
          <w:numId w:val="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The Court has increasingly emphasized the importance of </w:t>
      </w:r>
      <w:r w:rsidRPr="000834B3">
        <w:rPr>
          <w:rFonts w:ascii="Times New Roman" w:hAnsi="Times New Roman"/>
          <w:b/>
          <w:bCs/>
          <w:lang w:val="en-HK"/>
        </w:rPr>
        <w:t>evidentiary proof</w:t>
      </w:r>
      <w:r w:rsidRPr="000834B3">
        <w:rPr>
          <w:rFonts w:ascii="Times New Roman" w:hAnsi="Times New Roman"/>
          <w:lang w:val="en-HK"/>
        </w:rPr>
        <w:t xml:space="preserve"> in determining the legitimacy of public interest justifications, moving from abstract reasoning to empirical scrutiny.</w:t>
      </w:r>
    </w:p>
    <w:p w14:paraId="2AC92E65"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4B64A653">
          <v:rect id="_x0000_i1065" alt="" style="width:451.3pt;height:.05pt;mso-width-percent:0;mso-height-percent:0;mso-width-percent:0;mso-height-percent:0" o:hralign="center" o:hrstd="t" o:hr="t" fillcolor="#a0a0a0" stroked="f"/>
        </w:pict>
      </w:r>
    </w:p>
    <w:p w14:paraId="0305AB7E"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1.2 The Role of Evidence in Free Movement Law</w:t>
      </w:r>
    </w:p>
    <w:p w14:paraId="0B90A93D"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Growing Judicial Demands</w:t>
      </w:r>
    </w:p>
    <w:p w14:paraId="47B93FEF" w14:textId="77777777" w:rsidR="000834B3" w:rsidRPr="000834B3" w:rsidRDefault="000834B3" w:rsidP="000834B3">
      <w:pPr>
        <w:numPr>
          <w:ilvl w:val="0"/>
          <w:numId w:val="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CJEU has set a high bar for Member States, requiring them to prove:</w:t>
      </w:r>
    </w:p>
    <w:p w14:paraId="28D69C31" w14:textId="77777777" w:rsidR="000834B3" w:rsidRPr="000834B3" w:rsidRDefault="000834B3" w:rsidP="000834B3">
      <w:pPr>
        <w:numPr>
          <w:ilvl w:val="1"/>
          <w:numId w:val="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That the measure genuinely pursues a legitimate public interest.</w:t>
      </w:r>
    </w:p>
    <w:p w14:paraId="4C32CF54" w14:textId="77777777" w:rsidR="000834B3" w:rsidRPr="000834B3" w:rsidRDefault="000834B3" w:rsidP="000834B3">
      <w:pPr>
        <w:numPr>
          <w:ilvl w:val="1"/>
          <w:numId w:val="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That it is necessary and proportionate to achieve that interest.</w:t>
      </w:r>
    </w:p>
    <w:p w14:paraId="5448A6F3" w14:textId="77777777" w:rsidR="000834B3" w:rsidRPr="000834B3" w:rsidRDefault="000834B3" w:rsidP="000834B3">
      <w:pPr>
        <w:numPr>
          <w:ilvl w:val="1"/>
          <w:numId w:val="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That no less restrictive alternatives exist.</w:t>
      </w:r>
    </w:p>
    <w:p w14:paraId="0239A587"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Key Case Examples:</w:t>
      </w:r>
    </w:p>
    <w:p w14:paraId="788FD912" w14:textId="77777777" w:rsidR="000834B3" w:rsidRPr="000834B3" w:rsidRDefault="000834B3" w:rsidP="000834B3">
      <w:pPr>
        <w:numPr>
          <w:ilvl w:val="0"/>
          <w:numId w:val="5"/>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b/>
          <w:bCs/>
          <w:lang w:val="en-HK"/>
        </w:rPr>
        <w:t>Bluhme</w:t>
      </w:r>
      <w:proofErr w:type="spellEnd"/>
      <w:r w:rsidRPr="000834B3">
        <w:rPr>
          <w:rFonts w:ascii="Times New Roman" w:hAnsi="Times New Roman"/>
          <w:b/>
          <w:bCs/>
          <w:lang w:val="en-HK"/>
        </w:rPr>
        <w:t xml:space="preserve"> (Case C-67/97)</w:t>
      </w:r>
      <w:r w:rsidRPr="000834B3">
        <w:rPr>
          <w:rFonts w:ascii="Times New Roman" w:hAnsi="Times New Roman"/>
          <w:lang w:val="en-HK"/>
        </w:rPr>
        <w:t>:</w:t>
      </w:r>
    </w:p>
    <w:p w14:paraId="41878E1D" w14:textId="77777777" w:rsidR="000834B3" w:rsidRPr="000834B3" w:rsidRDefault="000834B3" w:rsidP="000834B3">
      <w:pPr>
        <w:numPr>
          <w:ilvl w:val="1"/>
          <w:numId w:val="5"/>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Facts</w:t>
      </w:r>
      <w:r w:rsidRPr="000834B3">
        <w:rPr>
          <w:rFonts w:ascii="Times New Roman" w:hAnsi="Times New Roman"/>
          <w:lang w:val="en-HK"/>
        </w:rPr>
        <w:t xml:space="preserve">: Denmark restricted the import of non-native bees to protect an endangered species on the island of </w:t>
      </w:r>
      <w:proofErr w:type="spellStart"/>
      <w:r w:rsidRPr="000834B3">
        <w:rPr>
          <w:rFonts w:ascii="Times New Roman" w:hAnsi="Times New Roman"/>
          <w:lang w:val="en-HK"/>
        </w:rPr>
        <w:t>Læsø</w:t>
      </w:r>
      <w:proofErr w:type="spellEnd"/>
      <w:r w:rsidRPr="000834B3">
        <w:rPr>
          <w:rFonts w:ascii="Times New Roman" w:hAnsi="Times New Roman"/>
          <w:lang w:val="en-HK"/>
        </w:rPr>
        <w:t>.</w:t>
      </w:r>
    </w:p>
    <w:p w14:paraId="0863C1A2" w14:textId="77777777" w:rsidR="000834B3" w:rsidRPr="000834B3" w:rsidRDefault="000834B3" w:rsidP="000834B3">
      <w:pPr>
        <w:numPr>
          <w:ilvl w:val="1"/>
          <w:numId w:val="5"/>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Judgment</w:t>
      </w:r>
      <w:r w:rsidRPr="000834B3">
        <w:rPr>
          <w:rFonts w:ascii="Times New Roman" w:hAnsi="Times New Roman"/>
          <w:lang w:val="en-HK"/>
        </w:rPr>
        <w:t>: The Court upheld the measure, accepting Denmark’s reliance on scientific evidence about the genetic distinctiveness of the bee population.</w:t>
      </w:r>
    </w:p>
    <w:p w14:paraId="7608282F" w14:textId="77777777" w:rsidR="000834B3" w:rsidRPr="000834B3" w:rsidRDefault="000834B3" w:rsidP="000834B3">
      <w:pPr>
        <w:numPr>
          <w:ilvl w:val="1"/>
          <w:numId w:val="5"/>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Significance</w:t>
      </w:r>
      <w:r w:rsidRPr="000834B3">
        <w:rPr>
          <w:rFonts w:ascii="Times New Roman" w:hAnsi="Times New Roman"/>
          <w:lang w:val="en-HK"/>
        </w:rPr>
        <w:t>:</w:t>
      </w:r>
    </w:p>
    <w:p w14:paraId="31FA8617" w14:textId="77777777" w:rsidR="000834B3" w:rsidRPr="000834B3" w:rsidRDefault="000834B3" w:rsidP="000834B3">
      <w:pPr>
        <w:numPr>
          <w:ilvl w:val="2"/>
          <w:numId w:val="5"/>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lastRenderedPageBreak/>
        <w:t>The decision exemplifies how scientific evidence plays a critical role in substantiating public interest claims, particularly in environmental contexts.</w:t>
      </w:r>
    </w:p>
    <w:p w14:paraId="72F6F34C" w14:textId="77777777" w:rsidR="000834B3" w:rsidRPr="000834B3" w:rsidRDefault="000834B3" w:rsidP="000834B3">
      <w:pPr>
        <w:numPr>
          <w:ilvl w:val="0"/>
          <w:numId w:val="5"/>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Commission v. Belgium (Case C-145/09)</w:t>
      </w:r>
      <w:r w:rsidRPr="000834B3">
        <w:rPr>
          <w:rFonts w:ascii="Times New Roman" w:hAnsi="Times New Roman"/>
          <w:lang w:val="en-HK"/>
        </w:rPr>
        <w:t>:</w:t>
      </w:r>
    </w:p>
    <w:p w14:paraId="06E0ADBD" w14:textId="77777777" w:rsidR="000834B3" w:rsidRPr="000834B3" w:rsidRDefault="000834B3" w:rsidP="000834B3">
      <w:pPr>
        <w:numPr>
          <w:ilvl w:val="1"/>
          <w:numId w:val="5"/>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Facts</w:t>
      </w:r>
      <w:r w:rsidRPr="000834B3">
        <w:rPr>
          <w:rFonts w:ascii="Times New Roman" w:hAnsi="Times New Roman"/>
          <w:lang w:val="en-HK"/>
        </w:rPr>
        <w:t>: Belgium imposed measures restricting the establishment of waste treatment plants.</w:t>
      </w:r>
    </w:p>
    <w:p w14:paraId="7475DA30" w14:textId="77777777" w:rsidR="000834B3" w:rsidRPr="000834B3" w:rsidRDefault="000834B3" w:rsidP="000834B3">
      <w:pPr>
        <w:numPr>
          <w:ilvl w:val="1"/>
          <w:numId w:val="5"/>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Judgment</w:t>
      </w:r>
      <w:r w:rsidRPr="000834B3">
        <w:rPr>
          <w:rFonts w:ascii="Times New Roman" w:hAnsi="Times New Roman"/>
          <w:lang w:val="en-HK"/>
        </w:rPr>
        <w:t>: The Court criticized the lack of concrete evidence proving that the restrictions were necessary to protect public health and the environment.</w:t>
      </w:r>
    </w:p>
    <w:p w14:paraId="68405BEC" w14:textId="77777777" w:rsidR="000834B3" w:rsidRPr="000834B3" w:rsidRDefault="000834B3" w:rsidP="000834B3">
      <w:pPr>
        <w:numPr>
          <w:ilvl w:val="1"/>
          <w:numId w:val="5"/>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Significance</w:t>
      </w:r>
      <w:r w:rsidRPr="000834B3">
        <w:rPr>
          <w:rFonts w:ascii="Times New Roman" w:hAnsi="Times New Roman"/>
          <w:lang w:val="en-HK"/>
        </w:rPr>
        <w:t>:</w:t>
      </w:r>
    </w:p>
    <w:p w14:paraId="08134993" w14:textId="77777777" w:rsidR="000834B3" w:rsidRPr="000834B3" w:rsidRDefault="000834B3" w:rsidP="000834B3">
      <w:pPr>
        <w:numPr>
          <w:ilvl w:val="2"/>
          <w:numId w:val="5"/>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case illustrates the Court’s intolerance for vague or unsubstantiated justifications, emphasizing the need for precise and compelling evidence.</w:t>
      </w:r>
    </w:p>
    <w:p w14:paraId="66FA41E6"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6F4D9537">
          <v:rect id="_x0000_i1064" alt="" style="width:451.3pt;height:.05pt;mso-width-percent:0;mso-height-percent:0;mso-width-percent:0;mso-height-percent:0" o:hralign="center" o:hrstd="t" o:hr="t" fillcolor="#a0a0a0" stroked="f"/>
        </w:pict>
      </w:r>
    </w:p>
    <w:p w14:paraId="29BF08EC"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1.3 Challenges of Evidentiary Standards</w:t>
      </w:r>
    </w:p>
    <w:p w14:paraId="20C5FC96"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Lack of Systematic Guidelines</w:t>
      </w:r>
    </w:p>
    <w:p w14:paraId="6677B878" w14:textId="77777777" w:rsidR="000834B3" w:rsidRPr="000834B3" w:rsidRDefault="000834B3" w:rsidP="000834B3">
      <w:pPr>
        <w:numPr>
          <w:ilvl w:val="0"/>
          <w:numId w:val="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introduction highlights a critical gap in the CJEU’s jurisprudence: the absence of explicit guidelines on:</w:t>
      </w:r>
    </w:p>
    <w:p w14:paraId="19ECB35B" w14:textId="77777777" w:rsidR="000834B3" w:rsidRPr="000834B3" w:rsidRDefault="000834B3" w:rsidP="000834B3">
      <w:pPr>
        <w:numPr>
          <w:ilvl w:val="1"/>
          <w:numId w:val="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standard of proof required to justify public interest claims.</w:t>
      </w:r>
    </w:p>
    <w:p w14:paraId="28A962C8" w14:textId="77777777" w:rsidR="000834B3" w:rsidRPr="000834B3" w:rsidRDefault="000834B3" w:rsidP="000834B3">
      <w:pPr>
        <w:numPr>
          <w:ilvl w:val="1"/>
          <w:numId w:val="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procedural requirements for presenting evidence.</w:t>
      </w:r>
    </w:p>
    <w:p w14:paraId="053F5964" w14:textId="77777777" w:rsidR="000834B3" w:rsidRPr="000834B3" w:rsidRDefault="000834B3" w:rsidP="000834B3">
      <w:pPr>
        <w:numPr>
          <w:ilvl w:val="0"/>
          <w:numId w:val="6"/>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Scholarly Perspective</w:t>
      </w:r>
      <w:r w:rsidRPr="000834B3">
        <w:rPr>
          <w:rFonts w:ascii="Times New Roman" w:hAnsi="Times New Roman"/>
          <w:lang w:val="en-HK"/>
        </w:rPr>
        <w:t>:</w:t>
      </w:r>
    </w:p>
    <w:p w14:paraId="6A5516C9" w14:textId="77777777" w:rsidR="000834B3" w:rsidRPr="000834B3" w:rsidRDefault="000834B3" w:rsidP="000834B3">
      <w:pPr>
        <w:numPr>
          <w:ilvl w:val="1"/>
          <w:numId w:val="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Legal scholars argue that the reliance on national legal traditions for evidentiary procedures exacerbates inconsistencies, as each Member State applies its own standards of proof.</w:t>
      </w:r>
    </w:p>
    <w:p w14:paraId="5D580578"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Tensions Between Judicial and Legislative Roles</w:t>
      </w:r>
    </w:p>
    <w:p w14:paraId="14D6AE61" w14:textId="77777777" w:rsidR="000834B3" w:rsidRPr="000834B3" w:rsidRDefault="000834B3" w:rsidP="000834B3">
      <w:pPr>
        <w:numPr>
          <w:ilvl w:val="0"/>
          <w:numId w:val="7"/>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Spillover Effects</w:t>
      </w:r>
      <w:r w:rsidRPr="000834B3">
        <w:rPr>
          <w:rFonts w:ascii="Times New Roman" w:hAnsi="Times New Roman"/>
          <w:lang w:val="en-HK"/>
        </w:rPr>
        <w:t>:</w:t>
      </w:r>
    </w:p>
    <w:p w14:paraId="0AEC744B" w14:textId="77777777" w:rsidR="000834B3" w:rsidRPr="000834B3" w:rsidRDefault="000834B3" w:rsidP="000834B3">
      <w:pPr>
        <w:numPr>
          <w:ilvl w:val="1"/>
          <w:numId w:val="7"/>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Court’s increasing reliance on evidence risks encroaching on national policymaking, particularly in areas like public health and environmental protection.</w:t>
      </w:r>
    </w:p>
    <w:p w14:paraId="2C360570" w14:textId="77777777" w:rsidR="000834B3" w:rsidRPr="000834B3" w:rsidRDefault="000834B3" w:rsidP="000834B3">
      <w:pPr>
        <w:numPr>
          <w:ilvl w:val="1"/>
          <w:numId w:val="7"/>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Quote from the Authors</w:t>
      </w:r>
      <w:r w:rsidRPr="000834B3">
        <w:rPr>
          <w:rFonts w:ascii="Times New Roman" w:hAnsi="Times New Roman"/>
          <w:lang w:val="en-HK"/>
        </w:rPr>
        <w:t>: “While evidentiary rigor enhances accountability, it may inadvertently reduce the flexibility required for Member States to respond to complex policy challenges.”</w:t>
      </w:r>
    </w:p>
    <w:p w14:paraId="2F7B6943"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0E6261BC">
          <v:rect id="_x0000_i1063" alt="" style="width:451.3pt;height:.05pt;mso-width-percent:0;mso-height-percent:0;mso-width-percent:0;mso-height-percent:0" o:hralign="center" o:hrstd="t" o:hr="t" fillcolor="#a0a0a0" stroked="f"/>
        </w:pict>
      </w:r>
    </w:p>
    <w:p w14:paraId="2C82056F"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1.4 Broader Implications</w:t>
      </w:r>
    </w:p>
    <w:p w14:paraId="131741DA"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Impact on Legal Certainty</w:t>
      </w:r>
    </w:p>
    <w:p w14:paraId="7E460974" w14:textId="77777777" w:rsidR="000834B3" w:rsidRPr="000834B3" w:rsidRDefault="000834B3" w:rsidP="000834B3">
      <w:pPr>
        <w:numPr>
          <w:ilvl w:val="0"/>
          <w:numId w:val="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lastRenderedPageBreak/>
        <w:t>The lack of clarity in evidentiary standards undermines legal certainty for Member States and businesses.</w:t>
      </w:r>
    </w:p>
    <w:p w14:paraId="5FE5AF5C" w14:textId="77777777" w:rsidR="000834B3" w:rsidRPr="000834B3" w:rsidRDefault="000834B3" w:rsidP="000834B3">
      <w:pPr>
        <w:numPr>
          <w:ilvl w:val="0"/>
          <w:numId w:val="8"/>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Example</w:t>
      </w:r>
      <w:r w:rsidRPr="000834B3">
        <w:rPr>
          <w:rFonts w:ascii="Times New Roman" w:hAnsi="Times New Roman"/>
          <w:lang w:val="en-HK"/>
        </w:rPr>
        <w:t xml:space="preserve">: In </w:t>
      </w:r>
      <w:r w:rsidRPr="000834B3">
        <w:rPr>
          <w:rFonts w:ascii="Times New Roman" w:hAnsi="Times New Roman"/>
          <w:i/>
          <w:iCs/>
          <w:lang w:val="en-HK"/>
        </w:rPr>
        <w:t>Decker (Case C-120/95)</w:t>
      </w:r>
      <w:r w:rsidRPr="000834B3">
        <w:rPr>
          <w:rFonts w:ascii="Times New Roman" w:hAnsi="Times New Roman"/>
          <w:lang w:val="en-HK"/>
        </w:rPr>
        <w:t>, Luxembourg’s measure restricting reimbursement for cross-border healthcare was struck down for insufficient evidence, despite the government’s assertion of public health objectives. The judgment left ambiguity about the threshold of proof required.</w:t>
      </w:r>
    </w:p>
    <w:p w14:paraId="09853ECE"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Internal Market Fragmentation</w:t>
      </w:r>
    </w:p>
    <w:p w14:paraId="57C72B44" w14:textId="77777777" w:rsidR="000834B3" w:rsidRPr="000834B3" w:rsidRDefault="000834B3" w:rsidP="000834B3">
      <w:pPr>
        <w:numPr>
          <w:ilvl w:val="0"/>
          <w:numId w:val="9"/>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Divergent evidentiary standards across Member States risk creating unequal treatment of national measures, potentially fragmenting the internal market.</w:t>
      </w:r>
    </w:p>
    <w:p w14:paraId="0ED3C605"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Balance Between Free Movement and Public Interest</w:t>
      </w:r>
    </w:p>
    <w:p w14:paraId="6D605A06" w14:textId="77777777" w:rsidR="000834B3" w:rsidRPr="000834B3" w:rsidRDefault="000834B3" w:rsidP="000834B3">
      <w:pPr>
        <w:numPr>
          <w:ilvl w:val="0"/>
          <w:numId w:val="1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Court’s focus on evidence reflects a broader tension in EU law: balancing the fundamental freedoms of the internal market with the legitimate regulatory autonomy of Member States.</w:t>
      </w:r>
    </w:p>
    <w:p w14:paraId="246A7877"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6F4C1B6C">
          <v:rect id="_x0000_i1062" alt="" style="width:451.3pt;height:.05pt;mso-width-percent:0;mso-height-percent:0;mso-width-percent:0;mso-height-percent:0" o:hralign="center" o:hrstd="t" o:hr="t" fillcolor="#a0a0a0" stroked="f"/>
        </w:pict>
      </w:r>
    </w:p>
    <w:p w14:paraId="239C3071"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Conclusion of Section 1</w:t>
      </w:r>
    </w:p>
    <w:p w14:paraId="39FB3645" w14:textId="77777777" w:rsidR="000834B3" w:rsidRPr="000834B3" w:rsidRDefault="000834B3" w:rsidP="000834B3">
      <w:pPr>
        <w:numPr>
          <w:ilvl w:val="0"/>
          <w:numId w:val="1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introduction sets the stage for a detailed analysis of how evidence shapes the judicial evaluation of public interest justifications in free movement cases.</w:t>
      </w:r>
    </w:p>
    <w:p w14:paraId="755DB906" w14:textId="77777777" w:rsidR="000834B3" w:rsidRPr="000834B3" w:rsidRDefault="000834B3" w:rsidP="000834B3">
      <w:pPr>
        <w:numPr>
          <w:ilvl w:val="0"/>
          <w:numId w:val="1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authors highlight the growing importance of evidence in ensuring accountability but caution against the risks of legal uncertainty and overreach.</w:t>
      </w:r>
    </w:p>
    <w:p w14:paraId="279011B8" w14:textId="77777777" w:rsidR="000834B3" w:rsidRPr="000834B3" w:rsidRDefault="000834B3" w:rsidP="000834B3">
      <w:pPr>
        <w:numPr>
          <w:ilvl w:val="0"/>
          <w:numId w:val="11"/>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Key Themes</w:t>
      </w:r>
      <w:r w:rsidRPr="000834B3">
        <w:rPr>
          <w:rFonts w:ascii="Times New Roman" w:hAnsi="Times New Roman"/>
          <w:lang w:val="en-HK"/>
        </w:rPr>
        <w:t>:</w:t>
      </w:r>
    </w:p>
    <w:p w14:paraId="5D0480F4" w14:textId="77777777" w:rsidR="000834B3" w:rsidRPr="000834B3" w:rsidRDefault="000834B3" w:rsidP="000834B3">
      <w:pPr>
        <w:numPr>
          <w:ilvl w:val="1"/>
          <w:numId w:val="1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need for systematic procedural guidance on evidence in free movement cases.</w:t>
      </w:r>
    </w:p>
    <w:p w14:paraId="10D40AED" w14:textId="77777777" w:rsidR="000834B3" w:rsidRPr="000834B3" w:rsidRDefault="000834B3" w:rsidP="000834B3">
      <w:pPr>
        <w:numPr>
          <w:ilvl w:val="1"/>
          <w:numId w:val="1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challenge of reconciling empirical rigor with the complexities of policymaking.</w:t>
      </w:r>
    </w:p>
    <w:p w14:paraId="31B3EA5C" w14:textId="77777777" w:rsidR="000834B3" w:rsidRPr="000834B3" w:rsidRDefault="000834B3" w:rsidP="000834B3">
      <w:pPr>
        <w:numPr>
          <w:ilvl w:val="1"/>
          <w:numId w:val="1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role of evidence in maintaining the balance between market integration and national regulatory autonomy.</w:t>
      </w:r>
    </w:p>
    <w:p w14:paraId="5E32911B"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55C4EBEE">
          <v:rect id="_x0000_i1061" alt="" style="width:451.3pt;height:.05pt;mso-width-percent:0;mso-height-percent:0;mso-width-percent:0;mso-height-percent:0" o:hralign="center" o:hrstd="t" o:hr="t" fillcolor="#a0a0a0" stroked="f"/>
        </w:pict>
      </w:r>
    </w:p>
    <w:p w14:paraId="234326D5"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2. The Role of Evidence in Free Movement Law</w:t>
      </w:r>
    </w:p>
    <w:p w14:paraId="6235777E"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Overview</w:t>
      </w:r>
    </w:p>
    <w:p w14:paraId="38360CDE" w14:textId="77777777" w:rsidR="000834B3" w:rsidRPr="000834B3" w:rsidRDefault="000834B3" w:rsidP="000834B3">
      <w:pPr>
        <w:numPr>
          <w:ilvl w:val="0"/>
          <w:numId w:val="12"/>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The authors </w:t>
      </w:r>
      <w:proofErr w:type="spellStart"/>
      <w:r w:rsidRPr="000834B3">
        <w:rPr>
          <w:rFonts w:ascii="Times New Roman" w:hAnsi="Times New Roman"/>
          <w:lang w:val="en-HK"/>
        </w:rPr>
        <w:t>analyze</w:t>
      </w:r>
      <w:proofErr w:type="spellEnd"/>
      <w:r w:rsidRPr="000834B3">
        <w:rPr>
          <w:rFonts w:ascii="Times New Roman" w:hAnsi="Times New Roman"/>
          <w:lang w:val="en-HK"/>
        </w:rPr>
        <w:t xml:space="preserve"> the growing importance of evidence in the CJEU’s assessment of public interest justifications for restrictions on free movement rights under EU law.</w:t>
      </w:r>
    </w:p>
    <w:p w14:paraId="0C98704D" w14:textId="77777777" w:rsidR="000834B3" w:rsidRPr="000834B3" w:rsidRDefault="000834B3" w:rsidP="000834B3">
      <w:pPr>
        <w:numPr>
          <w:ilvl w:val="0"/>
          <w:numId w:val="1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Core Argument</w:t>
      </w:r>
      <w:r w:rsidRPr="000834B3">
        <w:rPr>
          <w:rFonts w:ascii="Times New Roman" w:hAnsi="Times New Roman"/>
          <w:lang w:val="en-HK"/>
        </w:rPr>
        <w:t>: While evidence is crucial for ensuring the legitimacy of restrictions, the lack of a clear and consistent evidentiary framework poses significant challenges to Member States and the Court itself.</w:t>
      </w:r>
    </w:p>
    <w:p w14:paraId="4F18F0AB"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lastRenderedPageBreak/>
        <w:pict w14:anchorId="1B51B62D">
          <v:rect id="_x0000_i1060" alt="" style="width:451.3pt;height:.05pt;mso-width-percent:0;mso-height-percent:0;mso-width-percent:0;mso-height-percent:0" o:hralign="center" o:hrstd="t" o:hr="t" fillcolor="#a0a0a0" stroked="f"/>
        </w:pict>
      </w:r>
    </w:p>
    <w:p w14:paraId="0AD5C0E4"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2.1 From Conceptual to Evidentiary Assessment</w:t>
      </w:r>
    </w:p>
    <w:p w14:paraId="4555AC77"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Shift in Judicial Focus</w:t>
      </w:r>
    </w:p>
    <w:p w14:paraId="02C62F92" w14:textId="77777777" w:rsidR="000834B3" w:rsidRPr="000834B3" w:rsidRDefault="000834B3" w:rsidP="000834B3">
      <w:pPr>
        <w:numPr>
          <w:ilvl w:val="0"/>
          <w:numId w:val="1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Initially, the CJEU’s approach to assessing public interest claims was largely conceptual, relying on broad principles and reasoning to evaluate whether a measure was justified.</w:t>
      </w:r>
    </w:p>
    <w:p w14:paraId="081B9B75" w14:textId="77777777" w:rsidR="000834B3" w:rsidRPr="000834B3" w:rsidRDefault="000834B3" w:rsidP="000834B3">
      <w:pPr>
        <w:numPr>
          <w:ilvl w:val="0"/>
          <w:numId w:val="1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Over time, the Court has shifted to an </w:t>
      </w:r>
      <w:r w:rsidRPr="000834B3">
        <w:rPr>
          <w:rFonts w:ascii="Times New Roman" w:hAnsi="Times New Roman"/>
          <w:b/>
          <w:bCs/>
          <w:lang w:val="en-HK"/>
        </w:rPr>
        <w:t>evidentiary focus</w:t>
      </w:r>
      <w:r w:rsidRPr="000834B3">
        <w:rPr>
          <w:rFonts w:ascii="Times New Roman" w:hAnsi="Times New Roman"/>
          <w:lang w:val="en-HK"/>
        </w:rPr>
        <w:t>, requiring Member States to substantiate their claims with concrete and precise evidence.</w:t>
      </w:r>
    </w:p>
    <w:p w14:paraId="26277973" w14:textId="77777777" w:rsidR="000834B3" w:rsidRPr="000834B3" w:rsidRDefault="000834B3" w:rsidP="000834B3">
      <w:pPr>
        <w:numPr>
          <w:ilvl w:val="0"/>
          <w:numId w:val="13"/>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Reason for the Shift</w:t>
      </w:r>
      <w:r w:rsidRPr="000834B3">
        <w:rPr>
          <w:rFonts w:ascii="Times New Roman" w:hAnsi="Times New Roman"/>
          <w:lang w:val="en-HK"/>
        </w:rPr>
        <w:t>:</w:t>
      </w:r>
    </w:p>
    <w:p w14:paraId="536B061C" w14:textId="77777777" w:rsidR="000834B3" w:rsidRPr="000834B3" w:rsidRDefault="000834B3" w:rsidP="000834B3">
      <w:pPr>
        <w:numPr>
          <w:ilvl w:val="1"/>
          <w:numId w:val="1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Ensuring that public interest claims are not used as a pretext for protectionism.</w:t>
      </w:r>
    </w:p>
    <w:p w14:paraId="4BD64CDB" w14:textId="77777777" w:rsidR="000834B3" w:rsidRPr="000834B3" w:rsidRDefault="000834B3" w:rsidP="000834B3">
      <w:pPr>
        <w:numPr>
          <w:ilvl w:val="1"/>
          <w:numId w:val="1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Enhancing the accountability and transparency of Member State justifications.</w:t>
      </w:r>
    </w:p>
    <w:p w14:paraId="774F4645"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Key Statutory Basis</w:t>
      </w:r>
    </w:p>
    <w:p w14:paraId="3747C7AB" w14:textId="77777777" w:rsidR="000834B3" w:rsidRPr="000834B3" w:rsidRDefault="000834B3" w:rsidP="000834B3">
      <w:pPr>
        <w:numPr>
          <w:ilvl w:val="0"/>
          <w:numId w:val="1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Article 36 TFEU allows Member States to derogate from free movement rights on specific grounds (e.g., public policy, public security, public health) but requires that such measures:</w:t>
      </w:r>
    </w:p>
    <w:p w14:paraId="57C3B5AC" w14:textId="77777777" w:rsidR="000834B3" w:rsidRPr="000834B3" w:rsidRDefault="000834B3" w:rsidP="000834B3">
      <w:pPr>
        <w:numPr>
          <w:ilvl w:val="1"/>
          <w:numId w:val="1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Be proportionate.</w:t>
      </w:r>
    </w:p>
    <w:p w14:paraId="0A1D7D6D" w14:textId="77777777" w:rsidR="000834B3" w:rsidRPr="000834B3" w:rsidRDefault="000834B3" w:rsidP="000834B3">
      <w:pPr>
        <w:numPr>
          <w:ilvl w:val="1"/>
          <w:numId w:val="1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Not constitute a disguised restriction on trade.</w:t>
      </w:r>
    </w:p>
    <w:p w14:paraId="28616E54"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Case Example</w:t>
      </w:r>
    </w:p>
    <w:p w14:paraId="3CD25B0A" w14:textId="77777777" w:rsidR="000834B3" w:rsidRPr="000834B3" w:rsidRDefault="000834B3" w:rsidP="000834B3">
      <w:pPr>
        <w:numPr>
          <w:ilvl w:val="0"/>
          <w:numId w:val="15"/>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b/>
          <w:bCs/>
          <w:lang w:val="en-HK"/>
        </w:rPr>
        <w:t>Bluhme</w:t>
      </w:r>
      <w:proofErr w:type="spellEnd"/>
      <w:r w:rsidRPr="000834B3">
        <w:rPr>
          <w:rFonts w:ascii="Times New Roman" w:hAnsi="Times New Roman"/>
          <w:b/>
          <w:bCs/>
          <w:lang w:val="en-HK"/>
        </w:rPr>
        <w:t xml:space="preserve"> (Case C-67/97)</w:t>
      </w:r>
      <w:r w:rsidRPr="000834B3">
        <w:rPr>
          <w:rFonts w:ascii="Times New Roman" w:hAnsi="Times New Roman"/>
          <w:lang w:val="en-HK"/>
        </w:rPr>
        <w:t>:</w:t>
      </w:r>
    </w:p>
    <w:p w14:paraId="6CFB7642" w14:textId="77777777" w:rsidR="000834B3" w:rsidRPr="000834B3" w:rsidRDefault="000834B3" w:rsidP="000834B3">
      <w:pPr>
        <w:numPr>
          <w:ilvl w:val="1"/>
          <w:numId w:val="15"/>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Facts</w:t>
      </w:r>
      <w:r w:rsidRPr="000834B3">
        <w:rPr>
          <w:rFonts w:ascii="Times New Roman" w:hAnsi="Times New Roman"/>
          <w:lang w:val="en-HK"/>
        </w:rPr>
        <w:t xml:space="preserve">: Denmark prohibited the import of non-native bees to protect an endangered species unique to the island of </w:t>
      </w:r>
      <w:proofErr w:type="spellStart"/>
      <w:r w:rsidRPr="000834B3">
        <w:rPr>
          <w:rFonts w:ascii="Times New Roman" w:hAnsi="Times New Roman"/>
          <w:lang w:val="en-HK"/>
        </w:rPr>
        <w:t>Læsø</w:t>
      </w:r>
      <w:proofErr w:type="spellEnd"/>
      <w:r w:rsidRPr="000834B3">
        <w:rPr>
          <w:rFonts w:ascii="Times New Roman" w:hAnsi="Times New Roman"/>
          <w:lang w:val="en-HK"/>
        </w:rPr>
        <w:t>.</w:t>
      </w:r>
    </w:p>
    <w:p w14:paraId="05F4A3D6" w14:textId="77777777" w:rsidR="000834B3" w:rsidRPr="000834B3" w:rsidRDefault="000834B3" w:rsidP="000834B3">
      <w:pPr>
        <w:numPr>
          <w:ilvl w:val="1"/>
          <w:numId w:val="15"/>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Judgment</w:t>
      </w:r>
      <w:r w:rsidRPr="000834B3">
        <w:rPr>
          <w:rFonts w:ascii="Times New Roman" w:hAnsi="Times New Roman"/>
          <w:lang w:val="en-HK"/>
        </w:rPr>
        <w:t>: The CJEU upheld the measure, relying heavily on Denmark’s submission of scientific evidence proving the ecological importance of the bees.</w:t>
      </w:r>
    </w:p>
    <w:p w14:paraId="153E04C3" w14:textId="77777777" w:rsidR="000834B3" w:rsidRPr="000834B3" w:rsidRDefault="000834B3" w:rsidP="000834B3">
      <w:pPr>
        <w:numPr>
          <w:ilvl w:val="1"/>
          <w:numId w:val="15"/>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Significance</w:t>
      </w:r>
      <w:r w:rsidRPr="000834B3">
        <w:rPr>
          <w:rFonts w:ascii="Times New Roman" w:hAnsi="Times New Roman"/>
          <w:lang w:val="en-HK"/>
        </w:rPr>
        <w:t>: The case demonstrates the Court’s reliance on empirical data to validate public interest claims, particularly in environmental contexts.</w:t>
      </w:r>
    </w:p>
    <w:p w14:paraId="07497347"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28C689D5">
          <v:rect id="_x0000_i1059" alt="" style="width:451.3pt;height:.05pt;mso-width-percent:0;mso-height-percent:0;mso-width-percent:0;mso-height-percent:0" o:hralign="center" o:hrstd="t" o:hr="t" fillcolor="#a0a0a0" stroked="f"/>
        </w:pict>
      </w:r>
    </w:p>
    <w:p w14:paraId="27D81461"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2.2 Judicial Demands for Precise and Concrete Evidence</w:t>
      </w:r>
    </w:p>
    <w:p w14:paraId="27929FD0"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Burden of Proof</w:t>
      </w:r>
    </w:p>
    <w:p w14:paraId="3F09A87C" w14:textId="77777777" w:rsidR="000834B3" w:rsidRPr="000834B3" w:rsidRDefault="000834B3" w:rsidP="000834B3">
      <w:pPr>
        <w:numPr>
          <w:ilvl w:val="0"/>
          <w:numId w:val="1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The </w:t>
      </w:r>
      <w:r w:rsidRPr="000834B3">
        <w:rPr>
          <w:rFonts w:ascii="Times New Roman" w:hAnsi="Times New Roman"/>
          <w:b/>
          <w:bCs/>
          <w:lang w:val="en-HK"/>
        </w:rPr>
        <w:t>burden of proof</w:t>
      </w:r>
      <w:r w:rsidRPr="000834B3">
        <w:rPr>
          <w:rFonts w:ascii="Times New Roman" w:hAnsi="Times New Roman"/>
          <w:lang w:val="en-HK"/>
        </w:rPr>
        <w:t xml:space="preserve"> lies with the Member State seeking to justify a restriction. This includes demonstrating:</w:t>
      </w:r>
    </w:p>
    <w:p w14:paraId="7091602E" w14:textId="77777777" w:rsidR="000834B3" w:rsidRPr="000834B3" w:rsidRDefault="000834B3" w:rsidP="000834B3">
      <w:pPr>
        <w:numPr>
          <w:ilvl w:val="1"/>
          <w:numId w:val="1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A legitimate public interest objective.</w:t>
      </w:r>
    </w:p>
    <w:p w14:paraId="1423BB53" w14:textId="77777777" w:rsidR="000834B3" w:rsidRPr="000834B3" w:rsidRDefault="000834B3" w:rsidP="000834B3">
      <w:pPr>
        <w:numPr>
          <w:ilvl w:val="1"/>
          <w:numId w:val="1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Necessity and proportionality of the measure.</w:t>
      </w:r>
    </w:p>
    <w:p w14:paraId="39D6274F" w14:textId="77777777" w:rsidR="000834B3" w:rsidRPr="000834B3" w:rsidRDefault="000834B3" w:rsidP="000834B3">
      <w:pPr>
        <w:numPr>
          <w:ilvl w:val="1"/>
          <w:numId w:val="1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Lack of less restrictive alternatives.</w:t>
      </w:r>
    </w:p>
    <w:p w14:paraId="67AED877" w14:textId="77777777" w:rsidR="000834B3" w:rsidRPr="000834B3" w:rsidRDefault="000834B3" w:rsidP="000834B3">
      <w:pPr>
        <w:numPr>
          <w:ilvl w:val="0"/>
          <w:numId w:val="16"/>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lastRenderedPageBreak/>
        <w:t>Case Reference</w:t>
      </w:r>
      <w:r w:rsidRPr="000834B3">
        <w:rPr>
          <w:rFonts w:ascii="Times New Roman" w:hAnsi="Times New Roman"/>
          <w:lang w:val="en-HK"/>
        </w:rPr>
        <w:t>:</w:t>
      </w:r>
    </w:p>
    <w:p w14:paraId="39B3341C" w14:textId="77777777" w:rsidR="000834B3" w:rsidRPr="000834B3" w:rsidRDefault="000834B3" w:rsidP="000834B3">
      <w:pPr>
        <w:numPr>
          <w:ilvl w:val="1"/>
          <w:numId w:val="17"/>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In </w:t>
      </w:r>
      <w:r w:rsidRPr="000834B3">
        <w:rPr>
          <w:rFonts w:ascii="Times New Roman" w:hAnsi="Times New Roman"/>
          <w:i/>
          <w:iCs/>
          <w:lang w:val="en-HK"/>
        </w:rPr>
        <w:t>Commission v. Belgium (C-145/09)</w:t>
      </w:r>
      <w:r w:rsidRPr="000834B3">
        <w:rPr>
          <w:rFonts w:ascii="Times New Roman" w:hAnsi="Times New Roman"/>
          <w:lang w:val="en-HK"/>
        </w:rPr>
        <w:t>, the Court invalidated a Belgian measure restricting waste imports because the government failed to provide evidence showing that the measure was necessary to achieve its environmental objectives.</w:t>
      </w:r>
    </w:p>
    <w:p w14:paraId="2AE2D8B6" w14:textId="77777777" w:rsidR="000834B3" w:rsidRPr="000834B3" w:rsidRDefault="000834B3" w:rsidP="000834B3">
      <w:pPr>
        <w:numPr>
          <w:ilvl w:val="1"/>
          <w:numId w:val="17"/>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Quote from Judgment</w:t>
      </w:r>
      <w:r w:rsidRPr="000834B3">
        <w:rPr>
          <w:rFonts w:ascii="Times New Roman" w:hAnsi="Times New Roman"/>
          <w:lang w:val="en-HK"/>
        </w:rPr>
        <w:t>: “Mere assertions, unsupported by specific evidence, cannot suffice to justify restrictions on free movement.”</w:t>
      </w:r>
    </w:p>
    <w:p w14:paraId="5BA07CFB"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Proportionality and Necessity</w:t>
      </w:r>
    </w:p>
    <w:p w14:paraId="36E7923C" w14:textId="77777777" w:rsidR="000834B3" w:rsidRPr="000834B3" w:rsidRDefault="000834B3" w:rsidP="000834B3">
      <w:pPr>
        <w:numPr>
          <w:ilvl w:val="0"/>
          <w:numId w:val="1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principle of proportionality requires that the restrictive measure:</w:t>
      </w:r>
    </w:p>
    <w:p w14:paraId="6CE1D499" w14:textId="77777777" w:rsidR="000834B3" w:rsidRPr="000834B3" w:rsidRDefault="000834B3" w:rsidP="000834B3">
      <w:pPr>
        <w:numPr>
          <w:ilvl w:val="1"/>
          <w:numId w:val="1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Be appropriate for achieving the stated objective.</w:t>
      </w:r>
    </w:p>
    <w:p w14:paraId="2EA5D264" w14:textId="77777777" w:rsidR="000834B3" w:rsidRPr="000834B3" w:rsidRDefault="000834B3" w:rsidP="000834B3">
      <w:pPr>
        <w:numPr>
          <w:ilvl w:val="1"/>
          <w:numId w:val="1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Be necessary, meaning no less restrictive measure is available.</w:t>
      </w:r>
    </w:p>
    <w:p w14:paraId="2A8513E1" w14:textId="77777777" w:rsidR="000834B3" w:rsidRPr="000834B3" w:rsidRDefault="000834B3" w:rsidP="000834B3">
      <w:pPr>
        <w:numPr>
          <w:ilvl w:val="0"/>
          <w:numId w:val="18"/>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Case Reference</w:t>
      </w:r>
      <w:r w:rsidRPr="000834B3">
        <w:rPr>
          <w:rFonts w:ascii="Times New Roman" w:hAnsi="Times New Roman"/>
          <w:lang w:val="en-HK"/>
        </w:rPr>
        <w:t>:</w:t>
      </w:r>
    </w:p>
    <w:p w14:paraId="4E587880" w14:textId="77777777" w:rsidR="000834B3" w:rsidRPr="000834B3" w:rsidRDefault="000834B3" w:rsidP="000834B3">
      <w:pPr>
        <w:numPr>
          <w:ilvl w:val="1"/>
          <w:numId w:val="19"/>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In </w:t>
      </w:r>
      <w:r w:rsidRPr="000834B3">
        <w:rPr>
          <w:rFonts w:ascii="Times New Roman" w:hAnsi="Times New Roman"/>
          <w:i/>
          <w:iCs/>
          <w:lang w:val="en-HK"/>
        </w:rPr>
        <w:t>Italian Trailers (Case C-110/05)</w:t>
      </w:r>
      <w:r w:rsidRPr="000834B3">
        <w:rPr>
          <w:rFonts w:ascii="Times New Roman" w:hAnsi="Times New Roman"/>
          <w:lang w:val="en-HK"/>
        </w:rPr>
        <w:t>, Italy’s prohibition on motorcycles towing trailers was justified on road safety grounds, but the Court required Italy to submit statistical evidence proving the necessity of the measure.</w:t>
      </w:r>
    </w:p>
    <w:p w14:paraId="3313B791"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Criticism of Evidentiary Standards</w:t>
      </w:r>
    </w:p>
    <w:p w14:paraId="16761330" w14:textId="77777777" w:rsidR="000834B3" w:rsidRPr="000834B3" w:rsidRDefault="000834B3" w:rsidP="000834B3">
      <w:pPr>
        <w:numPr>
          <w:ilvl w:val="0"/>
          <w:numId w:val="2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authors critique the CJEU’s inconsistent application of evidentiary standards, arguing that the Court often fails to specify:</w:t>
      </w:r>
    </w:p>
    <w:p w14:paraId="4ACAE64A" w14:textId="77777777" w:rsidR="000834B3" w:rsidRPr="000834B3" w:rsidRDefault="000834B3" w:rsidP="000834B3">
      <w:pPr>
        <w:numPr>
          <w:ilvl w:val="1"/>
          <w:numId w:val="2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What constitutes sufficient evidence.</w:t>
      </w:r>
    </w:p>
    <w:p w14:paraId="64F17428" w14:textId="77777777" w:rsidR="000834B3" w:rsidRPr="000834B3" w:rsidRDefault="000834B3" w:rsidP="000834B3">
      <w:pPr>
        <w:numPr>
          <w:ilvl w:val="1"/>
          <w:numId w:val="2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How Member States should balance empirical data with normative considerations.</w:t>
      </w:r>
    </w:p>
    <w:p w14:paraId="1E02031E" w14:textId="77777777" w:rsidR="000834B3" w:rsidRPr="000834B3" w:rsidRDefault="000834B3" w:rsidP="000834B3">
      <w:pPr>
        <w:numPr>
          <w:ilvl w:val="0"/>
          <w:numId w:val="20"/>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Scholarly Perspective</w:t>
      </w:r>
      <w:r w:rsidRPr="000834B3">
        <w:rPr>
          <w:rFonts w:ascii="Times New Roman" w:hAnsi="Times New Roman"/>
          <w:lang w:val="en-HK"/>
        </w:rPr>
        <w:t>:</w:t>
      </w:r>
    </w:p>
    <w:p w14:paraId="4E3E4E8B" w14:textId="77777777" w:rsidR="000834B3" w:rsidRPr="000834B3" w:rsidRDefault="000834B3" w:rsidP="000834B3">
      <w:pPr>
        <w:numPr>
          <w:ilvl w:val="1"/>
          <w:numId w:val="2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While the evidentiary focus enhances rigor, it risks placing undue burden on Member States, particularly in complex or uncertain policy areas like public health and environmental protection.</w:t>
      </w:r>
    </w:p>
    <w:p w14:paraId="475810A0"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63A26DAB">
          <v:rect id="_x0000_i1058" alt="" style="width:451.3pt;height:.05pt;mso-width-percent:0;mso-height-percent:0;mso-width-percent:0;mso-height-percent:0" o:hralign="center" o:hrstd="t" o:hr="t" fillcolor="#a0a0a0" stroked="f"/>
        </w:pict>
      </w:r>
    </w:p>
    <w:p w14:paraId="188293B5"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2.3 The Impact of Evidence on Mandatory Requirements</w:t>
      </w:r>
    </w:p>
    <w:p w14:paraId="64694877"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Mandatory Requirements</w:t>
      </w:r>
    </w:p>
    <w:p w14:paraId="360DE289" w14:textId="77777777" w:rsidR="000834B3" w:rsidRPr="000834B3" w:rsidRDefault="000834B3" w:rsidP="000834B3">
      <w:pPr>
        <w:numPr>
          <w:ilvl w:val="0"/>
          <w:numId w:val="2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Introduced in </w:t>
      </w:r>
      <w:r w:rsidRPr="000834B3">
        <w:rPr>
          <w:rFonts w:ascii="Times New Roman" w:hAnsi="Times New Roman"/>
          <w:i/>
          <w:iCs/>
          <w:lang w:val="en-HK"/>
        </w:rPr>
        <w:t>Cassis de Dijon (Case 120/78)</w:t>
      </w:r>
      <w:r w:rsidRPr="000834B3">
        <w:rPr>
          <w:rFonts w:ascii="Times New Roman" w:hAnsi="Times New Roman"/>
          <w:lang w:val="en-HK"/>
        </w:rPr>
        <w:t>, mandatory requirements allow Member States to justify indistinctly applicable measures based on public interest grounds not listed in Article 36 (e.g., environmental protection, consumer protection).</w:t>
      </w:r>
    </w:p>
    <w:p w14:paraId="4DB86B6C" w14:textId="77777777" w:rsidR="000834B3" w:rsidRPr="000834B3" w:rsidRDefault="000834B3" w:rsidP="000834B3">
      <w:pPr>
        <w:numPr>
          <w:ilvl w:val="0"/>
          <w:numId w:val="2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CJEU has increasingly required Member States to substantiate mandatory requirement claims with concrete evidence.</w:t>
      </w:r>
    </w:p>
    <w:p w14:paraId="36FDFD47"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Case Examples:</w:t>
      </w:r>
    </w:p>
    <w:p w14:paraId="48EA6DFA" w14:textId="77777777" w:rsidR="000834B3" w:rsidRPr="000834B3" w:rsidRDefault="000834B3" w:rsidP="000834B3">
      <w:pPr>
        <w:numPr>
          <w:ilvl w:val="0"/>
          <w:numId w:val="2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Decker (Case C-120/95)</w:t>
      </w:r>
      <w:r w:rsidRPr="000834B3">
        <w:rPr>
          <w:rFonts w:ascii="Times New Roman" w:hAnsi="Times New Roman"/>
          <w:lang w:val="en-HK"/>
        </w:rPr>
        <w:t>:</w:t>
      </w:r>
    </w:p>
    <w:p w14:paraId="6489D9D9" w14:textId="77777777" w:rsidR="000834B3" w:rsidRPr="000834B3" w:rsidRDefault="000834B3" w:rsidP="000834B3">
      <w:pPr>
        <w:numPr>
          <w:ilvl w:val="1"/>
          <w:numId w:val="2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lastRenderedPageBreak/>
        <w:t>Facts</w:t>
      </w:r>
      <w:r w:rsidRPr="000834B3">
        <w:rPr>
          <w:rFonts w:ascii="Times New Roman" w:hAnsi="Times New Roman"/>
          <w:lang w:val="en-HK"/>
        </w:rPr>
        <w:t>: Luxembourg restricted reimbursement for spectacles purchased abroad to protect its national healthcare system.</w:t>
      </w:r>
    </w:p>
    <w:p w14:paraId="1777455B" w14:textId="77777777" w:rsidR="000834B3" w:rsidRPr="000834B3" w:rsidRDefault="000834B3" w:rsidP="000834B3">
      <w:pPr>
        <w:numPr>
          <w:ilvl w:val="1"/>
          <w:numId w:val="2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Judgment</w:t>
      </w:r>
      <w:r w:rsidRPr="000834B3">
        <w:rPr>
          <w:rFonts w:ascii="Times New Roman" w:hAnsi="Times New Roman"/>
          <w:lang w:val="en-HK"/>
        </w:rPr>
        <w:t>: The Court rejected the measure, criticizing the lack of evidence proving that cross-border purchases would undermine the system.</w:t>
      </w:r>
    </w:p>
    <w:p w14:paraId="55AC80A2" w14:textId="77777777" w:rsidR="000834B3" w:rsidRPr="000834B3" w:rsidRDefault="000834B3" w:rsidP="000834B3">
      <w:pPr>
        <w:numPr>
          <w:ilvl w:val="1"/>
          <w:numId w:val="2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Significance</w:t>
      </w:r>
      <w:r w:rsidRPr="000834B3">
        <w:rPr>
          <w:rFonts w:ascii="Times New Roman" w:hAnsi="Times New Roman"/>
          <w:lang w:val="en-HK"/>
        </w:rPr>
        <w:t>: The decision underscores the need for robust financial and empirical evidence to justify public health measures.</w:t>
      </w:r>
    </w:p>
    <w:p w14:paraId="55CFB91E" w14:textId="77777777" w:rsidR="000834B3" w:rsidRPr="000834B3" w:rsidRDefault="000834B3" w:rsidP="000834B3">
      <w:pPr>
        <w:numPr>
          <w:ilvl w:val="0"/>
          <w:numId w:val="22"/>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b/>
          <w:bCs/>
          <w:lang w:val="en-HK"/>
        </w:rPr>
        <w:t>Wallonian</w:t>
      </w:r>
      <w:proofErr w:type="spellEnd"/>
      <w:r w:rsidRPr="000834B3">
        <w:rPr>
          <w:rFonts w:ascii="Times New Roman" w:hAnsi="Times New Roman"/>
          <w:b/>
          <w:bCs/>
          <w:lang w:val="en-HK"/>
        </w:rPr>
        <w:t xml:space="preserve"> Waste (Case C-2/90)</w:t>
      </w:r>
      <w:r w:rsidRPr="000834B3">
        <w:rPr>
          <w:rFonts w:ascii="Times New Roman" w:hAnsi="Times New Roman"/>
          <w:lang w:val="en-HK"/>
        </w:rPr>
        <w:t>:</w:t>
      </w:r>
    </w:p>
    <w:p w14:paraId="1CFD8DD1" w14:textId="77777777" w:rsidR="000834B3" w:rsidRPr="000834B3" w:rsidRDefault="000834B3" w:rsidP="000834B3">
      <w:pPr>
        <w:numPr>
          <w:ilvl w:val="1"/>
          <w:numId w:val="2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Facts</w:t>
      </w:r>
      <w:r w:rsidRPr="000834B3">
        <w:rPr>
          <w:rFonts w:ascii="Times New Roman" w:hAnsi="Times New Roman"/>
          <w:lang w:val="en-HK"/>
        </w:rPr>
        <w:t>: Belgium banned waste imports to protect the environment.</w:t>
      </w:r>
    </w:p>
    <w:p w14:paraId="46363D34" w14:textId="77777777" w:rsidR="000834B3" w:rsidRPr="000834B3" w:rsidRDefault="000834B3" w:rsidP="000834B3">
      <w:pPr>
        <w:numPr>
          <w:ilvl w:val="1"/>
          <w:numId w:val="2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Judgment</w:t>
      </w:r>
      <w:r w:rsidRPr="000834B3">
        <w:rPr>
          <w:rFonts w:ascii="Times New Roman" w:hAnsi="Times New Roman"/>
          <w:lang w:val="en-HK"/>
        </w:rPr>
        <w:t>: The Court upheld the measure but required Belgium to submit detailed evidence proving the environmental risks associated with waste imports.</w:t>
      </w:r>
    </w:p>
    <w:p w14:paraId="29D6C929" w14:textId="77777777" w:rsidR="000834B3" w:rsidRPr="000834B3" w:rsidRDefault="000834B3" w:rsidP="000834B3">
      <w:pPr>
        <w:numPr>
          <w:ilvl w:val="1"/>
          <w:numId w:val="2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Significance</w:t>
      </w:r>
      <w:r w:rsidRPr="000834B3">
        <w:rPr>
          <w:rFonts w:ascii="Times New Roman" w:hAnsi="Times New Roman"/>
          <w:lang w:val="en-HK"/>
        </w:rPr>
        <w:t>: The case highlights the dual role of evidence in validating both the legitimacy of the public interest and the proportionality of the measure.</w:t>
      </w:r>
    </w:p>
    <w:p w14:paraId="2FEFF87F"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69562949">
          <v:rect id="_x0000_i1057" alt="" style="width:451.3pt;height:.05pt;mso-width-percent:0;mso-height-percent:0;mso-width-percent:0;mso-height-percent:0" o:hralign="center" o:hrstd="t" o:hr="t" fillcolor="#a0a0a0" stroked="f"/>
        </w:pict>
      </w:r>
    </w:p>
    <w:p w14:paraId="241CE85F"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2.4 Challenges of Evidentiary Standards in Free Movement Law</w:t>
      </w:r>
    </w:p>
    <w:p w14:paraId="040B3BE3"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Legal Uncertainty</w:t>
      </w:r>
    </w:p>
    <w:p w14:paraId="3E052FDC" w14:textId="77777777" w:rsidR="000834B3" w:rsidRPr="000834B3" w:rsidRDefault="000834B3" w:rsidP="000834B3">
      <w:pPr>
        <w:numPr>
          <w:ilvl w:val="0"/>
          <w:numId w:val="2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The CJEU’s reliance on evidence has introduced </w:t>
      </w:r>
      <w:r w:rsidRPr="000834B3">
        <w:rPr>
          <w:rFonts w:ascii="Times New Roman" w:hAnsi="Times New Roman"/>
          <w:b/>
          <w:bCs/>
          <w:lang w:val="en-HK"/>
        </w:rPr>
        <w:t>legal uncertainty</w:t>
      </w:r>
      <w:r w:rsidRPr="000834B3">
        <w:rPr>
          <w:rFonts w:ascii="Times New Roman" w:hAnsi="Times New Roman"/>
          <w:lang w:val="en-HK"/>
        </w:rPr>
        <w:t xml:space="preserve"> due to the lack of clear guidelines on:</w:t>
      </w:r>
    </w:p>
    <w:p w14:paraId="6809CDD5" w14:textId="77777777" w:rsidR="000834B3" w:rsidRPr="000834B3" w:rsidRDefault="000834B3" w:rsidP="000834B3">
      <w:pPr>
        <w:numPr>
          <w:ilvl w:val="1"/>
          <w:numId w:val="2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type of evidence required (e.g., statistical data, expert reports).</w:t>
      </w:r>
    </w:p>
    <w:p w14:paraId="5B2A4616" w14:textId="77777777" w:rsidR="000834B3" w:rsidRPr="000834B3" w:rsidRDefault="000834B3" w:rsidP="000834B3">
      <w:pPr>
        <w:numPr>
          <w:ilvl w:val="1"/>
          <w:numId w:val="2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standard of proof needed to substantiate public interest claims.</w:t>
      </w:r>
    </w:p>
    <w:p w14:paraId="7FCF8E6F" w14:textId="77777777" w:rsidR="000834B3" w:rsidRPr="000834B3" w:rsidRDefault="000834B3" w:rsidP="000834B3">
      <w:pPr>
        <w:numPr>
          <w:ilvl w:val="0"/>
          <w:numId w:val="23"/>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Example</w:t>
      </w:r>
      <w:r w:rsidRPr="000834B3">
        <w:rPr>
          <w:rFonts w:ascii="Times New Roman" w:hAnsi="Times New Roman"/>
          <w:lang w:val="en-HK"/>
        </w:rPr>
        <w:t xml:space="preserve">: In </w:t>
      </w:r>
      <w:proofErr w:type="spellStart"/>
      <w:r w:rsidRPr="000834B3">
        <w:rPr>
          <w:rFonts w:ascii="Times New Roman" w:hAnsi="Times New Roman"/>
          <w:i/>
          <w:iCs/>
          <w:lang w:val="en-HK"/>
        </w:rPr>
        <w:t>Fachverband</w:t>
      </w:r>
      <w:proofErr w:type="spellEnd"/>
      <w:r w:rsidRPr="000834B3">
        <w:rPr>
          <w:rFonts w:ascii="Times New Roman" w:hAnsi="Times New Roman"/>
          <w:i/>
          <w:iCs/>
          <w:lang w:val="en-HK"/>
        </w:rPr>
        <w:t xml:space="preserve"> der Buch- und </w:t>
      </w:r>
      <w:proofErr w:type="spellStart"/>
      <w:r w:rsidRPr="000834B3">
        <w:rPr>
          <w:rFonts w:ascii="Times New Roman" w:hAnsi="Times New Roman"/>
          <w:i/>
          <w:iCs/>
          <w:lang w:val="en-HK"/>
        </w:rPr>
        <w:t>Medienwirtschaft</w:t>
      </w:r>
      <w:proofErr w:type="spellEnd"/>
      <w:r w:rsidRPr="000834B3">
        <w:rPr>
          <w:rFonts w:ascii="Times New Roman" w:hAnsi="Times New Roman"/>
          <w:lang w:val="en-HK"/>
        </w:rPr>
        <w:t>, the Court criticized the Austrian government for failing to provide specific evidence about the necessity of restricting book pricing.</w:t>
      </w:r>
    </w:p>
    <w:p w14:paraId="58982D5C"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Balancing Empirical and Normative Considerations</w:t>
      </w:r>
    </w:p>
    <w:p w14:paraId="611117FC" w14:textId="77777777" w:rsidR="000834B3" w:rsidRPr="000834B3" w:rsidRDefault="000834B3" w:rsidP="000834B3">
      <w:pPr>
        <w:numPr>
          <w:ilvl w:val="0"/>
          <w:numId w:val="2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Public interest claims often involve normative considerations, such as ethical or cultural values, which are difficult to quantify.</w:t>
      </w:r>
    </w:p>
    <w:p w14:paraId="67D1F829" w14:textId="77777777" w:rsidR="000834B3" w:rsidRPr="000834B3" w:rsidRDefault="000834B3" w:rsidP="000834B3">
      <w:pPr>
        <w:numPr>
          <w:ilvl w:val="0"/>
          <w:numId w:val="24"/>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Authors’ Critique</w:t>
      </w:r>
      <w:r w:rsidRPr="000834B3">
        <w:rPr>
          <w:rFonts w:ascii="Times New Roman" w:hAnsi="Times New Roman"/>
          <w:lang w:val="en-HK"/>
        </w:rPr>
        <w:t>:</w:t>
      </w:r>
    </w:p>
    <w:p w14:paraId="7D2A2005" w14:textId="77777777" w:rsidR="000834B3" w:rsidRPr="000834B3" w:rsidRDefault="000834B3" w:rsidP="000834B3">
      <w:pPr>
        <w:numPr>
          <w:ilvl w:val="1"/>
          <w:numId w:val="2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The Court’s evidentiary focus risks sidelining important non-quantifiable factors, such as social cohesion or cultural identity, in </w:t>
      </w:r>
      <w:proofErr w:type="spellStart"/>
      <w:r w:rsidRPr="000834B3">
        <w:rPr>
          <w:rFonts w:ascii="Times New Roman" w:hAnsi="Times New Roman"/>
          <w:lang w:val="en-HK"/>
        </w:rPr>
        <w:t>favor</w:t>
      </w:r>
      <w:proofErr w:type="spellEnd"/>
      <w:r w:rsidRPr="000834B3">
        <w:rPr>
          <w:rFonts w:ascii="Times New Roman" w:hAnsi="Times New Roman"/>
          <w:lang w:val="en-HK"/>
        </w:rPr>
        <w:t xml:space="preserve"> of empirical data.</w:t>
      </w:r>
    </w:p>
    <w:p w14:paraId="541B6BEE"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Fragmentation Across Member States</w:t>
      </w:r>
    </w:p>
    <w:p w14:paraId="3B087CED" w14:textId="77777777" w:rsidR="000834B3" w:rsidRPr="000834B3" w:rsidRDefault="000834B3" w:rsidP="000834B3">
      <w:pPr>
        <w:numPr>
          <w:ilvl w:val="0"/>
          <w:numId w:val="25"/>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National differences in legal traditions and evidentiary standards exacerbate inconsistencies in the application of free movement law.</w:t>
      </w:r>
    </w:p>
    <w:p w14:paraId="4FAD666A" w14:textId="77777777" w:rsidR="000834B3" w:rsidRPr="000834B3" w:rsidRDefault="000834B3" w:rsidP="000834B3">
      <w:pPr>
        <w:numPr>
          <w:ilvl w:val="0"/>
          <w:numId w:val="25"/>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Example</w:t>
      </w:r>
      <w:r w:rsidRPr="000834B3">
        <w:rPr>
          <w:rFonts w:ascii="Times New Roman" w:hAnsi="Times New Roman"/>
          <w:lang w:val="en-HK"/>
        </w:rPr>
        <w:t>:</w:t>
      </w:r>
    </w:p>
    <w:p w14:paraId="4A3ED3F0" w14:textId="77777777" w:rsidR="000834B3" w:rsidRPr="000834B3" w:rsidRDefault="000834B3" w:rsidP="000834B3">
      <w:pPr>
        <w:numPr>
          <w:ilvl w:val="1"/>
          <w:numId w:val="25"/>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Countries with weaker administrative capacities may struggle to meet the CJEU’s evidentiary demands, creating unequal treatment among Member States.</w:t>
      </w:r>
    </w:p>
    <w:p w14:paraId="67557973"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lastRenderedPageBreak/>
        <w:pict w14:anchorId="297AD280">
          <v:rect id="_x0000_i1056" alt="" style="width:451.3pt;height:.05pt;mso-width-percent:0;mso-height-percent:0;mso-width-percent:0;mso-height-percent:0" o:hralign="center" o:hrstd="t" o:hr="t" fillcolor="#a0a0a0" stroked="f"/>
        </w:pict>
      </w:r>
    </w:p>
    <w:p w14:paraId="552113C2"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Conclusion of Section 2</w:t>
      </w:r>
    </w:p>
    <w:p w14:paraId="70FFD14A" w14:textId="77777777" w:rsidR="000834B3" w:rsidRPr="000834B3" w:rsidRDefault="000834B3" w:rsidP="000834B3">
      <w:pPr>
        <w:numPr>
          <w:ilvl w:val="0"/>
          <w:numId w:val="2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authors highlight the growing importance of evidence in the CJEU’s evaluation of public interest justifications, emphasizing its role in ensuring accountability and transparency.</w:t>
      </w:r>
    </w:p>
    <w:p w14:paraId="210CFF97" w14:textId="77777777" w:rsidR="000834B3" w:rsidRPr="000834B3" w:rsidRDefault="000834B3" w:rsidP="000834B3">
      <w:pPr>
        <w:numPr>
          <w:ilvl w:val="0"/>
          <w:numId w:val="2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However, the lack of clear procedural and substantive guidelines on evidentiary standards creates significant challenges, including:</w:t>
      </w:r>
    </w:p>
    <w:p w14:paraId="0AB61981" w14:textId="77777777" w:rsidR="000834B3" w:rsidRPr="000834B3" w:rsidRDefault="000834B3" w:rsidP="000834B3">
      <w:pPr>
        <w:numPr>
          <w:ilvl w:val="1"/>
          <w:numId w:val="2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Legal uncertainty for Member States and businesses.</w:t>
      </w:r>
    </w:p>
    <w:p w14:paraId="06FD0E95" w14:textId="77777777" w:rsidR="000834B3" w:rsidRPr="000834B3" w:rsidRDefault="000834B3" w:rsidP="000834B3">
      <w:pPr>
        <w:numPr>
          <w:ilvl w:val="1"/>
          <w:numId w:val="2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Over-reliance on empirical data, risking the marginalization of normative considerations.</w:t>
      </w:r>
    </w:p>
    <w:p w14:paraId="35251DC1" w14:textId="77777777" w:rsidR="000834B3" w:rsidRPr="000834B3" w:rsidRDefault="000834B3" w:rsidP="000834B3">
      <w:pPr>
        <w:numPr>
          <w:ilvl w:val="1"/>
          <w:numId w:val="2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Potential for fragmentation within the internal market.</w:t>
      </w:r>
    </w:p>
    <w:p w14:paraId="6BF354B8" w14:textId="77777777" w:rsidR="000834B3" w:rsidRPr="000834B3" w:rsidRDefault="000834B3" w:rsidP="000834B3">
      <w:pPr>
        <w:numPr>
          <w:ilvl w:val="0"/>
          <w:numId w:val="26"/>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Key Quote</w:t>
      </w:r>
      <w:r w:rsidRPr="000834B3">
        <w:rPr>
          <w:rFonts w:ascii="Times New Roman" w:hAnsi="Times New Roman"/>
          <w:lang w:val="en-HK"/>
        </w:rPr>
        <w:t>: “The increasing demand for precise and concrete evidence reflects a positive step toward rigor in judicial review, but it must be tempered with sensitivity to the complexities of public policy-making.”</w:t>
      </w:r>
    </w:p>
    <w:p w14:paraId="71060E5A"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67EA5170">
          <v:rect id="_x0000_i1055" alt="" style="width:451.3pt;height:.05pt;mso-width-percent:0;mso-height-percent:0;mso-width-percent:0;mso-height-percent:0" o:hralign="center" o:hrstd="t" o:hr="t" fillcolor="#a0a0a0" stroked="f"/>
        </w:pict>
      </w:r>
    </w:p>
    <w:p w14:paraId="36580DB5"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3. Mandatory Requirements as an Extension to Article 30</w:t>
      </w:r>
    </w:p>
    <w:p w14:paraId="6B12B91C"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Overview</w:t>
      </w:r>
    </w:p>
    <w:p w14:paraId="485457A4" w14:textId="77777777" w:rsidR="000834B3" w:rsidRPr="000834B3" w:rsidRDefault="000834B3" w:rsidP="000834B3">
      <w:pPr>
        <w:numPr>
          <w:ilvl w:val="0"/>
          <w:numId w:val="27"/>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discusses the theoretical proposal to treat </w:t>
      </w:r>
      <w:r w:rsidRPr="000834B3">
        <w:rPr>
          <w:rFonts w:ascii="Times New Roman" w:hAnsi="Times New Roman"/>
          <w:b/>
          <w:bCs/>
          <w:lang w:val="en-HK"/>
        </w:rPr>
        <w:t>mandatory requirements</w:t>
      </w:r>
      <w:r w:rsidRPr="000834B3">
        <w:rPr>
          <w:rFonts w:ascii="Times New Roman" w:hAnsi="Times New Roman"/>
          <w:lang w:val="en-HK"/>
        </w:rPr>
        <w:t xml:space="preserve"> as an extension of Article 36 TFEU, enabling them to justify </w:t>
      </w:r>
      <w:r w:rsidRPr="000834B3">
        <w:rPr>
          <w:rFonts w:ascii="Times New Roman" w:hAnsi="Times New Roman"/>
          <w:b/>
          <w:bCs/>
          <w:lang w:val="en-HK"/>
        </w:rPr>
        <w:t>discriminatory measures</w:t>
      </w:r>
      <w:r w:rsidRPr="000834B3">
        <w:rPr>
          <w:rFonts w:ascii="Times New Roman" w:hAnsi="Times New Roman"/>
          <w:lang w:val="en-HK"/>
        </w:rPr>
        <w:t>.</w:t>
      </w:r>
    </w:p>
    <w:p w14:paraId="66B2FAC7" w14:textId="77777777" w:rsidR="000834B3" w:rsidRPr="000834B3" w:rsidRDefault="000834B3" w:rsidP="000834B3">
      <w:pPr>
        <w:numPr>
          <w:ilvl w:val="0"/>
          <w:numId w:val="27"/>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This proposal emerges from the Court of Justice of the European Union’s (CJEU) expanding jurisprudence on mandatory requirements.</w:t>
      </w:r>
    </w:p>
    <w:p w14:paraId="7B4B9A14" w14:textId="77777777" w:rsidR="000834B3" w:rsidRPr="000834B3" w:rsidRDefault="000834B3" w:rsidP="000834B3">
      <w:pPr>
        <w:numPr>
          <w:ilvl w:val="0"/>
          <w:numId w:val="27"/>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critically evaluates the legitimacy and practical implications of this potential extension, focusing on its impact on the coherence of EU free movement law.</w:t>
      </w:r>
    </w:p>
    <w:p w14:paraId="1E62DFCA"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46FA7698">
          <v:rect id="_x0000_i1054" alt="" style="width:451.3pt;height:.05pt;mso-width-percent:0;mso-height-percent:0;mso-width-percent:0;mso-height-percent:0" o:hralign="center" o:hrstd="t" o:hr="t" fillcolor="#a0a0a0" stroked="f"/>
        </w:pict>
      </w:r>
    </w:p>
    <w:p w14:paraId="522FF8DC"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3.1 Current Framework of Article 36 and Mandatory Requirements</w:t>
      </w:r>
    </w:p>
    <w:p w14:paraId="156AFDC5"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Article 36 TFEU</w:t>
      </w:r>
    </w:p>
    <w:p w14:paraId="44962CFB" w14:textId="77777777" w:rsidR="000834B3" w:rsidRPr="000834B3" w:rsidRDefault="000834B3" w:rsidP="000834B3">
      <w:pPr>
        <w:numPr>
          <w:ilvl w:val="0"/>
          <w:numId w:val="2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Provides an </w:t>
      </w:r>
      <w:r w:rsidRPr="000834B3">
        <w:rPr>
          <w:rFonts w:ascii="Times New Roman" w:hAnsi="Times New Roman"/>
          <w:b/>
          <w:bCs/>
          <w:lang w:val="en-HK"/>
        </w:rPr>
        <w:t>exhaustive list of derogations</w:t>
      </w:r>
      <w:r w:rsidRPr="000834B3">
        <w:rPr>
          <w:rFonts w:ascii="Times New Roman" w:hAnsi="Times New Roman"/>
          <w:lang w:val="en-HK"/>
        </w:rPr>
        <w:t xml:space="preserve"> that can justify discriminatory measures:</w:t>
      </w:r>
    </w:p>
    <w:p w14:paraId="50487EC9" w14:textId="77777777" w:rsidR="000834B3" w:rsidRPr="000834B3" w:rsidRDefault="000834B3" w:rsidP="000834B3">
      <w:pPr>
        <w:numPr>
          <w:ilvl w:val="1"/>
          <w:numId w:val="2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Public morality.</w:t>
      </w:r>
    </w:p>
    <w:p w14:paraId="0834CA8D" w14:textId="77777777" w:rsidR="000834B3" w:rsidRPr="000834B3" w:rsidRDefault="000834B3" w:rsidP="000834B3">
      <w:pPr>
        <w:numPr>
          <w:ilvl w:val="1"/>
          <w:numId w:val="2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Public policy.</w:t>
      </w:r>
    </w:p>
    <w:p w14:paraId="6C4B3B6B" w14:textId="77777777" w:rsidR="000834B3" w:rsidRPr="000834B3" w:rsidRDefault="000834B3" w:rsidP="000834B3">
      <w:pPr>
        <w:numPr>
          <w:ilvl w:val="1"/>
          <w:numId w:val="2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Public security.</w:t>
      </w:r>
    </w:p>
    <w:p w14:paraId="1D335A8E" w14:textId="77777777" w:rsidR="000834B3" w:rsidRPr="000834B3" w:rsidRDefault="000834B3" w:rsidP="000834B3">
      <w:pPr>
        <w:numPr>
          <w:ilvl w:val="1"/>
          <w:numId w:val="2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Protection of health and life of humans, animals, or plants.</w:t>
      </w:r>
    </w:p>
    <w:p w14:paraId="5625B59A" w14:textId="77777777" w:rsidR="000834B3" w:rsidRPr="000834B3" w:rsidRDefault="000834B3" w:rsidP="000834B3">
      <w:pPr>
        <w:numPr>
          <w:ilvl w:val="1"/>
          <w:numId w:val="2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Protection of national treasures possessing artistic, historic, or archaeological value.</w:t>
      </w:r>
    </w:p>
    <w:p w14:paraId="7FB4C1BD" w14:textId="77777777" w:rsidR="000834B3" w:rsidRPr="000834B3" w:rsidRDefault="000834B3" w:rsidP="000834B3">
      <w:pPr>
        <w:numPr>
          <w:ilvl w:val="1"/>
          <w:numId w:val="2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Protection of industrial and commercial property.</w:t>
      </w:r>
    </w:p>
    <w:p w14:paraId="547965F9" w14:textId="77777777" w:rsidR="000834B3" w:rsidRPr="000834B3" w:rsidRDefault="000834B3" w:rsidP="000834B3">
      <w:pPr>
        <w:numPr>
          <w:ilvl w:val="0"/>
          <w:numId w:val="2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Article 36 imposes two key constraints:</w:t>
      </w:r>
    </w:p>
    <w:p w14:paraId="5049D41A" w14:textId="77777777" w:rsidR="000834B3" w:rsidRPr="000834B3" w:rsidRDefault="000834B3" w:rsidP="000834B3">
      <w:pPr>
        <w:numPr>
          <w:ilvl w:val="1"/>
          <w:numId w:val="29"/>
        </w:numPr>
        <w:spacing w:before="100" w:beforeAutospacing="1" w:after="100" w:afterAutospacing="1" w:line="276" w:lineRule="auto"/>
        <w:ind w:left="1440" w:hanging="360"/>
        <w:rPr>
          <w:rFonts w:ascii="Times New Roman" w:hAnsi="Times New Roman"/>
          <w:lang w:val="en-HK"/>
        </w:rPr>
      </w:pPr>
      <w:r w:rsidRPr="000834B3">
        <w:rPr>
          <w:rFonts w:ascii="Times New Roman" w:hAnsi="Times New Roman"/>
          <w:lang w:val="en-HK"/>
        </w:rPr>
        <w:lastRenderedPageBreak/>
        <w:t xml:space="preserve">Measures must be </w:t>
      </w:r>
      <w:r w:rsidRPr="000834B3">
        <w:rPr>
          <w:rFonts w:ascii="Times New Roman" w:hAnsi="Times New Roman"/>
          <w:b/>
          <w:bCs/>
          <w:lang w:val="en-HK"/>
        </w:rPr>
        <w:t>proportionate</w:t>
      </w:r>
      <w:r w:rsidRPr="000834B3">
        <w:rPr>
          <w:rFonts w:ascii="Times New Roman" w:hAnsi="Times New Roman"/>
          <w:lang w:val="en-HK"/>
        </w:rPr>
        <w:t>.</w:t>
      </w:r>
    </w:p>
    <w:p w14:paraId="3B5AD0B2" w14:textId="77777777" w:rsidR="000834B3" w:rsidRPr="000834B3" w:rsidRDefault="000834B3" w:rsidP="000834B3">
      <w:pPr>
        <w:numPr>
          <w:ilvl w:val="1"/>
          <w:numId w:val="29"/>
        </w:numPr>
        <w:spacing w:before="100" w:beforeAutospacing="1" w:after="100" w:afterAutospacing="1" w:line="276" w:lineRule="auto"/>
        <w:ind w:left="1440" w:hanging="360"/>
        <w:rPr>
          <w:rFonts w:ascii="Times New Roman" w:hAnsi="Times New Roman"/>
          <w:lang w:val="en-HK"/>
        </w:rPr>
      </w:pPr>
      <w:r w:rsidRPr="000834B3">
        <w:rPr>
          <w:rFonts w:ascii="Times New Roman" w:hAnsi="Times New Roman"/>
          <w:lang w:val="en-HK"/>
        </w:rPr>
        <w:t xml:space="preserve">Measures must not constitute a </w:t>
      </w:r>
      <w:r w:rsidRPr="000834B3">
        <w:rPr>
          <w:rFonts w:ascii="Times New Roman" w:hAnsi="Times New Roman"/>
          <w:b/>
          <w:bCs/>
          <w:lang w:val="en-HK"/>
        </w:rPr>
        <w:t>disguised restriction on trade</w:t>
      </w:r>
      <w:r w:rsidRPr="000834B3">
        <w:rPr>
          <w:rFonts w:ascii="Times New Roman" w:hAnsi="Times New Roman"/>
          <w:lang w:val="en-HK"/>
        </w:rPr>
        <w:t>.</w:t>
      </w:r>
    </w:p>
    <w:p w14:paraId="2605220B"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Mandatory Requirements</w:t>
      </w:r>
    </w:p>
    <w:p w14:paraId="2DF7D09F" w14:textId="77777777" w:rsidR="000834B3" w:rsidRPr="000834B3" w:rsidRDefault="000834B3" w:rsidP="000834B3">
      <w:pPr>
        <w:numPr>
          <w:ilvl w:val="0"/>
          <w:numId w:val="3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Introduced in </w:t>
      </w:r>
      <w:r w:rsidRPr="000834B3">
        <w:rPr>
          <w:rFonts w:ascii="Times New Roman" w:hAnsi="Times New Roman"/>
          <w:i/>
          <w:iCs/>
          <w:lang w:val="en-HK"/>
        </w:rPr>
        <w:t>Cassis de Dijon (Case 120/78)</w:t>
      </w:r>
      <w:r w:rsidRPr="000834B3">
        <w:rPr>
          <w:rFonts w:ascii="Times New Roman" w:hAnsi="Times New Roman"/>
          <w:lang w:val="en-HK"/>
        </w:rPr>
        <w:t xml:space="preserve"> as justifications for </w:t>
      </w:r>
      <w:r w:rsidRPr="000834B3">
        <w:rPr>
          <w:rFonts w:ascii="Times New Roman" w:hAnsi="Times New Roman"/>
          <w:b/>
          <w:bCs/>
          <w:lang w:val="en-HK"/>
        </w:rPr>
        <w:t>indistinctly applicable measures</w:t>
      </w:r>
      <w:r w:rsidRPr="000834B3">
        <w:rPr>
          <w:rFonts w:ascii="Times New Roman" w:hAnsi="Times New Roman"/>
          <w:lang w:val="en-HK"/>
        </w:rPr>
        <w:t>.</w:t>
      </w:r>
    </w:p>
    <w:p w14:paraId="170B2853" w14:textId="77777777" w:rsidR="000834B3" w:rsidRPr="000834B3" w:rsidRDefault="000834B3" w:rsidP="000834B3">
      <w:pPr>
        <w:numPr>
          <w:ilvl w:val="0"/>
          <w:numId w:val="3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Examples of mandatory requirements include:</w:t>
      </w:r>
    </w:p>
    <w:p w14:paraId="2216B359" w14:textId="77777777" w:rsidR="000834B3" w:rsidRPr="000834B3" w:rsidRDefault="000834B3" w:rsidP="000834B3">
      <w:pPr>
        <w:numPr>
          <w:ilvl w:val="1"/>
          <w:numId w:val="3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Consumer protection.</w:t>
      </w:r>
    </w:p>
    <w:p w14:paraId="5BEB23D7" w14:textId="77777777" w:rsidR="000834B3" w:rsidRPr="000834B3" w:rsidRDefault="000834B3" w:rsidP="000834B3">
      <w:pPr>
        <w:numPr>
          <w:ilvl w:val="1"/>
          <w:numId w:val="3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Environmental protection.</w:t>
      </w:r>
    </w:p>
    <w:p w14:paraId="66CAC605" w14:textId="77777777" w:rsidR="000834B3" w:rsidRPr="000834B3" w:rsidRDefault="000834B3" w:rsidP="000834B3">
      <w:pPr>
        <w:numPr>
          <w:ilvl w:val="1"/>
          <w:numId w:val="3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Maintenance of press diversity.</w:t>
      </w:r>
    </w:p>
    <w:p w14:paraId="0C1BA2A2" w14:textId="77777777" w:rsidR="000834B3" w:rsidRPr="000834B3" w:rsidRDefault="000834B3" w:rsidP="000834B3">
      <w:pPr>
        <w:numPr>
          <w:ilvl w:val="1"/>
          <w:numId w:val="3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Fairness in commercial transactions.</w:t>
      </w:r>
    </w:p>
    <w:p w14:paraId="1B3ADB26"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11A46F67">
          <v:rect id="_x0000_i1053" alt="" style="width:451.3pt;height:.05pt;mso-width-percent:0;mso-height-percent:0;mso-width-percent:0;mso-height-percent:0" o:hralign="center" o:hrstd="t" o:hr="t" fillcolor="#a0a0a0" stroked="f"/>
        </w:pict>
      </w:r>
    </w:p>
    <w:p w14:paraId="3BF6006B"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3.2 Proposal to Extend Mandatory Requirements to Discriminatory Measures</w:t>
      </w:r>
    </w:p>
    <w:p w14:paraId="677AEAE0"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Rationale for Extension</w:t>
      </w:r>
    </w:p>
    <w:p w14:paraId="719183B1" w14:textId="77777777" w:rsidR="000834B3" w:rsidRPr="000834B3" w:rsidRDefault="000834B3" w:rsidP="000834B3">
      <w:pPr>
        <w:numPr>
          <w:ilvl w:val="0"/>
          <w:numId w:val="3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Some scholars argue that mandatory requirements could serve as a supplementary list of justifications for discriminatory measures.</w:t>
      </w:r>
    </w:p>
    <w:p w14:paraId="767601DA" w14:textId="77777777" w:rsidR="000834B3" w:rsidRPr="000834B3" w:rsidRDefault="000834B3" w:rsidP="000834B3">
      <w:pPr>
        <w:numPr>
          <w:ilvl w:val="0"/>
          <w:numId w:val="3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This approach would:</w:t>
      </w:r>
    </w:p>
    <w:p w14:paraId="2831FF42" w14:textId="77777777" w:rsidR="000834B3" w:rsidRPr="000834B3" w:rsidRDefault="000834B3" w:rsidP="000834B3">
      <w:pPr>
        <w:numPr>
          <w:ilvl w:val="1"/>
          <w:numId w:val="3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Address gaps in the current framework, where certain legitimate interests are not explicitly recognized under Article 36.</w:t>
      </w:r>
    </w:p>
    <w:p w14:paraId="211A5295" w14:textId="77777777" w:rsidR="000834B3" w:rsidRPr="000834B3" w:rsidRDefault="000834B3" w:rsidP="000834B3">
      <w:pPr>
        <w:numPr>
          <w:ilvl w:val="1"/>
          <w:numId w:val="3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Reflect the evolving priorities of EU law, such as environmental protection and sustainability.</w:t>
      </w:r>
    </w:p>
    <w:p w14:paraId="09DEDC2C"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Judicial Trends Supporting the Extension</w:t>
      </w:r>
    </w:p>
    <w:p w14:paraId="45B146BF" w14:textId="77777777" w:rsidR="000834B3" w:rsidRPr="000834B3" w:rsidRDefault="000834B3" w:rsidP="000834B3">
      <w:pPr>
        <w:numPr>
          <w:ilvl w:val="0"/>
          <w:numId w:val="32"/>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CJEU’s case law suggests a willingness to blur the lines between Article 36 derogations and mandatory requirements:</w:t>
      </w:r>
    </w:p>
    <w:p w14:paraId="3CF3E128" w14:textId="77777777" w:rsidR="000834B3" w:rsidRPr="000834B3" w:rsidRDefault="000834B3" w:rsidP="000834B3">
      <w:pPr>
        <w:numPr>
          <w:ilvl w:val="1"/>
          <w:numId w:val="32"/>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In </w:t>
      </w:r>
      <w:proofErr w:type="spellStart"/>
      <w:r w:rsidRPr="000834B3">
        <w:rPr>
          <w:rFonts w:ascii="Times New Roman" w:hAnsi="Times New Roman"/>
          <w:b/>
          <w:bCs/>
          <w:lang w:val="en-HK"/>
        </w:rPr>
        <w:t>Wallonian</w:t>
      </w:r>
      <w:proofErr w:type="spellEnd"/>
      <w:r w:rsidRPr="000834B3">
        <w:rPr>
          <w:rFonts w:ascii="Times New Roman" w:hAnsi="Times New Roman"/>
          <w:b/>
          <w:bCs/>
          <w:lang w:val="en-HK"/>
        </w:rPr>
        <w:t xml:space="preserve"> Waste (Case C-2/90)</w:t>
      </w:r>
      <w:r w:rsidRPr="000834B3">
        <w:rPr>
          <w:rFonts w:ascii="Times New Roman" w:hAnsi="Times New Roman"/>
          <w:lang w:val="en-HK"/>
        </w:rPr>
        <w:t>, the Court justified a discriminatory measure using environmental protection, traditionally a mandatory requirement.</w:t>
      </w:r>
    </w:p>
    <w:p w14:paraId="73119837" w14:textId="77777777" w:rsidR="000834B3" w:rsidRPr="000834B3" w:rsidRDefault="000834B3" w:rsidP="000834B3">
      <w:pPr>
        <w:numPr>
          <w:ilvl w:val="1"/>
          <w:numId w:val="32"/>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In </w:t>
      </w:r>
      <w:proofErr w:type="spellStart"/>
      <w:r w:rsidRPr="000834B3">
        <w:rPr>
          <w:rFonts w:ascii="Times New Roman" w:hAnsi="Times New Roman"/>
          <w:b/>
          <w:bCs/>
          <w:lang w:val="en-HK"/>
        </w:rPr>
        <w:t>PreussenElektra</w:t>
      </w:r>
      <w:proofErr w:type="spellEnd"/>
      <w:r w:rsidRPr="000834B3">
        <w:rPr>
          <w:rFonts w:ascii="Times New Roman" w:hAnsi="Times New Roman"/>
          <w:b/>
          <w:bCs/>
          <w:lang w:val="en-HK"/>
        </w:rPr>
        <w:t xml:space="preserve"> (Case C-379/98)</w:t>
      </w:r>
      <w:r w:rsidRPr="000834B3">
        <w:rPr>
          <w:rFonts w:ascii="Times New Roman" w:hAnsi="Times New Roman"/>
          <w:lang w:val="en-HK"/>
        </w:rPr>
        <w:t xml:space="preserve">, the Court upheld a discriminatory measure </w:t>
      </w:r>
      <w:proofErr w:type="spellStart"/>
      <w:r w:rsidRPr="000834B3">
        <w:rPr>
          <w:rFonts w:ascii="Times New Roman" w:hAnsi="Times New Roman"/>
          <w:lang w:val="en-HK"/>
        </w:rPr>
        <w:t>favoring</w:t>
      </w:r>
      <w:proofErr w:type="spellEnd"/>
      <w:r w:rsidRPr="000834B3">
        <w:rPr>
          <w:rFonts w:ascii="Times New Roman" w:hAnsi="Times New Roman"/>
          <w:lang w:val="en-HK"/>
        </w:rPr>
        <w:t xml:space="preserve"> domestic renewable energy on environmental grounds, bypassing Article 36.</w:t>
      </w:r>
    </w:p>
    <w:p w14:paraId="05096A46"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6C526F26">
          <v:rect id="_x0000_i1052" alt="" style="width:451.3pt;height:.05pt;mso-width-percent:0;mso-height-percent:0;mso-width-percent:0;mso-height-percent:0" o:hralign="center" o:hrstd="t" o:hr="t" fillcolor="#a0a0a0" stroked="f"/>
        </w:pict>
      </w:r>
    </w:p>
    <w:p w14:paraId="553EAF4F"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3.3 Critique of the Extension Proposal</w:t>
      </w:r>
    </w:p>
    <w:p w14:paraId="60D84629"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1. Undermining the Exhaustiveness of Article 36</w:t>
      </w:r>
    </w:p>
    <w:p w14:paraId="64087247" w14:textId="77777777" w:rsidR="000834B3" w:rsidRPr="000834B3" w:rsidRDefault="000834B3" w:rsidP="000834B3">
      <w:pPr>
        <w:numPr>
          <w:ilvl w:val="0"/>
          <w:numId w:val="33"/>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lastRenderedPageBreak/>
        <w:t>Spaventa</w:t>
      </w:r>
      <w:proofErr w:type="spellEnd"/>
      <w:r w:rsidRPr="000834B3">
        <w:rPr>
          <w:rFonts w:ascii="Times New Roman" w:hAnsi="Times New Roman"/>
          <w:lang w:val="en-HK"/>
        </w:rPr>
        <w:t xml:space="preserve"> argues that the Treaty provides a </w:t>
      </w:r>
      <w:r w:rsidRPr="000834B3">
        <w:rPr>
          <w:rFonts w:ascii="Times New Roman" w:hAnsi="Times New Roman"/>
          <w:b/>
          <w:bCs/>
          <w:lang w:val="en-HK"/>
        </w:rPr>
        <w:t>closed list</w:t>
      </w:r>
      <w:r w:rsidRPr="000834B3">
        <w:rPr>
          <w:rFonts w:ascii="Times New Roman" w:hAnsi="Times New Roman"/>
          <w:lang w:val="en-HK"/>
        </w:rPr>
        <w:t xml:space="preserve"> of derogations under Article 36, which ensures legal certainty and prevents Member States from introducing protectionist measures under vague justifications.</w:t>
      </w:r>
    </w:p>
    <w:p w14:paraId="3314F066" w14:textId="77777777" w:rsidR="000834B3" w:rsidRPr="000834B3" w:rsidRDefault="000834B3" w:rsidP="000834B3">
      <w:pPr>
        <w:numPr>
          <w:ilvl w:val="0"/>
          <w:numId w:val="3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Expanding Article 36 to include mandatory requirements risks diluting its exhaustive nature.</w:t>
      </w:r>
    </w:p>
    <w:p w14:paraId="45575464" w14:textId="77777777" w:rsidR="000834B3" w:rsidRPr="000834B3" w:rsidRDefault="000834B3" w:rsidP="000834B3">
      <w:pPr>
        <w:numPr>
          <w:ilvl w:val="0"/>
          <w:numId w:val="33"/>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 xml:space="preserve">Quote from </w:t>
      </w:r>
      <w:proofErr w:type="spellStart"/>
      <w:r w:rsidRPr="000834B3">
        <w:rPr>
          <w:rFonts w:ascii="Times New Roman" w:hAnsi="Times New Roman"/>
          <w:b/>
          <w:bCs/>
          <w:lang w:val="en-HK"/>
        </w:rPr>
        <w:t>Spaventa</w:t>
      </w:r>
      <w:proofErr w:type="spellEnd"/>
      <w:r w:rsidRPr="000834B3">
        <w:rPr>
          <w:rFonts w:ascii="Times New Roman" w:hAnsi="Times New Roman"/>
          <w:lang w:val="en-HK"/>
        </w:rPr>
        <w:t>: “The inclusion of mandatory requirements within Article 36 would render the list of derogations meaningless, allowing Member States to circumvent the strict constraints imposed by the Treaty.”</w:t>
      </w:r>
    </w:p>
    <w:p w14:paraId="424D6A47"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2. Erosion of the Distinction Between Discriminatory and Indistinctly Applicable Measures</w:t>
      </w:r>
    </w:p>
    <w:p w14:paraId="2EF2F97D" w14:textId="77777777" w:rsidR="000834B3" w:rsidRPr="000834B3" w:rsidRDefault="000834B3" w:rsidP="000834B3">
      <w:pPr>
        <w:numPr>
          <w:ilvl w:val="0"/>
          <w:numId w:val="3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proposal blurs the fundamental distinction between:</w:t>
      </w:r>
    </w:p>
    <w:p w14:paraId="3A5A0621" w14:textId="77777777" w:rsidR="000834B3" w:rsidRPr="000834B3" w:rsidRDefault="000834B3" w:rsidP="000834B3">
      <w:pPr>
        <w:numPr>
          <w:ilvl w:val="1"/>
          <w:numId w:val="34"/>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Discriminatory measures</w:t>
      </w:r>
      <w:r w:rsidRPr="000834B3">
        <w:rPr>
          <w:rFonts w:ascii="Times New Roman" w:hAnsi="Times New Roman"/>
          <w:lang w:val="en-HK"/>
        </w:rPr>
        <w:t>, which are inherently suspect under EU law and subject to strict scrutiny.</w:t>
      </w:r>
    </w:p>
    <w:p w14:paraId="2AA9F209" w14:textId="77777777" w:rsidR="000834B3" w:rsidRPr="000834B3" w:rsidRDefault="000834B3" w:rsidP="000834B3">
      <w:pPr>
        <w:numPr>
          <w:ilvl w:val="1"/>
          <w:numId w:val="34"/>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Indistinctly applicable measures</w:t>
      </w:r>
      <w:r w:rsidRPr="000834B3">
        <w:rPr>
          <w:rFonts w:ascii="Times New Roman" w:hAnsi="Times New Roman"/>
          <w:lang w:val="en-HK"/>
        </w:rPr>
        <w:t>, which are more broadly justifiable under mandatory requirements.</w:t>
      </w:r>
    </w:p>
    <w:p w14:paraId="54B71923" w14:textId="77777777" w:rsidR="000834B3" w:rsidRPr="000834B3" w:rsidRDefault="000834B3" w:rsidP="000834B3">
      <w:pPr>
        <w:numPr>
          <w:ilvl w:val="0"/>
          <w:numId w:val="34"/>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emphasizes that discriminatory measures are more restrictive of free movement and should remain subject to the narrow justifications listed in Article 36.</w:t>
      </w:r>
    </w:p>
    <w:p w14:paraId="0F4C33B4"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3. Risk of Judicial Overreach</w:t>
      </w:r>
    </w:p>
    <w:p w14:paraId="796827A6" w14:textId="77777777" w:rsidR="000834B3" w:rsidRPr="000834B3" w:rsidRDefault="000834B3" w:rsidP="000834B3">
      <w:pPr>
        <w:numPr>
          <w:ilvl w:val="0"/>
          <w:numId w:val="35"/>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Allowing the CJEU to expand Article 36 through mandatory requirements risks overstepping its role as an interpreter of the Treaty.</w:t>
      </w:r>
    </w:p>
    <w:p w14:paraId="2BC61267" w14:textId="77777777" w:rsidR="000834B3" w:rsidRPr="000834B3" w:rsidRDefault="000834B3" w:rsidP="000834B3">
      <w:pPr>
        <w:numPr>
          <w:ilvl w:val="0"/>
          <w:numId w:val="35"/>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warns that judicially created justifications undermine the balance of powers between the Court and the EU legislature.</w:t>
      </w:r>
    </w:p>
    <w:p w14:paraId="68BCC013"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4. Impact on Legal Certainty</w:t>
      </w:r>
    </w:p>
    <w:p w14:paraId="2C217DC2" w14:textId="77777777" w:rsidR="000834B3" w:rsidRPr="000834B3" w:rsidRDefault="000834B3" w:rsidP="000834B3">
      <w:pPr>
        <w:numPr>
          <w:ilvl w:val="0"/>
          <w:numId w:val="3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Expanding mandatory requirements to discriminatory measures creates uncertainty for Member States and businesses.</w:t>
      </w:r>
    </w:p>
    <w:p w14:paraId="1BE241B0" w14:textId="77777777" w:rsidR="000834B3" w:rsidRPr="000834B3" w:rsidRDefault="000834B3" w:rsidP="000834B3">
      <w:pPr>
        <w:numPr>
          <w:ilvl w:val="0"/>
          <w:numId w:val="3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current distinction between Article 36 and mandatory requirements provides clarity on the types of justifications that can be invoked for different measures.</w:t>
      </w:r>
    </w:p>
    <w:p w14:paraId="51FEB7FB" w14:textId="77777777" w:rsidR="000834B3" w:rsidRPr="000834B3" w:rsidRDefault="000834B3" w:rsidP="000834B3">
      <w:pPr>
        <w:numPr>
          <w:ilvl w:val="0"/>
          <w:numId w:val="36"/>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b/>
          <w:bCs/>
          <w:lang w:val="en-HK"/>
        </w:rPr>
        <w:t>Spaventa’s</w:t>
      </w:r>
      <w:proofErr w:type="spellEnd"/>
      <w:r w:rsidRPr="000834B3">
        <w:rPr>
          <w:rFonts w:ascii="Times New Roman" w:hAnsi="Times New Roman"/>
          <w:b/>
          <w:bCs/>
          <w:lang w:val="en-HK"/>
        </w:rPr>
        <w:t xml:space="preserve"> Critique</w:t>
      </w:r>
      <w:r w:rsidRPr="000834B3">
        <w:rPr>
          <w:rFonts w:ascii="Times New Roman" w:hAnsi="Times New Roman"/>
          <w:lang w:val="en-HK"/>
        </w:rPr>
        <w:t>: “Legal certainty would be jeopardized if the CJEU were allowed to introduce mandatory requirements into the scope of Article 36 without clear guidance.”</w:t>
      </w:r>
    </w:p>
    <w:p w14:paraId="33E4F71E"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317EEF81">
          <v:rect id="_x0000_i1051" alt="" style="width:451.3pt;height:.05pt;mso-width-percent:0;mso-height-percent:0;mso-width-percent:0;mso-height-percent:0" o:hralign="center" o:hrstd="t" o:hr="t" fillcolor="#a0a0a0" stroked="f"/>
        </w:pict>
      </w:r>
    </w:p>
    <w:p w14:paraId="71E9190E"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3.4 Theoretical Challenges to the Extension Proposal</w:t>
      </w:r>
    </w:p>
    <w:p w14:paraId="16732227"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1. Justifications Should Be Enumerated in the Treaty</w:t>
      </w:r>
    </w:p>
    <w:p w14:paraId="59F1F394" w14:textId="77777777" w:rsidR="000834B3" w:rsidRPr="000834B3" w:rsidRDefault="000834B3" w:rsidP="000834B3">
      <w:pPr>
        <w:numPr>
          <w:ilvl w:val="0"/>
          <w:numId w:val="37"/>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Treaty derogations under Article 36 are explicitly listed to ensure that Member States do not abuse their regulatory powers to restrict trade.</w:t>
      </w:r>
    </w:p>
    <w:p w14:paraId="321A648F" w14:textId="77777777" w:rsidR="000834B3" w:rsidRPr="000834B3" w:rsidRDefault="000834B3" w:rsidP="000834B3">
      <w:pPr>
        <w:numPr>
          <w:ilvl w:val="0"/>
          <w:numId w:val="37"/>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lastRenderedPageBreak/>
        <w:t>Expanding Article 36 to include mandatory requirements would contradict the principle of Treaty-based governance.</w:t>
      </w:r>
    </w:p>
    <w:p w14:paraId="39909C17"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2. Proportionality Concerns</w:t>
      </w:r>
    </w:p>
    <w:p w14:paraId="7BC0E589" w14:textId="77777777" w:rsidR="000834B3" w:rsidRPr="000834B3" w:rsidRDefault="000834B3" w:rsidP="000834B3">
      <w:pPr>
        <w:numPr>
          <w:ilvl w:val="0"/>
          <w:numId w:val="3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While mandatory requirements are subject to the principle of proportionality, discriminatory measures require stricter scrutiny.</w:t>
      </w:r>
    </w:p>
    <w:p w14:paraId="3232A80A" w14:textId="77777777" w:rsidR="000834B3" w:rsidRPr="000834B3" w:rsidRDefault="000834B3" w:rsidP="000834B3">
      <w:pPr>
        <w:numPr>
          <w:ilvl w:val="0"/>
          <w:numId w:val="38"/>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highlights that applying proportionality to discriminatory measures under mandatory requirements would lower the bar for justifying protectionist policies.</w:t>
      </w:r>
    </w:p>
    <w:p w14:paraId="5C65576E"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6DB6F483">
          <v:rect id="_x0000_i1050" alt="" style="width:451.3pt;height:.05pt;mso-width-percent:0;mso-height-percent:0;mso-width-percent:0;mso-height-percent:0" o:hralign="center" o:hrstd="t" o:hr="t" fillcolor="#a0a0a0" stroked="f"/>
        </w:pict>
      </w:r>
    </w:p>
    <w:p w14:paraId="36D801F6"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3.5 Practical Implications of Extension</w:t>
      </w:r>
    </w:p>
    <w:p w14:paraId="17CFFC88"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Potential Benefits</w:t>
      </w:r>
    </w:p>
    <w:p w14:paraId="2117AFCC" w14:textId="77777777" w:rsidR="000834B3" w:rsidRPr="000834B3" w:rsidRDefault="000834B3" w:rsidP="000834B3">
      <w:pPr>
        <w:numPr>
          <w:ilvl w:val="0"/>
          <w:numId w:val="39"/>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Reflects the evolving priorities of EU law, particularly in areas like environmental protection and public health.</w:t>
      </w:r>
    </w:p>
    <w:p w14:paraId="24BFD60A" w14:textId="77777777" w:rsidR="000834B3" w:rsidRPr="000834B3" w:rsidRDefault="000834B3" w:rsidP="000834B3">
      <w:pPr>
        <w:numPr>
          <w:ilvl w:val="0"/>
          <w:numId w:val="39"/>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Aligns the justification framework with modern regulatory challenges.</w:t>
      </w:r>
    </w:p>
    <w:p w14:paraId="6E83088F"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Potential Risks</w:t>
      </w:r>
    </w:p>
    <w:p w14:paraId="33EC485E" w14:textId="77777777" w:rsidR="000834B3" w:rsidRPr="000834B3" w:rsidRDefault="000834B3" w:rsidP="000834B3">
      <w:pPr>
        <w:numPr>
          <w:ilvl w:val="0"/>
          <w:numId w:val="4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Opens the door for Member States to justify discriminatory measures under vague, broad justifications, undermining the internal market.</w:t>
      </w:r>
    </w:p>
    <w:p w14:paraId="0AA0FFB7" w14:textId="77777777" w:rsidR="000834B3" w:rsidRPr="000834B3" w:rsidRDefault="000834B3" w:rsidP="000834B3">
      <w:pPr>
        <w:numPr>
          <w:ilvl w:val="0"/>
          <w:numId w:val="4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Weakens the Treaty’s goal of removing barriers to free movement by legitimizing protectionist policies.</w:t>
      </w:r>
    </w:p>
    <w:p w14:paraId="5D7EC07B"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1ECF3ED3">
          <v:rect id="_x0000_i1049" alt="" style="width:451.3pt;height:.05pt;mso-width-percent:0;mso-height-percent:0;mso-width-percent:0;mso-height-percent:0" o:hralign="center" o:hrstd="t" o:hr="t" fillcolor="#a0a0a0" stroked="f"/>
        </w:pict>
      </w:r>
    </w:p>
    <w:p w14:paraId="62AB26F1"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 xml:space="preserve">3.6 </w:t>
      </w:r>
      <w:proofErr w:type="spellStart"/>
      <w:r w:rsidRPr="000834B3">
        <w:rPr>
          <w:rFonts w:ascii="Times New Roman" w:hAnsi="Times New Roman"/>
          <w:b/>
          <w:bCs/>
          <w:lang w:val="en-HK"/>
        </w:rPr>
        <w:t>Spaventa’s</w:t>
      </w:r>
      <w:proofErr w:type="spellEnd"/>
      <w:r w:rsidRPr="000834B3">
        <w:rPr>
          <w:rFonts w:ascii="Times New Roman" w:hAnsi="Times New Roman"/>
          <w:b/>
          <w:bCs/>
          <w:lang w:val="en-HK"/>
        </w:rPr>
        <w:t xml:space="preserve"> Preferred Approach</w:t>
      </w:r>
    </w:p>
    <w:p w14:paraId="5B01D9D8"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Retain the Distinction</w:t>
      </w:r>
    </w:p>
    <w:p w14:paraId="710F1BB1" w14:textId="77777777" w:rsidR="000834B3" w:rsidRPr="000834B3" w:rsidRDefault="000834B3" w:rsidP="000834B3">
      <w:pPr>
        <w:numPr>
          <w:ilvl w:val="0"/>
          <w:numId w:val="41"/>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argues for maintaining the clear distinction between Treaty derogations and mandatory requirements.</w:t>
      </w:r>
    </w:p>
    <w:p w14:paraId="6BA6488A" w14:textId="77777777" w:rsidR="000834B3" w:rsidRPr="000834B3" w:rsidRDefault="000834B3" w:rsidP="000834B3">
      <w:pPr>
        <w:numPr>
          <w:ilvl w:val="0"/>
          <w:numId w:val="4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Mandatory requirements should remain confined to indistinctly applicable measures, preserving the integrity of Article 36.</w:t>
      </w:r>
    </w:p>
    <w:p w14:paraId="6539BDE8"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Reaffirm the Exhaustiveness of Article 36</w:t>
      </w:r>
    </w:p>
    <w:p w14:paraId="73375D25" w14:textId="77777777" w:rsidR="000834B3" w:rsidRPr="000834B3" w:rsidRDefault="000834B3" w:rsidP="000834B3">
      <w:pPr>
        <w:numPr>
          <w:ilvl w:val="0"/>
          <w:numId w:val="42"/>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Court should resist the temptation to judicially expand Article 36 by incorporating mandatory requirements.</w:t>
      </w:r>
    </w:p>
    <w:p w14:paraId="2DFD5BEA" w14:textId="77777777" w:rsidR="000834B3" w:rsidRPr="000834B3" w:rsidRDefault="000834B3" w:rsidP="000834B3">
      <w:pPr>
        <w:numPr>
          <w:ilvl w:val="0"/>
          <w:numId w:val="42"/>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This ensures legal certainty and consistency within the framework of EU free movement law.</w:t>
      </w:r>
    </w:p>
    <w:p w14:paraId="6BBBE311"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lastRenderedPageBreak/>
        <w:pict w14:anchorId="0FA9FA73">
          <v:rect id="_x0000_i1048" alt="" style="width:451.3pt;height:.05pt;mso-width-percent:0;mso-height-percent:0;mso-width-percent:0;mso-height-percent:0" o:hralign="center" o:hrstd="t" o:hr="t" fillcolor="#a0a0a0" stroked="f"/>
        </w:pict>
      </w:r>
    </w:p>
    <w:p w14:paraId="2202F2D2"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Conclusion of Section 3</w:t>
      </w:r>
    </w:p>
    <w:p w14:paraId="662A2E7D" w14:textId="77777777" w:rsidR="000834B3" w:rsidRPr="000834B3" w:rsidRDefault="000834B3" w:rsidP="000834B3">
      <w:pPr>
        <w:numPr>
          <w:ilvl w:val="0"/>
          <w:numId w:val="43"/>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critiques the proposal to treat mandatory requirements as an extension of Article 36, arguing that it undermines the coherence of EU law.</w:t>
      </w:r>
    </w:p>
    <w:p w14:paraId="7B466732" w14:textId="77777777" w:rsidR="000834B3" w:rsidRPr="000834B3" w:rsidRDefault="000834B3" w:rsidP="000834B3">
      <w:pPr>
        <w:numPr>
          <w:ilvl w:val="0"/>
          <w:numId w:val="4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distinction between discriminatory and indistinctly applicable measures is foundational to the Treaty framework and should be preserved.</w:t>
      </w:r>
    </w:p>
    <w:p w14:paraId="56F1D7AF" w14:textId="77777777" w:rsidR="000834B3" w:rsidRPr="000834B3" w:rsidRDefault="000834B3" w:rsidP="000834B3">
      <w:pPr>
        <w:numPr>
          <w:ilvl w:val="0"/>
          <w:numId w:val="43"/>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calls for a disciplined approach that respects the exhaustive nature of Article 36 and confines mandatory requirements to their original scope.</w:t>
      </w:r>
    </w:p>
    <w:p w14:paraId="16EC2B6B"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06F9C06F">
          <v:rect id="_x0000_i1047" alt="" style="width:451.3pt;height:.05pt;mso-width-percent:0;mso-height-percent:0;mso-width-percent:0;mso-height-percent:0" o:hralign="center" o:hrstd="t" o:hr="t" fillcolor="#a0a0a0" stroked="f"/>
        </w:pict>
      </w:r>
    </w:p>
    <w:p w14:paraId="10166791"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4. Mandatory Requirements as Objective Justifications</w:t>
      </w:r>
    </w:p>
    <w:p w14:paraId="468FDC00"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Overview</w:t>
      </w:r>
    </w:p>
    <w:p w14:paraId="17F7B9EE" w14:textId="77777777" w:rsidR="000834B3" w:rsidRPr="000834B3" w:rsidRDefault="000834B3" w:rsidP="000834B3">
      <w:pPr>
        <w:numPr>
          <w:ilvl w:val="0"/>
          <w:numId w:val="44"/>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evaluates whether </w:t>
      </w:r>
      <w:r w:rsidRPr="000834B3">
        <w:rPr>
          <w:rFonts w:ascii="Times New Roman" w:hAnsi="Times New Roman"/>
          <w:b/>
          <w:bCs/>
          <w:lang w:val="en-HK"/>
        </w:rPr>
        <w:t>mandatory requirements</w:t>
      </w:r>
      <w:r w:rsidRPr="000834B3">
        <w:rPr>
          <w:rFonts w:ascii="Times New Roman" w:hAnsi="Times New Roman"/>
          <w:lang w:val="en-HK"/>
        </w:rPr>
        <w:t xml:space="preserve"> can function as </w:t>
      </w:r>
      <w:r w:rsidRPr="000834B3">
        <w:rPr>
          <w:rFonts w:ascii="Times New Roman" w:hAnsi="Times New Roman"/>
          <w:b/>
          <w:bCs/>
          <w:lang w:val="en-HK"/>
        </w:rPr>
        <w:t>objective justifications</w:t>
      </w:r>
      <w:r w:rsidRPr="000834B3">
        <w:rPr>
          <w:rFonts w:ascii="Times New Roman" w:hAnsi="Times New Roman"/>
          <w:lang w:val="en-HK"/>
        </w:rPr>
        <w:t xml:space="preserve"> for discriminatory measures, particularly when such measures disproportionately affect imported goods.</w:t>
      </w:r>
    </w:p>
    <w:p w14:paraId="15A48F58" w14:textId="77777777" w:rsidR="000834B3" w:rsidRPr="000834B3" w:rsidRDefault="000834B3" w:rsidP="000834B3">
      <w:pPr>
        <w:numPr>
          <w:ilvl w:val="0"/>
          <w:numId w:val="4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She scrutinizes the relationship between mandatory requirements, indirect discrimination, and the proportionality principle, assessing whether the current framework aligns with the Treaty objectives of removing barriers to free movement.</w:t>
      </w:r>
    </w:p>
    <w:p w14:paraId="651BD911"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01F39420">
          <v:rect id="_x0000_i1046" alt="" style="width:451.3pt;height:.05pt;mso-width-percent:0;mso-height-percent:0;mso-width-percent:0;mso-height-percent:0" o:hralign="center" o:hrstd="t" o:hr="t" fillcolor="#a0a0a0" stroked="f"/>
        </w:pict>
      </w:r>
    </w:p>
    <w:p w14:paraId="7863408E"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4.1 Indirect Discrimination and the Role of Mandatory Requirements</w:t>
      </w:r>
    </w:p>
    <w:p w14:paraId="12B0908F"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What is Indirect Discrimination?</w:t>
      </w:r>
    </w:p>
    <w:p w14:paraId="1AA672ED" w14:textId="77777777" w:rsidR="000834B3" w:rsidRPr="000834B3" w:rsidRDefault="000834B3" w:rsidP="000834B3">
      <w:pPr>
        <w:numPr>
          <w:ilvl w:val="0"/>
          <w:numId w:val="45"/>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Indirect discrimination</w:t>
      </w:r>
      <w:r w:rsidRPr="000834B3">
        <w:rPr>
          <w:rFonts w:ascii="Times New Roman" w:hAnsi="Times New Roman"/>
          <w:lang w:val="en-HK"/>
        </w:rPr>
        <w:t xml:space="preserve"> occurs when measures are neutral on their face but disproportionately affect imported goods compared to domestic products.</w:t>
      </w:r>
    </w:p>
    <w:p w14:paraId="7E93B1AE" w14:textId="77777777" w:rsidR="000834B3" w:rsidRPr="000834B3" w:rsidRDefault="000834B3" w:rsidP="000834B3">
      <w:pPr>
        <w:numPr>
          <w:ilvl w:val="0"/>
          <w:numId w:val="45"/>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Example: Rules requiring specific standards or </w:t>
      </w:r>
      <w:proofErr w:type="spellStart"/>
      <w:r w:rsidRPr="000834B3">
        <w:rPr>
          <w:rFonts w:ascii="Times New Roman" w:hAnsi="Times New Roman"/>
          <w:lang w:val="en-HK"/>
        </w:rPr>
        <w:t>labeling</w:t>
      </w:r>
      <w:proofErr w:type="spellEnd"/>
      <w:r w:rsidRPr="000834B3">
        <w:rPr>
          <w:rFonts w:ascii="Times New Roman" w:hAnsi="Times New Roman"/>
          <w:lang w:val="en-HK"/>
        </w:rPr>
        <w:t xml:space="preserve"> that are easier for domestic producers to meet but burdensome for importers.</w:t>
      </w:r>
    </w:p>
    <w:p w14:paraId="03145A46"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Mandatory Requirements and Indirect Discrimination</w:t>
      </w:r>
    </w:p>
    <w:p w14:paraId="3ED7DEDC" w14:textId="77777777" w:rsidR="000834B3" w:rsidRPr="000834B3" w:rsidRDefault="000834B3" w:rsidP="000834B3">
      <w:pPr>
        <w:numPr>
          <w:ilvl w:val="0"/>
          <w:numId w:val="4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Traditionally, mandatory requirements have been used to justify </w:t>
      </w:r>
      <w:r w:rsidRPr="000834B3">
        <w:rPr>
          <w:rFonts w:ascii="Times New Roman" w:hAnsi="Times New Roman"/>
          <w:b/>
          <w:bCs/>
          <w:lang w:val="en-HK"/>
        </w:rPr>
        <w:t>indistinctly applicable measures</w:t>
      </w:r>
      <w:r w:rsidRPr="000834B3">
        <w:rPr>
          <w:rFonts w:ascii="Times New Roman" w:hAnsi="Times New Roman"/>
          <w:lang w:val="en-HK"/>
        </w:rPr>
        <w:t>, which include indirectly discriminatory rules.</w:t>
      </w:r>
    </w:p>
    <w:p w14:paraId="7A8D76F0" w14:textId="77777777" w:rsidR="000834B3" w:rsidRPr="000834B3" w:rsidRDefault="000834B3" w:rsidP="000834B3">
      <w:pPr>
        <w:numPr>
          <w:ilvl w:val="0"/>
          <w:numId w:val="4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The Court of Justice of the European Union (CJEU) applies the </w:t>
      </w:r>
      <w:r w:rsidRPr="000834B3">
        <w:rPr>
          <w:rFonts w:ascii="Times New Roman" w:hAnsi="Times New Roman"/>
          <w:b/>
          <w:bCs/>
          <w:lang w:val="en-HK"/>
        </w:rPr>
        <w:t>proportionality test</w:t>
      </w:r>
      <w:r w:rsidRPr="000834B3">
        <w:rPr>
          <w:rFonts w:ascii="Times New Roman" w:hAnsi="Times New Roman"/>
          <w:lang w:val="en-HK"/>
        </w:rPr>
        <w:t xml:space="preserve"> to ensure that such rules are:</w:t>
      </w:r>
    </w:p>
    <w:p w14:paraId="2018BDF1" w14:textId="77777777" w:rsidR="000834B3" w:rsidRPr="000834B3" w:rsidRDefault="000834B3" w:rsidP="000834B3">
      <w:pPr>
        <w:numPr>
          <w:ilvl w:val="1"/>
          <w:numId w:val="4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Pursuing a legitimate aim recognized under EU law.</w:t>
      </w:r>
    </w:p>
    <w:p w14:paraId="703B777A" w14:textId="77777777" w:rsidR="000834B3" w:rsidRPr="000834B3" w:rsidRDefault="000834B3" w:rsidP="000834B3">
      <w:pPr>
        <w:numPr>
          <w:ilvl w:val="1"/>
          <w:numId w:val="4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Necessary to achieve that aim.</w:t>
      </w:r>
    </w:p>
    <w:p w14:paraId="3463749D" w14:textId="77777777" w:rsidR="000834B3" w:rsidRPr="000834B3" w:rsidRDefault="000834B3" w:rsidP="000834B3">
      <w:pPr>
        <w:numPr>
          <w:ilvl w:val="1"/>
          <w:numId w:val="4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Proportionate in balancing the restrictive effects on free movement.</w:t>
      </w:r>
    </w:p>
    <w:p w14:paraId="667D7716"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lastRenderedPageBreak/>
        <w:t>The Problem</w:t>
      </w:r>
    </w:p>
    <w:p w14:paraId="764E6ED7" w14:textId="77777777" w:rsidR="000834B3" w:rsidRPr="000834B3" w:rsidRDefault="000834B3" w:rsidP="000834B3">
      <w:pPr>
        <w:numPr>
          <w:ilvl w:val="0"/>
          <w:numId w:val="47"/>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identifies a theoretical tension:</w:t>
      </w:r>
    </w:p>
    <w:p w14:paraId="39FF24DE" w14:textId="77777777" w:rsidR="000834B3" w:rsidRPr="000834B3" w:rsidRDefault="000834B3" w:rsidP="000834B3">
      <w:pPr>
        <w:numPr>
          <w:ilvl w:val="1"/>
          <w:numId w:val="47"/>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If mandatory requirements can justify indirectly discriminatory measures, why can’t they also justify overtly discriminatory measures?</w:t>
      </w:r>
    </w:p>
    <w:p w14:paraId="0C362EBF" w14:textId="77777777" w:rsidR="000834B3" w:rsidRPr="000834B3" w:rsidRDefault="000834B3" w:rsidP="000834B3">
      <w:pPr>
        <w:numPr>
          <w:ilvl w:val="1"/>
          <w:numId w:val="47"/>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line between indirect and direct discrimination becomes blurred when mandatory requirements are invoked.</w:t>
      </w:r>
    </w:p>
    <w:p w14:paraId="15ABFD8D"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7886469F">
          <v:rect id="_x0000_i1045" alt="" style="width:451.3pt;height:.05pt;mso-width-percent:0;mso-height-percent:0;mso-width-percent:0;mso-height-percent:0" o:hralign="center" o:hrstd="t" o:hr="t" fillcolor="#a0a0a0" stroked="f"/>
        </w:pict>
      </w:r>
    </w:p>
    <w:p w14:paraId="022ACB7D"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4.2 Challenges in Treating Mandatory Requirements as Objective Justifications</w:t>
      </w:r>
    </w:p>
    <w:p w14:paraId="3ECD35E7"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1. Overlap with Article 36 TFEU</w:t>
      </w:r>
    </w:p>
    <w:p w14:paraId="6199C14D" w14:textId="77777777" w:rsidR="000834B3" w:rsidRPr="000834B3" w:rsidRDefault="000834B3" w:rsidP="000834B3">
      <w:pPr>
        <w:numPr>
          <w:ilvl w:val="0"/>
          <w:numId w:val="4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Article 36 provides the exhaustive list of justifications for discriminatory measures, such as public health and public security.</w:t>
      </w:r>
    </w:p>
    <w:p w14:paraId="62998468" w14:textId="77777777" w:rsidR="000834B3" w:rsidRPr="000834B3" w:rsidRDefault="000834B3" w:rsidP="000834B3">
      <w:pPr>
        <w:numPr>
          <w:ilvl w:val="0"/>
          <w:numId w:val="48"/>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argues that allowing mandatory requirements to justify indirectly discriminatory measures creates overlap with Article 36, undermining the distinct roles of the two concepts.</w:t>
      </w:r>
    </w:p>
    <w:p w14:paraId="36797707" w14:textId="77777777" w:rsidR="000834B3" w:rsidRPr="000834B3" w:rsidRDefault="000834B3" w:rsidP="000834B3">
      <w:pPr>
        <w:numPr>
          <w:ilvl w:val="0"/>
          <w:numId w:val="48"/>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Example</w:t>
      </w:r>
      <w:r w:rsidRPr="000834B3">
        <w:rPr>
          <w:rFonts w:ascii="Times New Roman" w:hAnsi="Times New Roman"/>
          <w:lang w:val="en-HK"/>
        </w:rPr>
        <w:t>:</w:t>
      </w:r>
    </w:p>
    <w:p w14:paraId="6CD81AF0" w14:textId="77777777" w:rsidR="000834B3" w:rsidRPr="000834B3" w:rsidRDefault="000834B3" w:rsidP="000834B3">
      <w:pPr>
        <w:numPr>
          <w:ilvl w:val="1"/>
          <w:numId w:val="4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Public health is both a Treaty derogation (Article 36) and a mandatory requirement. This dual classification complicates its application to discriminatory rules.</w:t>
      </w:r>
    </w:p>
    <w:p w14:paraId="398E4965"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2. Lack of Conceptual Clarity</w:t>
      </w:r>
    </w:p>
    <w:p w14:paraId="22A28A39" w14:textId="77777777" w:rsidR="000834B3" w:rsidRPr="000834B3" w:rsidRDefault="000834B3" w:rsidP="000834B3">
      <w:pPr>
        <w:numPr>
          <w:ilvl w:val="0"/>
          <w:numId w:val="49"/>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Treating mandatory requirements as objective justifications implies that indistinctly applicable measures and discriminatory measures can be </w:t>
      </w:r>
      <w:proofErr w:type="spellStart"/>
      <w:r w:rsidRPr="000834B3">
        <w:rPr>
          <w:rFonts w:ascii="Times New Roman" w:hAnsi="Times New Roman"/>
          <w:lang w:val="en-HK"/>
        </w:rPr>
        <w:t>analyzed</w:t>
      </w:r>
      <w:proofErr w:type="spellEnd"/>
      <w:r w:rsidRPr="000834B3">
        <w:rPr>
          <w:rFonts w:ascii="Times New Roman" w:hAnsi="Times New Roman"/>
          <w:lang w:val="en-HK"/>
        </w:rPr>
        <w:t xml:space="preserve"> under the same framework.</w:t>
      </w:r>
    </w:p>
    <w:p w14:paraId="509D8113" w14:textId="77777777" w:rsidR="000834B3" w:rsidRPr="000834B3" w:rsidRDefault="000834B3" w:rsidP="000834B3">
      <w:pPr>
        <w:numPr>
          <w:ilvl w:val="0"/>
          <w:numId w:val="49"/>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warns that this approach dilutes the distinction between discriminatory and non-discriminatory measures, creating inconsistency in the Court’s jurisprudence.</w:t>
      </w:r>
    </w:p>
    <w:p w14:paraId="456DA3F9"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3. Proportionality Concerns</w:t>
      </w:r>
    </w:p>
    <w:p w14:paraId="1A385AC8" w14:textId="77777777" w:rsidR="000834B3" w:rsidRPr="000834B3" w:rsidRDefault="000834B3" w:rsidP="000834B3">
      <w:pPr>
        <w:numPr>
          <w:ilvl w:val="0"/>
          <w:numId w:val="5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Proportionality plays a central role in justifying indirect discrimination, ensuring that the measure:</w:t>
      </w:r>
    </w:p>
    <w:p w14:paraId="7EFF5D87" w14:textId="77777777" w:rsidR="000834B3" w:rsidRPr="000834B3" w:rsidRDefault="000834B3" w:rsidP="000834B3">
      <w:pPr>
        <w:numPr>
          <w:ilvl w:val="1"/>
          <w:numId w:val="5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Serves a legitimate aim.</w:t>
      </w:r>
    </w:p>
    <w:p w14:paraId="25B4110F" w14:textId="77777777" w:rsidR="000834B3" w:rsidRPr="000834B3" w:rsidRDefault="000834B3" w:rsidP="000834B3">
      <w:pPr>
        <w:numPr>
          <w:ilvl w:val="1"/>
          <w:numId w:val="5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Is necessary to achieve that aim.</w:t>
      </w:r>
    </w:p>
    <w:p w14:paraId="07FF4073" w14:textId="77777777" w:rsidR="000834B3" w:rsidRPr="000834B3" w:rsidRDefault="000834B3" w:rsidP="000834B3">
      <w:pPr>
        <w:numPr>
          <w:ilvl w:val="1"/>
          <w:numId w:val="5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Minimally restricts trade.</w:t>
      </w:r>
    </w:p>
    <w:p w14:paraId="665820A4" w14:textId="77777777" w:rsidR="000834B3" w:rsidRPr="000834B3" w:rsidRDefault="000834B3" w:rsidP="000834B3">
      <w:pPr>
        <w:numPr>
          <w:ilvl w:val="0"/>
          <w:numId w:val="5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However, proportionality is less rigorous for indistinctly applicable measures compared to overtly discriminatory measures.</w:t>
      </w:r>
    </w:p>
    <w:p w14:paraId="5DE91B81" w14:textId="77777777" w:rsidR="000834B3" w:rsidRPr="000834B3" w:rsidRDefault="000834B3" w:rsidP="000834B3">
      <w:pPr>
        <w:numPr>
          <w:ilvl w:val="0"/>
          <w:numId w:val="50"/>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critiques the potential for this distinction to be eroded if mandatory requirements are treated as objective justifications.</w:t>
      </w:r>
    </w:p>
    <w:p w14:paraId="52D0FB3B"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5250280A">
          <v:rect id="_x0000_i1044" alt="" style="width:451.3pt;height:.05pt;mso-width-percent:0;mso-height-percent:0;mso-width-percent:0;mso-height-percent:0" o:hralign="center" o:hrstd="t" o:hr="t" fillcolor="#a0a0a0" stroked="f"/>
        </w:pict>
      </w:r>
    </w:p>
    <w:p w14:paraId="3642D855"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lastRenderedPageBreak/>
        <w:t>4.3 Relevant Case Law</w:t>
      </w:r>
    </w:p>
    <w:p w14:paraId="3D71FCD0"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Decker (Case C-120/95)</w:t>
      </w:r>
    </w:p>
    <w:p w14:paraId="58FC796C" w14:textId="77777777" w:rsidR="000834B3" w:rsidRPr="000834B3" w:rsidRDefault="000834B3" w:rsidP="000834B3">
      <w:pPr>
        <w:numPr>
          <w:ilvl w:val="0"/>
          <w:numId w:val="51"/>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Facts</w:t>
      </w:r>
      <w:r w:rsidRPr="000834B3">
        <w:rPr>
          <w:rFonts w:ascii="Times New Roman" w:hAnsi="Times New Roman"/>
          <w:lang w:val="en-HK"/>
        </w:rPr>
        <w:t>:</w:t>
      </w:r>
    </w:p>
    <w:p w14:paraId="68CB1779" w14:textId="77777777" w:rsidR="000834B3" w:rsidRPr="000834B3" w:rsidRDefault="000834B3" w:rsidP="000834B3">
      <w:pPr>
        <w:numPr>
          <w:ilvl w:val="1"/>
          <w:numId w:val="5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A Luxembourg rule restricted reimbursement for spectacles purchased abroad, disproportionately affecting cross-border trade.</w:t>
      </w:r>
    </w:p>
    <w:p w14:paraId="525064BB" w14:textId="77777777" w:rsidR="000834B3" w:rsidRPr="000834B3" w:rsidRDefault="000834B3" w:rsidP="000834B3">
      <w:pPr>
        <w:numPr>
          <w:ilvl w:val="0"/>
          <w:numId w:val="51"/>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Judgment</w:t>
      </w:r>
      <w:r w:rsidRPr="000834B3">
        <w:rPr>
          <w:rFonts w:ascii="Times New Roman" w:hAnsi="Times New Roman"/>
          <w:lang w:val="en-HK"/>
        </w:rPr>
        <w:t>:</w:t>
      </w:r>
    </w:p>
    <w:p w14:paraId="713549B9" w14:textId="77777777" w:rsidR="000834B3" w:rsidRPr="000834B3" w:rsidRDefault="000834B3" w:rsidP="000834B3">
      <w:pPr>
        <w:numPr>
          <w:ilvl w:val="1"/>
          <w:numId w:val="5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CJEU justified the measure under public health, a mandatory requirement.</w:t>
      </w:r>
    </w:p>
    <w:p w14:paraId="245A3EB6" w14:textId="77777777" w:rsidR="000834B3" w:rsidRPr="000834B3" w:rsidRDefault="000834B3" w:rsidP="000834B3">
      <w:pPr>
        <w:numPr>
          <w:ilvl w:val="0"/>
          <w:numId w:val="51"/>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Significance</w:t>
      </w:r>
      <w:r w:rsidRPr="000834B3">
        <w:rPr>
          <w:rFonts w:ascii="Times New Roman" w:hAnsi="Times New Roman"/>
          <w:lang w:val="en-HK"/>
        </w:rPr>
        <w:t>:</w:t>
      </w:r>
    </w:p>
    <w:p w14:paraId="35249360" w14:textId="77777777" w:rsidR="000834B3" w:rsidRPr="000834B3" w:rsidRDefault="000834B3" w:rsidP="000834B3">
      <w:pPr>
        <w:numPr>
          <w:ilvl w:val="1"/>
          <w:numId w:val="5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Court treated indirect discrimination as justifiable under mandatory requirements, avoiding the stricter scrutiny required by Article 36.</w:t>
      </w:r>
    </w:p>
    <w:p w14:paraId="573699BF" w14:textId="77777777" w:rsidR="000834B3" w:rsidRPr="000834B3" w:rsidRDefault="000834B3" w:rsidP="000834B3">
      <w:pPr>
        <w:numPr>
          <w:ilvl w:val="0"/>
          <w:numId w:val="51"/>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b/>
          <w:bCs/>
          <w:lang w:val="en-HK"/>
        </w:rPr>
        <w:t>Spaventa’s</w:t>
      </w:r>
      <w:proofErr w:type="spellEnd"/>
      <w:r w:rsidRPr="000834B3">
        <w:rPr>
          <w:rFonts w:ascii="Times New Roman" w:hAnsi="Times New Roman"/>
          <w:b/>
          <w:bCs/>
          <w:lang w:val="en-HK"/>
        </w:rPr>
        <w:t xml:space="preserve"> Critique</w:t>
      </w:r>
      <w:r w:rsidRPr="000834B3">
        <w:rPr>
          <w:rFonts w:ascii="Times New Roman" w:hAnsi="Times New Roman"/>
          <w:lang w:val="en-HK"/>
        </w:rPr>
        <w:t>:</w:t>
      </w:r>
    </w:p>
    <w:p w14:paraId="64B5265A" w14:textId="77777777" w:rsidR="000834B3" w:rsidRPr="000834B3" w:rsidRDefault="000834B3" w:rsidP="000834B3">
      <w:pPr>
        <w:numPr>
          <w:ilvl w:val="1"/>
          <w:numId w:val="5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This case illustrates the Court’s willingness to blur the line between indirect and direct discrimination, undermining the coherence of the justification framework.</w:t>
      </w:r>
    </w:p>
    <w:p w14:paraId="148D2F1A"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proofErr w:type="spellStart"/>
      <w:r w:rsidRPr="000834B3">
        <w:rPr>
          <w:rFonts w:ascii="Times New Roman" w:hAnsi="Times New Roman"/>
          <w:b/>
          <w:bCs/>
          <w:lang w:val="en-HK"/>
        </w:rPr>
        <w:t>Wallonian</w:t>
      </w:r>
      <w:proofErr w:type="spellEnd"/>
      <w:r w:rsidRPr="000834B3">
        <w:rPr>
          <w:rFonts w:ascii="Times New Roman" w:hAnsi="Times New Roman"/>
          <w:b/>
          <w:bCs/>
          <w:lang w:val="en-HK"/>
        </w:rPr>
        <w:t xml:space="preserve"> Waste (Case C-2/90)</w:t>
      </w:r>
    </w:p>
    <w:p w14:paraId="0754BB36" w14:textId="77777777" w:rsidR="000834B3" w:rsidRPr="000834B3" w:rsidRDefault="000834B3" w:rsidP="000834B3">
      <w:pPr>
        <w:numPr>
          <w:ilvl w:val="0"/>
          <w:numId w:val="5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Facts</w:t>
      </w:r>
      <w:r w:rsidRPr="000834B3">
        <w:rPr>
          <w:rFonts w:ascii="Times New Roman" w:hAnsi="Times New Roman"/>
          <w:lang w:val="en-HK"/>
        </w:rPr>
        <w:t>:</w:t>
      </w:r>
    </w:p>
    <w:p w14:paraId="589EB406" w14:textId="77777777" w:rsidR="000834B3" w:rsidRPr="000834B3" w:rsidRDefault="000834B3" w:rsidP="000834B3">
      <w:pPr>
        <w:numPr>
          <w:ilvl w:val="1"/>
          <w:numId w:val="52"/>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Belgium banned the import of waste from other regions, a measure that was facially discriminatory.</w:t>
      </w:r>
    </w:p>
    <w:p w14:paraId="5B6D26DD" w14:textId="77777777" w:rsidR="000834B3" w:rsidRPr="000834B3" w:rsidRDefault="000834B3" w:rsidP="000834B3">
      <w:pPr>
        <w:numPr>
          <w:ilvl w:val="0"/>
          <w:numId w:val="5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Judgment</w:t>
      </w:r>
      <w:r w:rsidRPr="000834B3">
        <w:rPr>
          <w:rFonts w:ascii="Times New Roman" w:hAnsi="Times New Roman"/>
          <w:lang w:val="en-HK"/>
        </w:rPr>
        <w:t>:</w:t>
      </w:r>
    </w:p>
    <w:p w14:paraId="0578E094" w14:textId="77777777" w:rsidR="000834B3" w:rsidRPr="000834B3" w:rsidRDefault="000834B3" w:rsidP="000834B3">
      <w:pPr>
        <w:numPr>
          <w:ilvl w:val="1"/>
          <w:numId w:val="52"/>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Court treated the rule as indirectly discriminatory and justified it under environmental protection, a mandatory requirement.</w:t>
      </w:r>
    </w:p>
    <w:p w14:paraId="094C3DA6" w14:textId="77777777" w:rsidR="000834B3" w:rsidRPr="000834B3" w:rsidRDefault="000834B3" w:rsidP="000834B3">
      <w:pPr>
        <w:numPr>
          <w:ilvl w:val="0"/>
          <w:numId w:val="5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Significance</w:t>
      </w:r>
      <w:r w:rsidRPr="000834B3">
        <w:rPr>
          <w:rFonts w:ascii="Times New Roman" w:hAnsi="Times New Roman"/>
          <w:lang w:val="en-HK"/>
        </w:rPr>
        <w:t>:</w:t>
      </w:r>
    </w:p>
    <w:p w14:paraId="4CE5BF67" w14:textId="77777777" w:rsidR="000834B3" w:rsidRPr="000834B3" w:rsidRDefault="000834B3" w:rsidP="000834B3">
      <w:pPr>
        <w:numPr>
          <w:ilvl w:val="1"/>
          <w:numId w:val="52"/>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By classifying the measure as indirectly discriminatory, the Court sidestepped the stricter requirements of Article 36.</w:t>
      </w:r>
    </w:p>
    <w:p w14:paraId="24ECB1CE" w14:textId="77777777" w:rsidR="000834B3" w:rsidRPr="000834B3" w:rsidRDefault="000834B3" w:rsidP="000834B3">
      <w:pPr>
        <w:numPr>
          <w:ilvl w:val="0"/>
          <w:numId w:val="52"/>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b/>
          <w:bCs/>
          <w:lang w:val="en-HK"/>
        </w:rPr>
        <w:t>Spaventa’s</w:t>
      </w:r>
      <w:proofErr w:type="spellEnd"/>
      <w:r w:rsidRPr="000834B3">
        <w:rPr>
          <w:rFonts w:ascii="Times New Roman" w:hAnsi="Times New Roman"/>
          <w:b/>
          <w:bCs/>
          <w:lang w:val="en-HK"/>
        </w:rPr>
        <w:t xml:space="preserve"> Critique</w:t>
      </w:r>
      <w:r w:rsidRPr="000834B3">
        <w:rPr>
          <w:rFonts w:ascii="Times New Roman" w:hAnsi="Times New Roman"/>
          <w:lang w:val="en-HK"/>
        </w:rPr>
        <w:t>:</w:t>
      </w:r>
    </w:p>
    <w:p w14:paraId="276DE815" w14:textId="77777777" w:rsidR="000834B3" w:rsidRPr="000834B3" w:rsidRDefault="000834B3" w:rsidP="000834B3">
      <w:pPr>
        <w:numPr>
          <w:ilvl w:val="1"/>
          <w:numId w:val="52"/>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decision demonstrates how mandatory requirements can be misapplied to justify discriminatory rules, eroding the distinction between direct and indirect discrimination.</w:t>
      </w:r>
    </w:p>
    <w:p w14:paraId="3E6D229B"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proofErr w:type="spellStart"/>
      <w:r w:rsidRPr="000834B3">
        <w:rPr>
          <w:rFonts w:ascii="Times New Roman" w:hAnsi="Times New Roman"/>
          <w:b/>
          <w:bCs/>
          <w:lang w:val="en-HK"/>
        </w:rPr>
        <w:t>PreussenElektra</w:t>
      </w:r>
      <w:proofErr w:type="spellEnd"/>
      <w:r w:rsidRPr="000834B3">
        <w:rPr>
          <w:rFonts w:ascii="Times New Roman" w:hAnsi="Times New Roman"/>
          <w:b/>
          <w:bCs/>
          <w:lang w:val="en-HK"/>
        </w:rPr>
        <w:t xml:space="preserve"> (Case C-379/98)</w:t>
      </w:r>
    </w:p>
    <w:p w14:paraId="7BD557E4" w14:textId="77777777" w:rsidR="000834B3" w:rsidRPr="000834B3" w:rsidRDefault="000834B3" w:rsidP="000834B3">
      <w:pPr>
        <w:numPr>
          <w:ilvl w:val="0"/>
          <w:numId w:val="53"/>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Facts</w:t>
      </w:r>
      <w:r w:rsidRPr="000834B3">
        <w:rPr>
          <w:rFonts w:ascii="Times New Roman" w:hAnsi="Times New Roman"/>
          <w:lang w:val="en-HK"/>
        </w:rPr>
        <w:t>:</w:t>
      </w:r>
    </w:p>
    <w:p w14:paraId="4299BFE3" w14:textId="77777777" w:rsidR="000834B3" w:rsidRPr="000834B3" w:rsidRDefault="000834B3" w:rsidP="000834B3">
      <w:pPr>
        <w:numPr>
          <w:ilvl w:val="1"/>
          <w:numId w:val="5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Germany required electricity suppliers to purchase domestically produced renewable energy, disadvantaging imported renewable energy.</w:t>
      </w:r>
    </w:p>
    <w:p w14:paraId="1F633D43" w14:textId="77777777" w:rsidR="000834B3" w:rsidRPr="000834B3" w:rsidRDefault="000834B3" w:rsidP="000834B3">
      <w:pPr>
        <w:numPr>
          <w:ilvl w:val="0"/>
          <w:numId w:val="53"/>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Judgment</w:t>
      </w:r>
      <w:r w:rsidRPr="000834B3">
        <w:rPr>
          <w:rFonts w:ascii="Times New Roman" w:hAnsi="Times New Roman"/>
          <w:lang w:val="en-HK"/>
        </w:rPr>
        <w:t>:</w:t>
      </w:r>
    </w:p>
    <w:p w14:paraId="3D31E5FE" w14:textId="77777777" w:rsidR="000834B3" w:rsidRPr="000834B3" w:rsidRDefault="000834B3" w:rsidP="000834B3">
      <w:pPr>
        <w:numPr>
          <w:ilvl w:val="1"/>
          <w:numId w:val="5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CJEU upheld the measure, invoking environmental protection as a justification.</w:t>
      </w:r>
    </w:p>
    <w:p w14:paraId="3E511305" w14:textId="77777777" w:rsidR="000834B3" w:rsidRPr="000834B3" w:rsidRDefault="000834B3" w:rsidP="000834B3">
      <w:pPr>
        <w:numPr>
          <w:ilvl w:val="0"/>
          <w:numId w:val="53"/>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Significance</w:t>
      </w:r>
      <w:r w:rsidRPr="000834B3">
        <w:rPr>
          <w:rFonts w:ascii="Times New Roman" w:hAnsi="Times New Roman"/>
          <w:lang w:val="en-HK"/>
        </w:rPr>
        <w:t>:</w:t>
      </w:r>
    </w:p>
    <w:p w14:paraId="4753872D" w14:textId="77777777" w:rsidR="000834B3" w:rsidRPr="000834B3" w:rsidRDefault="000834B3" w:rsidP="000834B3">
      <w:pPr>
        <w:numPr>
          <w:ilvl w:val="1"/>
          <w:numId w:val="5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Court allowed a mandatory requirement to justify a discriminatory measure, challenging the traditional boundaries of Article 36.</w:t>
      </w:r>
    </w:p>
    <w:p w14:paraId="6A759373" w14:textId="77777777" w:rsidR="000834B3" w:rsidRPr="000834B3" w:rsidRDefault="000834B3" w:rsidP="000834B3">
      <w:pPr>
        <w:numPr>
          <w:ilvl w:val="0"/>
          <w:numId w:val="53"/>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b/>
          <w:bCs/>
          <w:lang w:val="en-HK"/>
        </w:rPr>
        <w:lastRenderedPageBreak/>
        <w:t>Spaventa’s</w:t>
      </w:r>
      <w:proofErr w:type="spellEnd"/>
      <w:r w:rsidRPr="000834B3">
        <w:rPr>
          <w:rFonts w:ascii="Times New Roman" w:hAnsi="Times New Roman"/>
          <w:b/>
          <w:bCs/>
          <w:lang w:val="en-HK"/>
        </w:rPr>
        <w:t xml:space="preserve"> Critique</w:t>
      </w:r>
      <w:r w:rsidRPr="000834B3">
        <w:rPr>
          <w:rFonts w:ascii="Times New Roman" w:hAnsi="Times New Roman"/>
          <w:lang w:val="en-HK"/>
        </w:rPr>
        <w:t>:</w:t>
      </w:r>
    </w:p>
    <w:p w14:paraId="3BA69545" w14:textId="77777777" w:rsidR="000834B3" w:rsidRPr="000834B3" w:rsidRDefault="000834B3" w:rsidP="000834B3">
      <w:pPr>
        <w:numPr>
          <w:ilvl w:val="1"/>
          <w:numId w:val="5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This case exemplifies the Court’s tendency to conflate mandatory requirements with Treaty derogations, creating legal uncertainty.</w:t>
      </w:r>
    </w:p>
    <w:p w14:paraId="00B94087"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681CF626">
          <v:rect id="_x0000_i1043" alt="" style="width:451.3pt;height:.05pt;mso-width-percent:0;mso-height-percent:0;mso-width-percent:0;mso-height-percent:0" o:hralign="center" o:hrstd="t" o:hr="t" fillcolor="#a0a0a0" stroked="f"/>
        </w:pict>
      </w:r>
    </w:p>
    <w:p w14:paraId="5DED20F5"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4.4 Theoretical Implications</w:t>
      </w:r>
    </w:p>
    <w:p w14:paraId="6D162D65"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Treaty Structure and Legal Certainty</w:t>
      </w:r>
    </w:p>
    <w:p w14:paraId="06D8718F" w14:textId="77777777" w:rsidR="000834B3" w:rsidRPr="000834B3" w:rsidRDefault="000834B3" w:rsidP="000834B3">
      <w:pPr>
        <w:numPr>
          <w:ilvl w:val="0"/>
          <w:numId w:val="54"/>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emphasizes the importance of maintaining a clear distinction between:</w:t>
      </w:r>
    </w:p>
    <w:p w14:paraId="388923C9" w14:textId="77777777" w:rsidR="000834B3" w:rsidRPr="000834B3" w:rsidRDefault="000834B3" w:rsidP="000834B3">
      <w:pPr>
        <w:numPr>
          <w:ilvl w:val="1"/>
          <w:numId w:val="5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Treaty derogations under Article 36, which justify discriminatory measures.</w:t>
      </w:r>
    </w:p>
    <w:p w14:paraId="002EAFA3" w14:textId="77777777" w:rsidR="000834B3" w:rsidRPr="000834B3" w:rsidRDefault="000834B3" w:rsidP="000834B3">
      <w:pPr>
        <w:numPr>
          <w:ilvl w:val="1"/>
          <w:numId w:val="5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Mandatory requirements, which justify indistinctly applicable measures.</w:t>
      </w:r>
    </w:p>
    <w:p w14:paraId="1A14BCFC" w14:textId="77777777" w:rsidR="000834B3" w:rsidRPr="000834B3" w:rsidRDefault="000834B3" w:rsidP="000834B3">
      <w:pPr>
        <w:numPr>
          <w:ilvl w:val="0"/>
          <w:numId w:val="5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Blurring these lines undermines the structure of the Treaty and creates legal uncertainty for Member States and businesses.</w:t>
      </w:r>
    </w:p>
    <w:p w14:paraId="28A2CEF0"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Impact on the Internal Market</w:t>
      </w:r>
    </w:p>
    <w:p w14:paraId="08E9A8A9" w14:textId="77777777" w:rsidR="000834B3" w:rsidRPr="000834B3" w:rsidRDefault="000834B3" w:rsidP="000834B3">
      <w:pPr>
        <w:numPr>
          <w:ilvl w:val="0"/>
          <w:numId w:val="55"/>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Allowing mandatory requirements to justify indirect discrimination weakens the internal market by legitimizing protectionist policies under the guise of public interest objectives.</w:t>
      </w:r>
    </w:p>
    <w:p w14:paraId="06F80E6D" w14:textId="77777777" w:rsidR="000834B3" w:rsidRPr="000834B3" w:rsidRDefault="000834B3" w:rsidP="000834B3">
      <w:pPr>
        <w:numPr>
          <w:ilvl w:val="0"/>
          <w:numId w:val="55"/>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 xml:space="preserve">Quote from </w:t>
      </w:r>
      <w:proofErr w:type="spellStart"/>
      <w:r w:rsidRPr="000834B3">
        <w:rPr>
          <w:rFonts w:ascii="Times New Roman" w:hAnsi="Times New Roman"/>
          <w:b/>
          <w:bCs/>
          <w:lang w:val="en-HK"/>
        </w:rPr>
        <w:t>Spaventa</w:t>
      </w:r>
      <w:proofErr w:type="spellEnd"/>
      <w:r w:rsidRPr="000834B3">
        <w:rPr>
          <w:rFonts w:ascii="Times New Roman" w:hAnsi="Times New Roman"/>
          <w:lang w:val="en-HK"/>
        </w:rPr>
        <w:t>: “The expansion of mandatory requirements as objective justifications risks diluting the effectiveness of the free movement provisions, jeopardizing the coherence of the internal market.”</w:t>
      </w:r>
    </w:p>
    <w:p w14:paraId="754E1375"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3A1C0CF0">
          <v:rect id="_x0000_i1042" alt="" style="width:451.3pt;height:.05pt;mso-width-percent:0;mso-height-percent:0;mso-width-percent:0;mso-height-percent:0" o:hralign="center" o:hrstd="t" o:hr="t" fillcolor="#a0a0a0" stroked="f"/>
        </w:pict>
      </w:r>
    </w:p>
    <w:p w14:paraId="4F4D619E"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 xml:space="preserve">4.5 </w:t>
      </w:r>
      <w:proofErr w:type="spellStart"/>
      <w:r w:rsidRPr="000834B3">
        <w:rPr>
          <w:rFonts w:ascii="Times New Roman" w:hAnsi="Times New Roman"/>
          <w:b/>
          <w:bCs/>
          <w:lang w:val="en-HK"/>
        </w:rPr>
        <w:t>Spaventa’s</w:t>
      </w:r>
      <w:proofErr w:type="spellEnd"/>
      <w:r w:rsidRPr="000834B3">
        <w:rPr>
          <w:rFonts w:ascii="Times New Roman" w:hAnsi="Times New Roman"/>
          <w:b/>
          <w:bCs/>
          <w:lang w:val="en-HK"/>
        </w:rPr>
        <w:t xml:space="preserve"> Proposed Solution</w:t>
      </w:r>
    </w:p>
    <w:p w14:paraId="66A6DCD0"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Retaining Conceptual Boundaries</w:t>
      </w:r>
    </w:p>
    <w:p w14:paraId="2A71FF6A" w14:textId="77777777" w:rsidR="000834B3" w:rsidRPr="000834B3" w:rsidRDefault="000834B3" w:rsidP="000834B3">
      <w:pPr>
        <w:numPr>
          <w:ilvl w:val="0"/>
          <w:numId w:val="5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Mandatory requirements should remain confined to indistinctly applicable measures, ensuring consistency with the Treaty framework.</w:t>
      </w:r>
    </w:p>
    <w:p w14:paraId="726055E7" w14:textId="77777777" w:rsidR="000834B3" w:rsidRPr="000834B3" w:rsidRDefault="000834B3" w:rsidP="000834B3">
      <w:pPr>
        <w:numPr>
          <w:ilvl w:val="0"/>
          <w:numId w:val="5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Discriminatory measures should be subject to the stricter justifications listed in Article 36.</w:t>
      </w:r>
    </w:p>
    <w:p w14:paraId="74CC7B4C"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Reaffirming Proportionality</w:t>
      </w:r>
    </w:p>
    <w:p w14:paraId="63A30087" w14:textId="77777777" w:rsidR="000834B3" w:rsidRPr="000834B3" w:rsidRDefault="000834B3" w:rsidP="000834B3">
      <w:pPr>
        <w:numPr>
          <w:ilvl w:val="0"/>
          <w:numId w:val="57"/>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CJEU should apply proportionality more rigorously to ensure that mandatory requirements are not misused to justify discriminatory measures.</w:t>
      </w:r>
    </w:p>
    <w:p w14:paraId="7F5826DC"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Judicial Discipline</w:t>
      </w:r>
    </w:p>
    <w:p w14:paraId="73D7D4BB" w14:textId="77777777" w:rsidR="000834B3" w:rsidRPr="000834B3" w:rsidRDefault="000834B3" w:rsidP="000834B3">
      <w:pPr>
        <w:numPr>
          <w:ilvl w:val="0"/>
          <w:numId w:val="58"/>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lastRenderedPageBreak/>
        <w:t>Spaventa</w:t>
      </w:r>
      <w:proofErr w:type="spellEnd"/>
      <w:r w:rsidRPr="000834B3">
        <w:rPr>
          <w:rFonts w:ascii="Times New Roman" w:hAnsi="Times New Roman"/>
          <w:lang w:val="en-HK"/>
        </w:rPr>
        <w:t xml:space="preserve"> calls for greater judicial discipline to prevent the overextension of mandatory requirements, preserving the balance between free movement and Member States’ regulatory autonomy.</w:t>
      </w:r>
    </w:p>
    <w:p w14:paraId="3A091214"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612913B3">
          <v:rect id="_x0000_i1041" alt="" style="width:451.3pt;height:.05pt;mso-width-percent:0;mso-height-percent:0;mso-width-percent:0;mso-height-percent:0" o:hralign="center" o:hrstd="t" o:hr="t" fillcolor="#a0a0a0" stroked="f"/>
        </w:pict>
      </w:r>
    </w:p>
    <w:p w14:paraId="090764C2"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Conclusion of Section 4</w:t>
      </w:r>
    </w:p>
    <w:p w14:paraId="7BB111A2" w14:textId="77777777" w:rsidR="000834B3" w:rsidRPr="000834B3" w:rsidRDefault="000834B3" w:rsidP="000834B3">
      <w:pPr>
        <w:numPr>
          <w:ilvl w:val="0"/>
          <w:numId w:val="59"/>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critiques the use of mandatory requirements as objective justifications for indirectly discriminatory measures, highlighting the risks of legal uncertainty and fragmentation within the internal market.</w:t>
      </w:r>
    </w:p>
    <w:p w14:paraId="52FE65AB" w14:textId="77777777" w:rsidR="000834B3" w:rsidRPr="000834B3" w:rsidRDefault="000834B3" w:rsidP="000834B3">
      <w:pPr>
        <w:numPr>
          <w:ilvl w:val="0"/>
          <w:numId w:val="59"/>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She emphasizes the need to maintain the conceptual boundaries between Treaty derogations and mandatory requirements, ensuring that discriminatory measures remain subject to the stricter constraints of Article 36.</w:t>
      </w:r>
    </w:p>
    <w:p w14:paraId="048F27AB" w14:textId="77777777" w:rsidR="000834B3" w:rsidRPr="000834B3" w:rsidRDefault="000834B3" w:rsidP="000834B3">
      <w:pPr>
        <w:numPr>
          <w:ilvl w:val="0"/>
          <w:numId w:val="59"/>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By reaffirming the distinction between discriminatory and indistinctly applicable measures, the CJEU can safeguard the coherence of EU free movement law.</w:t>
      </w:r>
    </w:p>
    <w:p w14:paraId="02F176BC"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7FE5A2EC">
          <v:rect id="_x0000_i1040" alt="" style="width:451.3pt;height:.05pt;mso-width-percent:0;mso-height-percent:0;mso-width-percent:0;mso-height-percent:0" o:hralign="center" o:hrstd="t" o:hr="t" fillcolor="#a0a0a0" stroked="f"/>
        </w:pict>
      </w:r>
    </w:p>
    <w:p w14:paraId="37B6F84A"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5. Mandatory Requirements as Internal to Article 28</w:t>
      </w:r>
    </w:p>
    <w:p w14:paraId="01600401"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Overview</w:t>
      </w:r>
    </w:p>
    <w:p w14:paraId="5B865B06" w14:textId="77777777" w:rsidR="000834B3" w:rsidRPr="000834B3" w:rsidRDefault="000834B3" w:rsidP="000834B3">
      <w:pPr>
        <w:numPr>
          <w:ilvl w:val="0"/>
          <w:numId w:val="60"/>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explores the idea that </w:t>
      </w:r>
      <w:r w:rsidRPr="000834B3">
        <w:rPr>
          <w:rFonts w:ascii="Times New Roman" w:hAnsi="Times New Roman"/>
          <w:b/>
          <w:bCs/>
          <w:lang w:val="en-HK"/>
        </w:rPr>
        <w:t>mandatory requirements</w:t>
      </w:r>
      <w:r w:rsidRPr="000834B3">
        <w:rPr>
          <w:rFonts w:ascii="Times New Roman" w:hAnsi="Times New Roman"/>
          <w:lang w:val="en-HK"/>
        </w:rPr>
        <w:t xml:space="preserve"> could be treated as internal to the definition of </w:t>
      </w:r>
      <w:r w:rsidRPr="000834B3">
        <w:rPr>
          <w:rFonts w:ascii="Times New Roman" w:hAnsi="Times New Roman"/>
          <w:b/>
          <w:bCs/>
          <w:lang w:val="en-HK"/>
        </w:rPr>
        <w:t>measures having equivalent effect to quantitative restrictions (MEEs)</w:t>
      </w:r>
      <w:r w:rsidRPr="000834B3">
        <w:rPr>
          <w:rFonts w:ascii="Times New Roman" w:hAnsi="Times New Roman"/>
          <w:lang w:val="en-HK"/>
        </w:rPr>
        <w:t xml:space="preserve"> under Article 34 TFEU.</w:t>
      </w:r>
    </w:p>
    <w:p w14:paraId="4C5EEC04" w14:textId="77777777" w:rsidR="000834B3" w:rsidRPr="000834B3" w:rsidRDefault="000834B3" w:rsidP="000834B3">
      <w:pPr>
        <w:numPr>
          <w:ilvl w:val="0"/>
          <w:numId w:val="6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This approach suggests that measures justified by mandatory requirements do not fall under the scope of Article 34 at all, effectively excluding them from the prohibition of trade restrictions.</w:t>
      </w:r>
    </w:p>
    <w:p w14:paraId="70913DE7" w14:textId="77777777" w:rsidR="000834B3" w:rsidRPr="000834B3" w:rsidRDefault="000834B3" w:rsidP="000834B3">
      <w:pPr>
        <w:numPr>
          <w:ilvl w:val="0"/>
          <w:numId w:val="6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section examines the implications of this theoretical approach for the coherence and application of EU law.</w:t>
      </w:r>
    </w:p>
    <w:p w14:paraId="0F00A8B4"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19EA5AB8">
          <v:rect id="_x0000_i1039" alt="" style="width:451.3pt;height:.05pt;mso-width-percent:0;mso-height-percent:0;mso-width-percent:0;mso-height-percent:0" o:hralign="center" o:hrstd="t" o:hr="t" fillcolor="#a0a0a0" stroked="f"/>
        </w:pict>
      </w:r>
    </w:p>
    <w:p w14:paraId="2754B684"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5.1 Historical Perspective on Mandatory Requirements</w:t>
      </w:r>
    </w:p>
    <w:p w14:paraId="77EAB779"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Cassis de Dijon and the Original Approach</w:t>
      </w:r>
    </w:p>
    <w:p w14:paraId="028D8EC7" w14:textId="77777777" w:rsidR="000834B3" w:rsidRPr="000834B3" w:rsidRDefault="000834B3" w:rsidP="000834B3">
      <w:pPr>
        <w:numPr>
          <w:ilvl w:val="0"/>
          <w:numId w:val="6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In </w:t>
      </w:r>
      <w:r w:rsidRPr="000834B3">
        <w:rPr>
          <w:rFonts w:ascii="Times New Roman" w:hAnsi="Times New Roman"/>
          <w:i/>
          <w:iCs/>
          <w:lang w:val="en-HK"/>
        </w:rPr>
        <w:t>Cassis de Dijon (Case 120/78)</w:t>
      </w:r>
      <w:r w:rsidRPr="000834B3">
        <w:rPr>
          <w:rFonts w:ascii="Times New Roman" w:hAnsi="Times New Roman"/>
          <w:lang w:val="en-HK"/>
        </w:rPr>
        <w:t>, the Court established the principle of mutual recognition, requiring Member States to allow goods lawfully produced in another Member State to enter their markets.</w:t>
      </w:r>
    </w:p>
    <w:p w14:paraId="0BAB187A" w14:textId="77777777" w:rsidR="000834B3" w:rsidRPr="000834B3" w:rsidRDefault="000834B3" w:rsidP="000834B3">
      <w:pPr>
        <w:numPr>
          <w:ilvl w:val="0"/>
          <w:numId w:val="6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The Court introduced </w:t>
      </w:r>
      <w:r w:rsidRPr="000834B3">
        <w:rPr>
          <w:rFonts w:ascii="Times New Roman" w:hAnsi="Times New Roman"/>
          <w:b/>
          <w:bCs/>
          <w:lang w:val="en-HK"/>
        </w:rPr>
        <w:t>mandatory requirements</w:t>
      </w:r>
      <w:r w:rsidRPr="000834B3">
        <w:rPr>
          <w:rFonts w:ascii="Times New Roman" w:hAnsi="Times New Roman"/>
          <w:lang w:val="en-HK"/>
        </w:rPr>
        <w:t xml:space="preserve"> as justifications for indistinctly applicable measures, which might otherwise hinder trade.</w:t>
      </w:r>
    </w:p>
    <w:p w14:paraId="3DD6ABEE" w14:textId="77777777" w:rsidR="000834B3" w:rsidRPr="000834B3" w:rsidRDefault="000834B3" w:rsidP="000834B3">
      <w:pPr>
        <w:numPr>
          <w:ilvl w:val="0"/>
          <w:numId w:val="61"/>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Original Purpose</w:t>
      </w:r>
      <w:r w:rsidRPr="000834B3">
        <w:rPr>
          <w:rFonts w:ascii="Times New Roman" w:hAnsi="Times New Roman"/>
          <w:lang w:val="en-HK"/>
        </w:rPr>
        <w:t>:</w:t>
      </w:r>
    </w:p>
    <w:p w14:paraId="6F8EAF5A" w14:textId="77777777" w:rsidR="000834B3" w:rsidRPr="000834B3" w:rsidRDefault="000834B3" w:rsidP="000834B3">
      <w:pPr>
        <w:numPr>
          <w:ilvl w:val="1"/>
          <w:numId w:val="6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lastRenderedPageBreak/>
        <w:t xml:space="preserve">Mandatory requirements were initially seen as </w:t>
      </w:r>
      <w:r w:rsidRPr="000834B3">
        <w:rPr>
          <w:rFonts w:ascii="Times New Roman" w:hAnsi="Times New Roman"/>
          <w:b/>
          <w:bCs/>
          <w:lang w:val="en-HK"/>
        </w:rPr>
        <w:t>internal</w:t>
      </w:r>
      <w:r w:rsidRPr="000834B3">
        <w:rPr>
          <w:rFonts w:ascii="Times New Roman" w:hAnsi="Times New Roman"/>
          <w:lang w:val="en-HK"/>
        </w:rPr>
        <w:t xml:space="preserve"> to the definition of MEEs, meaning that measures fulfilling these requirements did not breach Article 34.</w:t>
      </w:r>
    </w:p>
    <w:p w14:paraId="4FEA01CF"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Shift to a Two-Stage Analysis</w:t>
      </w:r>
    </w:p>
    <w:p w14:paraId="5F54549D" w14:textId="77777777" w:rsidR="000834B3" w:rsidRPr="000834B3" w:rsidRDefault="000834B3" w:rsidP="000834B3">
      <w:pPr>
        <w:numPr>
          <w:ilvl w:val="0"/>
          <w:numId w:val="62"/>
        </w:numPr>
        <w:spacing w:before="100" w:beforeAutospacing="1" w:after="100" w:afterAutospacing="1" w:line="276" w:lineRule="auto"/>
        <w:rPr>
          <w:rFonts w:ascii="Times New Roman" w:hAnsi="Times New Roman"/>
          <w:b/>
          <w:bCs/>
          <w:lang w:val="en-HK"/>
        </w:rPr>
      </w:pPr>
      <w:r w:rsidRPr="000834B3">
        <w:rPr>
          <w:rFonts w:ascii="Times New Roman" w:hAnsi="Times New Roman"/>
          <w:b/>
          <w:bCs/>
          <w:lang w:val="en-HK"/>
        </w:rPr>
        <w:t>Over time, the Court moved to a two-stage analysis:</w:t>
      </w:r>
    </w:p>
    <w:p w14:paraId="413EF2E3" w14:textId="77777777" w:rsidR="000834B3" w:rsidRPr="000834B3" w:rsidRDefault="000834B3" w:rsidP="000834B3">
      <w:pPr>
        <w:numPr>
          <w:ilvl w:val="1"/>
          <w:numId w:val="62"/>
        </w:numPr>
        <w:spacing w:before="100" w:beforeAutospacing="1" w:after="100" w:afterAutospacing="1" w:line="276" w:lineRule="auto"/>
        <w:rPr>
          <w:rFonts w:ascii="Times New Roman" w:hAnsi="Times New Roman"/>
          <w:b/>
          <w:bCs/>
          <w:lang w:val="en-HK"/>
        </w:rPr>
      </w:pPr>
      <w:r w:rsidRPr="000834B3">
        <w:rPr>
          <w:rFonts w:ascii="Times New Roman" w:hAnsi="Times New Roman"/>
          <w:b/>
          <w:bCs/>
          <w:lang w:val="en-HK"/>
        </w:rPr>
        <w:t>Determine whether a measure constitutes an MEE under Article 34.</w:t>
      </w:r>
    </w:p>
    <w:p w14:paraId="26F8BEDD" w14:textId="77777777" w:rsidR="000834B3" w:rsidRPr="000834B3" w:rsidRDefault="000834B3" w:rsidP="000834B3">
      <w:pPr>
        <w:numPr>
          <w:ilvl w:val="1"/>
          <w:numId w:val="62"/>
        </w:numPr>
        <w:spacing w:before="100" w:beforeAutospacing="1" w:after="100" w:afterAutospacing="1" w:line="276" w:lineRule="auto"/>
        <w:rPr>
          <w:rFonts w:ascii="Times New Roman" w:hAnsi="Times New Roman"/>
          <w:b/>
          <w:bCs/>
          <w:lang w:val="en-HK"/>
        </w:rPr>
      </w:pPr>
      <w:r w:rsidRPr="000834B3">
        <w:rPr>
          <w:rFonts w:ascii="Times New Roman" w:hAnsi="Times New Roman"/>
          <w:b/>
          <w:bCs/>
          <w:lang w:val="en-HK"/>
        </w:rPr>
        <w:t>Assess whether it can be justified under mandatory requirements or Article 36 TFEU.</w:t>
      </w:r>
    </w:p>
    <w:p w14:paraId="2FBEFA4E" w14:textId="77777777" w:rsidR="000834B3" w:rsidRPr="000834B3" w:rsidRDefault="000834B3" w:rsidP="000834B3">
      <w:pPr>
        <w:numPr>
          <w:ilvl w:val="0"/>
          <w:numId w:val="62"/>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This shift blurred the boundaries between the scope of Article 34 and the role of justifications.</w:t>
      </w:r>
    </w:p>
    <w:p w14:paraId="4C9549E4"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4EA6FEFD">
          <v:rect id="_x0000_i1038" alt="" style="width:451.3pt;height:.05pt;mso-width-percent:0;mso-height-percent:0;mso-width-percent:0;mso-height-percent:0" o:hralign="center" o:hrstd="t" o:hr="t" fillcolor="#a0a0a0" stroked="f"/>
        </w:pict>
      </w:r>
    </w:p>
    <w:p w14:paraId="16409B94"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5.2 Treating Mandatory Requirements as Internal to Article 34</w:t>
      </w:r>
    </w:p>
    <w:p w14:paraId="479D37E2"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Conceptual Strength of the Approach</w:t>
      </w:r>
    </w:p>
    <w:p w14:paraId="7575BF00" w14:textId="77777777" w:rsidR="000834B3" w:rsidRPr="000834B3" w:rsidRDefault="000834B3" w:rsidP="000834B3">
      <w:pPr>
        <w:numPr>
          <w:ilvl w:val="0"/>
          <w:numId w:val="63"/>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argues that treating mandatory requirements as </w:t>
      </w:r>
      <w:r w:rsidRPr="000834B3">
        <w:rPr>
          <w:rFonts w:ascii="Times New Roman" w:hAnsi="Times New Roman"/>
          <w:b/>
          <w:bCs/>
          <w:lang w:val="en-HK"/>
        </w:rPr>
        <w:t>internal</w:t>
      </w:r>
      <w:r w:rsidRPr="000834B3">
        <w:rPr>
          <w:rFonts w:ascii="Times New Roman" w:hAnsi="Times New Roman"/>
          <w:lang w:val="en-HK"/>
        </w:rPr>
        <w:t xml:space="preserve"> to Article 34 restores the conceptual clarity of EU free movement law.</w:t>
      </w:r>
    </w:p>
    <w:p w14:paraId="412D6467" w14:textId="77777777" w:rsidR="000834B3" w:rsidRPr="000834B3" w:rsidRDefault="000834B3" w:rsidP="000834B3">
      <w:pPr>
        <w:numPr>
          <w:ilvl w:val="0"/>
          <w:numId w:val="6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If measures fulfilling mandatory requirements are not considered MEEs, the following benefits arise:</w:t>
      </w:r>
    </w:p>
    <w:p w14:paraId="05719192" w14:textId="77777777" w:rsidR="000834B3" w:rsidRPr="000834B3" w:rsidRDefault="000834B3" w:rsidP="000834B3">
      <w:pPr>
        <w:numPr>
          <w:ilvl w:val="1"/>
          <w:numId w:val="6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It preserves the distinction between discriminatory and indistinctly applicable measures.</w:t>
      </w:r>
    </w:p>
    <w:p w14:paraId="70EA52D2" w14:textId="77777777" w:rsidR="000834B3" w:rsidRPr="000834B3" w:rsidRDefault="000834B3" w:rsidP="000834B3">
      <w:pPr>
        <w:numPr>
          <w:ilvl w:val="1"/>
          <w:numId w:val="6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It reduces the need for justification under Article 36, as such measures would fall outside Article 34 altogether.</w:t>
      </w:r>
    </w:p>
    <w:p w14:paraId="687838C0"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Consistency with the Treaty</w:t>
      </w:r>
    </w:p>
    <w:p w14:paraId="6725FE55" w14:textId="77777777" w:rsidR="000834B3" w:rsidRPr="000834B3" w:rsidRDefault="000834B3" w:rsidP="000834B3">
      <w:pPr>
        <w:numPr>
          <w:ilvl w:val="0"/>
          <w:numId w:val="6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This approach aligns with the Treaty’s goal of balancing free movement with Member States’ regulatory autonomy.</w:t>
      </w:r>
    </w:p>
    <w:p w14:paraId="379AE1E4" w14:textId="77777777" w:rsidR="000834B3" w:rsidRPr="000834B3" w:rsidRDefault="000834B3" w:rsidP="000834B3">
      <w:pPr>
        <w:numPr>
          <w:ilvl w:val="0"/>
          <w:numId w:val="6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By excluding justified measures from the scope of Article 34, Member States can retain their ability to regulate non-harmonized areas without overreaching judicial scrutiny.</w:t>
      </w:r>
    </w:p>
    <w:p w14:paraId="4BD8A797"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779107F3">
          <v:rect id="_x0000_i1037" alt="" style="width:451.3pt;height:.05pt;mso-width-percent:0;mso-height-percent:0;mso-width-percent:0;mso-height-percent:0" o:hralign="center" o:hrstd="t" o:hr="t" fillcolor="#a0a0a0" stroked="f"/>
        </w:pict>
      </w:r>
    </w:p>
    <w:p w14:paraId="51A23BCC"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5.3 Relevant Case Law</w:t>
      </w:r>
    </w:p>
    <w:p w14:paraId="57DCE92F"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 xml:space="preserve">Keck and </w:t>
      </w:r>
      <w:proofErr w:type="spellStart"/>
      <w:r w:rsidRPr="000834B3">
        <w:rPr>
          <w:rFonts w:ascii="Times New Roman" w:hAnsi="Times New Roman"/>
          <w:b/>
          <w:bCs/>
          <w:lang w:val="en-HK"/>
        </w:rPr>
        <w:t>Mithouard</w:t>
      </w:r>
      <w:proofErr w:type="spellEnd"/>
      <w:r w:rsidRPr="000834B3">
        <w:rPr>
          <w:rFonts w:ascii="Times New Roman" w:hAnsi="Times New Roman"/>
          <w:b/>
          <w:bCs/>
          <w:lang w:val="en-HK"/>
        </w:rPr>
        <w:t xml:space="preserve"> (Joined Cases C-267/91 and C-268/91)</w:t>
      </w:r>
    </w:p>
    <w:p w14:paraId="50EA9560" w14:textId="77777777" w:rsidR="000834B3" w:rsidRPr="000834B3" w:rsidRDefault="000834B3" w:rsidP="000834B3">
      <w:pPr>
        <w:numPr>
          <w:ilvl w:val="0"/>
          <w:numId w:val="65"/>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Facts</w:t>
      </w:r>
      <w:r w:rsidRPr="000834B3">
        <w:rPr>
          <w:rFonts w:ascii="Times New Roman" w:hAnsi="Times New Roman"/>
          <w:lang w:val="en-HK"/>
        </w:rPr>
        <w:t>:</w:t>
      </w:r>
    </w:p>
    <w:p w14:paraId="527173E4" w14:textId="77777777" w:rsidR="000834B3" w:rsidRPr="000834B3" w:rsidRDefault="000834B3" w:rsidP="000834B3">
      <w:pPr>
        <w:numPr>
          <w:ilvl w:val="1"/>
          <w:numId w:val="65"/>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France restricted resale at a loss, arguing it applied equally to domestic and imported goods.</w:t>
      </w:r>
    </w:p>
    <w:p w14:paraId="6577E0DF" w14:textId="77777777" w:rsidR="000834B3" w:rsidRPr="000834B3" w:rsidRDefault="000834B3" w:rsidP="000834B3">
      <w:pPr>
        <w:numPr>
          <w:ilvl w:val="0"/>
          <w:numId w:val="65"/>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lastRenderedPageBreak/>
        <w:t>Judgment</w:t>
      </w:r>
      <w:r w:rsidRPr="000834B3">
        <w:rPr>
          <w:rFonts w:ascii="Times New Roman" w:hAnsi="Times New Roman"/>
          <w:lang w:val="en-HK"/>
        </w:rPr>
        <w:t>:</w:t>
      </w:r>
    </w:p>
    <w:p w14:paraId="42FAAC32" w14:textId="77777777" w:rsidR="000834B3" w:rsidRPr="000834B3" w:rsidRDefault="000834B3" w:rsidP="000834B3">
      <w:pPr>
        <w:numPr>
          <w:ilvl w:val="1"/>
          <w:numId w:val="65"/>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Court excluded the measure from Article 34, holding that it did not constitute an MEE because it did not affect market access in practice.</w:t>
      </w:r>
    </w:p>
    <w:p w14:paraId="25ACC432" w14:textId="77777777" w:rsidR="000834B3" w:rsidRPr="000834B3" w:rsidRDefault="000834B3" w:rsidP="000834B3">
      <w:pPr>
        <w:numPr>
          <w:ilvl w:val="0"/>
          <w:numId w:val="65"/>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Significance</w:t>
      </w:r>
      <w:r w:rsidRPr="000834B3">
        <w:rPr>
          <w:rFonts w:ascii="Times New Roman" w:hAnsi="Times New Roman"/>
          <w:lang w:val="en-HK"/>
        </w:rPr>
        <w:t>:</w:t>
      </w:r>
    </w:p>
    <w:p w14:paraId="6FEF7752" w14:textId="77777777" w:rsidR="000834B3" w:rsidRPr="000834B3" w:rsidRDefault="000834B3" w:rsidP="000834B3">
      <w:pPr>
        <w:numPr>
          <w:ilvl w:val="1"/>
          <w:numId w:val="65"/>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This case illustrates the Court’s willingness to exclude certain measures from Article 34’s scope if they are non-discriminatory and justified by legitimate objectives.</w:t>
      </w:r>
    </w:p>
    <w:p w14:paraId="50C177BA" w14:textId="77777777" w:rsidR="000834B3" w:rsidRPr="000834B3" w:rsidRDefault="000834B3" w:rsidP="000834B3">
      <w:pPr>
        <w:numPr>
          <w:ilvl w:val="0"/>
          <w:numId w:val="65"/>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b/>
          <w:bCs/>
          <w:lang w:val="en-HK"/>
        </w:rPr>
        <w:t>Spaventa’s</w:t>
      </w:r>
      <w:proofErr w:type="spellEnd"/>
      <w:r w:rsidRPr="000834B3">
        <w:rPr>
          <w:rFonts w:ascii="Times New Roman" w:hAnsi="Times New Roman"/>
          <w:b/>
          <w:bCs/>
          <w:lang w:val="en-HK"/>
        </w:rPr>
        <w:t xml:space="preserve"> Argument</w:t>
      </w:r>
      <w:r w:rsidRPr="000834B3">
        <w:rPr>
          <w:rFonts w:ascii="Times New Roman" w:hAnsi="Times New Roman"/>
          <w:lang w:val="en-HK"/>
        </w:rPr>
        <w:t>:</w:t>
      </w:r>
    </w:p>
    <w:p w14:paraId="291B0CD6" w14:textId="77777777" w:rsidR="000834B3" w:rsidRPr="000834B3" w:rsidRDefault="000834B3" w:rsidP="000834B3">
      <w:pPr>
        <w:numPr>
          <w:ilvl w:val="1"/>
          <w:numId w:val="65"/>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Treating mandatory requirements as internal to Article 34 would build on this precedent, ensuring that justified measures are not unnecessarily subjected to the Treaty’s prohibitions.</w:t>
      </w:r>
    </w:p>
    <w:p w14:paraId="0DC847A9"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Italian Trailers (Case C-110/05)</w:t>
      </w:r>
    </w:p>
    <w:p w14:paraId="5771D0AC" w14:textId="77777777" w:rsidR="000834B3" w:rsidRPr="000834B3" w:rsidRDefault="000834B3" w:rsidP="000834B3">
      <w:pPr>
        <w:numPr>
          <w:ilvl w:val="0"/>
          <w:numId w:val="66"/>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Facts</w:t>
      </w:r>
      <w:r w:rsidRPr="000834B3">
        <w:rPr>
          <w:rFonts w:ascii="Times New Roman" w:hAnsi="Times New Roman"/>
          <w:lang w:val="en-HK"/>
        </w:rPr>
        <w:t>:</w:t>
      </w:r>
    </w:p>
    <w:p w14:paraId="445F2BC1" w14:textId="77777777" w:rsidR="000834B3" w:rsidRPr="000834B3" w:rsidRDefault="000834B3" w:rsidP="000834B3">
      <w:pPr>
        <w:numPr>
          <w:ilvl w:val="1"/>
          <w:numId w:val="6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Italy prohibited motorcycles from towing trailers, disproportionately affecting imported trailers.</w:t>
      </w:r>
    </w:p>
    <w:p w14:paraId="121E59B7" w14:textId="77777777" w:rsidR="000834B3" w:rsidRPr="000834B3" w:rsidRDefault="000834B3" w:rsidP="000834B3">
      <w:pPr>
        <w:numPr>
          <w:ilvl w:val="0"/>
          <w:numId w:val="66"/>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Judgment</w:t>
      </w:r>
      <w:r w:rsidRPr="000834B3">
        <w:rPr>
          <w:rFonts w:ascii="Times New Roman" w:hAnsi="Times New Roman"/>
          <w:lang w:val="en-HK"/>
        </w:rPr>
        <w:t>:</w:t>
      </w:r>
    </w:p>
    <w:p w14:paraId="316489B6" w14:textId="77777777" w:rsidR="000834B3" w:rsidRPr="000834B3" w:rsidRDefault="000834B3" w:rsidP="000834B3">
      <w:pPr>
        <w:numPr>
          <w:ilvl w:val="1"/>
          <w:numId w:val="6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Court classified the rule as an MEE but justified it under road safety, a mandatory requirement.</w:t>
      </w:r>
    </w:p>
    <w:p w14:paraId="7903E8D9" w14:textId="77777777" w:rsidR="000834B3" w:rsidRPr="000834B3" w:rsidRDefault="000834B3" w:rsidP="000834B3">
      <w:pPr>
        <w:numPr>
          <w:ilvl w:val="0"/>
          <w:numId w:val="66"/>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Significance</w:t>
      </w:r>
      <w:r w:rsidRPr="000834B3">
        <w:rPr>
          <w:rFonts w:ascii="Times New Roman" w:hAnsi="Times New Roman"/>
          <w:lang w:val="en-HK"/>
        </w:rPr>
        <w:t>:</w:t>
      </w:r>
    </w:p>
    <w:p w14:paraId="2608D5F4" w14:textId="77777777" w:rsidR="000834B3" w:rsidRPr="000834B3" w:rsidRDefault="000834B3" w:rsidP="000834B3">
      <w:pPr>
        <w:numPr>
          <w:ilvl w:val="1"/>
          <w:numId w:val="6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case demonstrates how mandatory requirements can justify measures that restrict trade, even when they fall under Article 34.</w:t>
      </w:r>
    </w:p>
    <w:p w14:paraId="3C04B48D" w14:textId="77777777" w:rsidR="000834B3" w:rsidRPr="000834B3" w:rsidRDefault="000834B3" w:rsidP="000834B3">
      <w:pPr>
        <w:numPr>
          <w:ilvl w:val="0"/>
          <w:numId w:val="66"/>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b/>
          <w:bCs/>
          <w:lang w:val="en-HK"/>
        </w:rPr>
        <w:t>Spaventa’s</w:t>
      </w:r>
      <w:proofErr w:type="spellEnd"/>
      <w:r w:rsidRPr="000834B3">
        <w:rPr>
          <w:rFonts w:ascii="Times New Roman" w:hAnsi="Times New Roman"/>
          <w:b/>
          <w:bCs/>
          <w:lang w:val="en-HK"/>
        </w:rPr>
        <w:t xml:space="preserve"> Critique</w:t>
      </w:r>
      <w:r w:rsidRPr="000834B3">
        <w:rPr>
          <w:rFonts w:ascii="Times New Roman" w:hAnsi="Times New Roman"/>
          <w:lang w:val="en-HK"/>
        </w:rPr>
        <w:t>:</w:t>
      </w:r>
    </w:p>
    <w:p w14:paraId="1B8F66EF" w14:textId="77777777" w:rsidR="000834B3" w:rsidRPr="000834B3" w:rsidRDefault="000834B3" w:rsidP="000834B3">
      <w:pPr>
        <w:numPr>
          <w:ilvl w:val="1"/>
          <w:numId w:val="6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If mandatory requirements were treated as internal to Article 34, such measures would not need justification, simplifying the legal framework.</w:t>
      </w:r>
    </w:p>
    <w:p w14:paraId="676C8CE7"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Decker (Case C-120/95)</w:t>
      </w:r>
    </w:p>
    <w:p w14:paraId="4A666EF5" w14:textId="77777777" w:rsidR="000834B3" w:rsidRPr="000834B3" w:rsidRDefault="000834B3" w:rsidP="000834B3">
      <w:pPr>
        <w:numPr>
          <w:ilvl w:val="0"/>
          <w:numId w:val="67"/>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Facts</w:t>
      </w:r>
      <w:r w:rsidRPr="000834B3">
        <w:rPr>
          <w:rFonts w:ascii="Times New Roman" w:hAnsi="Times New Roman"/>
          <w:lang w:val="en-HK"/>
        </w:rPr>
        <w:t>:</w:t>
      </w:r>
    </w:p>
    <w:p w14:paraId="56BB7C34" w14:textId="77777777" w:rsidR="000834B3" w:rsidRPr="000834B3" w:rsidRDefault="000834B3" w:rsidP="000834B3">
      <w:pPr>
        <w:numPr>
          <w:ilvl w:val="1"/>
          <w:numId w:val="67"/>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A Luxembourg rule restricted reimbursement for spectacles purchased abroad, discouraging cross-border trade.</w:t>
      </w:r>
    </w:p>
    <w:p w14:paraId="7198B081" w14:textId="77777777" w:rsidR="000834B3" w:rsidRPr="000834B3" w:rsidRDefault="000834B3" w:rsidP="000834B3">
      <w:pPr>
        <w:numPr>
          <w:ilvl w:val="0"/>
          <w:numId w:val="67"/>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Judgment</w:t>
      </w:r>
      <w:r w:rsidRPr="000834B3">
        <w:rPr>
          <w:rFonts w:ascii="Times New Roman" w:hAnsi="Times New Roman"/>
          <w:lang w:val="en-HK"/>
        </w:rPr>
        <w:t>:</w:t>
      </w:r>
    </w:p>
    <w:p w14:paraId="09B827FF" w14:textId="77777777" w:rsidR="000834B3" w:rsidRPr="000834B3" w:rsidRDefault="000834B3" w:rsidP="000834B3">
      <w:pPr>
        <w:numPr>
          <w:ilvl w:val="1"/>
          <w:numId w:val="67"/>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The CJEU avoided treating the measure as a breach of Article 34, </w:t>
      </w:r>
      <w:proofErr w:type="spellStart"/>
      <w:r w:rsidRPr="000834B3">
        <w:rPr>
          <w:rFonts w:ascii="Times New Roman" w:hAnsi="Times New Roman"/>
          <w:lang w:val="en-HK"/>
        </w:rPr>
        <w:t>analyzing</w:t>
      </w:r>
      <w:proofErr w:type="spellEnd"/>
      <w:r w:rsidRPr="000834B3">
        <w:rPr>
          <w:rFonts w:ascii="Times New Roman" w:hAnsi="Times New Roman"/>
          <w:lang w:val="en-HK"/>
        </w:rPr>
        <w:t xml:space="preserve"> it under mandatory requirements instead.</w:t>
      </w:r>
    </w:p>
    <w:p w14:paraId="78E32119" w14:textId="77777777" w:rsidR="000834B3" w:rsidRPr="000834B3" w:rsidRDefault="000834B3" w:rsidP="000834B3">
      <w:pPr>
        <w:numPr>
          <w:ilvl w:val="0"/>
          <w:numId w:val="67"/>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Relevance</w:t>
      </w:r>
      <w:r w:rsidRPr="000834B3">
        <w:rPr>
          <w:rFonts w:ascii="Times New Roman" w:hAnsi="Times New Roman"/>
          <w:lang w:val="en-HK"/>
        </w:rPr>
        <w:t>:</w:t>
      </w:r>
    </w:p>
    <w:p w14:paraId="3C79B684" w14:textId="77777777" w:rsidR="000834B3" w:rsidRPr="000834B3" w:rsidRDefault="000834B3" w:rsidP="000834B3">
      <w:pPr>
        <w:numPr>
          <w:ilvl w:val="1"/>
          <w:numId w:val="67"/>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case supports the idea that measures fulfilling mandatory requirements can be excluded from Article 34.</w:t>
      </w:r>
    </w:p>
    <w:p w14:paraId="245BB827"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11EADF87">
          <v:rect id="_x0000_i1036" alt="" style="width:451.3pt;height:.05pt;mso-width-percent:0;mso-height-percent:0;mso-width-percent:0;mso-height-percent:0" o:hralign="center" o:hrstd="t" o:hr="t" fillcolor="#a0a0a0" stroked="f"/>
        </w:pict>
      </w:r>
    </w:p>
    <w:p w14:paraId="6DB46D9B"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5.4 Challenges to the Approach</w:t>
      </w:r>
    </w:p>
    <w:p w14:paraId="3DDDD16A"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1. Potential for Abuse</w:t>
      </w:r>
    </w:p>
    <w:p w14:paraId="01B79DF6" w14:textId="77777777" w:rsidR="000834B3" w:rsidRPr="000834B3" w:rsidRDefault="000834B3" w:rsidP="000834B3">
      <w:pPr>
        <w:numPr>
          <w:ilvl w:val="0"/>
          <w:numId w:val="6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lastRenderedPageBreak/>
        <w:t>Treating mandatory requirements as internal to Article 34 could encourage Member States to design restrictive measures disguised as public interest protections.</w:t>
      </w:r>
    </w:p>
    <w:p w14:paraId="7C33A0A8" w14:textId="77777777" w:rsidR="000834B3" w:rsidRPr="000834B3" w:rsidRDefault="000834B3" w:rsidP="000834B3">
      <w:pPr>
        <w:numPr>
          <w:ilvl w:val="0"/>
          <w:numId w:val="68"/>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warns that this approach might legitimize protectionist policies under the guise of regulatory objectives.</w:t>
      </w:r>
    </w:p>
    <w:p w14:paraId="63A7595F"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2. Risk of Fragmentation</w:t>
      </w:r>
    </w:p>
    <w:p w14:paraId="261C8A86" w14:textId="77777777" w:rsidR="000834B3" w:rsidRPr="000834B3" w:rsidRDefault="000834B3" w:rsidP="000834B3">
      <w:pPr>
        <w:numPr>
          <w:ilvl w:val="0"/>
          <w:numId w:val="69"/>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Excluding justified measures from Article 34 risks creating fragmentation within the internal market, as Member States may adopt divergent regulations without sufficient EU oversight.</w:t>
      </w:r>
    </w:p>
    <w:p w14:paraId="2FFAF792"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3. Proportionality Concerns</w:t>
      </w:r>
    </w:p>
    <w:p w14:paraId="49F85B0E" w14:textId="77777777" w:rsidR="000834B3" w:rsidRPr="000834B3" w:rsidRDefault="000834B3" w:rsidP="000834B3">
      <w:pPr>
        <w:numPr>
          <w:ilvl w:val="0"/>
          <w:numId w:val="7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Proportionality plays a critical role in justifying trade restrictions under the current framework.</w:t>
      </w:r>
    </w:p>
    <w:p w14:paraId="57C9F8B5" w14:textId="77777777" w:rsidR="000834B3" w:rsidRPr="000834B3" w:rsidRDefault="000834B3" w:rsidP="000834B3">
      <w:pPr>
        <w:numPr>
          <w:ilvl w:val="0"/>
          <w:numId w:val="70"/>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argues that treating mandatory requirements as internal to Article 34 might reduce the Court’s ability to assess proportionality rigorously, weakening the balance between free movement and regulatory autonomy.</w:t>
      </w:r>
    </w:p>
    <w:p w14:paraId="7A5722AC"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7A8E073F">
          <v:rect id="_x0000_i1035" alt="" style="width:451.3pt;height:.05pt;mso-width-percent:0;mso-height-percent:0;mso-width-percent:0;mso-height-percent:0" o:hralign="center" o:hrstd="t" o:hr="t" fillcolor="#a0a0a0" stroked="f"/>
        </w:pict>
      </w:r>
    </w:p>
    <w:p w14:paraId="7BDA2867"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5.5 Advantages of the Approach</w:t>
      </w:r>
    </w:p>
    <w:p w14:paraId="7B4CE449"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1. Legal Clarity</w:t>
      </w:r>
    </w:p>
    <w:p w14:paraId="4FDEC1E0" w14:textId="77777777" w:rsidR="000834B3" w:rsidRPr="000834B3" w:rsidRDefault="000834B3" w:rsidP="000834B3">
      <w:pPr>
        <w:numPr>
          <w:ilvl w:val="0"/>
          <w:numId w:val="7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Treating mandatory requirements as internal to Article 34 simplifies the legal framework, reducing the need for complex justification analyses.</w:t>
      </w:r>
    </w:p>
    <w:p w14:paraId="2FC083DF" w14:textId="77777777" w:rsidR="000834B3" w:rsidRPr="000834B3" w:rsidRDefault="000834B3" w:rsidP="000834B3">
      <w:pPr>
        <w:numPr>
          <w:ilvl w:val="0"/>
          <w:numId w:val="7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This approach clarifies the distinction between measures falling within Article 34 and those justified by legitimate objectives.</w:t>
      </w:r>
    </w:p>
    <w:p w14:paraId="078FBF28"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2. Respect for Member State Autonomy</w:t>
      </w:r>
    </w:p>
    <w:p w14:paraId="30A51D66" w14:textId="77777777" w:rsidR="000834B3" w:rsidRPr="000834B3" w:rsidRDefault="000834B3" w:rsidP="000834B3">
      <w:pPr>
        <w:numPr>
          <w:ilvl w:val="0"/>
          <w:numId w:val="72"/>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By excluding justified measures from Article 34, the approach respects Member States’ ability to regulate non-harmonized areas, consistent with the principle of subsidiarity.</w:t>
      </w:r>
    </w:p>
    <w:p w14:paraId="4965B0EA"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3. Alignment with the Court’s Precedents</w:t>
      </w:r>
    </w:p>
    <w:p w14:paraId="5D40D932" w14:textId="77777777" w:rsidR="000834B3" w:rsidRPr="000834B3" w:rsidRDefault="000834B3" w:rsidP="000834B3">
      <w:pPr>
        <w:numPr>
          <w:ilvl w:val="0"/>
          <w:numId w:val="7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The approach builds on cases like </w:t>
      </w:r>
      <w:r w:rsidRPr="000834B3">
        <w:rPr>
          <w:rFonts w:ascii="Times New Roman" w:hAnsi="Times New Roman"/>
          <w:i/>
          <w:iCs/>
          <w:lang w:val="en-HK"/>
        </w:rPr>
        <w:t>Keck</w:t>
      </w:r>
      <w:r w:rsidRPr="000834B3">
        <w:rPr>
          <w:rFonts w:ascii="Times New Roman" w:hAnsi="Times New Roman"/>
          <w:lang w:val="en-HK"/>
        </w:rPr>
        <w:t xml:space="preserve"> and </w:t>
      </w:r>
      <w:r w:rsidRPr="000834B3">
        <w:rPr>
          <w:rFonts w:ascii="Times New Roman" w:hAnsi="Times New Roman"/>
          <w:i/>
          <w:iCs/>
          <w:lang w:val="en-HK"/>
        </w:rPr>
        <w:t>Italian Trailers</w:t>
      </w:r>
      <w:r w:rsidRPr="000834B3">
        <w:rPr>
          <w:rFonts w:ascii="Times New Roman" w:hAnsi="Times New Roman"/>
          <w:lang w:val="en-HK"/>
        </w:rPr>
        <w:t>, which already exclude certain justified measures from the scope of Article 34.</w:t>
      </w:r>
    </w:p>
    <w:p w14:paraId="1BD94B5A"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35B8E77C">
          <v:rect id="_x0000_i1034" alt="" style="width:451.3pt;height:.05pt;mso-width-percent:0;mso-height-percent:0;mso-width-percent:0;mso-height-percent:0" o:hralign="center" o:hrstd="t" o:hr="t" fillcolor="#a0a0a0" stroked="f"/>
        </w:pict>
      </w:r>
    </w:p>
    <w:p w14:paraId="7A2C7CA8"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 xml:space="preserve">5.6 </w:t>
      </w:r>
      <w:proofErr w:type="spellStart"/>
      <w:r w:rsidRPr="000834B3">
        <w:rPr>
          <w:rFonts w:ascii="Times New Roman" w:hAnsi="Times New Roman"/>
          <w:b/>
          <w:bCs/>
          <w:lang w:val="en-HK"/>
        </w:rPr>
        <w:t>Spaventa’s</w:t>
      </w:r>
      <w:proofErr w:type="spellEnd"/>
      <w:r w:rsidRPr="000834B3">
        <w:rPr>
          <w:rFonts w:ascii="Times New Roman" w:hAnsi="Times New Roman"/>
          <w:b/>
          <w:bCs/>
          <w:lang w:val="en-HK"/>
        </w:rPr>
        <w:t xml:space="preserve"> Position</w:t>
      </w:r>
    </w:p>
    <w:p w14:paraId="17B72561"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lastRenderedPageBreak/>
        <w:t>Retaining the Distinction</w:t>
      </w:r>
    </w:p>
    <w:p w14:paraId="6821C6BD" w14:textId="77777777" w:rsidR="000834B3" w:rsidRPr="000834B3" w:rsidRDefault="000834B3" w:rsidP="000834B3">
      <w:pPr>
        <w:numPr>
          <w:ilvl w:val="0"/>
          <w:numId w:val="74"/>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supports the conceptual clarity of treating mandatory requirements as internal to Article 34 but cautions against undermining the Treaty’s objectives.</w:t>
      </w:r>
    </w:p>
    <w:p w14:paraId="72D22BF4" w14:textId="77777777" w:rsidR="000834B3" w:rsidRPr="000834B3" w:rsidRDefault="000834B3" w:rsidP="000834B3">
      <w:pPr>
        <w:numPr>
          <w:ilvl w:val="0"/>
          <w:numId w:val="7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She emphasizes the need for robust safeguards, such as proportionality and transparency, to prevent abuse.</w:t>
      </w:r>
    </w:p>
    <w:p w14:paraId="03ED340B"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Judicial Discipline</w:t>
      </w:r>
    </w:p>
    <w:p w14:paraId="3DF23BF9" w14:textId="77777777" w:rsidR="000834B3" w:rsidRPr="000834B3" w:rsidRDefault="000834B3" w:rsidP="000834B3">
      <w:pPr>
        <w:numPr>
          <w:ilvl w:val="0"/>
          <w:numId w:val="75"/>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The Court must apply clear criteria for determining when measures </w:t>
      </w:r>
      <w:proofErr w:type="spellStart"/>
      <w:r w:rsidRPr="000834B3">
        <w:rPr>
          <w:rFonts w:ascii="Times New Roman" w:hAnsi="Times New Roman"/>
          <w:lang w:val="en-HK"/>
        </w:rPr>
        <w:t>fulfill</w:t>
      </w:r>
      <w:proofErr w:type="spellEnd"/>
      <w:r w:rsidRPr="000834B3">
        <w:rPr>
          <w:rFonts w:ascii="Times New Roman" w:hAnsi="Times New Roman"/>
          <w:lang w:val="en-HK"/>
        </w:rPr>
        <w:t xml:space="preserve"> mandatory requirements, ensuring consistency and predictability.</w:t>
      </w:r>
    </w:p>
    <w:p w14:paraId="10F39F38"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11955398">
          <v:rect id="_x0000_i1033" alt="" style="width:451.3pt;height:.05pt;mso-width-percent:0;mso-height-percent:0;mso-width-percent:0;mso-height-percent:0" o:hralign="center" o:hrstd="t" o:hr="t" fillcolor="#a0a0a0" stroked="f"/>
        </w:pict>
      </w:r>
    </w:p>
    <w:p w14:paraId="6D2FE010"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Conclusion of Section 5</w:t>
      </w:r>
    </w:p>
    <w:p w14:paraId="60B3B2E8" w14:textId="77777777" w:rsidR="000834B3" w:rsidRPr="000834B3" w:rsidRDefault="000834B3" w:rsidP="000834B3">
      <w:pPr>
        <w:numPr>
          <w:ilvl w:val="0"/>
          <w:numId w:val="76"/>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argues that treating mandatory requirements as internal to Article 34 offers a conceptually coherent approach to justifying trade restrictions.</w:t>
      </w:r>
    </w:p>
    <w:p w14:paraId="68E35A1A" w14:textId="77777777" w:rsidR="000834B3" w:rsidRPr="000834B3" w:rsidRDefault="000834B3" w:rsidP="000834B3">
      <w:pPr>
        <w:numPr>
          <w:ilvl w:val="0"/>
          <w:numId w:val="7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While this approach simplifies the legal framework and respects Member States’ regulatory autonomy, it risks creating fragmentation and reducing judicial oversight.</w:t>
      </w:r>
    </w:p>
    <w:p w14:paraId="75047FE4" w14:textId="77777777" w:rsidR="000834B3" w:rsidRPr="000834B3" w:rsidRDefault="000834B3" w:rsidP="000834B3">
      <w:pPr>
        <w:numPr>
          <w:ilvl w:val="0"/>
          <w:numId w:val="76"/>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lang w:val="en-HK"/>
        </w:rPr>
        <w:t>Spaventa</w:t>
      </w:r>
      <w:proofErr w:type="spellEnd"/>
      <w:r w:rsidRPr="000834B3">
        <w:rPr>
          <w:rFonts w:ascii="Times New Roman" w:hAnsi="Times New Roman"/>
          <w:lang w:val="en-HK"/>
        </w:rPr>
        <w:t xml:space="preserve"> calls for a balanced approach that preserves the distinction between discriminatory and indistinctly applicable measures, ensuring that EU law continues to promote free movement while accommodating legitimate regulatory objectives.</w:t>
      </w:r>
    </w:p>
    <w:p w14:paraId="48AB55F9"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28B4B600">
          <v:rect id="_x0000_i1032" alt="" style="width:451.3pt;height:.05pt;mso-width-percent:0;mso-height-percent:0;mso-width-percent:0;mso-height-percent:0" o:hralign="center" o:hrstd="t" o:hr="t" fillcolor="#a0a0a0" stroked="f"/>
        </w:pict>
      </w:r>
    </w:p>
    <w:p w14:paraId="73795D17"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6. Conclusion</w:t>
      </w:r>
    </w:p>
    <w:p w14:paraId="11F529A7"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Overview</w:t>
      </w:r>
    </w:p>
    <w:p w14:paraId="054BAD89" w14:textId="77777777" w:rsidR="000834B3" w:rsidRPr="000834B3" w:rsidRDefault="000834B3" w:rsidP="000834B3">
      <w:pPr>
        <w:numPr>
          <w:ilvl w:val="0"/>
          <w:numId w:val="77"/>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conclusion summarizes the main findings and critiques presented in the article, focusing on the growing role of evidence in the CJEU’s evaluation of public interest justifications for restricting free movement.</w:t>
      </w:r>
    </w:p>
    <w:p w14:paraId="434D0748" w14:textId="77777777" w:rsidR="000834B3" w:rsidRPr="000834B3" w:rsidRDefault="000834B3" w:rsidP="000834B3">
      <w:pPr>
        <w:numPr>
          <w:ilvl w:val="0"/>
          <w:numId w:val="77"/>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Core Argument</w:t>
      </w:r>
      <w:r w:rsidRPr="000834B3">
        <w:rPr>
          <w:rFonts w:ascii="Times New Roman" w:hAnsi="Times New Roman"/>
          <w:lang w:val="en-HK"/>
        </w:rPr>
        <w:t>: The authors argue that while the CJEU’s emphasis on evidence enhances transparency and accountability, it also creates significant challenges for Member States, including inconsistent application, lack of clear evidentiary guidelines, and the risk of undermining legitimate public policy objectives.</w:t>
      </w:r>
    </w:p>
    <w:p w14:paraId="7D1D3CEE"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4813E2F8">
          <v:rect id="_x0000_i1031" alt="" style="width:451.3pt;height:.05pt;mso-width-percent:0;mso-height-percent:0;mso-width-percent:0;mso-height-percent:0" o:hralign="center" o:hrstd="t" o:hr="t" fillcolor="#a0a0a0" stroked="f"/>
        </w:pict>
      </w:r>
    </w:p>
    <w:p w14:paraId="65B76641"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6.1 The Role of Evidence: Benefits and Risks</w:t>
      </w:r>
    </w:p>
    <w:p w14:paraId="47DAA5C0"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Positive Developments</w:t>
      </w:r>
    </w:p>
    <w:p w14:paraId="2A15A44C" w14:textId="77777777" w:rsidR="000834B3" w:rsidRPr="000834B3" w:rsidRDefault="000834B3" w:rsidP="000834B3">
      <w:pPr>
        <w:numPr>
          <w:ilvl w:val="0"/>
          <w:numId w:val="78"/>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Enhanced Judicial Rigor</w:t>
      </w:r>
      <w:r w:rsidRPr="000834B3">
        <w:rPr>
          <w:rFonts w:ascii="Times New Roman" w:hAnsi="Times New Roman"/>
          <w:lang w:val="en-HK"/>
        </w:rPr>
        <w:t>:</w:t>
      </w:r>
    </w:p>
    <w:p w14:paraId="1B4CC084" w14:textId="77777777" w:rsidR="000834B3" w:rsidRPr="000834B3" w:rsidRDefault="000834B3" w:rsidP="000834B3">
      <w:pPr>
        <w:numPr>
          <w:ilvl w:val="1"/>
          <w:numId w:val="7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lastRenderedPageBreak/>
        <w:t>The CJEU’s focus on evidence ensures that public interest claims are not used as pretexts for protectionist policies.</w:t>
      </w:r>
    </w:p>
    <w:p w14:paraId="6A8257AD" w14:textId="77777777" w:rsidR="000834B3" w:rsidRPr="000834B3" w:rsidRDefault="000834B3" w:rsidP="000834B3">
      <w:pPr>
        <w:numPr>
          <w:ilvl w:val="1"/>
          <w:numId w:val="7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By requiring Member States to substantiate their claims with concrete, precise, and objective evidence, the Court strengthens the legitimacy of restrictions on free movement.</w:t>
      </w:r>
    </w:p>
    <w:p w14:paraId="256A6BE1" w14:textId="77777777" w:rsidR="000834B3" w:rsidRPr="000834B3" w:rsidRDefault="000834B3" w:rsidP="000834B3">
      <w:pPr>
        <w:numPr>
          <w:ilvl w:val="0"/>
          <w:numId w:val="78"/>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Accountability and Transparency</w:t>
      </w:r>
      <w:r w:rsidRPr="000834B3">
        <w:rPr>
          <w:rFonts w:ascii="Times New Roman" w:hAnsi="Times New Roman"/>
          <w:lang w:val="en-HK"/>
        </w:rPr>
        <w:t>:</w:t>
      </w:r>
    </w:p>
    <w:p w14:paraId="7EB95D04" w14:textId="77777777" w:rsidR="000834B3" w:rsidRPr="000834B3" w:rsidRDefault="000834B3" w:rsidP="000834B3">
      <w:pPr>
        <w:numPr>
          <w:ilvl w:val="1"/>
          <w:numId w:val="7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Evidence-based justifications promote accountability by requiring Member States to demonstrate that their measures genuinely pursue legitimate public interest objectives.</w:t>
      </w:r>
    </w:p>
    <w:p w14:paraId="28327131" w14:textId="77777777" w:rsidR="000834B3" w:rsidRPr="000834B3" w:rsidRDefault="000834B3" w:rsidP="000834B3">
      <w:pPr>
        <w:numPr>
          <w:ilvl w:val="1"/>
          <w:numId w:val="78"/>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Example</w:t>
      </w:r>
      <w:r w:rsidRPr="000834B3">
        <w:rPr>
          <w:rFonts w:ascii="Times New Roman" w:hAnsi="Times New Roman"/>
          <w:lang w:val="en-HK"/>
        </w:rPr>
        <w:t>:</w:t>
      </w:r>
    </w:p>
    <w:p w14:paraId="322D3FB1" w14:textId="77777777" w:rsidR="000834B3" w:rsidRPr="000834B3" w:rsidRDefault="000834B3" w:rsidP="000834B3">
      <w:pPr>
        <w:numPr>
          <w:ilvl w:val="2"/>
          <w:numId w:val="7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In </w:t>
      </w:r>
      <w:proofErr w:type="spellStart"/>
      <w:r w:rsidRPr="000834B3">
        <w:rPr>
          <w:rFonts w:ascii="Times New Roman" w:hAnsi="Times New Roman"/>
          <w:i/>
          <w:iCs/>
          <w:lang w:val="en-HK"/>
        </w:rPr>
        <w:t>Bluhme</w:t>
      </w:r>
      <w:proofErr w:type="spellEnd"/>
      <w:r w:rsidRPr="000834B3">
        <w:rPr>
          <w:rFonts w:ascii="Times New Roman" w:hAnsi="Times New Roman"/>
          <w:i/>
          <w:iCs/>
          <w:lang w:val="en-HK"/>
        </w:rPr>
        <w:t xml:space="preserve"> (Case C-67/97)</w:t>
      </w:r>
      <w:r w:rsidRPr="000834B3">
        <w:rPr>
          <w:rFonts w:ascii="Times New Roman" w:hAnsi="Times New Roman"/>
          <w:lang w:val="en-HK"/>
        </w:rPr>
        <w:t>, Denmark’s reliance on scientific evidence to justify its ban on non-native bees enhanced the credibility of its environmental protection claim.</w:t>
      </w:r>
    </w:p>
    <w:p w14:paraId="0CF12971"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Challenges and Criticisms</w:t>
      </w:r>
    </w:p>
    <w:p w14:paraId="1ACF9A1D" w14:textId="77777777" w:rsidR="000834B3" w:rsidRPr="000834B3" w:rsidRDefault="000834B3" w:rsidP="000834B3">
      <w:pPr>
        <w:numPr>
          <w:ilvl w:val="0"/>
          <w:numId w:val="79"/>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Inconsistent Application</w:t>
      </w:r>
      <w:r w:rsidRPr="000834B3">
        <w:rPr>
          <w:rFonts w:ascii="Times New Roman" w:hAnsi="Times New Roman"/>
          <w:lang w:val="en-HK"/>
        </w:rPr>
        <w:t>:</w:t>
      </w:r>
    </w:p>
    <w:p w14:paraId="2957F7A5" w14:textId="77777777" w:rsidR="000834B3" w:rsidRPr="000834B3" w:rsidRDefault="000834B3" w:rsidP="000834B3">
      <w:pPr>
        <w:numPr>
          <w:ilvl w:val="1"/>
          <w:numId w:val="79"/>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authors critique the CJEU for its inconsistent approach to evidentiary standards, which creates legal uncertainty for Member States.</w:t>
      </w:r>
    </w:p>
    <w:p w14:paraId="2EC435C1" w14:textId="77777777" w:rsidR="000834B3" w:rsidRPr="000834B3" w:rsidRDefault="000834B3" w:rsidP="000834B3">
      <w:pPr>
        <w:numPr>
          <w:ilvl w:val="1"/>
          <w:numId w:val="79"/>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Example</w:t>
      </w:r>
      <w:r w:rsidRPr="000834B3">
        <w:rPr>
          <w:rFonts w:ascii="Times New Roman" w:hAnsi="Times New Roman"/>
          <w:lang w:val="en-HK"/>
        </w:rPr>
        <w:t>:</w:t>
      </w:r>
    </w:p>
    <w:p w14:paraId="384F0B86" w14:textId="77777777" w:rsidR="000834B3" w:rsidRPr="000834B3" w:rsidRDefault="000834B3" w:rsidP="000834B3">
      <w:pPr>
        <w:numPr>
          <w:ilvl w:val="2"/>
          <w:numId w:val="79"/>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While the Court accepted broad scientific evidence in </w:t>
      </w:r>
      <w:proofErr w:type="spellStart"/>
      <w:r w:rsidRPr="000834B3">
        <w:rPr>
          <w:rFonts w:ascii="Times New Roman" w:hAnsi="Times New Roman"/>
          <w:i/>
          <w:iCs/>
          <w:lang w:val="en-HK"/>
        </w:rPr>
        <w:t>Bluhme</w:t>
      </w:r>
      <w:proofErr w:type="spellEnd"/>
      <w:r w:rsidRPr="000834B3">
        <w:rPr>
          <w:rFonts w:ascii="Times New Roman" w:hAnsi="Times New Roman"/>
          <w:lang w:val="en-HK"/>
        </w:rPr>
        <w:t xml:space="preserve">, it demanded detailed statistical data in </w:t>
      </w:r>
      <w:r w:rsidRPr="000834B3">
        <w:rPr>
          <w:rFonts w:ascii="Times New Roman" w:hAnsi="Times New Roman"/>
          <w:i/>
          <w:iCs/>
          <w:lang w:val="en-HK"/>
        </w:rPr>
        <w:t>Decker (Case C-120/95)</w:t>
      </w:r>
      <w:r w:rsidRPr="000834B3">
        <w:rPr>
          <w:rFonts w:ascii="Times New Roman" w:hAnsi="Times New Roman"/>
          <w:lang w:val="en-HK"/>
        </w:rPr>
        <w:t>, illustrating the variability in the Court’s expectations.</w:t>
      </w:r>
    </w:p>
    <w:p w14:paraId="4B79E86C" w14:textId="77777777" w:rsidR="000834B3" w:rsidRPr="000834B3" w:rsidRDefault="000834B3" w:rsidP="000834B3">
      <w:pPr>
        <w:numPr>
          <w:ilvl w:val="0"/>
          <w:numId w:val="79"/>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Overemphasis on Empirical Evidence</w:t>
      </w:r>
      <w:r w:rsidRPr="000834B3">
        <w:rPr>
          <w:rFonts w:ascii="Times New Roman" w:hAnsi="Times New Roman"/>
          <w:lang w:val="en-HK"/>
        </w:rPr>
        <w:t>:</w:t>
      </w:r>
    </w:p>
    <w:p w14:paraId="1ED661C9" w14:textId="77777777" w:rsidR="000834B3" w:rsidRPr="000834B3" w:rsidRDefault="000834B3" w:rsidP="000834B3">
      <w:pPr>
        <w:numPr>
          <w:ilvl w:val="1"/>
          <w:numId w:val="79"/>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Court’s reliance on empirical data risks sidelining important normative considerations, such as cultural identity or ethical values, which are difficult to quantify.</w:t>
      </w:r>
    </w:p>
    <w:p w14:paraId="21721ABD" w14:textId="77777777" w:rsidR="000834B3" w:rsidRPr="000834B3" w:rsidRDefault="000834B3" w:rsidP="000834B3">
      <w:pPr>
        <w:numPr>
          <w:ilvl w:val="1"/>
          <w:numId w:val="79"/>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Authors’ Critique</w:t>
      </w:r>
      <w:r w:rsidRPr="000834B3">
        <w:rPr>
          <w:rFonts w:ascii="Times New Roman" w:hAnsi="Times New Roman"/>
          <w:lang w:val="en-HK"/>
        </w:rPr>
        <w:t>:</w:t>
      </w:r>
    </w:p>
    <w:p w14:paraId="31787969" w14:textId="77777777" w:rsidR="000834B3" w:rsidRPr="000834B3" w:rsidRDefault="000834B3" w:rsidP="000834B3">
      <w:pPr>
        <w:numPr>
          <w:ilvl w:val="2"/>
          <w:numId w:val="79"/>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emphasis on empirical precision may undermine the flexibility needed for effective policymaking in complex or uncertain areas.”</w:t>
      </w:r>
    </w:p>
    <w:p w14:paraId="75D6862F"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3DF71A43">
          <v:rect id="_x0000_i1030" alt="" style="width:451.3pt;height:.05pt;mso-width-percent:0;mso-height-percent:0;mso-width-percent:0;mso-height-percent:0" o:hralign="center" o:hrstd="t" o:hr="t" fillcolor="#a0a0a0" stroked="f"/>
        </w:pict>
      </w:r>
    </w:p>
    <w:p w14:paraId="41E6BF7F"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6.2 Legal and Procedural Uncertainty</w:t>
      </w:r>
    </w:p>
    <w:p w14:paraId="4C4D3FBB"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Absence of Clear Guidelines</w:t>
      </w:r>
    </w:p>
    <w:p w14:paraId="4A92C58B" w14:textId="77777777" w:rsidR="000834B3" w:rsidRPr="000834B3" w:rsidRDefault="000834B3" w:rsidP="000834B3">
      <w:pPr>
        <w:numPr>
          <w:ilvl w:val="0"/>
          <w:numId w:val="8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CJEU has not established systematic guidelines on:</w:t>
      </w:r>
    </w:p>
    <w:p w14:paraId="7BB152D0" w14:textId="77777777" w:rsidR="000834B3" w:rsidRPr="000834B3" w:rsidRDefault="000834B3" w:rsidP="000834B3">
      <w:pPr>
        <w:numPr>
          <w:ilvl w:val="1"/>
          <w:numId w:val="8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What constitutes sufficient evidence.</w:t>
      </w:r>
    </w:p>
    <w:p w14:paraId="5CC2F64A" w14:textId="77777777" w:rsidR="000834B3" w:rsidRPr="000834B3" w:rsidRDefault="000834B3" w:rsidP="000834B3">
      <w:pPr>
        <w:numPr>
          <w:ilvl w:val="1"/>
          <w:numId w:val="8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How to balance empirical and normative considerations.</w:t>
      </w:r>
    </w:p>
    <w:p w14:paraId="3E6F50F8" w14:textId="77777777" w:rsidR="000834B3" w:rsidRPr="000834B3" w:rsidRDefault="000834B3" w:rsidP="000834B3">
      <w:pPr>
        <w:numPr>
          <w:ilvl w:val="1"/>
          <w:numId w:val="8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specific evidentiary requirements for different public interest objectives.</w:t>
      </w:r>
    </w:p>
    <w:p w14:paraId="4F821D00"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Impact on Member States</w:t>
      </w:r>
    </w:p>
    <w:p w14:paraId="4D9F59D9" w14:textId="77777777" w:rsidR="000834B3" w:rsidRPr="000834B3" w:rsidRDefault="000834B3" w:rsidP="000834B3">
      <w:pPr>
        <w:numPr>
          <w:ilvl w:val="0"/>
          <w:numId w:val="8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lastRenderedPageBreak/>
        <w:t>The lack of clarity creates challenges for Member States, particularly those with limited administrative capacities to gather and present robust evidence.</w:t>
      </w:r>
    </w:p>
    <w:p w14:paraId="7546B34B" w14:textId="77777777" w:rsidR="000834B3" w:rsidRPr="000834B3" w:rsidRDefault="000834B3" w:rsidP="000834B3">
      <w:pPr>
        <w:numPr>
          <w:ilvl w:val="0"/>
          <w:numId w:val="81"/>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Example</w:t>
      </w:r>
      <w:r w:rsidRPr="000834B3">
        <w:rPr>
          <w:rFonts w:ascii="Times New Roman" w:hAnsi="Times New Roman"/>
          <w:lang w:val="en-HK"/>
        </w:rPr>
        <w:t>:</w:t>
      </w:r>
    </w:p>
    <w:p w14:paraId="34593FCE" w14:textId="77777777" w:rsidR="000834B3" w:rsidRPr="000834B3" w:rsidRDefault="000834B3" w:rsidP="000834B3">
      <w:pPr>
        <w:numPr>
          <w:ilvl w:val="1"/>
          <w:numId w:val="81"/>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In </w:t>
      </w:r>
      <w:proofErr w:type="spellStart"/>
      <w:r w:rsidRPr="000834B3">
        <w:rPr>
          <w:rFonts w:ascii="Times New Roman" w:hAnsi="Times New Roman"/>
          <w:i/>
          <w:iCs/>
          <w:lang w:val="en-HK"/>
        </w:rPr>
        <w:t>Fachverband</w:t>
      </w:r>
      <w:proofErr w:type="spellEnd"/>
      <w:r w:rsidRPr="000834B3">
        <w:rPr>
          <w:rFonts w:ascii="Times New Roman" w:hAnsi="Times New Roman"/>
          <w:i/>
          <w:iCs/>
          <w:lang w:val="en-HK"/>
        </w:rPr>
        <w:t xml:space="preserve"> der Buch- und </w:t>
      </w:r>
      <w:proofErr w:type="spellStart"/>
      <w:r w:rsidRPr="000834B3">
        <w:rPr>
          <w:rFonts w:ascii="Times New Roman" w:hAnsi="Times New Roman"/>
          <w:i/>
          <w:iCs/>
          <w:lang w:val="en-HK"/>
        </w:rPr>
        <w:t>Medienwirtschaft</w:t>
      </w:r>
      <w:proofErr w:type="spellEnd"/>
      <w:r w:rsidRPr="000834B3">
        <w:rPr>
          <w:rFonts w:ascii="Times New Roman" w:hAnsi="Times New Roman"/>
          <w:i/>
          <w:iCs/>
          <w:lang w:val="en-HK"/>
        </w:rPr>
        <w:t xml:space="preserve"> (Case C-531/07)</w:t>
      </w:r>
      <w:r w:rsidRPr="000834B3">
        <w:rPr>
          <w:rFonts w:ascii="Times New Roman" w:hAnsi="Times New Roman"/>
          <w:lang w:val="en-HK"/>
        </w:rPr>
        <w:t>, Austria’s failure to provide adequate evidence for its cultural diversity claim led to the invalidation of its measure, highlighting the burden of proof on smaller or resource-constrained Member States.</w:t>
      </w:r>
    </w:p>
    <w:p w14:paraId="5EF1898A"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4BB751D5">
          <v:rect id="_x0000_i1029" alt="" style="width:451.3pt;height:.05pt;mso-width-percent:0;mso-height-percent:0;mso-width-percent:0;mso-height-percent:0" o:hralign="center" o:hrstd="t" o:hr="t" fillcolor="#a0a0a0" stroked="f"/>
        </w:pict>
      </w:r>
    </w:p>
    <w:p w14:paraId="73366CD0"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6.3 The Balance Between Free Movement and Public Interest</w:t>
      </w:r>
    </w:p>
    <w:p w14:paraId="09F9672B"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Tension in EU Law</w:t>
      </w:r>
    </w:p>
    <w:p w14:paraId="3FF79CFC" w14:textId="77777777" w:rsidR="000834B3" w:rsidRPr="000834B3" w:rsidRDefault="000834B3" w:rsidP="000834B3">
      <w:pPr>
        <w:numPr>
          <w:ilvl w:val="0"/>
          <w:numId w:val="82"/>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Treaty aims to balance two competing objectives:</w:t>
      </w:r>
    </w:p>
    <w:p w14:paraId="194E4A83" w14:textId="77777777" w:rsidR="000834B3" w:rsidRPr="000834B3" w:rsidRDefault="000834B3" w:rsidP="000834B3">
      <w:pPr>
        <w:numPr>
          <w:ilvl w:val="1"/>
          <w:numId w:val="8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Free Movement</w:t>
      </w:r>
      <w:r w:rsidRPr="000834B3">
        <w:rPr>
          <w:rFonts w:ascii="Times New Roman" w:hAnsi="Times New Roman"/>
          <w:lang w:val="en-HK"/>
        </w:rPr>
        <w:t>: Removing barriers to trade within the internal market.</w:t>
      </w:r>
    </w:p>
    <w:p w14:paraId="6B8D4AB2" w14:textId="77777777" w:rsidR="000834B3" w:rsidRPr="000834B3" w:rsidRDefault="000834B3" w:rsidP="000834B3">
      <w:pPr>
        <w:numPr>
          <w:ilvl w:val="1"/>
          <w:numId w:val="8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Public Interest</w:t>
      </w:r>
      <w:r w:rsidRPr="000834B3">
        <w:rPr>
          <w:rFonts w:ascii="Times New Roman" w:hAnsi="Times New Roman"/>
          <w:lang w:val="en-HK"/>
        </w:rPr>
        <w:t>: Allowing Member States to regulate in areas like public health, environmental protection, and cultural preservation.</w:t>
      </w:r>
    </w:p>
    <w:p w14:paraId="267776F7" w14:textId="77777777" w:rsidR="000834B3" w:rsidRPr="000834B3" w:rsidRDefault="000834B3" w:rsidP="000834B3">
      <w:pPr>
        <w:numPr>
          <w:ilvl w:val="0"/>
          <w:numId w:val="82"/>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Authors’ Observation</w:t>
      </w:r>
      <w:r w:rsidRPr="000834B3">
        <w:rPr>
          <w:rFonts w:ascii="Times New Roman" w:hAnsi="Times New Roman"/>
          <w:lang w:val="en-HK"/>
        </w:rPr>
        <w:t>:</w:t>
      </w:r>
    </w:p>
    <w:p w14:paraId="501BB593" w14:textId="77777777" w:rsidR="000834B3" w:rsidRPr="000834B3" w:rsidRDefault="000834B3" w:rsidP="000834B3">
      <w:pPr>
        <w:numPr>
          <w:ilvl w:val="1"/>
          <w:numId w:val="83"/>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 xml:space="preserve">The growing evidentiary demands on Member States risk tilting this balance in </w:t>
      </w:r>
      <w:proofErr w:type="spellStart"/>
      <w:r w:rsidRPr="000834B3">
        <w:rPr>
          <w:rFonts w:ascii="Times New Roman" w:hAnsi="Times New Roman"/>
          <w:lang w:val="en-HK"/>
        </w:rPr>
        <w:t>favor</w:t>
      </w:r>
      <w:proofErr w:type="spellEnd"/>
      <w:r w:rsidRPr="000834B3">
        <w:rPr>
          <w:rFonts w:ascii="Times New Roman" w:hAnsi="Times New Roman"/>
          <w:lang w:val="en-HK"/>
        </w:rPr>
        <w:t xml:space="preserve"> of free movement, potentially undermining legitimate public policy objectives.</w:t>
      </w:r>
    </w:p>
    <w:p w14:paraId="5211AC0E"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Case Examples Illustrating the Balance</w:t>
      </w:r>
    </w:p>
    <w:p w14:paraId="0B028542" w14:textId="77777777" w:rsidR="000834B3" w:rsidRPr="000834B3" w:rsidRDefault="000834B3" w:rsidP="000834B3">
      <w:pPr>
        <w:numPr>
          <w:ilvl w:val="0"/>
          <w:numId w:val="84"/>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Commission v. Belgium (Case C-145/09)</w:t>
      </w:r>
      <w:r w:rsidRPr="000834B3">
        <w:rPr>
          <w:rFonts w:ascii="Times New Roman" w:hAnsi="Times New Roman"/>
          <w:lang w:val="en-HK"/>
        </w:rPr>
        <w:t>:</w:t>
      </w:r>
    </w:p>
    <w:p w14:paraId="7ABEE53A" w14:textId="77777777" w:rsidR="000834B3" w:rsidRPr="000834B3" w:rsidRDefault="000834B3" w:rsidP="000834B3">
      <w:pPr>
        <w:numPr>
          <w:ilvl w:val="1"/>
          <w:numId w:val="8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Belgium’s environmental justification for waste import restrictions failed due to insufficient evidence, reflecting the Court’s prioritization of free movement over regulatory autonomy.</w:t>
      </w:r>
    </w:p>
    <w:p w14:paraId="086CE161" w14:textId="77777777" w:rsidR="000834B3" w:rsidRPr="000834B3" w:rsidRDefault="000834B3" w:rsidP="000834B3">
      <w:pPr>
        <w:numPr>
          <w:ilvl w:val="0"/>
          <w:numId w:val="84"/>
        </w:numPr>
        <w:spacing w:before="100" w:beforeAutospacing="1" w:after="100" w:afterAutospacing="1" w:line="276" w:lineRule="auto"/>
        <w:rPr>
          <w:rFonts w:ascii="Times New Roman" w:hAnsi="Times New Roman"/>
          <w:lang w:val="en-HK"/>
        </w:rPr>
      </w:pPr>
      <w:proofErr w:type="spellStart"/>
      <w:r w:rsidRPr="000834B3">
        <w:rPr>
          <w:rFonts w:ascii="Times New Roman" w:hAnsi="Times New Roman"/>
          <w:b/>
          <w:bCs/>
          <w:lang w:val="en-HK"/>
        </w:rPr>
        <w:t>Wallonian</w:t>
      </w:r>
      <w:proofErr w:type="spellEnd"/>
      <w:r w:rsidRPr="000834B3">
        <w:rPr>
          <w:rFonts w:ascii="Times New Roman" w:hAnsi="Times New Roman"/>
          <w:b/>
          <w:bCs/>
          <w:lang w:val="en-HK"/>
        </w:rPr>
        <w:t xml:space="preserve"> Waste (Case C-2/90)</w:t>
      </w:r>
      <w:r w:rsidRPr="000834B3">
        <w:rPr>
          <w:rFonts w:ascii="Times New Roman" w:hAnsi="Times New Roman"/>
          <w:lang w:val="en-HK"/>
        </w:rPr>
        <w:t>:</w:t>
      </w:r>
    </w:p>
    <w:p w14:paraId="540EEABA" w14:textId="77777777" w:rsidR="000834B3" w:rsidRPr="000834B3" w:rsidRDefault="000834B3" w:rsidP="000834B3">
      <w:pPr>
        <w:numPr>
          <w:ilvl w:val="1"/>
          <w:numId w:val="84"/>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Belgium successfully justified a similar restriction by providing detailed evidence, highlighting the role of evidence in maintaining the balance between free movement and public interest.</w:t>
      </w:r>
    </w:p>
    <w:p w14:paraId="5B4FCD04"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52CB3BE2">
          <v:rect id="_x0000_i1028" alt="" style="width:451.3pt;height:.05pt;mso-width-percent:0;mso-height-percent:0;mso-width-percent:0;mso-height-percent:0" o:hralign="center" o:hrstd="t" o:hr="t" fillcolor="#a0a0a0" stroked="f"/>
        </w:pict>
      </w:r>
    </w:p>
    <w:p w14:paraId="1F78FE6D"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6.4 Recommendations for Improvement</w:t>
      </w:r>
    </w:p>
    <w:p w14:paraId="7FC56B9E"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1. Developing Clear Evidentiary Standards</w:t>
      </w:r>
    </w:p>
    <w:p w14:paraId="53BE8C4D" w14:textId="77777777" w:rsidR="000834B3" w:rsidRPr="000834B3" w:rsidRDefault="000834B3" w:rsidP="000834B3">
      <w:pPr>
        <w:numPr>
          <w:ilvl w:val="0"/>
          <w:numId w:val="85"/>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authors call for the development of explicit guidelines on:</w:t>
      </w:r>
    </w:p>
    <w:p w14:paraId="50194235" w14:textId="77777777" w:rsidR="000834B3" w:rsidRPr="000834B3" w:rsidRDefault="000834B3" w:rsidP="000834B3">
      <w:pPr>
        <w:numPr>
          <w:ilvl w:val="1"/>
          <w:numId w:val="85"/>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type and quality of evidence required to substantiate public interest claims.</w:t>
      </w:r>
    </w:p>
    <w:p w14:paraId="740DDC18" w14:textId="77777777" w:rsidR="000834B3" w:rsidRPr="000834B3" w:rsidRDefault="000834B3" w:rsidP="000834B3">
      <w:pPr>
        <w:numPr>
          <w:ilvl w:val="1"/>
          <w:numId w:val="85"/>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balance between empirical data and normative considerations.</w:t>
      </w:r>
    </w:p>
    <w:p w14:paraId="52C173B0" w14:textId="77777777" w:rsidR="000834B3" w:rsidRPr="000834B3" w:rsidRDefault="000834B3" w:rsidP="000834B3">
      <w:pPr>
        <w:numPr>
          <w:ilvl w:val="0"/>
          <w:numId w:val="85"/>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Proposed Framework</w:t>
      </w:r>
      <w:r w:rsidRPr="000834B3">
        <w:rPr>
          <w:rFonts w:ascii="Times New Roman" w:hAnsi="Times New Roman"/>
          <w:lang w:val="en-HK"/>
        </w:rPr>
        <w:t>:</w:t>
      </w:r>
    </w:p>
    <w:p w14:paraId="62800139" w14:textId="77777777" w:rsidR="000834B3" w:rsidRPr="000834B3" w:rsidRDefault="000834B3" w:rsidP="000834B3">
      <w:pPr>
        <w:numPr>
          <w:ilvl w:val="1"/>
          <w:numId w:val="85"/>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lastRenderedPageBreak/>
        <w:t>A standardized evidentiary framework across Member States to enhance legal certainty and consistency in the Court’s rulings.</w:t>
      </w:r>
    </w:p>
    <w:p w14:paraId="63BBE330"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2. Allowing Flexibility in Emerging Policy Areas</w:t>
      </w:r>
    </w:p>
    <w:p w14:paraId="3A078F77" w14:textId="77777777" w:rsidR="000834B3" w:rsidRPr="000834B3" w:rsidRDefault="000834B3" w:rsidP="000834B3">
      <w:pPr>
        <w:numPr>
          <w:ilvl w:val="0"/>
          <w:numId w:val="8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CJEU should adopt a more flexible approach in areas where empirical evidence is inherently limited, such as climate change or digital regulation.</w:t>
      </w:r>
    </w:p>
    <w:p w14:paraId="4F1798B4" w14:textId="77777777" w:rsidR="000834B3" w:rsidRPr="000834B3" w:rsidRDefault="000834B3" w:rsidP="000834B3">
      <w:pPr>
        <w:numPr>
          <w:ilvl w:val="0"/>
          <w:numId w:val="86"/>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Authors’ Suggestion</w:t>
      </w:r>
      <w:r w:rsidRPr="000834B3">
        <w:rPr>
          <w:rFonts w:ascii="Times New Roman" w:hAnsi="Times New Roman"/>
          <w:lang w:val="en-HK"/>
        </w:rPr>
        <w:t>:</w:t>
      </w:r>
    </w:p>
    <w:p w14:paraId="574A0E60" w14:textId="77777777" w:rsidR="000834B3" w:rsidRPr="000834B3" w:rsidRDefault="000834B3" w:rsidP="000834B3">
      <w:pPr>
        <w:numPr>
          <w:ilvl w:val="1"/>
          <w:numId w:val="86"/>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Court should give greater weight to normative arguments in cases involving complex or uncertain policy objectives.</w:t>
      </w:r>
    </w:p>
    <w:p w14:paraId="4F1662AC"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3. Reaffirming the Role of Proportionality</w:t>
      </w:r>
    </w:p>
    <w:p w14:paraId="28D44C9C" w14:textId="77777777" w:rsidR="000834B3" w:rsidRPr="000834B3" w:rsidRDefault="000834B3" w:rsidP="000834B3">
      <w:pPr>
        <w:numPr>
          <w:ilvl w:val="0"/>
          <w:numId w:val="87"/>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proportionality test remains critical for evaluating public interest claims, ensuring that measures are suitable, necessary, and balanced.</w:t>
      </w:r>
    </w:p>
    <w:p w14:paraId="738BB444" w14:textId="77777777" w:rsidR="000834B3" w:rsidRPr="000834B3" w:rsidRDefault="000834B3" w:rsidP="000834B3">
      <w:pPr>
        <w:numPr>
          <w:ilvl w:val="0"/>
          <w:numId w:val="87"/>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authors emphasize the importance of proportionality in preventing the misuse of public interest justifications.</w:t>
      </w:r>
    </w:p>
    <w:p w14:paraId="518F8C5D"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59C52F55">
          <v:rect id="_x0000_i1027" alt="" style="width:451.3pt;height:.05pt;mso-width-percent:0;mso-height-percent:0;mso-width-percent:0;mso-height-percent:0" o:hralign="center" o:hrstd="t" o:hr="t" fillcolor="#a0a0a0" stroked="f"/>
        </w:pict>
      </w:r>
    </w:p>
    <w:p w14:paraId="0B08A8C6"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6.5 Broader Implications for EU Law</w:t>
      </w:r>
    </w:p>
    <w:p w14:paraId="663F775D"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Impact on Legal Certainty</w:t>
      </w:r>
    </w:p>
    <w:p w14:paraId="2BD316E9" w14:textId="77777777" w:rsidR="000834B3" w:rsidRPr="000834B3" w:rsidRDefault="000834B3" w:rsidP="000834B3">
      <w:pPr>
        <w:numPr>
          <w:ilvl w:val="0"/>
          <w:numId w:val="8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lack of consistency in the CJEU’s approach to evidence undermines legal certainty for businesses and national authorities.</w:t>
      </w:r>
    </w:p>
    <w:p w14:paraId="5C22A03D" w14:textId="77777777" w:rsidR="000834B3" w:rsidRPr="000834B3" w:rsidRDefault="000834B3" w:rsidP="000834B3">
      <w:pPr>
        <w:numPr>
          <w:ilvl w:val="0"/>
          <w:numId w:val="88"/>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t>Key Quote from the Authors</w:t>
      </w:r>
      <w:r w:rsidRPr="000834B3">
        <w:rPr>
          <w:rFonts w:ascii="Times New Roman" w:hAnsi="Times New Roman"/>
          <w:lang w:val="en-HK"/>
        </w:rPr>
        <w:t>:</w:t>
      </w:r>
    </w:p>
    <w:p w14:paraId="376A3BD2" w14:textId="77777777" w:rsidR="000834B3" w:rsidRPr="000834B3" w:rsidRDefault="000834B3" w:rsidP="000834B3">
      <w:pPr>
        <w:numPr>
          <w:ilvl w:val="1"/>
          <w:numId w:val="88"/>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“A coherent and transparent evidentiary framework is essential for maintaining trust in the judicial system and ensuring the uniform application of EU law.”</w:t>
      </w:r>
    </w:p>
    <w:p w14:paraId="0185C434" w14:textId="77777777" w:rsidR="000834B3" w:rsidRPr="000834B3" w:rsidRDefault="000834B3" w:rsidP="000834B3">
      <w:pPr>
        <w:spacing w:before="100" w:beforeAutospacing="1" w:after="100" w:afterAutospacing="1" w:line="276" w:lineRule="auto"/>
        <w:outlineLvl w:val="3"/>
        <w:rPr>
          <w:rFonts w:ascii="Times New Roman" w:hAnsi="Times New Roman"/>
          <w:b/>
          <w:bCs/>
          <w:lang w:val="en-HK"/>
        </w:rPr>
      </w:pPr>
      <w:r w:rsidRPr="000834B3">
        <w:rPr>
          <w:rFonts w:ascii="Times New Roman" w:hAnsi="Times New Roman"/>
          <w:b/>
          <w:bCs/>
          <w:lang w:val="en-HK"/>
        </w:rPr>
        <w:t>Safeguarding the Internal Market</w:t>
      </w:r>
    </w:p>
    <w:p w14:paraId="03C4BB5D" w14:textId="77777777" w:rsidR="000834B3" w:rsidRPr="000834B3" w:rsidRDefault="000834B3" w:rsidP="000834B3">
      <w:pPr>
        <w:numPr>
          <w:ilvl w:val="0"/>
          <w:numId w:val="89"/>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Evidence-based justifications play a vital role in preventing protectionist policies, ensuring the integrity of the internal market.</w:t>
      </w:r>
    </w:p>
    <w:p w14:paraId="2D54824E" w14:textId="77777777" w:rsidR="000834B3" w:rsidRPr="000834B3" w:rsidRDefault="000834B3" w:rsidP="000834B3">
      <w:pPr>
        <w:numPr>
          <w:ilvl w:val="0"/>
          <w:numId w:val="89"/>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However, the authors warn that overly rigid evidentiary standards risk fragmenting the market by creating disparities in how Member States justify restrictions.</w:t>
      </w:r>
    </w:p>
    <w:p w14:paraId="1E17AD10"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7CB5AEBC">
          <v:rect id="_x0000_i1026" alt="" style="width:451.3pt;height:.05pt;mso-width-percent:0;mso-height-percent:0;mso-width-percent:0;mso-height-percent:0" o:hralign="center" o:hrstd="t" o:hr="t" fillcolor="#a0a0a0" stroked="f"/>
        </w:pict>
      </w:r>
    </w:p>
    <w:p w14:paraId="0D56FBEC" w14:textId="77777777" w:rsidR="000834B3" w:rsidRPr="000834B3" w:rsidRDefault="000834B3" w:rsidP="000834B3">
      <w:pPr>
        <w:spacing w:before="100" w:beforeAutospacing="1" w:after="100" w:afterAutospacing="1" w:line="276" w:lineRule="auto"/>
        <w:outlineLvl w:val="2"/>
        <w:rPr>
          <w:rFonts w:ascii="Times New Roman" w:hAnsi="Times New Roman"/>
          <w:b/>
          <w:bCs/>
          <w:lang w:val="en-HK"/>
        </w:rPr>
      </w:pPr>
      <w:r w:rsidRPr="000834B3">
        <w:rPr>
          <w:rFonts w:ascii="Times New Roman" w:hAnsi="Times New Roman"/>
          <w:b/>
          <w:bCs/>
          <w:lang w:val="en-HK"/>
        </w:rPr>
        <w:t>Conclusion of Section 6</w:t>
      </w:r>
    </w:p>
    <w:p w14:paraId="5D0B31EF" w14:textId="77777777" w:rsidR="000834B3" w:rsidRPr="000834B3" w:rsidRDefault="000834B3" w:rsidP="000834B3">
      <w:pPr>
        <w:numPr>
          <w:ilvl w:val="0"/>
          <w:numId w:val="9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authors conclude that while the CJEU’s emphasis on evidence enhances the accountability and legitimacy of public interest claims, it also creates significant challenges for Member States.</w:t>
      </w:r>
    </w:p>
    <w:p w14:paraId="118791EE" w14:textId="77777777" w:rsidR="000834B3" w:rsidRPr="000834B3" w:rsidRDefault="000834B3" w:rsidP="000834B3">
      <w:pPr>
        <w:numPr>
          <w:ilvl w:val="0"/>
          <w:numId w:val="90"/>
        </w:numPr>
        <w:spacing w:before="100" w:beforeAutospacing="1" w:after="100" w:afterAutospacing="1" w:line="276" w:lineRule="auto"/>
        <w:rPr>
          <w:rFonts w:ascii="Times New Roman" w:hAnsi="Times New Roman"/>
          <w:lang w:val="en-HK"/>
        </w:rPr>
      </w:pPr>
      <w:r w:rsidRPr="000834B3">
        <w:rPr>
          <w:rFonts w:ascii="Times New Roman" w:hAnsi="Times New Roman"/>
          <w:b/>
          <w:bCs/>
          <w:lang w:val="en-HK"/>
        </w:rPr>
        <w:lastRenderedPageBreak/>
        <w:t>Key Takeaways</w:t>
      </w:r>
      <w:r w:rsidRPr="000834B3">
        <w:rPr>
          <w:rFonts w:ascii="Times New Roman" w:hAnsi="Times New Roman"/>
          <w:lang w:val="en-HK"/>
        </w:rPr>
        <w:t>:</w:t>
      </w:r>
    </w:p>
    <w:p w14:paraId="18F60924" w14:textId="77777777" w:rsidR="000834B3" w:rsidRPr="000834B3" w:rsidRDefault="000834B3" w:rsidP="000834B3">
      <w:pPr>
        <w:numPr>
          <w:ilvl w:val="1"/>
          <w:numId w:val="9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Legal certainty requires the development of clear and consistent evidentiary standards.</w:t>
      </w:r>
    </w:p>
    <w:p w14:paraId="31C96DF7" w14:textId="77777777" w:rsidR="000834B3" w:rsidRPr="000834B3" w:rsidRDefault="000834B3" w:rsidP="000834B3">
      <w:pPr>
        <w:numPr>
          <w:ilvl w:val="1"/>
          <w:numId w:val="9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The CJEU must balance its demand for empirical rigor with the practical realities of policymaking, particularly in emerging areas.</w:t>
      </w:r>
    </w:p>
    <w:p w14:paraId="178C65F0" w14:textId="77777777" w:rsidR="000834B3" w:rsidRPr="000834B3" w:rsidRDefault="000834B3" w:rsidP="000834B3">
      <w:pPr>
        <w:numPr>
          <w:ilvl w:val="1"/>
          <w:numId w:val="90"/>
        </w:numPr>
        <w:spacing w:before="100" w:beforeAutospacing="1" w:after="100" w:afterAutospacing="1" w:line="276" w:lineRule="auto"/>
        <w:rPr>
          <w:rFonts w:ascii="Times New Roman" w:hAnsi="Times New Roman"/>
          <w:lang w:val="en-HK"/>
        </w:rPr>
      </w:pPr>
      <w:r w:rsidRPr="000834B3">
        <w:rPr>
          <w:rFonts w:ascii="Times New Roman" w:hAnsi="Times New Roman"/>
          <w:lang w:val="en-HK"/>
        </w:rPr>
        <w:t>By addressing these challenges, the Court can maintain the balance between free movement and public interest, safeguarding the coherence and effectiveness of EU law.</w:t>
      </w:r>
    </w:p>
    <w:p w14:paraId="002F6D6D" w14:textId="77777777" w:rsidR="000834B3" w:rsidRPr="000834B3" w:rsidRDefault="0035240C" w:rsidP="000834B3">
      <w:pPr>
        <w:spacing w:line="276" w:lineRule="auto"/>
        <w:rPr>
          <w:rFonts w:ascii="Times New Roman" w:hAnsi="Times New Roman"/>
          <w:lang w:val="en-HK"/>
        </w:rPr>
      </w:pPr>
      <w:r w:rsidRPr="0035240C">
        <w:rPr>
          <w:rFonts w:ascii="Times New Roman" w:hAnsi="Times New Roman"/>
          <w:noProof/>
          <w:lang w:val="en-HK"/>
          <w14:ligatures w14:val="standardContextual"/>
        </w:rPr>
        <w:pict w14:anchorId="60FD60D9">
          <v:rect id="_x0000_i1025" alt="" style="width:451.3pt;height:.05pt;mso-width-percent:0;mso-height-percent:0;mso-width-percent:0;mso-height-percent:0" o:hralign="center" o:hrstd="t" o:hr="t" fillcolor="#a0a0a0" stroked="f"/>
        </w:pict>
      </w:r>
    </w:p>
    <w:p w14:paraId="5DF77E6F" w14:textId="77777777" w:rsidR="00CD39F1" w:rsidRPr="000834B3" w:rsidRDefault="00CD39F1" w:rsidP="000834B3">
      <w:pPr>
        <w:spacing w:line="276" w:lineRule="auto"/>
      </w:pPr>
    </w:p>
    <w:sectPr w:rsidR="00CD39F1" w:rsidRPr="000834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4226F"/>
    <w:multiLevelType w:val="multilevel"/>
    <w:tmpl w:val="6ACE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F17C8"/>
    <w:multiLevelType w:val="multilevel"/>
    <w:tmpl w:val="285224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F1CC9"/>
    <w:multiLevelType w:val="multilevel"/>
    <w:tmpl w:val="EF5A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704FE"/>
    <w:multiLevelType w:val="multilevel"/>
    <w:tmpl w:val="658C1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10D81"/>
    <w:multiLevelType w:val="multilevel"/>
    <w:tmpl w:val="8D1CFB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F685F"/>
    <w:multiLevelType w:val="multilevel"/>
    <w:tmpl w:val="98104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D1BAE"/>
    <w:multiLevelType w:val="multilevel"/>
    <w:tmpl w:val="26340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90F52"/>
    <w:multiLevelType w:val="multilevel"/>
    <w:tmpl w:val="CFB6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05163"/>
    <w:multiLevelType w:val="multilevel"/>
    <w:tmpl w:val="35DA4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C67C00"/>
    <w:multiLevelType w:val="multilevel"/>
    <w:tmpl w:val="A8FC4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56226"/>
    <w:multiLevelType w:val="multilevel"/>
    <w:tmpl w:val="2FC4D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6773DC"/>
    <w:multiLevelType w:val="multilevel"/>
    <w:tmpl w:val="35A2EB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93675"/>
    <w:multiLevelType w:val="multilevel"/>
    <w:tmpl w:val="AAD2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D26CC"/>
    <w:multiLevelType w:val="multilevel"/>
    <w:tmpl w:val="41969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0616B1"/>
    <w:multiLevelType w:val="multilevel"/>
    <w:tmpl w:val="65A29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63CEF"/>
    <w:multiLevelType w:val="multilevel"/>
    <w:tmpl w:val="D404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47300"/>
    <w:multiLevelType w:val="multilevel"/>
    <w:tmpl w:val="54F6E8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D603D"/>
    <w:multiLevelType w:val="multilevel"/>
    <w:tmpl w:val="B27C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A192D"/>
    <w:multiLevelType w:val="multilevel"/>
    <w:tmpl w:val="25F2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627BF3"/>
    <w:multiLevelType w:val="multilevel"/>
    <w:tmpl w:val="BD586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55AE1"/>
    <w:multiLevelType w:val="multilevel"/>
    <w:tmpl w:val="7BF6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3A359C"/>
    <w:multiLevelType w:val="multilevel"/>
    <w:tmpl w:val="D63C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402A07"/>
    <w:multiLevelType w:val="multilevel"/>
    <w:tmpl w:val="0A18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CB30E4"/>
    <w:multiLevelType w:val="multilevel"/>
    <w:tmpl w:val="B232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0B609A"/>
    <w:multiLevelType w:val="multilevel"/>
    <w:tmpl w:val="7898D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6C4C6E"/>
    <w:multiLevelType w:val="multilevel"/>
    <w:tmpl w:val="CA2A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6E4FB1"/>
    <w:multiLevelType w:val="multilevel"/>
    <w:tmpl w:val="DAD83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B1701D"/>
    <w:multiLevelType w:val="multilevel"/>
    <w:tmpl w:val="CFFA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9D5067"/>
    <w:multiLevelType w:val="multilevel"/>
    <w:tmpl w:val="7A6E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CA781B"/>
    <w:multiLevelType w:val="multilevel"/>
    <w:tmpl w:val="07C2F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F9413E"/>
    <w:multiLevelType w:val="multilevel"/>
    <w:tmpl w:val="511C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B653E2"/>
    <w:multiLevelType w:val="multilevel"/>
    <w:tmpl w:val="997CC0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E54C6A"/>
    <w:multiLevelType w:val="multilevel"/>
    <w:tmpl w:val="97C4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445822"/>
    <w:multiLevelType w:val="multilevel"/>
    <w:tmpl w:val="BB7AA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9E4C84"/>
    <w:multiLevelType w:val="multilevel"/>
    <w:tmpl w:val="58ECC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A25BA3"/>
    <w:multiLevelType w:val="multilevel"/>
    <w:tmpl w:val="6FB4DC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B7252B"/>
    <w:multiLevelType w:val="multilevel"/>
    <w:tmpl w:val="5D501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0C1DFD"/>
    <w:multiLevelType w:val="multilevel"/>
    <w:tmpl w:val="401A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FA4ECF"/>
    <w:multiLevelType w:val="multilevel"/>
    <w:tmpl w:val="20C6A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D9337F"/>
    <w:multiLevelType w:val="multilevel"/>
    <w:tmpl w:val="9538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752689"/>
    <w:multiLevelType w:val="multilevel"/>
    <w:tmpl w:val="1A687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483FE6"/>
    <w:multiLevelType w:val="multilevel"/>
    <w:tmpl w:val="48EA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9913ED"/>
    <w:multiLevelType w:val="multilevel"/>
    <w:tmpl w:val="334E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A63BB"/>
    <w:multiLevelType w:val="multilevel"/>
    <w:tmpl w:val="834C7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F75DF2"/>
    <w:multiLevelType w:val="multilevel"/>
    <w:tmpl w:val="C098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4B6AFF"/>
    <w:multiLevelType w:val="multilevel"/>
    <w:tmpl w:val="EA3CB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0B1599"/>
    <w:multiLevelType w:val="multilevel"/>
    <w:tmpl w:val="86667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A52AF8"/>
    <w:multiLevelType w:val="multilevel"/>
    <w:tmpl w:val="2E10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6C610E"/>
    <w:multiLevelType w:val="multilevel"/>
    <w:tmpl w:val="49825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0B5203"/>
    <w:multiLevelType w:val="multilevel"/>
    <w:tmpl w:val="08B8B6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392F17"/>
    <w:multiLevelType w:val="multilevel"/>
    <w:tmpl w:val="6512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6127ED"/>
    <w:multiLevelType w:val="multilevel"/>
    <w:tmpl w:val="C4E4F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9B533B"/>
    <w:multiLevelType w:val="multilevel"/>
    <w:tmpl w:val="AD3A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790605"/>
    <w:multiLevelType w:val="multilevel"/>
    <w:tmpl w:val="41A82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F514FB"/>
    <w:multiLevelType w:val="multilevel"/>
    <w:tmpl w:val="12A8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4755E4"/>
    <w:multiLevelType w:val="multilevel"/>
    <w:tmpl w:val="8FAE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BA1749"/>
    <w:multiLevelType w:val="multilevel"/>
    <w:tmpl w:val="E206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6A2764"/>
    <w:multiLevelType w:val="multilevel"/>
    <w:tmpl w:val="A6E0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B43A72"/>
    <w:multiLevelType w:val="multilevel"/>
    <w:tmpl w:val="D63A1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B5450E"/>
    <w:multiLevelType w:val="multilevel"/>
    <w:tmpl w:val="E45C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A06B32"/>
    <w:multiLevelType w:val="multilevel"/>
    <w:tmpl w:val="3BEC5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7C31A05"/>
    <w:multiLevelType w:val="multilevel"/>
    <w:tmpl w:val="F4FE64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CD2AE8"/>
    <w:multiLevelType w:val="multilevel"/>
    <w:tmpl w:val="9A066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D5606A"/>
    <w:multiLevelType w:val="multilevel"/>
    <w:tmpl w:val="F4F87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CD6744"/>
    <w:multiLevelType w:val="multilevel"/>
    <w:tmpl w:val="F2E4B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8F1120"/>
    <w:multiLevelType w:val="multilevel"/>
    <w:tmpl w:val="6414B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EE594D"/>
    <w:multiLevelType w:val="multilevel"/>
    <w:tmpl w:val="3FA620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9B2964"/>
    <w:multiLevelType w:val="multilevel"/>
    <w:tmpl w:val="3CF6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574D4E"/>
    <w:multiLevelType w:val="multilevel"/>
    <w:tmpl w:val="F77E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732646"/>
    <w:multiLevelType w:val="multilevel"/>
    <w:tmpl w:val="E4762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0E6CCA"/>
    <w:multiLevelType w:val="multilevel"/>
    <w:tmpl w:val="C1300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8F3168"/>
    <w:multiLevelType w:val="multilevel"/>
    <w:tmpl w:val="45A6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35141F"/>
    <w:multiLevelType w:val="multilevel"/>
    <w:tmpl w:val="566AB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E37A03"/>
    <w:multiLevelType w:val="multilevel"/>
    <w:tmpl w:val="126E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655298"/>
    <w:multiLevelType w:val="multilevel"/>
    <w:tmpl w:val="95460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467AC1"/>
    <w:multiLevelType w:val="multilevel"/>
    <w:tmpl w:val="1A9C4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825DBF"/>
    <w:multiLevelType w:val="multilevel"/>
    <w:tmpl w:val="5340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C55B01"/>
    <w:multiLevelType w:val="multilevel"/>
    <w:tmpl w:val="13D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AE656E"/>
    <w:multiLevelType w:val="multilevel"/>
    <w:tmpl w:val="0204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987068"/>
    <w:multiLevelType w:val="multilevel"/>
    <w:tmpl w:val="330801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A8111F"/>
    <w:multiLevelType w:val="multilevel"/>
    <w:tmpl w:val="1DD8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10699B"/>
    <w:multiLevelType w:val="multilevel"/>
    <w:tmpl w:val="4FA4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3D70FF"/>
    <w:multiLevelType w:val="multilevel"/>
    <w:tmpl w:val="5088F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CC2292"/>
    <w:multiLevelType w:val="multilevel"/>
    <w:tmpl w:val="F1C8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D879B8"/>
    <w:multiLevelType w:val="multilevel"/>
    <w:tmpl w:val="A704C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AD332C"/>
    <w:multiLevelType w:val="multilevel"/>
    <w:tmpl w:val="A5E28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B321C5"/>
    <w:multiLevelType w:val="multilevel"/>
    <w:tmpl w:val="5EC08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6F740BA"/>
    <w:multiLevelType w:val="multilevel"/>
    <w:tmpl w:val="BAB2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68421A"/>
    <w:multiLevelType w:val="multilevel"/>
    <w:tmpl w:val="5F9A2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3628AE"/>
    <w:multiLevelType w:val="multilevel"/>
    <w:tmpl w:val="9ACCF2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685913">
    <w:abstractNumId w:val="28"/>
  </w:num>
  <w:num w:numId="2" w16cid:durableId="1075394458">
    <w:abstractNumId w:val="24"/>
  </w:num>
  <w:num w:numId="3" w16cid:durableId="2085565129">
    <w:abstractNumId w:val="64"/>
  </w:num>
  <w:num w:numId="4" w16cid:durableId="1417748655">
    <w:abstractNumId w:val="11"/>
  </w:num>
  <w:num w:numId="5" w16cid:durableId="1434209226">
    <w:abstractNumId w:val="8"/>
  </w:num>
  <w:num w:numId="6" w16cid:durableId="152381743">
    <w:abstractNumId w:val="58"/>
  </w:num>
  <w:num w:numId="7" w16cid:durableId="670523432">
    <w:abstractNumId w:val="36"/>
  </w:num>
  <w:num w:numId="8" w16cid:durableId="46616187">
    <w:abstractNumId w:val="30"/>
  </w:num>
  <w:num w:numId="9" w16cid:durableId="1995452324">
    <w:abstractNumId w:val="0"/>
  </w:num>
  <w:num w:numId="10" w16cid:durableId="1910117623">
    <w:abstractNumId w:val="78"/>
  </w:num>
  <w:num w:numId="11" w16cid:durableId="405612742">
    <w:abstractNumId w:val="1"/>
  </w:num>
  <w:num w:numId="12" w16cid:durableId="271593209">
    <w:abstractNumId w:val="52"/>
  </w:num>
  <w:num w:numId="13" w16cid:durableId="36778475">
    <w:abstractNumId w:val="34"/>
  </w:num>
  <w:num w:numId="14" w16cid:durableId="87623752">
    <w:abstractNumId w:val="40"/>
  </w:num>
  <w:num w:numId="15" w16cid:durableId="67846045">
    <w:abstractNumId w:val="85"/>
  </w:num>
  <w:num w:numId="16" w16cid:durableId="1696155388">
    <w:abstractNumId w:val="35"/>
  </w:num>
  <w:num w:numId="17" w16cid:durableId="2083216069">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500654728">
    <w:abstractNumId w:val="16"/>
  </w:num>
  <w:num w:numId="19" w16cid:durableId="853424003">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2102942354">
    <w:abstractNumId w:val="88"/>
  </w:num>
  <w:num w:numId="21" w16cid:durableId="1714841045">
    <w:abstractNumId w:val="67"/>
  </w:num>
  <w:num w:numId="22" w16cid:durableId="773132171">
    <w:abstractNumId w:val="65"/>
  </w:num>
  <w:num w:numId="23" w16cid:durableId="1581673859">
    <w:abstractNumId w:val="4"/>
  </w:num>
  <w:num w:numId="24" w16cid:durableId="1691839269">
    <w:abstractNumId w:val="9"/>
  </w:num>
  <w:num w:numId="25" w16cid:durableId="992221936">
    <w:abstractNumId w:val="33"/>
  </w:num>
  <w:num w:numId="26" w16cid:durableId="1519852757">
    <w:abstractNumId w:val="6"/>
  </w:num>
  <w:num w:numId="27" w16cid:durableId="514467673">
    <w:abstractNumId w:val="12"/>
  </w:num>
  <w:num w:numId="28" w16cid:durableId="943419784">
    <w:abstractNumId w:val="45"/>
  </w:num>
  <w:num w:numId="29" w16cid:durableId="1905074">
    <w:abstractNumId w:val="45"/>
    <w:lvlOverride w:ilvl="1">
      <w:lvl w:ilvl="1">
        <w:numFmt w:val="decimal"/>
        <w:lvlText w:val="%2."/>
        <w:lvlJc w:val="left"/>
      </w:lvl>
    </w:lvlOverride>
  </w:num>
  <w:num w:numId="30" w16cid:durableId="1003894706">
    <w:abstractNumId w:val="82"/>
  </w:num>
  <w:num w:numId="31" w16cid:durableId="313683173">
    <w:abstractNumId w:val="69"/>
  </w:num>
  <w:num w:numId="32" w16cid:durableId="1665015190">
    <w:abstractNumId w:val="61"/>
  </w:num>
  <w:num w:numId="33" w16cid:durableId="1264146721">
    <w:abstractNumId w:val="50"/>
  </w:num>
  <w:num w:numId="34" w16cid:durableId="1250852506">
    <w:abstractNumId w:val="19"/>
  </w:num>
  <w:num w:numId="35" w16cid:durableId="2104101975">
    <w:abstractNumId w:val="44"/>
  </w:num>
  <w:num w:numId="36" w16cid:durableId="846477510">
    <w:abstractNumId w:val="22"/>
  </w:num>
  <w:num w:numId="37" w16cid:durableId="905064924">
    <w:abstractNumId w:val="56"/>
  </w:num>
  <w:num w:numId="38" w16cid:durableId="1508207889">
    <w:abstractNumId w:val="81"/>
  </w:num>
  <w:num w:numId="39" w16cid:durableId="340279627">
    <w:abstractNumId w:val="80"/>
  </w:num>
  <w:num w:numId="40" w16cid:durableId="2012945177">
    <w:abstractNumId w:val="18"/>
  </w:num>
  <w:num w:numId="41" w16cid:durableId="1513716662">
    <w:abstractNumId w:val="59"/>
  </w:num>
  <w:num w:numId="42" w16cid:durableId="775561271">
    <w:abstractNumId w:val="39"/>
  </w:num>
  <w:num w:numId="43" w16cid:durableId="1738429912">
    <w:abstractNumId w:val="23"/>
  </w:num>
  <w:num w:numId="44" w16cid:durableId="1971130832">
    <w:abstractNumId w:val="27"/>
  </w:num>
  <w:num w:numId="45" w16cid:durableId="389769681">
    <w:abstractNumId w:val="2"/>
  </w:num>
  <w:num w:numId="46" w16cid:durableId="1700936326">
    <w:abstractNumId w:val="49"/>
  </w:num>
  <w:num w:numId="47" w16cid:durableId="2009551741">
    <w:abstractNumId w:val="70"/>
  </w:num>
  <w:num w:numId="48" w16cid:durableId="1874689489">
    <w:abstractNumId w:val="26"/>
  </w:num>
  <w:num w:numId="49" w16cid:durableId="51000865">
    <w:abstractNumId w:val="7"/>
  </w:num>
  <w:num w:numId="50" w16cid:durableId="967512265">
    <w:abstractNumId w:val="72"/>
  </w:num>
  <w:num w:numId="51" w16cid:durableId="1229728366">
    <w:abstractNumId w:val="13"/>
  </w:num>
  <w:num w:numId="52" w16cid:durableId="422186903">
    <w:abstractNumId w:val="5"/>
  </w:num>
  <w:num w:numId="53" w16cid:durableId="795566075">
    <w:abstractNumId w:val="51"/>
  </w:num>
  <w:num w:numId="54" w16cid:durableId="1829250739">
    <w:abstractNumId w:val="75"/>
  </w:num>
  <w:num w:numId="55" w16cid:durableId="1689142899">
    <w:abstractNumId w:val="71"/>
  </w:num>
  <w:num w:numId="56" w16cid:durableId="805464540">
    <w:abstractNumId w:val="76"/>
  </w:num>
  <w:num w:numId="57" w16cid:durableId="536508945">
    <w:abstractNumId w:val="87"/>
  </w:num>
  <w:num w:numId="58" w16cid:durableId="109666248">
    <w:abstractNumId w:val="25"/>
  </w:num>
  <w:num w:numId="59" w16cid:durableId="569652207">
    <w:abstractNumId w:val="37"/>
  </w:num>
  <w:num w:numId="60" w16cid:durableId="517158209">
    <w:abstractNumId w:val="20"/>
  </w:num>
  <w:num w:numId="61" w16cid:durableId="1414282539">
    <w:abstractNumId w:val="29"/>
  </w:num>
  <w:num w:numId="62" w16cid:durableId="265424991">
    <w:abstractNumId w:val="79"/>
  </w:num>
  <w:num w:numId="63" w16cid:durableId="253897731">
    <w:abstractNumId w:val="43"/>
  </w:num>
  <w:num w:numId="64" w16cid:durableId="1736397634">
    <w:abstractNumId w:val="17"/>
  </w:num>
  <w:num w:numId="65" w16cid:durableId="628391813">
    <w:abstractNumId w:val="62"/>
  </w:num>
  <w:num w:numId="66" w16cid:durableId="486172450">
    <w:abstractNumId w:val="63"/>
  </w:num>
  <w:num w:numId="67" w16cid:durableId="909076899">
    <w:abstractNumId w:val="46"/>
  </w:num>
  <w:num w:numId="68" w16cid:durableId="735935725">
    <w:abstractNumId w:val="57"/>
  </w:num>
  <w:num w:numId="69" w16cid:durableId="2037846472">
    <w:abstractNumId w:val="77"/>
  </w:num>
  <w:num w:numId="70" w16cid:durableId="1780637649">
    <w:abstractNumId w:val="68"/>
  </w:num>
  <w:num w:numId="71" w16cid:durableId="311907454">
    <w:abstractNumId w:val="15"/>
  </w:num>
  <w:num w:numId="72" w16cid:durableId="439640865">
    <w:abstractNumId w:val="21"/>
  </w:num>
  <w:num w:numId="73" w16cid:durableId="1885094967">
    <w:abstractNumId w:val="42"/>
  </w:num>
  <w:num w:numId="74" w16cid:durableId="2096198392">
    <w:abstractNumId w:val="32"/>
  </w:num>
  <w:num w:numId="75" w16cid:durableId="2002392563">
    <w:abstractNumId w:val="83"/>
  </w:num>
  <w:num w:numId="76" w16cid:durableId="2036883782">
    <w:abstractNumId w:val="47"/>
  </w:num>
  <w:num w:numId="77" w16cid:durableId="1441101606">
    <w:abstractNumId w:val="54"/>
  </w:num>
  <w:num w:numId="78" w16cid:durableId="1245145568">
    <w:abstractNumId w:val="48"/>
  </w:num>
  <w:num w:numId="79" w16cid:durableId="1918049939">
    <w:abstractNumId w:val="10"/>
  </w:num>
  <w:num w:numId="80" w16cid:durableId="22171330">
    <w:abstractNumId w:val="31"/>
  </w:num>
  <w:num w:numId="81" w16cid:durableId="580066394">
    <w:abstractNumId w:val="38"/>
  </w:num>
  <w:num w:numId="82" w16cid:durableId="967512696">
    <w:abstractNumId w:val="66"/>
  </w:num>
  <w:num w:numId="83" w16cid:durableId="307824035">
    <w:abstractNumId w:val="66"/>
    <w:lvlOverride w:ilvl="1">
      <w:lvl w:ilvl="1">
        <w:numFmt w:val="bullet"/>
        <w:lvlText w:val="o"/>
        <w:lvlJc w:val="left"/>
        <w:pPr>
          <w:tabs>
            <w:tab w:val="num" w:pos="1440"/>
          </w:tabs>
          <w:ind w:left="1440" w:hanging="360"/>
        </w:pPr>
        <w:rPr>
          <w:rFonts w:ascii="Courier New" w:hAnsi="Courier New" w:hint="default"/>
          <w:sz w:val="20"/>
        </w:rPr>
      </w:lvl>
    </w:lvlOverride>
  </w:num>
  <w:num w:numId="84" w16cid:durableId="1080442896">
    <w:abstractNumId w:val="86"/>
  </w:num>
  <w:num w:numId="85" w16cid:durableId="1967542055">
    <w:abstractNumId w:val="74"/>
  </w:num>
  <w:num w:numId="86" w16cid:durableId="1757166954">
    <w:abstractNumId w:val="53"/>
  </w:num>
  <w:num w:numId="87" w16cid:durableId="484320381">
    <w:abstractNumId w:val="41"/>
  </w:num>
  <w:num w:numId="88" w16cid:durableId="1578321148">
    <w:abstractNumId w:val="14"/>
  </w:num>
  <w:num w:numId="89" w16cid:durableId="1446003726">
    <w:abstractNumId w:val="55"/>
  </w:num>
  <w:num w:numId="90" w16cid:durableId="695891755">
    <w:abstractNumId w:val="89"/>
  </w:num>
  <w:num w:numId="91" w16cid:durableId="1058633048">
    <w:abstractNumId w:val="60"/>
  </w:num>
  <w:num w:numId="92" w16cid:durableId="537819916">
    <w:abstractNumId w:val="3"/>
  </w:num>
  <w:num w:numId="93" w16cid:durableId="794107411">
    <w:abstractNumId w:val="73"/>
  </w:num>
  <w:num w:numId="94" w16cid:durableId="1775634882">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DF8"/>
    <w:rsid w:val="00012117"/>
    <w:rsid w:val="000147A9"/>
    <w:rsid w:val="00042755"/>
    <w:rsid w:val="0006107D"/>
    <w:rsid w:val="000623A3"/>
    <w:rsid w:val="00066D1D"/>
    <w:rsid w:val="000719DA"/>
    <w:rsid w:val="000834B3"/>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66000"/>
    <w:rsid w:val="00291F37"/>
    <w:rsid w:val="00297C6E"/>
    <w:rsid w:val="002B3377"/>
    <w:rsid w:val="002D715D"/>
    <w:rsid w:val="002E3864"/>
    <w:rsid w:val="002E46F2"/>
    <w:rsid w:val="002F1DB1"/>
    <w:rsid w:val="002F20B2"/>
    <w:rsid w:val="002F53C9"/>
    <w:rsid w:val="003048A0"/>
    <w:rsid w:val="0031138E"/>
    <w:rsid w:val="0031474F"/>
    <w:rsid w:val="00315815"/>
    <w:rsid w:val="003278F5"/>
    <w:rsid w:val="00330665"/>
    <w:rsid w:val="00342A18"/>
    <w:rsid w:val="0035240C"/>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C231D"/>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AC8"/>
    <w:rsid w:val="00D0623C"/>
    <w:rsid w:val="00D07271"/>
    <w:rsid w:val="00D16917"/>
    <w:rsid w:val="00D65735"/>
    <w:rsid w:val="00D73E2C"/>
    <w:rsid w:val="00D76D14"/>
    <w:rsid w:val="00DA31CB"/>
    <w:rsid w:val="00DA3D31"/>
    <w:rsid w:val="00DA4488"/>
    <w:rsid w:val="00DB1DF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84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CCC4B"/>
  <w15:chartTrackingRefBased/>
  <w15:docId w15:val="{2487DE44-CBC9-C04B-B51D-936F7947A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DB1D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1D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1DF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B1DF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1DF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B1DF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1DF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1DF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1DF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DF8"/>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DB1DF8"/>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DB1DF8"/>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DB1DF8"/>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DB1DF8"/>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DB1DF8"/>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DB1DF8"/>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DB1DF8"/>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DB1DF8"/>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DB1D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DF8"/>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DB1DF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DF8"/>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DB1D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1DF8"/>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DB1DF8"/>
    <w:pPr>
      <w:ind w:left="720"/>
      <w:contextualSpacing/>
    </w:pPr>
  </w:style>
  <w:style w:type="character" w:styleId="IntenseEmphasis">
    <w:name w:val="Intense Emphasis"/>
    <w:basedOn w:val="DefaultParagraphFont"/>
    <w:uiPriority w:val="21"/>
    <w:qFormat/>
    <w:rsid w:val="00DB1DF8"/>
    <w:rPr>
      <w:i/>
      <w:iCs/>
      <w:color w:val="2F5496" w:themeColor="accent1" w:themeShade="BF"/>
    </w:rPr>
  </w:style>
  <w:style w:type="paragraph" w:styleId="IntenseQuote">
    <w:name w:val="Intense Quote"/>
    <w:basedOn w:val="Normal"/>
    <w:next w:val="Normal"/>
    <w:link w:val="IntenseQuoteChar"/>
    <w:uiPriority w:val="30"/>
    <w:qFormat/>
    <w:rsid w:val="00DB1D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DF8"/>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DB1DF8"/>
    <w:rPr>
      <w:b/>
      <w:bCs/>
      <w:smallCaps/>
      <w:color w:val="2F5496" w:themeColor="accent1" w:themeShade="BF"/>
      <w:spacing w:val="5"/>
    </w:rPr>
  </w:style>
  <w:style w:type="character" w:styleId="Strong">
    <w:name w:val="Strong"/>
    <w:basedOn w:val="DefaultParagraphFont"/>
    <w:uiPriority w:val="22"/>
    <w:qFormat/>
    <w:rsid w:val="000834B3"/>
    <w:rPr>
      <w:b/>
      <w:bCs/>
    </w:rPr>
  </w:style>
  <w:style w:type="character" w:styleId="Emphasis">
    <w:name w:val="Emphasis"/>
    <w:basedOn w:val="DefaultParagraphFont"/>
    <w:uiPriority w:val="20"/>
    <w:qFormat/>
    <w:rsid w:val="000834B3"/>
    <w:rPr>
      <w:i/>
      <w:iCs/>
    </w:rPr>
  </w:style>
  <w:style w:type="paragraph" w:styleId="NormalWeb">
    <w:name w:val="Normal (Web)"/>
    <w:basedOn w:val="Normal"/>
    <w:uiPriority w:val="99"/>
    <w:semiHidden/>
    <w:unhideWhenUsed/>
    <w:rsid w:val="000834B3"/>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576132">
      <w:bodyDiv w:val="1"/>
      <w:marLeft w:val="0"/>
      <w:marRight w:val="0"/>
      <w:marTop w:val="0"/>
      <w:marBottom w:val="0"/>
      <w:divBdr>
        <w:top w:val="none" w:sz="0" w:space="0" w:color="auto"/>
        <w:left w:val="none" w:sz="0" w:space="0" w:color="auto"/>
        <w:bottom w:val="none" w:sz="0" w:space="0" w:color="auto"/>
        <w:right w:val="none" w:sz="0" w:space="0" w:color="auto"/>
      </w:divBdr>
    </w:div>
    <w:div w:id="141192758">
      <w:bodyDiv w:val="1"/>
      <w:marLeft w:val="0"/>
      <w:marRight w:val="0"/>
      <w:marTop w:val="0"/>
      <w:marBottom w:val="0"/>
      <w:divBdr>
        <w:top w:val="none" w:sz="0" w:space="0" w:color="auto"/>
        <w:left w:val="none" w:sz="0" w:space="0" w:color="auto"/>
        <w:bottom w:val="none" w:sz="0" w:space="0" w:color="auto"/>
        <w:right w:val="none" w:sz="0" w:space="0" w:color="auto"/>
      </w:divBdr>
    </w:div>
    <w:div w:id="446196468">
      <w:bodyDiv w:val="1"/>
      <w:marLeft w:val="0"/>
      <w:marRight w:val="0"/>
      <w:marTop w:val="0"/>
      <w:marBottom w:val="0"/>
      <w:divBdr>
        <w:top w:val="none" w:sz="0" w:space="0" w:color="auto"/>
        <w:left w:val="none" w:sz="0" w:space="0" w:color="auto"/>
        <w:bottom w:val="none" w:sz="0" w:space="0" w:color="auto"/>
        <w:right w:val="none" w:sz="0" w:space="0" w:color="auto"/>
      </w:divBdr>
    </w:div>
    <w:div w:id="1401947455">
      <w:bodyDiv w:val="1"/>
      <w:marLeft w:val="0"/>
      <w:marRight w:val="0"/>
      <w:marTop w:val="0"/>
      <w:marBottom w:val="0"/>
      <w:divBdr>
        <w:top w:val="none" w:sz="0" w:space="0" w:color="auto"/>
        <w:left w:val="none" w:sz="0" w:space="0" w:color="auto"/>
        <w:bottom w:val="none" w:sz="0" w:space="0" w:color="auto"/>
        <w:right w:val="none" w:sz="0" w:space="0" w:color="auto"/>
      </w:divBdr>
    </w:div>
    <w:div w:id="1428232939">
      <w:bodyDiv w:val="1"/>
      <w:marLeft w:val="0"/>
      <w:marRight w:val="0"/>
      <w:marTop w:val="0"/>
      <w:marBottom w:val="0"/>
      <w:divBdr>
        <w:top w:val="none" w:sz="0" w:space="0" w:color="auto"/>
        <w:left w:val="none" w:sz="0" w:space="0" w:color="auto"/>
        <w:bottom w:val="none" w:sz="0" w:space="0" w:color="auto"/>
        <w:right w:val="none" w:sz="0" w:space="0" w:color="auto"/>
      </w:divBdr>
    </w:div>
    <w:div w:id="1805124984">
      <w:bodyDiv w:val="1"/>
      <w:marLeft w:val="0"/>
      <w:marRight w:val="0"/>
      <w:marTop w:val="0"/>
      <w:marBottom w:val="0"/>
      <w:divBdr>
        <w:top w:val="none" w:sz="0" w:space="0" w:color="auto"/>
        <w:left w:val="none" w:sz="0" w:space="0" w:color="auto"/>
        <w:bottom w:val="none" w:sz="0" w:space="0" w:color="auto"/>
        <w:right w:val="none" w:sz="0" w:space="0" w:color="auto"/>
      </w:divBdr>
      <w:divsChild>
        <w:div w:id="670912066">
          <w:marLeft w:val="0"/>
          <w:marRight w:val="0"/>
          <w:marTop w:val="0"/>
          <w:marBottom w:val="0"/>
          <w:divBdr>
            <w:top w:val="none" w:sz="0" w:space="0" w:color="auto"/>
            <w:left w:val="none" w:sz="0" w:space="0" w:color="auto"/>
            <w:bottom w:val="none" w:sz="0" w:space="0" w:color="auto"/>
            <w:right w:val="none" w:sz="0" w:space="0" w:color="auto"/>
          </w:divBdr>
          <w:divsChild>
            <w:div w:id="521356951">
              <w:marLeft w:val="0"/>
              <w:marRight w:val="0"/>
              <w:marTop w:val="0"/>
              <w:marBottom w:val="0"/>
              <w:divBdr>
                <w:top w:val="none" w:sz="0" w:space="0" w:color="auto"/>
                <w:left w:val="none" w:sz="0" w:space="0" w:color="auto"/>
                <w:bottom w:val="none" w:sz="0" w:space="0" w:color="auto"/>
                <w:right w:val="none" w:sz="0" w:space="0" w:color="auto"/>
              </w:divBdr>
              <w:divsChild>
                <w:div w:id="1693340058">
                  <w:marLeft w:val="0"/>
                  <w:marRight w:val="0"/>
                  <w:marTop w:val="0"/>
                  <w:marBottom w:val="0"/>
                  <w:divBdr>
                    <w:top w:val="none" w:sz="0" w:space="0" w:color="auto"/>
                    <w:left w:val="none" w:sz="0" w:space="0" w:color="auto"/>
                    <w:bottom w:val="none" w:sz="0" w:space="0" w:color="auto"/>
                    <w:right w:val="none" w:sz="0" w:space="0" w:color="auto"/>
                  </w:divBdr>
                  <w:divsChild>
                    <w:div w:id="475995791">
                      <w:marLeft w:val="0"/>
                      <w:marRight w:val="0"/>
                      <w:marTop w:val="0"/>
                      <w:marBottom w:val="0"/>
                      <w:divBdr>
                        <w:top w:val="none" w:sz="0" w:space="0" w:color="auto"/>
                        <w:left w:val="none" w:sz="0" w:space="0" w:color="auto"/>
                        <w:bottom w:val="none" w:sz="0" w:space="0" w:color="auto"/>
                        <w:right w:val="none" w:sz="0" w:space="0" w:color="auto"/>
                      </w:divBdr>
                      <w:divsChild>
                        <w:div w:id="2015722445">
                          <w:marLeft w:val="0"/>
                          <w:marRight w:val="0"/>
                          <w:marTop w:val="0"/>
                          <w:marBottom w:val="0"/>
                          <w:divBdr>
                            <w:top w:val="none" w:sz="0" w:space="0" w:color="auto"/>
                            <w:left w:val="none" w:sz="0" w:space="0" w:color="auto"/>
                            <w:bottom w:val="none" w:sz="0" w:space="0" w:color="auto"/>
                            <w:right w:val="none" w:sz="0" w:space="0" w:color="auto"/>
                          </w:divBdr>
                          <w:divsChild>
                            <w:div w:id="51538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921103">
      <w:bodyDiv w:val="1"/>
      <w:marLeft w:val="0"/>
      <w:marRight w:val="0"/>
      <w:marTop w:val="0"/>
      <w:marBottom w:val="0"/>
      <w:divBdr>
        <w:top w:val="none" w:sz="0" w:space="0" w:color="auto"/>
        <w:left w:val="none" w:sz="0" w:space="0" w:color="auto"/>
        <w:bottom w:val="none" w:sz="0" w:space="0" w:color="auto"/>
        <w:right w:val="none" w:sz="0" w:space="0" w:color="auto"/>
      </w:divBdr>
    </w:div>
    <w:div w:id="212507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6619</Words>
  <Characters>37734</Characters>
  <Application>Microsoft Office Word</Application>
  <DocSecurity>0</DocSecurity>
  <Lines>314</Lines>
  <Paragraphs>88</Paragraphs>
  <ScaleCrop>false</ScaleCrop>
  <Company/>
  <LinksUpToDate>false</LinksUpToDate>
  <CharactersWithSpaces>44265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2025-01-24T12:13:00Z</dcterms:created>
  <dcterms:modified xsi:type="dcterms:W3CDTF">2025-01-24T12:55:00Z</dcterms:modified>
</cp:coreProperties>
</file>