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31EB4"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Chapter 2: The Internal Market, Free Movement of Goods, and Justifications</w:t>
      </w:r>
    </w:p>
    <w:p w14:paraId="763DA30C" w14:textId="3A153E84"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 </w:t>
      </w:r>
      <w:proofErr w:type="spellStart"/>
      <w:r w:rsidRPr="00385DA2">
        <w:rPr>
          <w:rFonts w:ascii="Times New Roman" w:eastAsiaTheme="minorEastAsia" w:hAnsi="Times New Roman"/>
          <w14:ligatures w14:val="standardContextual"/>
        </w:rPr>
        <w:t>Dassonville</w:t>
      </w:r>
      <w:proofErr w:type="spellEnd"/>
      <w:r w:rsidRPr="00385DA2">
        <w:rPr>
          <w:rFonts w:ascii="Times New Roman" w:eastAsiaTheme="minorEastAsia" w:hAnsi="Times New Roman"/>
          <w14:ligatures w14:val="standardContextual"/>
        </w:rPr>
        <w:t xml:space="preserve"> (Case C-8/74)</w:t>
      </w:r>
    </w:p>
    <w:p w14:paraId="35A50463"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 xml:space="preserve">Facts: Belgian law required a certificate of origin for Scotch whisky imports. </w:t>
      </w:r>
      <w:proofErr w:type="spellStart"/>
      <w:r w:rsidRPr="00385DA2">
        <w:rPr>
          <w:rFonts w:ascii="Times New Roman" w:eastAsiaTheme="minorEastAsia" w:hAnsi="Times New Roman"/>
          <w14:ligatures w14:val="standardContextual"/>
        </w:rPr>
        <w:t>Dassonville</w:t>
      </w:r>
      <w:proofErr w:type="spellEnd"/>
      <w:r w:rsidRPr="00385DA2">
        <w:rPr>
          <w:rFonts w:ascii="Times New Roman" w:eastAsiaTheme="minorEastAsia" w:hAnsi="Times New Roman"/>
          <w14:ligatures w14:val="standardContextual"/>
        </w:rPr>
        <w:t xml:space="preserve"> imported from France without one.</w:t>
      </w:r>
    </w:p>
    <w:p w14:paraId="16A61B9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rule was an MHEE under Article 34 TFEU.</w:t>
      </w:r>
    </w:p>
    <w:p w14:paraId="7D7C35B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requirement for a certificate of origin was not proportional because it imposed unnecessary restrictions on trade, where no similar requirement existed in France. The Belgian rule created an undue burden on foreign goods, hindering free movement without sufficient justification or necessity to do so.</w:t>
      </w:r>
    </w:p>
    <w:p w14:paraId="21263FA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the "</w:t>
      </w:r>
      <w:proofErr w:type="spellStart"/>
      <w:r w:rsidRPr="00385DA2">
        <w:rPr>
          <w:rFonts w:ascii="Times New Roman" w:eastAsiaTheme="minorEastAsia" w:hAnsi="Times New Roman"/>
          <w14:ligatures w14:val="standardContextual"/>
        </w:rPr>
        <w:t>Dassonville</w:t>
      </w:r>
      <w:proofErr w:type="spellEnd"/>
      <w:r w:rsidRPr="00385DA2">
        <w:rPr>
          <w:rFonts w:ascii="Times New Roman" w:eastAsiaTheme="minorEastAsia" w:hAnsi="Times New Roman"/>
          <w14:ligatures w14:val="standardContextual"/>
        </w:rPr>
        <w:t xml:space="preserve"> formula," which defines that any national rule capable of hindering intra-Community trade qualifies as a Measure Having Equivalent Effect (MHEE), even if it does not directly restrict imports.</w:t>
      </w:r>
    </w:p>
    <w:p w14:paraId="53646865"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4E05C128" w14:textId="660657AB"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2. </w:t>
      </w:r>
      <w:r w:rsidRPr="00385DA2">
        <w:rPr>
          <w:rFonts w:ascii="Times New Roman" w:eastAsiaTheme="minorEastAsia" w:hAnsi="Times New Roman"/>
          <w14:ligatures w14:val="standardContextual"/>
        </w:rPr>
        <w:t>Cassis de Dijon (Case C-120/78)</w:t>
      </w:r>
    </w:p>
    <w:p w14:paraId="4DD00CE6"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Germany required a minimum alcohol content for liqueurs, preventing the sale of French "Cassis de Dijon" in Germany.</w:t>
      </w:r>
    </w:p>
    <w:p w14:paraId="418BA693"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rule was an MHEE under Article 34 TFEU.</w:t>
      </w:r>
    </w:p>
    <w:p w14:paraId="25823922"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minimum alcohol content rule was disproportionate because it placed an additional burden on foreign products that were lawfully produced in another Member State. The restriction went beyond what was necessary for public health or consumer protection and unnecessarily hindered intra-Union trade.</w:t>
      </w:r>
    </w:p>
    <w:p w14:paraId="0FD69E2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introduced the principle of mutual recognition, which holds that goods lawfully produced in one Member State must be allowed in others unless justified by mandatory requirements like public health or safety.</w:t>
      </w:r>
    </w:p>
    <w:p w14:paraId="377D041F"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5213F293" w14:textId="03C3B858"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3. </w:t>
      </w:r>
      <w:r w:rsidRPr="00385DA2">
        <w:rPr>
          <w:rFonts w:ascii="Times New Roman" w:eastAsiaTheme="minorEastAsia" w:hAnsi="Times New Roman"/>
          <w14:ligatures w14:val="standardContextual"/>
        </w:rPr>
        <w:t xml:space="preserve">Keck and </w:t>
      </w:r>
      <w:proofErr w:type="spellStart"/>
      <w:r w:rsidRPr="00385DA2">
        <w:rPr>
          <w:rFonts w:ascii="Times New Roman" w:eastAsiaTheme="minorEastAsia" w:hAnsi="Times New Roman"/>
          <w14:ligatures w14:val="standardContextual"/>
        </w:rPr>
        <w:t>Mithouard</w:t>
      </w:r>
      <w:proofErr w:type="spellEnd"/>
      <w:r w:rsidRPr="00385DA2">
        <w:rPr>
          <w:rFonts w:ascii="Times New Roman" w:eastAsiaTheme="minorEastAsia" w:hAnsi="Times New Roman"/>
          <w14:ligatures w14:val="standardContextual"/>
        </w:rPr>
        <w:t xml:space="preserve"> (Cases C-267/91 and C-268/91)</w:t>
      </w:r>
    </w:p>
    <w:p w14:paraId="624DDF0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French law banned selling goods at a loss, which was challenged as a restriction on trade.</w:t>
      </w:r>
    </w:p>
    <w:p w14:paraId="6071B90D"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law was a Certain Selling Arrangement (CSA) and not an MHEE.</w:t>
      </w:r>
    </w:p>
    <w:p w14:paraId="05D519B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French law banning the sale of goods at a loss was considered proportionate because it was a selling arrangement that applied equally to all traders and did not restrict market access. The Court distinguished CSAs from product-related requirements, allowing such arrangements as long as they do not prevent market access.</w:t>
      </w:r>
    </w:p>
    <w:p w14:paraId="5B47595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the distinction between Certain Selling Arrangements (CSAs) and product-related restrictions (MHEEs). CSAs are permissible if they apply equally to all traders and do not hinder access to the market.</w:t>
      </w:r>
    </w:p>
    <w:p w14:paraId="5B3B47BB"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0C3BA4B5" w14:textId="493057CF"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4. </w:t>
      </w:r>
      <w:r w:rsidRPr="00385DA2">
        <w:rPr>
          <w:rFonts w:ascii="Times New Roman" w:eastAsiaTheme="minorEastAsia" w:hAnsi="Times New Roman"/>
          <w14:ligatures w14:val="standardContextual"/>
        </w:rPr>
        <w:t>Buy Irish (Case C-249/81 Commission v. Ireland)</w:t>
      </w:r>
    </w:p>
    <w:p w14:paraId="672A6A13"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The Irish government promoted the sale of Irish products via a campaign.</w:t>
      </w:r>
    </w:p>
    <w:p w14:paraId="61344F30"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campaign violated Article 34 TFEU as an MHEE.</w:t>
      </w:r>
    </w:p>
    <w:p w14:paraId="2ECEE10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Irish government’s promotional campaign created indirect discrimination against foreign goods, violating the free movement of goods. The restriction was disproportionate because it limited intra-Community trade without sufficient justification, imposing an undue obstacle to imports.</w:t>
      </w:r>
    </w:p>
    <w:p w14:paraId="519C3F7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emphasized that even indirect government actions can create an MHEE and restrict the free movement of goods, reinforcing the principle of non-discrimination in the internal market.</w:t>
      </w:r>
    </w:p>
    <w:p w14:paraId="723B4AE3"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67B4C912" w14:textId="749841DE"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5. </w:t>
      </w:r>
      <w:r w:rsidRPr="00385DA2">
        <w:rPr>
          <w:rFonts w:ascii="Times New Roman" w:eastAsiaTheme="minorEastAsia" w:hAnsi="Times New Roman"/>
          <w14:ligatures w14:val="standardContextual"/>
        </w:rPr>
        <w:t>Commission v. France (Postal Franking Machines)</w:t>
      </w:r>
    </w:p>
    <w:p w14:paraId="1D9292E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lastRenderedPageBreak/>
        <w:t>Facts: France delayed the approval of British postal franking machines.</w:t>
      </w:r>
    </w:p>
    <w:p w14:paraId="1B198554"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systematic administrative delays were an MHEE under Article 34 TFEU.</w:t>
      </w:r>
    </w:p>
    <w:p w14:paraId="3D1C94D9"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administrative delays were disproportionate because they created an unnecessary and unjustified barrier to trade. These delays were not necessary for achieving any legitimate objective and unduly hindered imports.</w:t>
      </w:r>
    </w:p>
    <w:p w14:paraId="0C871E8E"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reinforced that administrative practices that create delays and hindrances to imports can constitute an MHEE, even if they are not product-specific requirements.</w:t>
      </w:r>
    </w:p>
    <w:p w14:paraId="36ABD945"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79BB01EE"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Chapter 3: Public Policy and Public Security</w:t>
      </w:r>
    </w:p>
    <w:p w14:paraId="16460DCF" w14:textId="6757538E"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6. </w:t>
      </w:r>
      <w:r w:rsidRPr="00385DA2">
        <w:rPr>
          <w:rFonts w:ascii="Times New Roman" w:eastAsiaTheme="minorEastAsia" w:hAnsi="Times New Roman"/>
          <w14:ligatures w14:val="standardContextual"/>
        </w:rPr>
        <w:t>Italian Trailers (Case C-110/05)</w:t>
      </w:r>
    </w:p>
    <w:p w14:paraId="188C8BE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Italy banned motorcycles from towing trailers, affecting trailer imports.</w:t>
      </w:r>
    </w:p>
    <w:p w14:paraId="62DFDE4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 xml:space="preserve">Held: The law was an </w:t>
      </w:r>
      <w:proofErr w:type="gramStart"/>
      <w:r w:rsidRPr="00385DA2">
        <w:rPr>
          <w:rFonts w:ascii="Times New Roman" w:eastAsiaTheme="minorEastAsia" w:hAnsi="Times New Roman"/>
          <w14:ligatures w14:val="standardContextual"/>
        </w:rPr>
        <w:t>MHEE, but</w:t>
      </w:r>
      <w:proofErr w:type="gramEnd"/>
      <w:r w:rsidRPr="00385DA2">
        <w:rPr>
          <w:rFonts w:ascii="Times New Roman" w:eastAsiaTheme="minorEastAsia" w:hAnsi="Times New Roman"/>
          <w14:ligatures w14:val="standardContextual"/>
        </w:rPr>
        <w:t xml:space="preserve"> justified under road safety.</w:t>
      </w:r>
    </w:p>
    <w:p w14:paraId="415E4C70"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While the ban was justified by road safety concerns, it was disproportionate because it indirectly discouraged the use of imported trailers. The Court noted that a more tailored or less restrictive alternative could have been used to address road safety without severely limiting trade.</w:t>
      </w:r>
    </w:p>
    <w:p w14:paraId="59A742F2"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 xml:space="preserve">Rule Established: The case reinforced </w:t>
      </w:r>
      <w:proofErr w:type="gramStart"/>
      <w:r w:rsidRPr="00385DA2">
        <w:rPr>
          <w:rFonts w:ascii="Times New Roman" w:eastAsiaTheme="minorEastAsia" w:hAnsi="Times New Roman"/>
          <w14:ligatures w14:val="standardContextual"/>
        </w:rPr>
        <w:t>that restrictions</w:t>
      </w:r>
      <w:proofErr w:type="gramEnd"/>
      <w:r w:rsidRPr="00385DA2">
        <w:rPr>
          <w:rFonts w:ascii="Times New Roman" w:eastAsiaTheme="minorEastAsia" w:hAnsi="Times New Roman"/>
          <w14:ligatures w14:val="standardContextual"/>
        </w:rPr>
        <w:t xml:space="preserve"> on the use of products (e.g., banning certain uses or activities) can constitute MHEEs, but these measures must be proportional to the legitimate public objective.</w:t>
      </w:r>
    </w:p>
    <w:p w14:paraId="00C02B17"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6741B76B" w14:textId="729481B4"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7. </w:t>
      </w:r>
      <w:proofErr w:type="spellStart"/>
      <w:r w:rsidRPr="00385DA2">
        <w:rPr>
          <w:rFonts w:ascii="Times New Roman" w:eastAsiaTheme="minorEastAsia" w:hAnsi="Times New Roman"/>
          <w14:ligatures w14:val="standardContextual"/>
        </w:rPr>
        <w:t>Mickelsson</w:t>
      </w:r>
      <w:proofErr w:type="spellEnd"/>
      <w:r w:rsidRPr="00385DA2">
        <w:rPr>
          <w:rFonts w:ascii="Times New Roman" w:eastAsiaTheme="minorEastAsia" w:hAnsi="Times New Roman"/>
          <w14:ligatures w14:val="standardContextual"/>
        </w:rPr>
        <w:t xml:space="preserve"> and </w:t>
      </w:r>
      <w:proofErr w:type="spellStart"/>
      <w:r w:rsidRPr="00385DA2">
        <w:rPr>
          <w:rFonts w:ascii="Times New Roman" w:eastAsiaTheme="minorEastAsia" w:hAnsi="Times New Roman"/>
          <w14:ligatures w14:val="standardContextual"/>
        </w:rPr>
        <w:t>Roos</w:t>
      </w:r>
      <w:proofErr w:type="spellEnd"/>
      <w:r w:rsidRPr="00385DA2">
        <w:rPr>
          <w:rFonts w:ascii="Times New Roman" w:eastAsiaTheme="minorEastAsia" w:hAnsi="Times New Roman"/>
          <w14:ligatures w14:val="standardContextual"/>
        </w:rPr>
        <w:t xml:space="preserve"> (Case C-142/05)</w:t>
      </w:r>
    </w:p>
    <w:p w14:paraId="5F266833"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Sweden restricted watercraft to specific waterways, impacting imports.</w:t>
      </w:r>
    </w:p>
    <w:p w14:paraId="5F785A2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lastRenderedPageBreak/>
        <w:t>Held: The restriction was an MHEE but justifiable for environmental protection.</w:t>
      </w:r>
    </w:p>
    <w:p w14:paraId="272733AE"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restriction on watercraft use was deemed disproportionate because it severely limited the potential market for watercraft, thus indirectly hindering trade. While environmental protection was a legitimate aim, the restriction went beyond what was necessary to achieve the intended environmental benefits.</w:t>
      </w:r>
    </w:p>
    <w:p w14:paraId="25F665D1"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that restrictions aimed at environmental protection can be justified, but they must meet the proportionality test to avoid unnecessary barriers to trade.</w:t>
      </w:r>
    </w:p>
    <w:p w14:paraId="78ACC0F7"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1673ACDC" w14:textId="21F23C6C"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8. </w:t>
      </w:r>
      <w:r w:rsidRPr="00385DA2">
        <w:rPr>
          <w:rFonts w:ascii="Times New Roman" w:eastAsiaTheme="minorEastAsia" w:hAnsi="Times New Roman"/>
          <w14:ligatures w14:val="standardContextual"/>
        </w:rPr>
        <w:t>Spanish Strawberries (Case C-265/95 Commission v. France)</w:t>
      </w:r>
    </w:p>
    <w:p w14:paraId="6EBB216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French farmers disrupted Spanish strawberry imports; France failed to intervene.</w:t>
      </w:r>
    </w:p>
    <w:p w14:paraId="1BFD5013"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France breached its obligations under EU law.</w:t>
      </w:r>
    </w:p>
    <w:p w14:paraId="5FF5B2B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France’s failure to prevent private disruptions was disproportionate because it unnecessarily obstructed trade. France had an obligation to prevent such disruptions and its failure to do so violated the free movement of goods principle.</w:t>
      </w:r>
    </w:p>
    <w:p w14:paraId="6FD5A05E"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that Member States must prevent private actions that obstruct intra-Community trade and cannot rely on passive inaction.</w:t>
      </w:r>
    </w:p>
    <w:p w14:paraId="71763573"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5EED6DFE" w14:textId="4254A5BE"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9. </w:t>
      </w:r>
      <w:proofErr w:type="spellStart"/>
      <w:r w:rsidRPr="00385DA2">
        <w:rPr>
          <w:rFonts w:ascii="Times New Roman" w:eastAsiaTheme="minorEastAsia" w:hAnsi="Times New Roman"/>
          <w14:ligatures w14:val="standardContextual"/>
        </w:rPr>
        <w:t>Schmidberger</w:t>
      </w:r>
      <w:proofErr w:type="spellEnd"/>
      <w:r w:rsidRPr="00385DA2">
        <w:rPr>
          <w:rFonts w:ascii="Times New Roman" w:eastAsiaTheme="minorEastAsia" w:hAnsi="Times New Roman"/>
          <w14:ligatures w14:val="standardContextual"/>
        </w:rPr>
        <w:t xml:space="preserve"> (Case C-112/00)</w:t>
      </w:r>
    </w:p>
    <w:p w14:paraId="55A194C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Austria allowed a protest blocking trade routes.</w:t>
      </w:r>
    </w:p>
    <w:p w14:paraId="32D622B0"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The restriction was justified under freedom of expression and assembly.</w:t>
      </w:r>
    </w:p>
    <w:p w14:paraId="5BFD85D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Austria’s decision to allow the protest blocking trade routes was justified due to the need to balance free trade with fundamental rights. The Court ensured proportionality by confirming that alternative trade routes were available, making the restriction necessary and proportionate.</w:t>
      </w:r>
    </w:p>
    <w:p w14:paraId="2804630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lastRenderedPageBreak/>
        <w:t xml:space="preserve">Rule Established: The case established that fundamental rights, like freedom of expression and assembly, can justify restrictions on trade, as long as proportionality is </w:t>
      </w:r>
      <w:proofErr w:type="gramStart"/>
      <w:r w:rsidRPr="00385DA2">
        <w:rPr>
          <w:rFonts w:ascii="Times New Roman" w:eastAsiaTheme="minorEastAsia" w:hAnsi="Times New Roman"/>
          <w14:ligatures w14:val="standardContextual"/>
        </w:rPr>
        <w:t>ensured</w:t>
      </w:r>
      <w:proofErr w:type="gramEnd"/>
      <w:r w:rsidRPr="00385DA2">
        <w:rPr>
          <w:rFonts w:ascii="Times New Roman" w:eastAsiaTheme="minorEastAsia" w:hAnsi="Times New Roman"/>
          <w14:ligatures w14:val="standardContextual"/>
        </w:rPr>
        <w:t xml:space="preserve"> and alternative routes or solutions are available.</w:t>
      </w:r>
    </w:p>
    <w:p w14:paraId="4B578F75"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792750C5" w14:textId="7FA0C570"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10. </w:t>
      </w:r>
      <w:r w:rsidRPr="00385DA2">
        <w:rPr>
          <w:rFonts w:ascii="Times New Roman" w:eastAsiaTheme="minorEastAsia" w:hAnsi="Times New Roman"/>
          <w14:ligatures w14:val="standardContextual"/>
        </w:rPr>
        <w:t xml:space="preserve">Omega </w:t>
      </w:r>
      <w:proofErr w:type="spellStart"/>
      <w:r w:rsidRPr="00385DA2">
        <w:rPr>
          <w:rFonts w:ascii="Times New Roman" w:eastAsiaTheme="minorEastAsia" w:hAnsi="Times New Roman"/>
          <w14:ligatures w14:val="standardContextual"/>
        </w:rPr>
        <w:t>Spielhallen</w:t>
      </w:r>
      <w:proofErr w:type="spellEnd"/>
      <w:r w:rsidRPr="00385DA2">
        <w:rPr>
          <w:rFonts w:ascii="Times New Roman" w:eastAsiaTheme="minorEastAsia" w:hAnsi="Times New Roman"/>
          <w14:ligatures w14:val="standardContextual"/>
        </w:rPr>
        <w:t xml:space="preserve"> (Case C-36/02)</w:t>
      </w:r>
    </w:p>
    <w:p w14:paraId="74528A8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Germany banned a laser-tag game, citing human dignity.</w:t>
      </w:r>
    </w:p>
    <w:p w14:paraId="1D994BB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Justified under public policy.</w:t>
      </w:r>
    </w:p>
    <w:p w14:paraId="1CFA69E6"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Germany’s ban on a laser-tag game was justified on public policy grounds related to protecting human dignity. The Court found the measure proportionate as the harm to trade was justified by the significant public policy aim of protecting dignity, with the restriction being necessary and not excessive.</w:t>
      </w:r>
    </w:p>
    <w:p w14:paraId="4DBD5BC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reinforced the public policy exception under Article 36 TFEU, establishing that measures justified by protecting fundamental human rights (such as human dignity) can be proportionate even if they restrict trade.</w:t>
      </w:r>
    </w:p>
    <w:p w14:paraId="74776045"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22B53BFE" w14:textId="0B2F8A31"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11. </w:t>
      </w:r>
      <w:r w:rsidRPr="00385DA2">
        <w:rPr>
          <w:rFonts w:ascii="Times New Roman" w:eastAsiaTheme="minorEastAsia" w:hAnsi="Times New Roman"/>
          <w14:ligatures w14:val="standardContextual"/>
        </w:rPr>
        <w:t>Campus Oil (Case C-72/83)</w:t>
      </w:r>
    </w:p>
    <w:p w14:paraId="1DCB3B98"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Ireland required oil importers to buy a portion from state refineries.</w:t>
      </w:r>
    </w:p>
    <w:p w14:paraId="18B9F22A"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Justified under public security.</w:t>
      </w:r>
    </w:p>
    <w:p w14:paraId="308BF4B9"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Ireland’s requirement was deemed proportionate as it addressed the crucial need for energy security. The measure was necessary to ensure a stable energy supply, and the Court emphasized that such measures should be interpreted strictly and not extend beyond what was necessary to secure public security.</w:t>
      </w:r>
    </w:p>
    <w:p w14:paraId="04383148"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lastRenderedPageBreak/>
        <w:t>Rule Established: The case reinforced the public security exception under Article 36 TFEU, especially in relation to energy supplies, emphasizing that such restrictions should not go beyond what is essential.</w:t>
      </w:r>
    </w:p>
    <w:p w14:paraId="7AC742FC"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4961C7B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Chapter 4: Public Policy and Public Security Assessments</w:t>
      </w:r>
    </w:p>
    <w:p w14:paraId="47378F39" w14:textId="4DC37808"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12. </w:t>
      </w:r>
      <w:r w:rsidRPr="00385DA2">
        <w:rPr>
          <w:rFonts w:ascii="Times New Roman" w:eastAsiaTheme="minorEastAsia" w:hAnsi="Times New Roman"/>
          <w14:ligatures w14:val="standardContextual"/>
        </w:rPr>
        <w:t>Commission v. Greece (Case C-398/98)</w:t>
      </w:r>
    </w:p>
    <w:p w14:paraId="397E4C1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Greece prioritized domestic lignite mining for energy security.</w:t>
      </w:r>
    </w:p>
    <w:p w14:paraId="3D399B52"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Justified under public security.</w:t>
      </w:r>
    </w:p>
    <w:p w14:paraId="66085C86"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Greece’s prioritization of domestic lignite mining was justified for public security reasons, but the measure was required to be proportional. The Court emphasized that it should not restrict trade more than necessary to maintain energy security.</w:t>
      </w:r>
    </w:p>
    <w:p w14:paraId="69D2624F"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reinforced the principle that energy security can justify restrictions under public security, as long as the measure is proportional and does not unduly limit free movement of goods.</w:t>
      </w:r>
    </w:p>
    <w:p w14:paraId="4712648A"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27A7D4EE" w14:textId="7C58EB62"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13. </w:t>
      </w:r>
      <w:r w:rsidRPr="00385DA2">
        <w:rPr>
          <w:rFonts w:ascii="Times New Roman" w:eastAsiaTheme="minorEastAsia" w:hAnsi="Times New Roman"/>
          <w14:ligatures w14:val="standardContextual"/>
        </w:rPr>
        <w:t>Richardt (Case C-367/89)</w:t>
      </w:r>
    </w:p>
    <w:p w14:paraId="6CA07D48"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Export restrictions on military goods for security reasons.</w:t>
      </w:r>
    </w:p>
    <w:p w14:paraId="63F336A7"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Justified under public security.</w:t>
      </w:r>
    </w:p>
    <w:p w14:paraId="04849C7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 xml:space="preserve">Reasoning: The export restrictions on military goods were justified under public security, as they aligned with national </w:t>
      </w:r>
      <w:proofErr w:type="spellStart"/>
      <w:r w:rsidRPr="00385DA2">
        <w:rPr>
          <w:rFonts w:ascii="Times New Roman" w:eastAsiaTheme="minorEastAsia" w:hAnsi="Times New Roman"/>
          <w14:ligatures w14:val="standardContextual"/>
        </w:rPr>
        <w:t>defense</w:t>
      </w:r>
      <w:proofErr w:type="spellEnd"/>
      <w:r w:rsidRPr="00385DA2">
        <w:rPr>
          <w:rFonts w:ascii="Times New Roman" w:eastAsiaTheme="minorEastAsia" w:hAnsi="Times New Roman"/>
          <w14:ligatures w14:val="standardContextual"/>
        </w:rPr>
        <w:t xml:space="preserve"> needs. The measure was proportionate because it protected sensitive military goods without unduly restricting trade.</w:t>
      </w:r>
    </w:p>
    <w:p w14:paraId="6E73DF2A"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 xml:space="preserve">Rule Established: The case established that export restrictions on sensitive goods for national </w:t>
      </w:r>
      <w:proofErr w:type="spellStart"/>
      <w:r w:rsidRPr="00385DA2">
        <w:rPr>
          <w:rFonts w:ascii="Times New Roman" w:eastAsiaTheme="minorEastAsia" w:hAnsi="Times New Roman"/>
          <w14:ligatures w14:val="standardContextual"/>
        </w:rPr>
        <w:t>defense</w:t>
      </w:r>
      <w:proofErr w:type="spellEnd"/>
      <w:r w:rsidRPr="00385DA2">
        <w:rPr>
          <w:rFonts w:ascii="Times New Roman" w:eastAsiaTheme="minorEastAsia" w:hAnsi="Times New Roman"/>
          <w14:ligatures w14:val="standardContextual"/>
        </w:rPr>
        <w:t xml:space="preserve"> can be justified under the public security exception, as long as they do not go beyond what is necessary.</w:t>
      </w:r>
    </w:p>
    <w:p w14:paraId="6E454F35"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73FC9551" w14:textId="693A98B8"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14. </w:t>
      </w:r>
      <w:r w:rsidRPr="00385DA2">
        <w:rPr>
          <w:rFonts w:ascii="Times New Roman" w:eastAsiaTheme="minorEastAsia" w:hAnsi="Times New Roman"/>
          <w14:ligatures w14:val="standardContextual"/>
        </w:rPr>
        <w:t>Church of Scientology (Case C-54/99)</w:t>
      </w:r>
    </w:p>
    <w:p w14:paraId="3BF94860"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Germany restricted financial transactions with the Church of Scientology, citing public security and policy.</w:t>
      </w:r>
    </w:p>
    <w:p w14:paraId="655A5FC4"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Justification required strict evidence of threats and proportionality.</w:t>
      </w:r>
    </w:p>
    <w:p w14:paraId="5718DAB0"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Germany’s restrictions were justified for public policy reasons, but the Court required concrete evidence of actual threats. The restrictions were deemed proportionate, as the measures had to be balanced with the potential risks to public security.</w:t>
      </w:r>
    </w:p>
    <w:p w14:paraId="6F8A6EC5"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emphasized that public security and policy exceptions must be substantiated by concrete evidence of a threat, and the measures must be proportionate to the level of risk involved.</w:t>
      </w:r>
    </w:p>
    <w:p w14:paraId="2CC87DCB"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228EA2C0" w14:textId="4034AB0E"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15. </w:t>
      </w:r>
      <w:proofErr w:type="spellStart"/>
      <w:r w:rsidRPr="00385DA2">
        <w:rPr>
          <w:rFonts w:ascii="Times New Roman" w:eastAsiaTheme="minorEastAsia" w:hAnsi="Times New Roman"/>
          <w14:ligatures w14:val="standardContextual"/>
        </w:rPr>
        <w:t>Conegate</w:t>
      </w:r>
      <w:proofErr w:type="spellEnd"/>
      <w:r w:rsidRPr="00385DA2">
        <w:rPr>
          <w:rFonts w:ascii="Times New Roman" w:eastAsiaTheme="minorEastAsia" w:hAnsi="Times New Roman"/>
          <w14:ligatures w14:val="standardContextual"/>
        </w:rPr>
        <w:t xml:space="preserve"> (Case C-121/85)</w:t>
      </w:r>
    </w:p>
    <w:p w14:paraId="55065699"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The UK banned imports of certain pornographic materials, citing morality.</w:t>
      </w:r>
    </w:p>
    <w:p w14:paraId="6F3503EC"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Unjustified as similar goods were domestically produced.</w:t>
      </w:r>
    </w:p>
    <w:p w14:paraId="5FE4547E"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The UK’s ban on the import of certain pornographic materials was found to be disproportionate. The restriction was arbitrary and discriminatory, especially as similar products were already lawfully available in the UK, making the measure unnecessary and excessive.</w:t>
      </w:r>
    </w:p>
    <w:p w14:paraId="558A44D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that moral grounds for restricting imports must not be arbitrary or discriminatory and should not be applied when similar products are already legally available domestically.</w:t>
      </w:r>
    </w:p>
    <w:p w14:paraId="348072A8"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3EBB5C7D" w14:textId="36116A9D"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16. </w:t>
      </w:r>
      <w:r w:rsidRPr="00385DA2">
        <w:rPr>
          <w:rFonts w:ascii="Times New Roman" w:eastAsiaTheme="minorEastAsia" w:hAnsi="Times New Roman"/>
          <w14:ligatures w14:val="standardContextual"/>
        </w:rPr>
        <w:t>Rosengren (Case C-170/04)</w:t>
      </w:r>
    </w:p>
    <w:p w14:paraId="34D80FDC"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lastRenderedPageBreak/>
        <w:t>Facts: Sweden restricted alcohol imports via state intermediaries.</w:t>
      </w:r>
    </w:p>
    <w:p w14:paraId="5FE54CB4"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Disproportionate and unjustified under public health grounds.</w:t>
      </w:r>
    </w:p>
    <w:p w14:paraId="7ABC70CD"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Sweden’s restriction on alcohol imports through state intermediaries was disproportionate. The Court noted that less restrictive means, such as state-regulated private sales or tax-based regulation, could achieve the same public health objectives without unnecessarily hindering trade.</w:t>
      </w:r>
    </w:p>
    <w:p w14:paraId="2A405964"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established that less restrictive means to achieve public health objectives should be used, and measures restricting trade should be proportionate.</w:t>
      </w:r>
    </w:p>
    <w:p w14:paraId="01B220FB" w14:textId="77777777" w:rsidR="00385DA2" w:rsidRPr="00385DA2" w:rsidRDefault="00385DA2" w:rsidP="00385DA2">
      <w:pPr>
        <w:spacing w:after="240" w:line="360" w:lineRule="auto"/>
        <w:rPr>
          <w:rFonts w:ascii="Times New Roman" w:eastAsiaTheme="minorEastAsia" w:hAnsi="Times New Roman"/>
          <w14:ligatures w14:val="standardContextual"/>
        </w:rPr>
      </w:pPr>
    </w:p>
    <w:p w14:paraId="29A7F3E2" w14:textId="3EDBA88B" w:rsidR="00385DA2" w:rsidRPr="00385DA2" w:rsidRDefault="00385DA2" w:rsidP="00385DA2">
      <w:pPr>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17. </w:t>
      </w:r>
      <w:r w:rsidRPr="00385DA2">
        <w:rPr>
          <w:rFonts w:ascii="Times New Roman" w:eastAsiaTheme="minorEastAsia" w:hAnsi="Times New Roman"/>
          <w14:ligatures w14:val="standardContextual"/>
        </w:rPr>
        <w:t xml:space="preserve">Dynamic </w:t>
      </w:r>
      <w:proofErr w:type="spellStart"/>
      <w:r w:rsidRPr="00385DA2">
        <w:rPr>
          <w:rFonts w:ascii="Times New Roman" w:eastAsiaTheme="minorEastAsia" w:hAnsi="Times New Roman"/>
          <w14:ligatures w14:val="standardContextual"/>
        </w:rPr>
        <w:t>Medien</w:t>
      </w:r>
      <w:proofErr w:type="spellEnd"/>
      <w:r w:rsidRPr="00385DA2">
        <w:rPr>
          <w:rFonts w:ascii="Times New Roman" w:eastAsiaTheme="minorEastAsia" w:hAnsi="Times New Roman"/>
          <w14:ligatures w14:val="standardContextual"/>
        </w:rPr>
        <w:t xml:space="preserve"> (Case C-244/06)</w:t>
      </w:r>
    </w:p>
    <w:p w14:paraId="2B43EF82"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Facts: Germany restricted DVDs without youth protection labels.</w:t>
      </w:r>
    </w:p>
    <w:p w14:paraId="684826DD"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Held: Justified under protection of minors.</w:t>
      </w:r>
    </w:p>
    <w:p w14:paraId="3307E7EB"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Reasoning: Germany’s restriction was found to be proportionate, as it was necessary to protect minors. The measure was balanced to minimize unnecessary trade barriers, making the restriction both suitable and necessary for the aim of protecting children.</w:t>
      </w:r>
    </w:p>
    <w:p w14:paraId="5158F0F8" w14:textId="77777777" w:rsidR="00385DA2" w:rsidRPr="00385DA2" w:rsidRDefault="00385DA2" w:rsidP="00385DA2">
      <w:pPr>
        <w:spacing w:after="240" w:line="360" w:lineRule="auto"/>
        <w:rPr>
          <w:rFonts w:ascii="Times New Roman" w:eastAsiaTheme="minorEastAsia" w:hAnsi="Times New Roman"/>
          <w14:ligatures w14:val="standardContextual"/>
        </w:rPr>
      </w:pPr>
      <w:r w:rsidRPr="00385DA2">
        <w:rPr>
          <w:rFonts w:ascii="Times New Roman" w:eastAsiaTheme="minorEastAsia" w:hAnsi="Times New Roman"/>
          <w14:ligatures w14:val="standardContextual"/>
        </w:rPr>
        <w:t>Rule Established: The case confirmed that protecting minors is a valid public policy aim under Article 36 TFEU and that restrictions must be proportionate to achieve such a goal.</w:t>
      </w:r>
    </w:p>
    <w:p w14:paraId="2516212C" w14:textId="77777777" w:rsidR="00CD39F1" w:rsidRDefault="00CD39F1" w:rsidP="00385DA2">
      <w:pPr>
        <w:spacing w:after="240" w:line="360" w:lineRule="auto"/>
        <w:rPr>
          <w:rFonts w:ascii="Times New Roman" w:hAnsi="Times New Roman"/>
        </w:rPr>
      </w:pPr>
    </w:p>
    <w:p w14:paraId="3E4E0C6E" w14:textId="77777777" w:rsidR="004F5BF0" w:rsidRDefault="004F5BF0" w:rsidP="00385DA2">
      <w:pPr>
        <w:spacing w:after="240" w:line="360" w:lineRule="auto"/>
        <w:rPr>
          <w:rFonts w:ascii="Times New Roman" w:hAnsi="Times New Roman"/>
        </w:rPr>
      </w:pPr>
    </w:p>
    <w:p w14:paraId="4E3B8FA5" w14:textId="77777777" w:rsidR="004F5BF0" w:rsidRDefault="004F5BF0" w:rsidP="00385DA2">
      <w:pPr>
        <w:spacing w:after="240" w:line="360" w:lineRule="auto"/>
        <w:rPr>
          <w:rFonts w:ascii="Times New Roman" w:hAnsi="Times New Roman"/>
        </w:rPr>
      </w:pPr>
    </w:p>
    <w:p w14:paraId="2095085E" w14:textId="77777777" w:rsidR="004F5BF0" w:rsidRDefault="004F5BF0" w:rsidP="00385DA2">
      <w:pPr>
        <w:spacing w:after="240" w:line="360" w:lineRule="auto"/>
        <w:rPr>
          <w:rFonts w:ascii="Times New Roman" w:hAnsi="Times New Roman"/>
        </w:rPr>
      </w:pPr>
    </w:p>
    <w:p w14:paraId="0367445E" w14:textId="77777777" w:rsidR="004F5BF0" w:rsidRDefault="004F5BF0" w:rsidP="00385DA2">
      <w:pPr>
        <w:spacing w:after="240" w:line="360" w:lineRule="auto"/>
        <w:rPr>
          <w:rFonts w:ascii="Times New Roman" w:hAnsi="Times New Roman"/>
        </w:rPr>
      </w:pPr>
    </w:p>
    <w:p w14:paraId="23241A57" w14:textId="77777777" w:rsidR="004F5BF0" w:rsidRPr="004F5BF0" w:rsidRDefault="004F5BF0" w:rsidP="004F5BF0">
      <w:pPr>
        <w:spacing w:before="100" w:beforeAutospacing="1" w:after="100" w:afterAutospacing="1" w:line="360" w:lineRule="auto"/>
        <w:outlineLvl w:val="2"/>
        <w:rPr>
          <w:rFonts w:ascii="Times New Roman" w:hAnsi="Times New Roman"/>
          <w:b/>
          <w:bCs/>
          <w:lang w:val="en-HK"/>
        </w:rPr>
      </w:pPr>
      <w:r w:rsidRPr="004F5BF0">
        <w:rPr>
          <w:rFonts w:ascii="Times New Roman" w:hAnsi="Times New Roman"/>
          <w:b/>
          <w:bCs/>
          <w:lang w:val="en-HK"/>
        </w:rPr>
        <w:lastRenderedPageBreak/>
        <w:t>1. Suitability</w:t>
      </w:r>
    </w:p>
    <w:p w14:paraId="3B135166"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The measure must be capable of achieving the legitimate objective it seeks to protect. The Court examines whether the restriction is </w:t>
      </w:r>
      <w:r w:rsidRPr="004F5BF0">
        <w:rPr>
          <w:rFonts w:ascii="Times New Roman" w:hAnsi="Times New Roman"/>
          <w:b/>
          <w:bCs/>
          <w:lang w:val="en-HK"/>
        </w:rPr>
        <w:t>appropriate</w:t>
      </w:r>
      <w:r w:rsidRPr="004F5BF0">
        <w:rPr>
          <w:rFonts w:ascii="Times New Roman" w:hAnsi="Times New Roman"/>
          <w:lang w:val="en-HK"/>
        </w:rPr>
        <w:t xml:space="preserve"> to address the identified public interest (e.g., public health, environmental protection, public security).</w:t>
      </w:r>
    </w:p>
    <w:p w14:paraId="6F268F11"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For example:</w:t>
      </w:r>
    </w:p>
    <w:p w14:paraId="354B7749" w14:textId="77777777" w:rsidR="004F5BF0" w:rsidRPr="004F5BF0" w:rsidRDefault="004F5BF0" w:rsidP="004F5BF0">
      <w:pPr>
        <w:numPr>
          <w:ilvl w:val="0"/>
          <w:numId w:val="7"/>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Cassis de Dijon</w:t>
      </w:r>
      <w:r w:rsidRPr="004F5BF0">
        <w:rPr>
          <w:rFonts w:ascii="Times New Roman" w:hAnsi="Times New Roman"/>
          <w:lang w:val="en-HK"/>
        </w:rPr>
        <w:t>, the German minimum alcohol content rule was deemed unsuitable because it did not contribute significantly to public health or safety, while unnecessarily hindering trade.</w:t>
      </w:r>
    </w:p>
    <w:p w14:paraId="2B2C0BF4" w14:textId="77777777" w:rsidR="004F5BF0" w:rsidRDefault="004F5BF0" w:rsidP="004F5BF0">
      <w:pPr>
        <w:numPr>
          <w:ilvl w:val="0"/>
          <w:numId w:val="7"/>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 xml:space="preserve">Omega </w:t>
      </w:r>
      <w:proofErr w:type="spellStart"/>
      <w:r w:rsidRPr="004F5BF0">
        <w:rPr>
          <w:rFonts w:ascii="Times New Roman" w:hAnsi="Times New Roman"/>
          <w:b/>
          <w:bCs/>
          <w:lang w:val="en-HK"/>
        </w:rPr>
        <w:t>Spielhallen</w:t>
      </w:r>
      <w:proofErr w:type="spellEnd"/>
      <w:r w:rsidRPr="004F5BF0">
        <w:rPr>
          <w:rFonts w:ascii="Times New Roman" w:hAnsi="Times New Roman"/>
          <w:lang w:val="en-HK"/>
        </w:rPr>
        <w:t>, Germany’s ban on a laser-tag game was seen as suitable for protecting human dignity, aligning with the public policy goal of protecting fundamental rights.</w:t>
      </w:r>
    </w:p>
    <w:p w14:paraId="6CE6375A" w14:textId="77777777" w:rsidR="004F5BF0" w:rsidRPr="004F5BF0" w:rsidRDefault="004F5BF0" w:rsidP="004F5BF0">
      <w:pPr>
        <w:spacing w:before="100" w:beforeAutospacing="1" w:after="100" w:afterAutospacing="1" w:line="360" w:lineRule="auto"/>
        <w:rPr>
          <w:rFonts w:ascii="Times New Roman" w:hAnsi="Times New Roman"/>
          <w:lang w:val="en-HK"/>
        </w:rPr>
      </w:pPr>
    </w:p>
    <w:p w14:paraId="53D360B6" w14:textId="77777777" w:rsidR="004F5BF0" w:rsidRPr="004F5BF0" w:rsidRDefault="004F5BF0" w:rsidP="004F5BF0">
      <w:pPr>
        <w:spacing w:before="100" w:beforeAutospacing="1" w:after="100" w:afterAutospacing="1" w:line="360" w:lineRule="auto"/>
        <w:outlineLvl w:val="2"/>
        <w:rPr>
          <w:rFonts w:ascii="Times New Roman" w:hAnsi="Times New Roman"/>
          <w:b/>
          <w:bCs/>
          <w:lang w:val="en-HK"/>
        </w:rPr>
      </w:pPr>
      <w:r w:rsidRPr="004F5BF0">
        <w:rPr>
          <w:rFonts w:ascii="Times New Roman" w:hAnsi="Times New Roman"/>
          <w:b/>
          <w:bCs/>
          <w:lang w:val="en-HK"/>
        </w:rPr>
        <w:t>2. Necessity</w:t>
      </w:r>
    </w:p>
    <w:p w14:paraId="6F32147C"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The restriction must be </w:t>
      </w:r>
      <w:r w:rsidRPr="004F5BF0">
        <w:rPr>
          <w:rFonts w:ascii="Times New Roman" w:hAnsi="Times New Roman"/>
          <w:b/>
          <w:bCs/>
          <w:lang w:val="en-HK"/>
        </w:rPr>
        <w:t>necessary</w:t>
      </w:r>
      <w:r w:rsidRPr="004F5BF0">
        <w:rPr>
          <w:rFonts w:ascii="Times New Roman" w:hAnsi="Times New Roman"/>
          <w:lang w:val="en-HK"/>
        </w:rPr>
        <w:t xml:space="preserve"> to achieve the objective. The Court examines whether the measure is the least restrictive option available to achieve the aim. If a less restrictive measure could have the same effect, the Court will find the restriction unnecessary and, therefore, disproportionate.</w:t>
      </w:r>
    </w:p>
    <w:p w14:paraId="6F48C83D"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For example:</w:t>
      </w:r>
    </w:p>
    <w:p w14:paraId="5636BB47" w14:textId="77777777" w:rsidR="004F5BF0" w:rsidRPr="004F5BF0" w:rsidRDefault="004F5BF0" w:rsidP="004F5BF0">
      <w:pPr>
        <w:numPr>
          <w:ilvl w:val="0"/>
          <w:numId w:val="8"/>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 xml:space="preserve">Keck and </w:t>
      </w:r>
      <w:proofErr w:type="spellStart"/>
      <w:r w:rsidRPr="004F5BF0">
        <w:rPr>
          <w:rFonts w:ascii="Times New Roman" w:hAnsi="Times New Roman"/>
          <w:b/>
          <w:bCs/>
          <w:lang w:val="en-HK"/>
        </w:rPr>
        <w:t>Mithouard</w:t>
      </w:r>
      <w:proofErr w:type="spellEnd"/>
      <w:r w:rsidRPr="004F5BF0">
        <w:rPr>
          <w:rFonts w:ascii="Times New Roman" w:hAnsi="Times New Roman"/>
          <w:lang w:val="en-HK"/>
        </w:rPr>
        <w:t xml:space="preserve">, the French law banning the sale of goods at a loss was considered </w:t>
      </w:r>
      <w:r w:rsidRPr="004F5BF0">
        <w:rPr>
          <w:rFonts w:ascii="Times New Roman" w:hAnsi="Times New Roman"/>
          <w:b/>
          <w:bCs/>
          <w:lang w:val="en-HK"/>
        </w:rPr>
        <w:t>necessary</w:t>
      </w:r>
      <w:r w:rsidRPr="004F5BF0">
        <w:rPr>
          <w:rFonts w:ascii="Times New Roman" w:hAnsi="Times New Roman"/>
          <w:lang w:val="en-HK"/>
        </w:rPr>
        <w:t xml:space="preserve"> because it applied equally to all traders and did not directly hinder trade, distinguishing it from product-related restrictions.</w:t>
      </w:r>
    </w:p>
    <w:p w14:paraId="0CBB7B06" w14:textId="77777777" w:rsidR="004F5BF0" w:rsidRPr="004F5BF0" w:rsidRDefault="004F5BF0" w:rsidP="004F5BF0">
      <w:pPr>
        <w:numPr>
          <w:ilvl w:val="0"/>
          <w:numId w:val="8"/>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Rosengren</w:t>
      </w:r>
      <w:r w:rsidRPr="004F5BF0">
        <w:rPr>
          <w:rFonts w:ascii="Times New Roman" w:hAnsi="Times New Roman"/>
          <w:lang w:val="en-HK"/>
        </w:rPr>
        <w:t xml:space="preserve">, the Court found Sweden's restriction on alcohol imports via state intermediaries </w:t>
      </w:r>
      <w:r w:rsidRPr="004F5BF0">
        <w:rPr>
          <w:rFonts w:ascii="Times New Roman" w:hAnsi="Times New Roman"/>
          <w:b/>
          <w:bCs/>
          <w:lang w:val="en-HK"/>
        </w:rPr>
        <w:t>unnecessary</w:t>
      </w:r>
      <w:r w:rsidRPr="004F5BF0">
        <w:rPr>
          <w:rFonts w:ascii="Times New Roman" w:hAnsi="Times New Roman"/>
          <w:lang w:val="en-HK"/>
        </w:rPr>
        <w:t xml:space="preserve"> because less restrictive means (such as tax-based regulation) could achieve the same public health objectives without hindering trade.</w:t>
      </w:r>
    </w:p>
    <w:p w14:paraId="0F6B3BB2" w14:textId="77777777" w:rsidR="004F5BF0" w:rsidRDefault="004F5BF0" w:rsidP="004F5BF0">
      <w:pPr>
        <w:numPr>
          <w:ilvl w:val="0"/>
          <w:numId w:val="8"/>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proofErr w:type="spellStart"/>
      <w:r w:rsidRPr="004F5BF0">
        <w:rPr>
          <w:rFonts w:ascii="Times New Roman" w:hAnsi="Times New Roman"/>
          <w:b/>
          <w:bCs/>
          <w:lang w:val="en-HK"/>
        </w:rPr>
        <w:t>Mickelsson</w:t>
      </w:r>
      <w:proofErr w:type="spellEnd"/>
      <w:r w:rsidRPr="004F5BF0">
        <w:rPr>
          <w:rFonts w:ascii="Times New Roman" w:hAnsi="Times New Roman"/>
          <w:b/>
          <w:bCs/>
          <w:lang w:val="en-HK"/>
        </w:rPr>
        <w:t xml:space="preserve"> and </w:t>
      </w:r>
      <w:proofErr w:type="spellStart"/>
      <w:r w:rsidRPr="004F5BF0">
        <w:rPr>
          <w:rFonts w:ascii="Times New Roman" w:hAnsi="Times New Roman"/>
          <w:b/>
          <w:bCs/>
          <w:lang w:val="en-HK"/>
        </w:rPr>
        <w:t>Roos</w:t>
      </w:r>
      <w:proofErr w:type="spellEnd"/>
      <w:r w:rsidRPr="004F5BF0">
        <w:rPr>
          <w:rFonts w:ascii="Times New Roman" w:hAnsi="Times New Roman"/>
          <w:lang w:val="en-HK"/>
        </w:rPr>
        <w:t xml:space="preserve">, the Court found the restriction on watercraft use </w:t>
      </w:r>
      <w:r w:rsidRPr="004F5BF0">
        <w:rPr>
          <w:rFonts w:ascii="Times New Roman" w:hAnsi="Times New Roman"/>
          <w:b/>
          <w:bCs/>
          <w:lang w:val="en-HK"/>
        </w:rPr>
        <w:t>disproportionate</w:t>
      </w:r>
      <w:r w:rsidRPr="004F5BF0">
        <w:rPr>
          <w:rFonts w:ascii="Times New Roman" w:hAnsi="Times New Roman"/>
          <w:lang w:val="en-HK"/>
        </w:rPr>
        <w:t xml:space="preserve"> because it severely limited the market for watercraft, suggesting that </w:t>
      </w:r>
      <w:r w:rsidRPr="004F5BF0">
        <w:rPr>
          <w:rFonts w:ascii="Times New Roman" w:hAnsi="Times New Roman"/>
          <w:lang w:val="en-HK"/>
        </w:rPr>
        <w:lastRenderedPageBreak/>
        <w:t>less restrictive measures could have been employed to achieve the same environmental protection goals.</w:t>
      </w:r>
    </w:p>
    <w:p w14:paraId="684D2BF9" w14:textId="77777777" w:rsidR="004F5BF0" w:rsidRPr="004F5BF0" w:rsidRDefault="004F5BF0" w:rsidP="004F5BF0">
      <w:pPr>
        <w:spacing w:before="100" w:beforeAutospacing="1" w:after="100" w:afterAutospacing="1" w:line="360" w:lineRule="auto"/>
        <w:rPr>
          <w:rFonts w:ascii="Times New Roman" w:hAnsi="Times New Roman"/>
          <w:lang w:val="en-HK"/>
        </w:rPr>
      </w:pPr>
    </w:p>
    <w:p w14:paraId="1FDDDD14" w14:textId="77777777" w:rsidR="004F5BF0" w:rsidRPr="004F5BF0" w:rsidRDefault="004F5BF0" w:rsidP="004F5BF0">
      <w:pPr>
        <w:spacing w:before="100" w:beforeAutospacing="1" w:after="100" w:afterAutospacing="1" w:line="360" w:lineRule="auto"/>
        <w:outlineLvl w:val="2"/>
        <w:rPr>
          <w:rFonts w:ascii="Times New Roman" w:hAnsi="Times New Roman"/>
          <w:b/>
          <w:bCs/>
          <w:lang w:val="en-HK"/>
        </w:rPr>
      </w:pPr>
      <w:r w:rsidRPr="004F5BF0">
        <w:rPr>
          <w:rFonts w:ascii="Times New Roman" w:hAnsi="Times New Roman"/>
          <w:b/>
          <w:bCs/>
          <w:lang w:val="en-HK"/>
        </w:rPr>
        <w:t>3. Balancing and Proportionality in the Strict Sense</w:t>
      </w:r>
    </w:p>
    <w:p w14:paraId="1D7711B3"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The Court must </w:t>
      </w:r>
      <w:r w:rsidRPr="004F5BF0">
        <w:rPr>
          <w:rFonts w:ascii="Times New Roman" w:hAnsi="Times New Roman"/>
          <w:b/>
          <w:bCs/>
          <w:lang w:val="en-HK"/>
        </w:rPr>
        <w:t>balance the objectives</w:t>
      </w:r>
      <w:r w:rsidRPr="004F5BF0">
        <w:rPr>
          <w:rFonts w:ascii="Times New Roman" w:hAnsi="Times New Roman"/>
          <w:lang w:val="en-HK"/>
        </w:rPr>
        <w:t xml:space="preserve"> of the restriction against the impact on intra-Community trade. The restriction must not go beyond what is necessary to protect the public interest. The Court looks for a </w:t>
      </w:r>
      <w:r w:rsidRPr="004F5BF0">
        <w:rPr>
          <w:rFonts w:ascii="Times New Roman" w:hAnsi="Times New Roman"/>
          <w:b/>
          <w:bCs/>
          <w:lang w:val="en-HK"/>
        </w:rPr>
        <w:t>fair balance</w:t>
      </w:r>
      <w:r w:rsidRPr="004F5BF0">
        <w:rPr>
          <w:rFonts w:ascii="Times New Roman" w:hAnsi="Times New Roman"/>
          <w:lang w:val="en-HK"/>
        </w:rPr>
        <w:t xml:space="preserve"> between the restriction imposed and the public interest it seeks to protect.</w:t>
      </w:r>
    </w:p>
    <w:p w14:paraId="7BEEB3CD"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lang w:val="en-HK"/>
        </w:rPr>
        <w:t>For example:</w:t>
      </w:r>
    </w:p>
    <w:p w14:paraId="0F74AD05" w14:textId="77777777" w:rsidR="004F5BF0" w:rsidRPr="004F5BF0" w:rsidRDefault="004F5BF0" w:rsidP="004F5BF0">
      <w:pPr>
        <w:numPr>
          <w:ilvl w:val="0"/>
          <w:numId w:val="9"/>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proofErr w:type="spellStart"/>
      <w:r w:rsidRPr="004F5BF0">
        <w:rPr>
          <w:rFonts w:ascii="Times New Roman" w:hAnsi="Times New Roman"/>
          <w:b/>
          <w:bCs/>
          <w:lang w:val="en-HK"/>
        </w:rPr>
        <w:t>Schmidberger</w:t>
      </w:r>
      <w:proofErr w:type="spellEnd"/>
      <w:r w:rsidRPr="004F5BF0">
        <w:rPr>
          <w:rFonts w:ascii="Times New Roman" w:hAnsi="Times New Roman"/>
          <w:lang w:val="en-HK"/>
        </w:rPr>
        <w:t xml:space="preserve">, the Court balanced the fundamental right to freedom of expression with the need for free trade. The restriction was justified, but only because </w:t>
      </w:r>
      <w:r w:rsidRPr="004F5BF0">
        <w:rPr>
          <w:rFonts w:ascii="Times New Roman" w:hAnsi="Times New Roman"/>
          <w:b/>
          <w:bCs/>
          <w:lang w:val="en-HK"/>
        </w:rPr>
        <w:t>alternative trade routes</w:t>
      </w:r>
      <w:r w:rsidRPr="004F5BF0">
        <w:rPr>
          <w:rFonts w:ascii="Times New Roman" w:hAnsi="Times New Roman"/>
          <w:lang w:val="en-HK"/>
        </w:rPr>
        <w:t xml:space="preserve"> were available, making the restriction proportionate.</w:t>
      </w:r>
    </w:p>
    <w:p w14:paraId="0A1E61BA" w14:textId="77777777" w:rsidR="004F5BF0" w:rsidRPr="004F5BF0" w:rsidRDefault="004F5BF0" w:rsidP="004F5BF0">
      <w:pPr>
        <w:numPr>
          <w:ilvl w:val="0"/>
          <w:numId w:val="9"/>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Spanish Strawberries</w:t>
      </w:r>
      <w:r w:rsidRPr="004F5BF0">
        <w:rPr>
          <w:rFonts w:ascii="Times New Roman" w:hAnsi="Times New Roman"/>
          <w:lang w:val="en-HK"/>
        </w:rPr>
        <w:t xml:space="preserve">, France’s failure to intervene and prevent disruptions to trade was deemed </w:t>
      </w:r>
      <w:r w:rsidRPr="004F5BF0">
        <w:rPr>
          <w:rFonts w:ascii="Times New Roman" w:hAnsi="Times New Roman"/>
          <w:b/>
          <w:bCs/>
          <w:lang w:val="en-HK"/>
        </w:rPr>
        <w:t>disproportionate</w:t>
      </w:r>
      <w:r w:rsidRPr="004F5BF0">
        <w:rPr>
          <w:rFonts w:ascii="Times New Roman" w:hAnsi="Times New Roman"/>
          <w:lang w:val="en-HK"/>
        </w:rPr>
        <w:t>, as it unnecessarily obstructed trade without any justifiable public interest to justify this inaction.</w:t>
      </w:r>
    </w:p>
    <w:p w14:paraId="4A97C5EE" w14:textId="77777777" w:rsidR="004F5BF0" w:rsidRPr="004F5BF0" w:rsidRDefault="004F5BF0" w:rsidP="004F5BF0">
      <w:pPr>
        <w:numPr>
          <w:ilvl w:val="0"/>
          <w:numId w:val="9"/>
        </w:numPr>
        <w:spacing w:before="100" w:beforeAutospacing="1" w:after="100" w:afterAutospacing="1" w:line="360" w:lineRule="auto"/>
        <w:rPr>
          <w:rFonts w:ascii="Times New Roman" w:hAnsi="Times New Roman"/>
          <w:lang w:val="en-HK"/>
        </w:rPr>
      </w:pPr>
      <w:r w:rsidRPr="004F5BF0">
        <w:rPr>
          <w:rFonts w:ascii="Times New Roman" w:hAnsi="Times New Roman"/>
          <w:lang w:val="en-HK"/>
        </w:rPr>
        <w:t xml:space="preserve">In </w:t>
      </w:r>
      <w:r w:rsidRPr="004F5BF0">
        <w:rPr>
          <w:rFonts w:ascii="Times New Roman" w:hAnsi="Times New Roman"/>
          <w:b/>
          <w:bCs/>
          <w:lang w:val="en-HK"/>
        </w:rPr>
        <w:t>Campus Oil</w:t>
      </w:r>
      <w:r w:rsidRPr="004F5BF0">
        <w:rPr>
          <w:rFonts w:ascii="Times New Roman" w:hAnsi="Times New Roman"/>
          <w:lang w:val="en-HK"/>
        </w:rPr>
        <w:t xml:space="preserve">, Ireland’s requirement to buy oil from state refineries was deemed </w:t>
      </w:r>
      <w:r w:rsidRPr="004F5BF0">
        <w:rPr>
          <w:rFonts w:ascii="Times New Roman" w:hAnsi="Times New Roman"/>
          <w:b/>
          <w:bCs/>
          <w:lang w:val="en-HK"/>
        </w:rPr>
        <w:t>proportionate</w:t>
      </w:r>
      <w:r w:rsidRPr="004F5BF0">
        <w:rPr>
          <w:rFonts w:ascii="Times New Roman" w:hAnsi="Times New Roman"/>
          <w:lang w:val="en-HK"/>
        </w:rPr>
        <w:t xml:space="preserve"> because the restriction was necessary to ensure energy security, a key public security concern, and no less restrictive alternatives were available.</w:t>
      </w:r>
    </w:p>
    <w:p w14:paraId="24199770" w14:textId="77777777" w:rsidR="004F5BF0" w:rsidRDefault="004F5BF0" w:rsidP="004F5BF0">
      <w:pPr>
        <w:spacing w:before="100" w:beforeAutospacing="1" w:after="100" w:afterAutospacing="1" w:line="360" w:lineRule="auto"/>
        <w:outlineLvl w:val="2"/>
        <w:rPr>
          <w:rFonts w:ascii="Times New Roman" w:hAnsi="Times New Roman"/>
          <w:b/>
          <w:bCs/>
          <w:lang w:val="en-HK"/>
        </w:rPr>
      </w:pPr>
    </w:p>
    <w:p w14:paraId="3B911F7E" w14:textId="745CB85C" w:rsidR="004F5BF0" w:rsidRPr="004F5BF0" w:rsidRDefault="004F5BF0" w:rsidP="004F5BF0">
      <w:pPr>
        <w:spacing w:before="100" w:beforeAutospacing="1" w:after="100" w:afterAutospacing="1" w:line="360" w:lineRule="auto"/>
        <w:outlineLvl w:val="2"/>
        <w:rPr>
          <w:rFonts w:ascii="Times New Roman" w:hAnsi="Times New Roman"/>
          <w:b/>
          <w:bCs/>
          <w:lang w:val="en-HK"/>
        </w:rPr>
      </w:pPr>
      <w:r w:rsidRPr="004F5BF0">
        <w:rPr>
          <w:rFonts w:ascii="Times New Roman" w:hAnsi="Times New Roman"/>
          <w:b/>
          <w:bCs/>
          <w:lang w:val="en-HK"/>
        </w:rPr>
        <w:t>Key Takeaways from the Court’s Judgment on Proportionality:</w:t>
      </w:r>
    </w:p>
    <w:p w14:paraId="4971EB0E"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b/>
          <w:bCs/>
          <w:lang w:val="en-HK"/>
        </w:rPr>
        <w:t>Suitability</w:t>
      </w:r>
      <w:r w:rsidRPr="004F5BF0">
        <w:rPr>
          <w:rFonts w:ascii="Times New Roman" w:hAnsi="Times New Roman"/>
          <w:lang w:val="en-HK"/>
        </w:rPr>
        <w:t>: The Court ensures that the restriction is appropriate for achieving the legitimate objective.</w:t>
      </w:r>
    </w:p>
    <w:p w14:paraId="32536076"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b/>
          <w:bCs/>
          <w:lang w:val="en-HK"/>
        </w:rPr>
        <w:t>Necessity</w:t>
      </w:r>
      <w:r w:rsidRPr="004F5BF0">
        <w:rPr>
          <w:rFonts w:ascii="Times New Roman" w:hAnsi="Times New Roman"/>
          <w:lang w:val="en-HK"/>
        </w:rPr>
        <w:t>: The restriction must be the least restrictive means of achieving that objective.</w:t>
      </w:r>
    </w:p>
    <w:p w14:paraId="43A869AE" w14:textId="77777777" w:rsidR="004F5BF0" w:rsidRPr="004F5BF0" w:rsidRDefault="004F5BF0" w:rsidP="004F5BF0">
      <w:pPr>
        <w:spacing w:before="100" w:beforeAutospacing="1" w:after="100" w:afterAutospacing="1" w:line="360" w:lineRule="auto"/>
        <w:rPr>
          <w:rFonts w:ascii="Times New Roman" w:hAnsi="Times New Roman"/>
          <w:lang w:val="en-HK"/>
        </w:rPr>
      </w:pPr>
      <w:r w:rsidRPr="004F5BF0">
        <w:rPr>
          <w:rFonts w:ascii="Times New Roman" w:hAnsi="Times New Roman"/>
          <w:b/>
          <w:bCs/>
          <w:lang w:val="en-HK"/>
        </w:rPr>
        <w:lastRenderedPageBreak/>
        <w:t>Balancing</w:t>
      </w:r>
      <w:r w:rsidRPr="004F5BF0">
        <w:rPr>
          <w:rFonts w:ascii="Times New Roman" w:hAnsi="Times New Roman"/>
          <w:lang w:val="en-HK"/>
        </w:rPr>
        <w:t>: There must be a proportionality test in the strict sense, where the Court balances the restriction against the trade impact to ensure it does not go beyond what is necessary.</w:t>
      </w:r>
    </w:p>
    <w:p w14:paraId="131533C4" w14:textId="77777777" w:rsidR="004F5BF0" w:rsidRPr="004F5BF0" w:rsidRDefault="004F5BF0" w:rsidP="004F5BF0">
      <w:pPr>
        <w:spacing w:after="240" w:line="360" w:lineRule="auto"/>
        <w:rPr>
          <w:rFonts w:ascii="Times New Roman" w:hAnsi="Times New Roman"/>
        </w:rPr>
      </w:pPr>
    </w:p>
    <w:sectPr w:rsidR="004F5BF0" w:rsidRPr="004F5BF0" w:rsidSect="004E1F0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8"/>
      <w:numFmt w:val="decimal"/>
      <w:lvlText w:val="%1"/>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5"/>
      <w:numFmt w:val="decimal"/>
      <w:lvlText w:val="%1"/>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5A52E85"/>
    <w:multiLevelType w:val="multilevel"/>
    <w:tmpl w:val="DB5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A63EA"/>
    <w:multiLevelType w:val="hybridMultilevel"/>
    <w:tmpl w:val="8408B6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C20864"/>
    <w:multiLevelType w:val="multilevel"/>
    <w:tmpl w:val="4EC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93C72"/>
    <w:multiLevelType w:val="hybridMultilevel"/>
    <w:tmpl w:val="6CF09770"/>
    <w:lvl w:ilvl="0" w:tplc="FC90BAD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56747F"/>
    <w:multiLevelType w:val="multilevel"/>
    <w:tmpl w:val="F9A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21F81"/>
    <w:multiLevelType w:val="multilevel"/>
    <w:tmpl w:val="A6F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622469">
    <w:abstractNumId w:val="0"/>
  </w:num>
  <w:num w:numId="2" w16cid:durableId="1727022512">
    <w:abstractNumId w:val="1"/>
  </w:num>
  <w:num w:numId="3" w16cid:durableId="843863209">
    <w:abstractNumId w:val="2"/>
  </w:num>
  <w:num w:numId="4" w16cid:durableId="607352228">
    <w:abstractNumId w:val="3"/>
  </w:num>
  <w:num w:numId="5" w16cid:durableId="1152218647">
    <w:abstractNumId w:val="5"/>
  </w:num>
  <w:num w:numId="6" w16cid:durableId="418066167">
    <w:abstractNumId w:val="7"/>
  </w:num>
  <w:num w:numId="7" w16cid:durableId="894778766">
    <w:abstractNumId w:val="9"/>
  </w:num>
  <w:num w:numId="8" w16cid:durableId="2093044768">
    <w:abstractNumId w:val="8"/>
  </w:num>
  <w:num w:numId="9" w16cid:durableId="1184632292">
    <w:abstractNumId w:val="4"/>
  </w:num>
  <w:num w:numId="10" w16cid:durableId="631710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22"/>
    <w:rsid w:val="000147A9"/>
    <w:rsid w:val="00042755"/>
    <w:rsid w:val="0006107D"/>
    <w:rsid w:val="000623A3"/>
    <w:rsid w:val="00094D65"/>
    <w:rsid w:val="000A2074"/>
    <w:rsid w:val="000A3F4D"/>
    <w:rsid w:val="000B1D0C"/>
    <w:rsid w:val="000C4ABC"/>
    <w:rsid w:val="000C58D7"/>
    <w:rsid w:val="000E15ED"/>
    <w:rsid w:val="00101CCF"/>
    <w:rsid w:val="0019260C"/>
    <w:rsid w:val="001B0E31"/>
    <w:rsid w:val="001D360C"/>
    <w:rsid w:val="001E2584"/>
    <w:rsid w:val="00223837"/>
    <w:rsid w:val="00243CED"/>
    <w:rsid w:val="00257540"/>
    <w:rsid w:val="0026510F"/>
    <w:rsid w:val="002D715D"/>
    <w:rsid w:val="002E46F2"/>
    <w:rsid w:val="002F1DB1"/>
    <w:rsid w:val="002F53C9"/>
    <w:rsid w:val="003048A0"/>
    <w:rsid w:val="0031138E"/>
    <w:rsid w:val="0031474F"/>
    <w:rsid w:val="00315815"/>
    <w:rsid w:val="003278F5"/>
    <w:rsid w:val="00330665"/>
    <w:rsid w:val="00361975"/>
    <w:rsid w:val="00376E23"/>
    <w:rsid w:val="00385DA2"/>
    <w:rsid w:val="0039416B"/>
    <w:rsid w:val="003A1271"/>
    <w:rsid w:val="003A5DF7"/>
    <w:rsid w:val="003E1CAA"/>
    <w:rsid w:val="0040210F"/>
    <w:rsid w:val="004222FD"/>
    <w:rsid w:val="004319FA"/>
    <w:rsid w:val="0048097D"/>
    <w:rsid w:val="0048175B"/>
    <w:rsid w:val="004845CE"/>
    <w:rsid w:val="004B1048"/>
    <w:rsid w:val="004D01FE"/>
    <w:rsid w:val="004E1F0C"/>
    <w:rsid w:val="004E458E"/>
    <w:rsid w:val="004F0E12"/>
    <w:rsid w:val="004F5A36"/>
    <w:rsid w:val="004F5BF0"/>
    <w:rsid w:val="00542B57"/>
    <w:rsid w:val="00557B52"/>
    <w:rsid w:val="0058416B"/>
    <w:rsid w:val="00595357"/>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F776E"/>
    <w:rsid w:val="00826709"/>
    <w:rsid w:val="00830C88"/>
    <w:rsid w:val="00861B11"/>
    <w:rsid w:val="008829C2"/>
    <w:rsid w:val="008A54BE"/>
    <w:rsid w:val="008C7B0A"/>
    <w:rsid w:val="008D0642"/>
    <w:rsid w:val="008E745B"/>
    <w:rsid w:val="008F4EA7"/>
    <w:rsid w:val="008F5A10"/>
    <w:rsid w:val="00905ED0"/>
    <w:rsid w:val="0093405B"/>
    <w:rsid w:val="00963C50"/>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2035"/>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1422"/>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B099E7"/>
  <w15:chartTrackingRefBased/>
  <w15:docId w15:val="{A0773F52-59DD-FE4E-BB02-43BAFB36B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F0C"/>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C1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142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4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142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14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4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4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4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2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C142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C142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CC142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C142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C142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C142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C142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C142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C14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2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C14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2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C14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42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C1422"/>
    <w:pPr>
      <w:ind w:left="720"/>
      <w:contextualSpacing/>
    </w:pPr>
  </w:style>
  <w:style w:type="character" w:styleId="IntenseEmphasis">
    <w:name w:val="Intense Emphasis"/>
    <w:basedOn w:val="DefaultParagraphFont"/>
    <w:uiPriority w:val="21"/>
    <w:qFormat/>
    <w:rsid w:val="00CC1422"/>
    <w:rPr>
      <w:i/>
      <w:iCs/>
      <w:color w:val="2F5496" w:themeColor="accent1" w:themeShade="BF"/>
    </w:rPr>
  </w:style>
  <w:style w:type="paragraph" w:styleId="IntenseQuote">
    <w:name w:val="Intense Quote"/>
    <w:basedOn w:val="Normal"/>
    <w:next w:val="Normal"/>
    <w:link w:val="IntenseQuoteChar"/>
    <w:uiPriority w:val="30"/>
    <w:qFormat/>
    <w:rsid w:val="00CC1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42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C1422"/>
    <w:rPr>
      <w:b/>
      <w:bCs/>
      <w:smallCaps/>
      <w:color w:val="2F5496" w:themeColor="accent1" w:themeShade="BF"/>
      <w:spacing w:val="5"/>
    </w:rPr>
  </w:style>
  <w:style w:type="character" w:styleId="Strong">
    <w:name w:val="Strong"/>
    <w:basedOn w:val="DefaultParagraphFont"/>
    <w:uiPriority w:val="22"/>
    <w:qFormat/>
    <w:rsid w:val="000B1D0C"/>
    <w:rPr>
      <w:b/>
      <w:bCs/>
    </w:rPr>
  </w:style>
  <w:style w:type="paragraph" w:styleId="NormalWeb">
    <w:name w:val="Normal (Web)"/>
    <w:basedOn w:val="Normal"/>
    <w:uiPriority w:val="99"/>
    <w:semiHidden/>
    <w:unhideWhenUsed/>
    <w:rsid w:val="004F5BF0"/>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03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2024-11-23T19:49:00Z</dcterms:created>
  <dcterms:modified xsi:type="dcterms:W3CDTF">2024-11-23T19:51:00Z</dcterms:modified>
</cp:coreProperties>
</file>