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732B0C" w14:textId="77777777" w:rsidR="00C97D3C" w:rsidRPr="002B3768" w:rsidRDefault="00C97D3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1. Introduction</w:t>
      </w:r>
    </w:p>
    <w:p w14:paraId="314761D2" w14:textId="77777777" w:rsidR="00C97D3C" w:rsidRPr="002B3768" w:rsidRDefault="00C97D3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Overview of the TCA</w:t>
      </w:r>
    </w:p>
    <w:p w14:paraId="1A8095CD" w14:textId="77777777" w:rsidR="00C97D3C" w:rsidRPr="002B3768" w:rsidRDefault="00C97D3C" w:rsidP="002B3768">
      <w:pPr>
        <w:numPr>
          <w:ilvl w:val="0"/>
          <w:numId w:val="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Trade and Cooperation Agreement (TCA) represents a sharp departure from the EU’s internal market principles, establishing a trade framework between the UK and the EU post-Brexit.</w:t>
      </w:r>
    </w:p>
    <w:p w14:paraId="51FF8B26" w14:textId="77777777" w:rsidR="00C97D3C" w:rsidRPr="002B3768" w:rsidRDefault="00C97D3C" w:rsidP="002B3768">
      <w:pPr>
        <w:numPr>
          <w:ilvl w:val="0"/>
          <w:numId w:val="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Core Argument</w:t>
      </w:r>
      <w:r w:rsidRPr="002B3768">
        <w:rPr>
          <w:rFonts w:ascii="Times New Roman" w:hAnsi="Times New Roman"/>
          <w:lang w:val="en-HK"/>
        </w:rPr>
        <w:t>:</w:t>
      </w:r>
    </w:p>
    <w:p w14:paraId="538A1B0D" w14:textId="77777777" w:rsidR="00C97D3C" w:rsidRPr="002B3768" w:rsidRDefault="00C97D3C" w:rsidP="002B3768">
      <w:pPr>
        <w:numPr>
          <w:ilvl w:val="1"/>
          <w:numId w:val="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is a "</w:t>
      </w:r>
      <w:r w:rsidRPr="00C16C28">
        <w:rPr>
          <w:rFonts w:ascii="Times New Roman" w:hAnsi="Times New Roman"/>
          <w:b/>
          <w:bCs/>
          <w:lang w:val="en-HK"/>
        </w:rPr>
        <w:t>WTO-plus</w:t>
      </w:r>
      <w:r w:rsidRPr="002B3768">
        <w:rPr>
          <w:rFonts w:ascii="Times New Roman" w:hAnsi="Times New Roman"/>
          <w:lang w:val="en-HK"/>
        </w:rPr>
        <w:t xml:space="preserve">" agreement, focusing on tariff elimination without the regulatory and institutional depth of EU membership. The authors argue that the TCA prioritizes </w:t>
      </w:r>
      <w:r w:rsidRPr="002B3768">
        <w:rPr>
          <w:rFonts w:ascii="Times New Roman" w:hAnsi="Times New Roman"/>
          <w:b/>
          <w:bCs/>
          <w:lang w:val="en-HK"/>
        </w:rPr>
        <w:t>regulatory autonomy</w:t>
      </w:r>
      <w:r w:rsidRPr="002B3768">
        <w:rPr>
          <w:rFonts w:ascii="Times New Roman" w:hAnsi="Times New Roman"/>
          <w:lang w:val="en-HK"/>
        </w:rPr>
        <w:t xml:space="preserve"> over seamless trade integration.</w:t>
      </w:r>
    </w:p>
    <w:p w14:paraId="743CB14A" w14:textId="77777777" w:rsidR="00C97D3C" w:rsidRPr="002B3768" w:rsidRDefault="00C97D3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Divergence from EU Principles</w:t>
      </w:r>
    </w:p>
    <w:p w14:paraId="576A4F7B" w14:textId="77777777" w:rsidR="00C97D3C" w:rsidRPr="002B3768" w:rsidRDefault="00C97D3C" w:rsidP="002B3768">
      <w:pPr>
        <w:numPr>
          <w:ilvl w:val="0"/>
          <w:numId w:val="2"/>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EU’s Internal Market Framework</w:t>
      </w:r>
      <w:r w:rsidRPr="002B3768">
        <w:rPr>
          <w:rFonts w:ascii="Times New Roman" w:hAnsi="Times New Roman"/>
          <w:lang w:val="en-HK"/>
        </w:rPr>
        <w:t>:</w:t>
      </w:r>
    </w:p>
    <w:p w14:paraId="2477F53B" w14:textId="77777777" w:rsidR="00C97D3C" w:rsidRPr="002B3768" w:rsidRDefault="00C97D3C" w:rsidP="002B3768">
      <w:pPr>
        <w:numPr>
          <w:ilvl w:val="1"/>
          <w:numId w:val="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EU internal market, governed by </w:t>
      </w:r>
      <w:r w:rsidRPr="002B3768">
        <w:rPr>
          <w:rFonts w:ascii="Times New Roman" w:hAnsi="Times New Roman"/>
          <w:b/>
          <w:bCs/>
          <w:lang w:val="en-HK"/>
        </w:rPr>
        <w:t>Articles 28-36 TFEU</w:t>
      </w:r>
      <w:r w:rsidRPr="002B3768">
        <w:rPr>
          <w:rFonts w:ascii="Times New Roman" w:hAnsi="Times New Roman"/>
          <w:lang w:val="en-HK"/>
        </w:rPr>
        <w:t>, eliminates both tariffs and non-tariff barriers, ensuring market access through mechanisms like mutual recognition of standards (</w:t>
      </w:r>
      <w:r w:rsidRPr="002B3768">
        <w:rPr>
          <w:rFonts w:ascii="Times New Roman" w:hAnsi="Times New Roman"/>
          <w:i/>
          <w:iCs/>
          <w:lang w:val="en-HK"/>
        </w:rPr>
        <w:t>Cassis de Dijon</w:t>
      </w:r>
      <w:r w:rsidRPr="002B3768">
        <w:rPr>
          <w:rFonts w:ascii="Times New Roman" w:hAnsi="Times New Roman"/>
          <w:lang w:val="en-HK"/>
        </w:rPr>
        <w:t>, Case 120/78).</w:t>
      </w:r>
    </w:p>
    <w:p w14:paraId="2907A037" w14:textId="77777777" w:rsidR="00C97D3C" w:rsidRPr="002B3768" w:rsidRDefault="00C97D3C" w:rsidP="002B3768">
      <w:pPr>
        <w:numPr>
          <w:ilvl w:val="1"/>
          <w:numId w:val="2"/>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Article 34 TFEU</w:t>
      </w:r>
      <w:r w:rsidRPr="002B3768">
        <w:rPr>
          <w:rFonts w:ascii="Times New Roman" w:hAnsi="Times New Roman"/>
          <w:lang w:val="en-HK"/>
        </w:rPr>
        <w:t>:</w:t>
      </w:r>
    </w:p>
    <w:p w14:paraId="249A3845" w14:textId="77777777" w:rsidR="00C97D3C" w:rsidRPr="002B3768" w:rsidRDefault="00C97D3C" w:rsidP="002B3768">
      <w:pPr>
        <w:numPr>
          <w:ilvl w:val="2"/>
          <w:numId w:val="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Prohibits measures having equivalent effect to quantitative restrictions (MEEs), ensuring a high level of integration.</w:t>
      </w:r>
    </w:p>
    <w:p w14:paraId="4B6D842F" w14:textId="77777777" w:rsidR="00C97D3C" w:rsidRPr="002B3768" w:rsidRDefault="00C97D3C" w:rsidP="002B3768">
      <w:pPr>
        <w:numPr>
          <w:ilvl w:val="0"/>
          <w:numId w:val="2"/>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TCA’s Approach</w:t>
      </w:r>
      <w:r w:rsidRPr="002B3768">
        <w:rPr>
          <w:rFonts w:ascii="Times New Roman" w:hAnsi="Times New Roman"/>
          <w:lang w:val="en-HK"/>
        </w:rPr>
        <w:t>:</w:t>
      </w:r>
    </w:p>
    <w:p w14:paraId="4374E61A" w14:textId="77777777" w:rsidR="00C97D3C" w:rsidRPr="002B3768" w:rsidRDefault="00C97D3C" w:rsidP="002B3768">
      <w:pPr>
        <w:numPr>
          <w:ilvl w:val="1"/>
          <w:numId w:val="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relies on </w:t>
      </w:r>
      <w:r w:rsidRPr="002B3768">
        <w:rPr>
          <w:rFonts w:ascii="Times New Roman" w:hAnsi="Times New Roman"/>
          <w:b/>
          <w:bCs/>
          <w:lang w:val="en-HK"/>
        </w:rPr>
        <w:t>GATT principles</w:t>
      </w:r>
      <w:r w:rsidRPr="002B3768">
        <w:rPr>
          <w:rFonts w:ascii="Times New Roman" w:hAnsi="Times New Roman"/>
          <w:lang w:val="en-HK"/>
        </w:rPr>
        <w:t xml:space="preserve">, including </w:t>
      </w:r>
      <w:r w:rsidRPr="002B3768">
        <w:rPr>
          <w:rFonts w:ascii="Times New Roman" w:hAnsi="Times New Roman"/>
          <w:b/>
          <w:bCs/>
          <w:lang w:val="en-HK"/>
        </w:rPr>
        <w:t>non-discrimination</w:t>
      </w:r>
      <w:r w:rsidRPr="002B3768">
        <w:rPr>
          <w:rFonts w:ascii="Times New Roman" w:hAnsi="Times New Roman"/>
          <w:lang w:val="en-HK"/>
        </w:rPr>
        <w:t xml:space="preserve"> (Article III GATT), which prohibits less favorable treatment of imported goods but does not address indirect market access barriers like the EU does under Article 34 TFEU.</w:t>
      </w:r>
    </w:p>
    <w:p w14:paraId="76AC43EA" w14:textId="77777777" w:rsidR="00C97D3C" w:rsidRPr="002B3768" w:rsidRDefault="00C97D3C" w:rsidP="002B3768">
      <w:pPr>
        <w:numPr>
          <w:ilvl w:val="1"/>
          <w:numId w:val="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lacks mechanisms like the </w:t>
      </w:r>
      <w:r w:rsidRPr="002B3768">
        <w:rPr>
          <w:rFonts w:ascii="Times New Roman" w:hAnsi="Times New Roman"/>
          <w:b/>
          <w:bCs/>
          <w:lang w:val="en-HK"/>
        </w:rPr>
        <w:t>mutual recognition principle</w:t>
      </w:r>
      <w:r w:rsidRPr="002B3768">
        <w:rPr>
          <w:rFonts w:ascii="Times New Roman" w:hAnsi="Times New Roman"/>
          <w:lang w:val="en-HK"/>
        </w:rPr>
        <w:t xml:space="preserve"> under EU law, meaning UK goods must meet the regulatory standards of the importing EU state.</w:t>
      </w:r>
    </w:p>
    <w:p w14:paraId="49B66B5B" w14:textId="77777777" w:rsidR="00C97D3C" w:rsidRPr="002B3768" w:rsidRDefault="00C97D3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Political Context</w:t>
      </w:r>
    </w:p>
    <w:p w14:paraId="76416BEE" w14:textId="77777777" w:rsidR="00C97D3C" w:rsidRPr="002B3768" w:rsidRDefault="00C97D3C" w:rsidP="002B3768">
      <w:pPr>
        <w:numPr>
          <w:ilvl w:val="0"/>
          <w:numId w:val="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Brexit negotiations were driven by the UK’s red lines, including the rejection of free movement of people, the European Court of Justice’s (ECJ) jurisdiction, and membership in the Single Market or Customs Union.</w:t>
      </w:r>
    </w:p>
    <w:p w14:paraId="46D67C8D" w14:textId="77777777" w:rsidR="00C97D3C" w:rsidRPr="002B3768" w:rsidRDefault="00C97D3C" w:rsidP="002B3768">
      <w:pPr>
        <w:numPr>
          <w:ilvl w:val="0"/>
          <w:numId w:val="3"/>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Key Insight</w:t>
      </w:r>
      <w:r w:rsidRPr="002B3768">
        <w:rPr>
          <w:rFonts w:ascii="Times New Roman" w:hAnsi="Times New Roman"/>
          <w:lang w:val="en-HK"/>
        </w:rPr>
        <w:t>:</w:t>
      </w:r>
    </w:p>
    <w:p w14:paraId="2D750710" w14:textId="77777777" w:rsidR="00C97D3C" w:rsidRPr="002B3768" w:rsidRDefault="00C97D3C" w:rsidP="002B3768">
      <w:pPr>
        <w:numPr>
          <w:ilvl w:val="1"/>
          <w:numId w:val="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reflects a political compromise that sacrifices economic integration for sovereignty, leading to increased trade friction.</w:t>
      </w:r>
    </w:p>
    <w:p w14:paraId="7D9CC27B" w14:textId="77777777" w:rsidR="00C97D3C" w:rsidRPr="002B3768" w:rsidRDefault="00E82DEF" w:rsidP="002B3768">
      <w:pPr>
        <w:spacing w:line="276" w:lineRule="auto"/>
        <w:rPr>
          <w:rFonts w:ascii="Times New Roman" w:hAnsi="Times New Roman"/>
          <w:lang w:val="en-HK"/>
        </w:rPr>
      </w:pPr>
      <w:r>
        <w:pict w14:anchorId="5AD97A21">
          <v:rect id="Horizontal Line 1"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DDE871" w14:textId="77777777" w:rsidR="00C97D3C" w:rsidRPr="002B3768" w:rsidRDefault="00C97D3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2. The TCA Provisions on Trade in Goods</w:t>
      </w:r>
    </w:p>
    <w:p w14:paraId="392ADEFD" w14:textId="77777777" w:rsidR="00C97D3C" w:rsidRPr="002B3768" w:rsidRDefault="00C97D3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Legal Framework</w:t>
      </w:r>
    </w:p>
    <w:p w14:paraId="3CB962A2" w14:textId="77777777" w:rsidR="00C97D3C" w:rsidRPr="002B3768" w:rsidRDefault="00C97D3C" w:rsidP="002B3768">
      <w:pPr>
        <w:numPr>
          <w:ilvl w:val="0"/>
          <w:numId w:val="4"/>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lastRenderedPageBreak/>
        <w:t>The TCA governs trade between the UK and EU primarily through provisions inspired by WTO agreements, including:</w:t>
      </w:r>
    </w:p>
    <w:p w14:paraId="2F09BFB6" w14:textId="77777777" w:rsidR="00C97D3C" w:rsidRPr="002B3768" w:rsidRDefault="00C97D3C" w:rsidP="002B3768">
      <w:pPr>
        <w:numPr>
          <w:ilvl w:val="1"/>
          <w:numId w:val="4"/>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Rules of Origin</w:t>
      </w:r>
      <w:r w:rsidRPr="002B3768">
        <w:rPr>
          <w:rFonts w:ascii="Times New Roman" w:hAnsi="Times New Roman"/>
          <w:lang w:val="en-HK"/>
        </w:rPr>
        <w:t>.</w:t>
      </w:r>
    </w:p>
    <w:p w14:paraId="240C814F" w14:textId="77777777" w:rsidR="00C97D3C" w:rsidRPr="002B3768" w:rsidRDefault="00C97D3C" w:rsidP="002B3768">
      <w:pPr>
        <w:numPr>
          <w:ilvl w:val="1"/>
          <w:numId w:val="4"/>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Technical Barriers to Trade (TBT)</w:t>
      </w:r>
      <w:r w:rsidRPr="002B3768">
        <w:rPr>
          <w:rFonts w:ascii="Times New Roman" w:hAnsi="Times New Roman"/>
          <w:lang w:val="en-HK"/>
        </w:rPr>
        <w:t>.</w:t>
      </w:r>
    </w:p>
    <w:p w14:paraId="0EC98586" w14:textId="77777777" w:rsidR="00C97D3C" w:rsidRPr="002B3768" w:rsidRDefault="00C97D3C" w:rsidP="002B3768">
      <w:pPr>
        <w:numPr>
          <w:ilvl w:val="1"/>
          <w:numId w:val="4"/>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Sanitary and Phytosanitary Measures (SPS)</w:t>
      </w:r>
      <w:r w:rsidRPr="002B3768">
        <w:rPr>
          <w:rFonts w:ascii="Times New Roman" w:hAnsi="Times New Roman"/>
          <w:lang w:val="en-HK"/>
        </w:rPr>
        <w:t>.</w:t>
      </w:r>
    </w:p>
    <w:p w14:paraId="641426A4" w14:textId="77777777" w:rsidR="00C97D3C" w:rsidRPr="002B3768" w:rsidRDefault="00C97D3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Comparison with EU Law</w:t>
      </w:r>
    </w:p>
    <w:p w14:paraId="741B4DEC" w14:textId="77777777" w:rsidR="00C97D3C" w:rsidRPr="002B3768" w:rsidRDefault="00C97D3C" w:rsidP="002B3768">
      <w:pPr>
        <w:numPr>
          <w:ilvl w:val="0"/>
          <w:numId w:val="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EU Single Market</w:t>
      </w:r>
      <w:r w:rsidRPr="002B3768">
        <w:rPr>
          <w:rFonts w:ascii="Times New Roman" w:hAnsi="Times New Roman"/>
          <w:lang w:val="en-HK"/>
        </w:rPr>
        <w:t>:</w:t>
      </w:r>
    </w:p>
    <w:p w14:paraId="56894999" w14:textId="77777777" w:rsidR="00C97D3C" w:rsidRPr="002B3768" w:rsidRDefault="00C97D3C" w:rsidP="002B3768">
      <w:pPr>
        <w:numPr>
          <w:ilvl w:val="1"/>
          <w:numId w:val="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In the EU’s Single Market, goods benefit from frictionless trade through </w:t>
      </w:r>
      <w:r w:rsidRPr="002B3768">
        <w:rPr>
          <w:rFonts w:ascii="Times New Roman" w:hAnsi="Times New Roman"/>
          <w:b/>
          <w:bCs/>
          <w:lang w:val="en-HK"/>
        </w:rPr>
        <w:t>harmonization</w:t>
      </w:r>
      <w:r w:rsidRPr="002B3768">
        <w:rPr>
          <w:rFonts w:ascii="Times New Roman" w:hAnsi="Times New Roman"/>
          <w:lang w:val="en-HK"/>
        </w:rPr>
        <w:t xml:space="preserve"> and </w:t>
      </w:r>
      <w:r w:rsidRPr="002B3768">
        <w:rPr>
          <w:rFonts w:ascii="Times New Roman" w:hAnsi="Times New Roman"/>
          <w:b/>
          <w:bCs/>
          <w:lang w:val="en-HK"/>
        </w:rPr>
        <w:t>mutual recognition of standards</w:t>
      </w:r>
      <w:r w:rsidRPr="002B3768">
        <w:rPr>
          <w:rFonts w:ascii="Times New Roman" w:hAnsi="Times New Roman"/>
          <w:lang w:val="en-HK"/>
        </w:rPr>
        <w:t>.</w:t>
      </w:r>
    </w:p>
    <w:p w14:paraId="6BD95DF4" w14:textId="77777777" w:rsidR="00C97D3C" w:rsidRPr="002B3768" w:rsidRDefault="00C97D3C" w:rsidP="002B3768">
      <w:pPr>
        <w:numPr>
          <w:ilvl w:val="1"/>
          <w:numId w:val="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EU framework prohibits both tariffs and non-tariff barriers (e.g., technical regulations), requiring Member States to justify any restrictions under </w:t>
      </w:r>
      <w:r w:rsidRPr="002B3768">
        <w:rPr>
          <w:rFonts w:ascii="Times New Roman" w:hAnsi="Times New Roman"/>
          <w:b/>
          <w:bCs/>
          <w:lang w:val="en-HK"/>
        </w:rPr>
        <w:t>Article 36 TFEU</w:t>
      </w:r>
      <w:r w:rsidRPr="002B3768">
        <w:rPr>
          <w:rFonts w:ascii="Times New Roman" w:hAnsi="Times New Roman"/>
          <w:lang w:val="en-HK"/>
        </w:rPr>
        <w:t>.</w:t>
      </w:r>
    </w:p>
    <w:p w14:paraId="0CF63EA6" w14:textId="77777777" w:rsidR="00C97D3C" w:rsidRPr="002B3768" w:rsidRDefault="00C97D3C" w:rsidP="002B3768">
      <w:pPr>
        <w:numPr>
          <w:ilvl w:val="1"/>
          <w:numId w:val="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Case Example</w:t>
      </w:r>
      <w:r w:rsidRPr="002B3768">
        <w:rPr>
          <w:rFonts w:ascii="Times New Roman" w:hAnsi="Times New Roman"/>
          <w:lang w:val="en-HK"/>
        </w:rPr>
        <w:t xml:space="preserve">: </w:t>
      </w:r>
      <w:r w:rsidRPr="002B3768">
        <w:rPr>
          <w:rFonts w:ascii="Times New Roman" w:hAnsi="Times New Roman"/>
          <w:i/>
          <w:iCs/>
          <w:lang w:val="en-HK"/>
        </w:rPr>
        <w:t>Dassonville (Case 8/74)</w:t>
      </w:r>
      <w:r w:rsidRPr="002B3768">
        <w:rPr>
          <w:rFonts w:ascii="Times New Roman" w:hAnsi="Times New Roman"/>
          <w:lang w:val="en-HK"/>
        </w:rPr>
        <w:t xml:space="preserve"> established that "all trading rules capable of hindering intra-EU trade" fall under the prohibition of Article 34 TFEU.</w:t>
      </w:r>
    </w:p>
    <w:p w14:paraId="5DCE1416" w14:textId="77777777" w:rsidR="00C97D3C" w:rsidRPr="002B3768" w:rsidRDefault="00C97D3C" w:rsidP="002B3768">
      <w:pPr>
        <w:numPr>
          <w:ilvl w:val="0"/>
          <w:numId w:val="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TCA’s Approach</w:t>
      </w:r>
      <w:r w:rsidRPr="002B3768">
        <w:rPr>
          <w:rFonts w:ascii="Times New Roman" w:hAnsi="Times New Roman"/>
          <w:lang w:val="en-HK"/>
        </w:rPr>
        <w:t>:</w:t>
      </w:r>
    </w:p>
    <w:p w14:paraId="45E56928" w14:textId="77777777" w:rsidR="00C97D3C" w:rsidRPr="002B3768" w:rsidRDefault="00C97D3C" w:rsidP="002B3768">
      <w:pPr>
        <w:numPr>
          <w:ilvl w:val="1"/>
          <w:numId w:val="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removes tariffs and quotas for goods meeting </w:t>
      </w:r>
      <w:r w:rsidRPr="002B3768">
        <w:rPr>
          <w:rFonts w:ascii="Times New Roman" w:hAnsi="Times New Roman"/>
          <w:b/>
          <w:bCs/>
          <w:lang w:val="en-HK"/>
        </w:rPr>
        <w:t>rules of origin</w:t>
      </w:r>
      <w:r w:rsidRPr="002B3768">
        <w:rPr>
          <w:rFonts w:ascii="Times New Roman" w:hAnsi="Times New Roman"/>
          <w:lang w:val="en-HK"/>
        </w:rPr>
        <w:t xml:space="preserve"> but does not eliminate non-tariff barriers.</w:t>
      </w:r>
    </w:p>
    <w:p w14:paraId="0D000338" w14:textId="77777777" w:rsidR="00C97D3C" w:rsidRPr="002B3768" w:rsidRDefault="00C97D3C" w:rsidP="002B3768">
      <w:pPr>
        <w:numPr>
          <w:ilvl w:val="1"/>
          <w:numId w:val="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Rules of Origin</w:t>
      </w:r>
      <w:r w:rsidRPr="002B3768">
        <w:rPr>
          <w:rFonts w:ascii="Times New Roman" w:hAnsi="Times New Roman"/>
          <w:lang w:val="en-HK"/>
        </w:rPr>
        <w:t>:</w:t>
      </w:r>
    </w:p>
    <w:p w14:paraId="54882D18" w14:textId="77777777" w:rsidR="00C97D3C" w:rsidRPr="002B3768" w:rsidRDefault="00C97D3C" w:rsidP="002B3768">
      <w:pPr>
        <w:numPr>
          <w:ilvl w:val="2"/>
          <w:numId w:val="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Goods must meet specific criteria to qualify for tariff-free trade under the TCA. For example, UK goods must contain a minimum percentage of UK-origin components to avoid Most Favored Nation (MFN) tariffs under WTO rules.</w:t>
      </w:r>
    </w:p>
    <w:p w14:paraId="0736E2F0" w14:textId="77777777" w:rsidR="00C97D3C" w:rsidRPr="002B3768" w:rsidRDefault="00C97D3C" w:rsidP="002B3768">
      <w:pPr>
        <w:numPr>
          <w:ilvl w:val="2"/>
          <w:numId w:val="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compliance burden is significant, often deterring businesses from claiming tariff-free status.</w:t>
      </w:r>
    </w:p>
    <w:p w14:paraId="5FACD645" w14:textId="77777777" w:rsidR="00C97D3C" w:rsidRPr="002B3768" w:rsidRDefault="00C97D3C" w:rsidP="002B3768">
      <w:pPr>
        <w:numPr>
          <w:ilvl w:val="1"/>
          <w:numId w:val="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GATT Framework</w:t>
      </w:r>
      <w:r w:rsidRPr="002B3768">
        <w:rPr>
          <w:rFonts w:ascii="Times New Roman" w:hAnsi="Times New Roman"/>
          <w:lang w:val="en-HK"/>
        </w:rPr>
        <w:t>:</w:t>
      </w:r>
    </w:p>
    <w:p w14:paraId="04A5010B" w14:textId="77777777" w:rsidR="00C97D3C" w:rsidRPr="002B3768" w:rsidRDefault="00C97D3C" w:rsidP="002B3768">
      <w:pPr>
        <w:numPr>
          <w:ilvl w:val="2"/>
          <w:numId w:val="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relies on GATT’s </w:t>
      </w:r>
      <w:r w:rsidRPr="002B3768">
        <w:rPr>
          <w:rFonts w:ascii="Times New Roman" w:hAnsi="Times New Roman"/>
          <w:b/>
          <w:bCs/>
          <w:lang w:val="en-HK"/>
        </w:rPr>
        <w:t>national treatment principle</w:t>
      </w:r>
      <w:r w:rsidRPr="002B3768">
        <w:rPr>
          <w:rFonts w:ascii="Times New Roman" w:hAnsi="Times New Roman"/>
          <w:lang w:val="en-HK"/>
        </w:rPr>
        <w:t xml:space="preserve"> (Article III), which prohibits discrimination against imported goods but does not provide market access guarantees like Article 34 TFEU.</w:t>
      </w:r>
    </w:p>
    <w:p w14:paraId="4925ACA8" w14:textId="77777777" w:rsidR="00C97D3C" w:rsidRPr="002B3768" w:rsidRDefault="00C97D3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Tariff and Non-Tariff Barriers</w:t>
      </w:r>
    </w:p>
    <w:p w14:paraId="455D8292" w14:textId="77777777" w:rsidR="00C97D3C" w:rsidRPr="002B3768" w:rsidRDefault="00C97D3C" w:rsidP="002B3768">
      <w:pPr>
        <w:numPr>
          <w:ilvl w:val="0"/>
          <w:numId w:val="6"/>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Zero Tariff and Zero Quota</w:t>
      </w:r>
      <w:r w:rsidRPr="002B3768">
        <w:rPr>
          <w:rFonts w:ascii="Times New Roman" w:hAnsi="Times New Roman"/>
          <w:lang w:val="en-HK"/>
        </w:rPr>
        <w:t>:</w:t>
      </w:r>
    </w:p>
    <w:p w14:paraId="2F66F734" w14:textId="77777777" w:rsidR="00C97D3C" w:rsidRPr="002B3768" w:rsidRDefault="00C97D3C" w:rsidP="002B3768">
      <w:pPr>
        <w:numPr>
          <w:ilvl w:val="1"/>
          <w:numId w:val="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Tariffs and quotas are eliminated for qualifying goods, providing a baseline of trade facilitation. However, proving compliance with rules of origin creates bureaucratic obstacles.</w:t>
      </w:r>
    </w:p>
    <w:p w14:paraId="1C264967" w14:textId="77777777" w:rsidR="00C97D3C" w:rsidRPr="002B3768" w:rsidRDefault="00C97D3C" w:rsidP="002B3768">
      <w:pPr>
        <w:numPr>
          <w:ilvl w:val="0"/>
          <w:numId w:val="6"/>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Non-Tariff Barriers</w:t>
      </w:r>
      <w:r w:rsidRPr="002B3768">
        <w:rPr>
          <w:rFonts w:ascii="Times New Roman" w:hAnsi="Times New Roman"/>
          <w:lang w:val="en-HK"/>
        </w:rPr>
        <w:t>:</w:t>
      </w:r>
    </w:p>
    <w:p w14:paraId="03DAC126" w14:textId="77777777" w:rsidR="00C97D3C" w:rsidRPr="002B3768" w:rsidRDefault="00C97D3C" w:rsidP="002B3768">
      <w:pPr>
        <w:numPr>
          <w:ilvl w:val="1"/>
          <w:numId w:val="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absence of mutual recognition means goods must comply with the technical regulations of the importing state. For UK exporters, this often involves costly re-certification processes.</w:t>
      </w:r>
    </w:p>
    <w:p w14:paraId="7A308247" w14:textId="77777777" w:rsidR="00C97D3C" w:rsidRPr="002B3768" w:rsidRDefault="00C97D3C" w:rsidP="002B3768">
      <w:pPr>
        <w:numPr>
          <w:ilvl w:val="1"/>
          <w:numId w:val="6"/>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Example</w:t>
      </w:r>
      <w:r w:rsidRPr="002B3768">
        <w:rPr>
          <w:rFonts w:ascii="Times New Roman" w:hAnsi="Times New Roman"/>
          <w:lang w:val="en-HK"/>
        </w:rPr>
        <w:t>:</w:t>
      </w:r>
    </w:p>
    <w:p w14:paraId="3202D5D4" w14:textId="77777777" w:rsidR="00C97D3C" w:rsidRPr="002B3768" w:rsidRDefault="00C97D3C" w:rsidP="002B3768">
      <w:pPr>
        <w:numPr>
          <w:ilvl w:val="2"/>
          <w:numId w:val="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lastRenderedPageBreak/>
        <w:t>A UK-manufactured product meeting British standards may still require separate testing to comply with EU regulations.</w:t>
      </w:r>
    </w:p>
    <w:p w14:paraId="31D1FF68" w14:textId="77777777" w:rsidR="00C97D3C" w:rsidRPr="002B3768" w:rsidRDefault="00C97D3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Scholarly Critique</w:t>
      </w:r>
    </w:p>
    <w:p w14:paraId="60400701" w14:textId="77777777" w:rsidR="00C97D3C" w:rsidRPr="002B3768" w:rsidRDefault="00C97D3C" w:rsidP="002B3768">
      <w:pPr>
        <w:numPr>
          <w:ilvl w:val="0"/>
          <w:numId w:val="7"/>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Authors’ Perspective</w:t>
      </w:r>
      <w:r w:rsidRPr="002B3768">
        <w:rPr>
          <w:rFonts w:ascii="Times New Roman" w:hAnsi="Times New Roman"/>
          <w:lang w:val="en-HK"/>
        </w:rPr>
        <w:t>:</w:t>
      </w:r>
    </w:p>
    <w:p w14:paraId="1359A37B" w14:textId="77777777" w:rsidR="00C97D3C" w:rsidRPr="002B3768" w:rsidRDefault="00C97D3C" w:rsidP="002B3768">
      <w:pPr>
        <w:numPr>
          <w:ilvl w:val="1"/>
          <w:numId w:val="7"/>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authors argue that the TCA’s reliance on WTO principles fails to replicate the seamless trade enabled by the EU’s internal market. By prioritizing sovereignty over integration, the TCA increases costs and complexity for businesses.</w:t>
      </w:r>
    </w:p>
    <w:p w14:paraId="70E171A9" w14:textId="77777777" w:rsidR="00C97D3C" w:rsidRPr="002B3768" w:rsidRDefault="00C97D3C" w:rsidP="002B3768">
      <w:pPr>
        <w:numPr>
          <w:ilvl w:val="1"/>
          <w:numId w:val="7"/>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Key Quote</w:t>
      </w:r>
      <w:r w:rsidRPr="002B3768">
        <w:rPr>
          <w:rFonts w:ascii="Times New Roman" w:hAnsi="Times New Roman"/>
          <w:lang w:val="en-HK"/>
        </w:rPr>
        <w:t>:</w:t>
      </w:r>
    </w:p>
    <w:p w14:paraId="13D24148" w14:textId="77777777" w:rsidR="00C97D3C" w:rsidRPr="002B3768" w:rsidRDefault="00C97D3C" w:rsidP="002B3768">
      <w:pPr>
        <w:numPr>
          <w:ilvl w:val="2"/>
          <w:numId w:val="7"/>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TCA’s approach to trade in goods represents a significant step back from the depth of economic integration previously enjoyed under EU membership.”</w:t>
      </w:r>
    </w:p>
    <w:p w14:paraId="041F1564" w14:textId="77777777" w:rsidR="00C97D3C" w:rsidRPr="002B3768" w:rsidRDefault="00E82DEF" w:rsidP="002B3768">
      <w:pPr>
        <w:spacing w:line="276" w:lineRule="auto"/>
        <w:rPr>
          <w:rFonts w:ascii="Times New Roman" w:hAnsi="Times New Roman"/>
          <w:lang w:val="en-HK"/>
        </w:rPr>
      </w:pPr>
      <w:r>
        <w:pict w14:anchorId="0FAF6E7E">
          <v:rect id="Horizontal Line 2"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845394" w14:textId="77777777" w:rsidR="00C97D3C" w:rsidRPr="002B3768" w:rsidRDefault="00C97D3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Conclusion of Sections 1 and 2</w:t>
      </w:r>
    </w:p>
    <w:p w14:paraId="6A871BB8" w14:textId="77777777" w:rsidR="00C97D3C" w:rsidRPr="002B3768" w:rsidRDefault="00C97D3C" w:rsidP="002B3768">
      <w:pPr>
        <w:numPr>
          <w:ilvl w:val="0"/>
          <w:numId w:val="8"/>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w:t>
      </w:r>
      <w:r w:rsidRPr="002B3768">
        <w:rPr>
          <w:rFonts w:ascii="Times New Roman" w:hAnsi="Times New Roman"/>
          <w:b/>
          <w:bCs/>
          <w:lang w:val="en-HK"/>
        </w:rPr>
        <w:t>Introduction</w:t>
      </w:r>
      <w:r w:rsidRPr="002B3768">
        <w:rPr>
          <w:rFonts w:ascii="Times New Roman" w:hAnsi="Times New Roman"/>
          <w:lang w:val="en-HK"/>
        </w:rPr>
        <w:t xml:space="preserve"> emphasizes the fundamental shift in trade relations post-Brexit, highlighting the TCA’s prioritization of sovereignty over market integration.</w:t>
      </w:r>
    </w:p>
    <w:p w14:paraId="5C3F6292" w14:textId="77777777" w:rsidR="00C97D3C" w:rsidRPr="002B3768" w:rsidRDefault="00C97D3C" w:rsidP="002B3768">
      <w:pPr>
        <w:numPr>
          <w:ilvl w:val="0"/>
          <w:numId w:val="8"/>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Section 2</w:t>
      </w:r>
      <w:r w:rsidRPr="002B3768">
        <w:rPr>
          <w:rFonts w:ascii="Times New Roman" w:hAnsi="Times New Roman"/>
          <w:lang w:val="en-HK"/>
        </w:rPr>
        <w:t xml:space="preserve"> provides a detailed comparison between the TCA and the EU internal market, underscoring the increased trade barriers resulting from the reliance on WTO principles. While the TCA achieves tariff-free trade for some goods, the absence of mutual recognition and the burden of rules of origin significantly hamper seamless trade.</w:t>
      </w:r>
    </w:p>
    <w:p w14:paraId="714DEE19" w14:textId="55B425A0" w:rsidR="00A94D4C" w:rsidRPr="002B3768" w:rsidRDefault="00E82DEF" w:rsidP="002B3768">
      <w:pPr>
        <w:spacing w:before="100" w:beforeAutospacing="1" w:after="100" w:afterAutospacing="1" w:line="276" w:lineRule="auto"/>
        <w:outlineLvl w:val="2"/>
        <w:rPr>
          <w:rFonts w:ascii="Times New Roman" w:hAnsi="Times New Roman"/>
          <w:b/>
          <w:bCs/>
          <w:lang w:val="en-HK"/>
        </w:rPr>
      </w:pPr>
      <w:r>
        <w:pict w14:anchorId="7FB24090">
          <v:rect id="Horizontal Line 10"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7394D7" w14:textId="06471DC6"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3. Negotiating the Future Trade Relationship</w:t>
      </w:r>
    </w:p>
    <w:p w14:paraId="1921BF8B"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Overview</w:t>
      </w:r>
    </w:p>
    <w:p w14:paraId="3EBDFD41" w14:textId="77777777" w:rsidR="00A94D4C" w:rsidRPr="002B3768" w:rsidRDefault="00A94D4C" w:rsidP="002B3768">
      <w:pPr>
        <w:numPr>
          <w:ilvl w:val="0"/>
          <w:numId w:val="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This section examines the negotiation process that led to the adoption of the </w:t>
      </w:r>
      <w:r w:rsidRPr="002B3768">
        <w:rPr>
          <w:rFonts w:ascii="Times New Roman" w:hAnsi="Times New Roman"/>
          <w:b/>
          <w:bCs/>
          <w:lang w:val="en-HK"/>
        </w:rPr>
        <w:t>Trade and Cooperation Agreement (TCA)</w:t>
      </w:r>
      <w:r w:rsidRPr="002B3768">
        <w:rPr>
          <w:rFonts w:ascii="Times New Roman" w:hAnsi="Times New Roman"/>
          <w:lang w:val="en-HK"/>
        </w:rPr>
        <w:t>, highlighting the key political and legal priorities of the UK and EU.</w:t>
      </w:r>
    </w:p>
    <w:p w14:paraId="19A98493" w14:textId="77777777" w:rsidR="00A94D4C" w:rsidRPr="002B3768" w:rsidRDefault="00A94D4C" w:rsidP="002B3768">
      <w:pPr>
        <w:numPr>
          <w:ilvl w:val="0"/>
          <w:numId w:val="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Core Argument</w:t>
      </w:r>
      <w:r w:rsidRPr="002B3768">
        <w:rPr>
          <w:rFonts w:ascii="Times New Roman" w:hAnsi="Times New Roman"/>
          <w:lang w:val="en-HK"/>
        </w:rPr>
        <w:t>:</w:t>
      </w:r>
    </w:p>
    <w:p w14:paraId="174FCCB4" w14:textId="77777777" w:rsidR="00A94D4C" w:rsidRPr="002B3768" w:rsidRDefault="00A94D4C" w:rsidP="002B3768">
      <w:pPr>
        <w:numPr>
          <w:ilvl w:val="1"/>
          <w:numId w:val="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authors argue that the TCA reflects a deliberate choice to prioritize the UK’s regulatory autonomy over seamless trade integration, resulting in significant divergence from the EU’s Single Market framework.</w:t>
      </w:r>
    </w:p>
    <w:p w14:paraId="6B6CCBF0" w14:textId="77777777" w:rsidR="00A94D4C" w:rsidRPr="002B3768" w:rsidRDefault="00E82DEF" w:rsidP="002B3768">
      <w:pPr>
        <w:spacing w:line="276" w:lineRule="auto"/>
        <w:rPr>
          <w:rFonts w:ascii="Times New Roman" w:hAnsi="Times New Roman"/>
          <w:lang w:val="en-HK"/>
        </w:rPr>
      </w:pPr>
      <w:r>
        <w:pict w14:anchorId="6CE60255">
          <v:rect id="Horizontal Line 5"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D89905"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1. Key UK Negotiation Objectives</w:t>
      </w:r>
    </w:p>
    <w:p w14:paraId="5B731EC5"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lastRenderedPageBreak/>
        <w:t>Regulatory Autonomy</w:t>
      </w:r>
    </w:p>
    <w:p w14:paraId="6A70501E" w14:textId="77777777" w:rsidR="00A94D4C" w:rsidRPr="002B3768" w:rsidRDefault="00A94D4C" w:rsidP="002B3768">
      <w:pPr>
        <w:numPr>
          <w:ilvl w:val="0"/>
          <w:numId w:val="1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UK sought to regain control over its domestic policies, rejecting the EU's principle of harmonized regulation and dynamic alignment.</w:t>
      </w:r>
    </w:p>
    <w:p w14:paraId="71BE85F5" w14:textId="77777777" w:rsidR="00A94D4C" w:rsidRPr="002B3768" w:rsidRDefault="00A94D4C" w:rsidP="002B3768">
      <w:pPr>
        <w:numPr>
          <w:ilvl w:val="0"/>
          <w:numId w:val="10"/>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Red Lines</w:t>
      </w:r>
      <w:r w:rsidRPr="002B3768">
        <w:rPr>
          <w:rFonts w:ascii="Times New Roman" w:hAnsi="Times New Roman"/>
          <w:lang w:val="en-HK"/>
        </w:rPr>
        <w:t>:</w:t>
      </w:r>
    </w:p>
    <w:p w14:paraId="3525F9E5" w14:textId="77777777" w:rsidR="00A94D4C" w:rsidRPr="002B3768" w:rsidRDefault="00A94D4C" w:rsidP="002B3768">
      <w:pPr>
        <w:numPr>
          <w:ilvl w:val="1"/>
          <w:numId w:val="1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No free movement of people.</w:t>
      </w:r>
    </w:p>
    <w:p w14:paraId="0CF0A3A1" w14:textId="77777777" w:rsidR="00A94D4C" w:rsidRPr="002B3768" w:rsidRDefault="00A94D4C" w:rsidP="002B3768">
      <w:pPr>
        <w:numPr>
          <w:ilvl w:val="1"/>
          <w:numId w:val="1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No jurisdiction of the </w:t>
      </w:r>
      <w:r w:rsidRPr="002B3768">
        <w:rPr>
          <w:rFonts w:ascii="Times New Roman" w:hAnsi="Times New Roman"/>
          <w:b/>
          <w:bCs/>
          <w:lang w:val="en-HK"/>
        </w:rPr>
        <w:t>European Court of Justice (ECJ)</w:t>
      </w:r>
      <w:r w:rsidRPr="002B3768">
        <w:rPr>
          <w:rFonts w:ascii="Times New Roman" w:hAnsi="Times New Roman"/>
          <w:lang w:val="en-HK"/>
        </w:rPr>
        <w:t>.</w:t>
      </w:r>
    </w:p>
    <w:p w14:paraId="06C21E60" w14:textId="77777777" w:rsidR="00A94D4C" w:rsidRPr="002B3768" w:rsidRDefault="00A94D4C" w:rsidP="002B3768">
      <w:pPr>
        <w:numPr>
          <w:ilvl w:val="1"/>
          <w:numId w:val="1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No membership in the </w:t>
      </w:r>
      <w:r w:rsidRPr="002B3768">
        <w:rPr>
          <w:rFonts w:ascii="Times New Roman" w:hAnsi="Times New Roman"/>
          <w:b/>
          <w:bCs/>
          <w:lang w:val="en-HK"/>
        </w:rPr>
        <w:t>Single Market</w:t>
      </w:r>
      <w:r w:rsidRPr="002B3768">
        <w:rPr>
          <w:rFonts w:ascii="Times New Roman" w:hAnsi="Times New Roman"/>
          <w:lang w:val="en-HK"/>
        </w:rPr>
        <w:t xml:space="preserve"> or </w:t>
      </w:r>
      <w:r w:rsidRPr="002B3768">
        <w:rPr>
          <w:rFonts w:ascii="Times New Roman" w:hAnsi="Times New Roman"/>
          <w:b/>
          <w:bCs/>
          <w:lang w:val="en-HK"/>
        </w:rPr>
        <w:t>Customs Union</w:t>
      </w:r>
      <w:r w:rsidRPr="002B3768">
        <w:rPr>
          <w:rFonts w:ascii="Times New Roman" w:hAnsi="Times New Roman"/>
          <w:lang w:val="en-HK"/>
        </w:rPr>
        <w:t>.</w:t>
      </w:r>
    </w:p>
    <w:p w14:paraId="6013F5E8" w14:textId="77777777" w:rsidR="00A94D4C" w:rsidRPr="002B3768" w:rsidRDefault="00A94D4C" w:rsidP="002B3768">
      <w:pPr>
        <w:numPr>
          <w:ilvl w:val="0"/>
          <w:numId w:val="10"/>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Significance</w:t>
      </w:r>
      <w:r w:rsidRPr="002B3768">
        <w:rPr>
          <w:rFonts w:ascii="Times New Roman" w:hAnsi="Times New Roman"/>
          <w:lang w:val="en-HK"/>
        </w:rPr>
        <w:t>:</w:t>
      </w:r>
    </w:p>
    <w:p w14:paraId="78CDA57C" w14:textId="77777777" w:rsidR="00A94D4C" w:rsidRPr="002B3768" w:rsidRDefault="00A94D4C" w:rsidP="002B3768">
      <w:pPr>
        <w:numPr>
          <w:ilvl w:val="1"/>
          <w:numId w:val="1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These red lines made it impossible for the UK to maintain close integration with the EU’s internal market, as such integration requires acceptance of common rules and institutions.</w:t>
      </w:r>
    </w:p>
    <w:p w14:paraId="04528EF2"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Economic Sovereignty</w:t>
      </w:r>
    </w:p>
    <w:p w14:paraId="6E4287FE" w14:textId="77777777" w:rsidR="00A94D4C" w:rsidRPr="002B3768" w:rsidRDefault="00A94D4C" w:rsidP="002B3768">
      <w:pPr>
        <w:numPr>
          <w:ilvl w:val="0"/>
          <w:numId w:val="1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UK’s emphasis on economic sovereignty reflected a desire to strike independent trade agreements and design policies tailored to domestic priorities.</w:t>
      </w:r>
    </w:p>
    <w:p w14:paraId="09681051" w14:textId="77777777" w:rsidR="00A94D4C" w:rsidRPr="002B3768" w:rsidRDefault="00A94D4C" w:rsidP="002B3768">
      <w:pPr>
        <w:numPr>
          <w:ilvl w:val="0"/>
          <w:numId w:val="1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Authors’ Observation</w:t>
      </w:r>
      <w:r w:rsidRPr="002B3768">
        <w:rPr>
          <w:rFonts w:ascii="Times New Roman" w:hAnsi="Times New Roman"/>
          <w:lang w:val="en-HK"/>
        </w:rPr>
        <w:t>:</w:t>
      </w:r>
    </w:p>
    <w:p w14:paraId="78469C42" w14:textId="77777777" w:rsidR="00A94D4C" w:rsidRPr="002B3768" w:rsidRDefault="00A94D4C" w:rsidP="002B3768">
      <w:pPr>
        <w:numPr>
          <w:ilvl w:val="1"/>
          <w:numId w:val="1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UK’s approach to the negotiations was driven by a fundamental recalibration of its relationship with the EU, prioritizing independence over integration.”</w:t>
      </w:r>
    </w:p>
    <w:p w14:paraId="47E58FF4" w14:textId="77777777" w:rsidR="00A94D4C" w:rsidRPr="002B3768" w:rsidRDefault="00E82DEF" w:rsidP="002B3768">
      <w:pPr>
        <w:spacing w:line="276" w:lineRule="auto"/>
        <w:rPr>
          <w:rFonts w:ascii="Times New Roman" w:hAnsi="Times New Roman"/>
          <w:lang w:val="en-HK"/>
        </w:rPr>
      </w:pPr>
      <w:r>
        <w:pict w14:anchorId="41832355">
          <v:rect id="Horizontal Line 6"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D066C5"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2. EU Negotiation Objectives</w:t>
      </w:r>
    </w:p>
    <w:p w14:paraId="72037951"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Protecting the Integrity of the Single Market</w:t>
      </w:r>
    </w:p>
    <w:p w14:paraId="0A520BE5" w14:textId="77777777" w:rsidR="00A94D4C" w:rsidRPr="002B3768" w:rsidRDefault="00A94D4C" w:rsidP="002B3768">
      <w:pPr>
        <w:numPr>
          <w:ilvl w:val="0"/>
          <w:numId w:val="1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EU prioritized safeguarding its internal market, ensuring that the UK could not gain preferential access without accepting the associated obligations.</w:t>
      </w:r>
    </w:p>
    <w:p w14:paraId="089F0039" w14:textId="77777777" w:rsidR="00A94D4C" w:rsidRPr="002B3768" w:rsidRDefault="00A94D4C" w:rsidP="002B3768">
      <w:pPr>
        <w:numPr>
          <w:ilvl w:val="0"/>
          <w:numId w:val="12"/>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Core Principle</w:t>
      </w:r>
      <w:r w:rsidRPr="002B3768">
        <w:rPr>
          <w:rFonts w:ascii="Times New Roman" w:hAnsi="Times New Roman"/>
          <w:lang w:val="en-HK"/>
        </w:rPr>
        <w:t>: "No cherry-picking."</w:t>
      </w:r>
    </w:p>
    <w:p w14:paraId="56D84EBE" w14:textId="77777777" w:rsidR="00A94D4C" w:rsidRPr="002B3768" w:rsidRDefault="00A94D4C" w:rsidP="002B3768">
      <w:pPr>
        <w:numPr>
          <w:ilvl w:val="1"/>
          <w:numId w:val="1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EU rejected proposals that would allow the UK to participate in certain aspects of the Single Market (e.g., goods) without accepting the full legal and institutional framework.</w:t>
      </w:r>
    </w:p>
    <w:p w14:paraId="4351A62A"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Level Playing Field</w:t>
      </w:r>
    </w:p>
    <w:p w14:paraId="2E607C9D" w14:textId="77777777" w:rsidR="00A94D4C" w:rsidRPr="002B3768" w:rsidRDefault="00A94D4C" w:rsidP="002B3768">
      <w:pPr>
        <w:numPr>
          <w:ilvl w:val="0"/>
          <w:numId w:val="1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EU insisted on robust level-playing-field provisions to prevent unfair competition:</w:t>
      </w:r>
    </w:p>
    <w:p w14:paraId="46996754" w14:textId="77777777" w:rsidR="00A94D4C" w:rsidRPr="002B3768" w:rsidRDefault="00A94D4C" w:rsidP="002B3768">
      <w:pPr>
        <w:numPr>
          <w:ilvl w:val="1"/>
          <w:numId w:val="13"/>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State Aid</w:t>
      </w:r>
      <w:r w:rsidRPr="002B3768">
        <w:rPr>
          <w:rFonts w:ascii="Times New Roman" w:hAnsi="Times New Roman"/>
          <w:lang w:val="en-HK"/>
        </w:rPr>
        <w:t>: Ensuring the UK would not use subsidies to undercut EU businesses.</w:t>
      </w:r>
    </w:p>
    <w:p w14:paraId="061DE89F" w14:textId="77777777" w:rsidR="00A94D4C" w:rsidRPr="002B3768" w:rsidRDefault="00A94D4C" w:rsidP="002B3768">
      <w:pPr>
        <w:numPr>
          <w:ilvl w:val="1"/>
          <w:numId w:val="13"/>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Environmental and Labor Standards</w:t>
      </w:r>
      <w:r w:rsidRPr="002B3768">
        <w:rPr>
          <w:rFonts w:ascii="Times New Roman" w:hAnsi="Times New Roman"/>
          <w:lang w:val="en-HK"/>
        </w:rPr>
        <w:t>: Maintaining high standards to avoid a "race to the bottom."</w:t>
      </w:r>
    </w:p>
    <w:p w14:paraId="4471CCD7" w14:textId="77777777" w:rsidR="00A94D4C" w:rsidRPr="002B3768" w:rsidRDefault="00A94D4C" w:rsidP="002B3768">
      <w:pPr>
        <w:numPr>
          <w:ilvl w:val="0"/>
          <w:numId w:val="13"/>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Case Law</w:t>
      </w:r>
      <w:r w:rsidRPr="002B3768">
        <w:rPr>
          <w:rFonts w:ascii="Times New Roman" w:hAnsi="Times New Roman"/>
          <w:lang w:val="en-HK"/>
        </w:rPr>
        <w:t>:</w:t>
      </w:r>
    </w:p>
    <w:p w14:paraId="5CCC2CF8" w14:textId="77777777" w:rsidR="00A94D4C" w:rsidRPr="002B3768" w:rsidRDefault="00A94D4C" w:rsidP="002B3768">
      <w:pPr>
        <w:numPr>
          <w:ilvl w:val="1"/>
          <w:numId w:val="1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lastRenderedPageBreak/>
        <w:t xml:space="preserve">The EU’s position aligns with principles established in cases like </w:t>
      </w:r>
      <w:r w:rsidRPr="002B3768">
        <w:rPr>
          <w:rFonts w:ascii="Times New Roman" w:hAnsi="Times New Roman"/>
          <w:i/>
          <w:iCs/>
          <w:lang w:val="en-HK"/>
        </w:rPr>
        <w:t>Commission v. Germany (Case C-600/14)</w:t>
      </w:r>
      <w:r w:rsidRPr="002B3768">
        <w:rPr>
          <w:rFonts w:ascii="Times New Roman" w:hAnsi="Times New Roman"/>
          <w:lang w:val="en-HK"/>
        </w:rPr>
        <w:t>, which emphasize the importance of harmonized rules in preserving the integrity of the Single Market.</w:t>
      </w:r>
    </w:p>
    <w:p w14:paraId="1FE61045" w14:textId="77777777" w:rsidR="00A94D4C" w:rsidRPr="002B3768" w:rsidRDefault="00E82DEF" w:rsidP="002B3768">
      <w:pPr>
        <w:spacing w:line="276" w:lineRule="auto"/>
        <w:rPr>
          <w:rFonts w:ascii="Times New Roman" w:hAnsi="Times New Roman"/>
          <w:lang w:val="en-HK"/>
        </w:rPr>
      </w:pPr>
      <w:r>
        <w:pict w14:anchorId="66AAB548">
          <v:rect id="Horizontal Line 7"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0AE94D"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3. Evolution of the UK Position</w:t>
      </w:r>
    </w:p>
    <w:p w14:paraId="35A51EB1"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Theresa May’s Approach: Dynamic Alignment</w:t>
      </w:r>
    </w:p>
    <w:p w14:paraId="1A973F79" w14:textId="77777777" w:rsidR="00A94D4C" w:rsidRPr="002B3768" w:rsidRDefault="00A94D4C" w:rsidP="002B3768">
      <w:pPr>
        <w:numPr>
          <w:ilvl w:val="0"/>
          <w:numId w:val="14"/>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Initially, Theresa May proposed a close relationship with the EU, including dynamic alignment with certain EU rules to facilitate frictionless trade.</w:t>
      </w:r>
    </w:p>
    <w:p w14:paraId="376AD043" w14:textId="77777777" w:rsidR="00A94D4C" w:rsidRPr="002B3768" w:rsidRDefault="00A94D4C" w:rsidP="002B3768">
      <w:pPr>
        <w:numPr>
          <w:ilvl w:val="0"/>
          <w:numId w:val="14"/>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Chequers White Paper (2018)</w:t>
      </w:r>
      <w:r w:rsidRPr="002B3768">
        <w:rPr>
          <w:rFonts w:ascii="Times New Roman" w:hAnsi="Times New Roman"/>
          <w:lang w:val="en-HK"/>
        </w:rPr>
        <w:t>:</w:t>
      </w:r>
    </w:p>
    <w:p w14:paraId="17C462E0" w14:textId="77777777" w:rsidR="00A94D4C" w:rsidRPr="002B3768" w:rsidRDefault="00A94D4C" w:rsidP="002B3768">
      <w:pPr>
        <w:numPr>
          <w:ilvl w:val="1"/>
          <w:numId w:val="14"/>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Proposed a "common rulebook" for goods, allowing the UK to align with EU regulations while diverging in other areas (e.g., services).</w:t>
      </w:r>
    </w:p>
    <w:p w14:paraId="6411D841" w14:textId="77777777" w:rsidR="00A94D4C" w:rsidRPr="002B3768" w:rsidRDefault="00A94D4C" w:rsidP="002B3768">
      <w:pPr>
        <w:numPr>
          <w:ilvl w:val="1"/>
          <w:numId w:val="14"/>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Rejected by the EU for undermining the integrity of the Single Market.</w:t>
      </w:r>
    </w:p>
    <w:p w14:paraId="1BA22E40"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Boris Johnson’s Approach: Regulatory Divergence</w:t>
      </w:r>
    </w:p>
    <w:p w14:paraId="37D511A9" w14:textId="77777777" w:rsidR="00A94D4C" w:rsidRPr="002B3768" w:rsidRDefault="00A94D4C" w:rsidP="002B3768">
      <w:pPr>
        <w:numPr>
          <w:ilvl w:val="0"/>
          <w:numId w:val="1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Boris Johnson shifted the UK’s position toward a looser relationship, emphasizing sovereignty and regulatory autonomy.</w:t>
      </w:r>
    </w:p>
    <w:p w14:paraId="04135405" w14:textId="77777777" w:rsidR="00A94D4C" w:rsidRPr="002B3768" w:rsidRDefault="00A94D4C" w:rsidP="002B3768">
      <w:pPr>
        <w:numPr>
          <w:ilvl w:val="0"/>
          <w:numId w:val="1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Key Proposal</w:t>
      </w:r>
      <w:r w:rsidRPr="002B3768">
        <w:rPr>
          <w:rFonts w:ascii="Times New Roman" w:hAnsi="Times New Roman"/>
          <w:lang w:val="en-HK"/>
        </w:rPr>
        <w:t>:</w:t>
      </w:r>
    </w:p>
    <w:p w14:paraId="748AEC33" w14:textId="77777777" w:rsidR="00A94D4C" w:rsidRPr="002B3768" w:rsidRDefault="00A94D4C" w:rsidP="002B3768">
      <w:pPr>
        <w:numPr>
          <w:ilvl w:val="1"/>
          <w:numId w:val="1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A "Canada-plus-plus" model, inspired by the EU-Canada Comprehensive Economic and Trade Agreement (CETA), allowing for tariff-free trade without dynamic alignment.</w:t>
      </w:r>
    </w:p>
    <w:p w14:paraId="10945D10" w14:textId="77777777" w:rsidR="00A94D4C" w:rsidRPr="002B3768" w:rsidRDefault="00A94D4C" w:rsidP="002B3768">
      <w:pPr>
        <w:numPr>
          <w:ilvl w:val="0"/>
          <w:numId w:val="1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Outcome</w:t>
      </w:r>
      <w:r w:rsidRPr="002B3768">
        <w:rPr>
          <w:rFonts w:ascii="Times New Roman" w:hAnsi="Times New Roman"/>
          <w:lang w:val="en-HK"/>
        </w:rPr>
        <w:t>:</w:t>
      </w:r>
    </w:p>
    <w:p w14:paraId="26C2DDF2" w14:textId="77777777" w:rsidR="00A94D4C" w:rsidRPr="002B3768" w:rsidRDefault="00A94D4C" w:rsidP="002B3768">
      <w:pPr>
        <w:numPr>
          <w:ilvl w:val="1"/>
          <w:numId w:val="1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final TCA reflects this model, focusing on tariff elimination while allowing for regulatory divergence.</w:t>
      </w:r>
    </w:p>
    <w:p w14:paraId="1CC94A0F" w14:textId="77777777" w:rsidR="00A94D4C" w:rsidRPr="002B3768" w:rsidRDefault="00E82DEF" w:rsidP="002B3768">
      <w:pPr>
        <w:spacing w:line="276" w:lineRule="auto"/>
        <w:rPr>
          <w:rFonts w:ascii="Times New Roman" w:hAnsi="Times New Roman"/>
          <w:lang w:val="en-HK"/>
        </w:rPr>
      </w:pPr>
      <w:r>
        <w:pict w14:anchorId="22410A37">
          <v:rect id="Horizontal Line 8"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2ADD50"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4. The Negotiation Process</w:t>
      </w:r>
    </w:p>
    <w:p w14:paraId="14794B4A"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Tensions and Challenges</w:t>
      </w:r>
    </w:p>
    <w:p w14:paraId="0C4A07B7" w14:textId="77777777" w:rsidR="00A94D4C" w:rsidRPr="002B3768" w:rsidRDefault="00A94D4C" w:rsidP="002B3768">
      <w:pPr>
        <w:numPr>
          <w:ilvl w:val="0"/>
          <w:numId w:val="16"/>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Diverging Priorities</w:t>
      </w:r>
      <w:r w:rsidRPr="002B3768">
        <w:rPr>
          <w:rFonts w:ascii="Times New Roman" w:hAnsi="Times New Roman"/>
          <w:lang w:val="en-HK"/>
        </w:rPr>
        <w:t>:</w:t>
      </w:r>
    </w:p>
    <w:p w14:paraId="0F16A2F1" w14:textId="77777777" w:rsidR="00A94D4C" w:rsidRPr="002B3768" w:rsidRDefault="00A94D4C" w:rsidP="002B3768">
      <w:pPr>
        <w:numPr>
          <w:ilvl w:val="1"/>
          <w:numId w:val="1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UK emphasized independence, while the EU focused on preserving its legal and institutional framework.</w:t>
      </w:r>
    </w:p>
    <w:p w14:paraId="7275B883" w14:textId="77777777" w:rsidR="00A94D4C" w:rsidRPr="002B3768" w:rsidRDefault="00A94D4C" w:rsidP="002B3768">
      <w:pPr>
        <w:numPr>
          <w:ilvl w:val="1"/>
          <w:numId w:val="1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These conflicting priorities led to protracted and contentious negotiations.</w:t>
      </w:r>
    </w:p>
    <w:p w14:paraId="293465F0" w14:textId="77777777" w:rsidR="00A94D4C" w:rsidRPr="002B3768" w:rsidRDefault="00A94D4C" w:rsidP="002B3768">
      <w:pPr>
        <w:numPr>
          <w:ilvl w:val="0"/>
          <w:numId w:val="16"/>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Northern Ireland Protocol</w:t>
      </w:r>
      <w:r w:rsidRPr="002B3768">
        <w:rPr>
          <w:rFonts w:ascii="Times New Roman" w:hAnsi="Times New Roman"/>
          <w:lang w:val="en-HK"/>
        </w:rPr>
        <w:t>:</w:t>
      </w:r>
    </w:p>
    <w:p w14:paraId="5A3774B0" w14:textId="77777777" w:rsidR="00A94D4C" w:rsidRPr="002B3768" w:rsidRDefault="00A94D4C" w:rsidP="002B3768">
      <w:pPr>
        <w:numPr>
          <w:ilvl w:val="1"/>
          <w:numId w:val="1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treatment of Northern Ireland was a major sticking point, reflecting the challenge of balancing UK sovereignty with the need to avoid a hard border on the island of Ireland.</w:t>
      </w:r>
    </w:p>
    <w:p w14:paraId="1C846F3D"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Authors’ Critique</w:t>
      </w:r>
    </w:p>
    <w:p w14:paraId="1FAC2ED6" w14:textId="77777777" w:rsidR="00A94D4C" w:rsidRPr="002B3768" w:rsidRDefault="00A94D4C" w:rsidP="002B3768">
      <w:pPr>
        <w:numPr>
          <w:ilvl w:val="0"/>
          <w:numId w:val="17"/>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lastRenderedPageBreak/>
        <w:t>The authors argue that the UK’s pursuit of regulatory autonomy came at a significant cost to economic integration.</w:t>
      </w:r>
    </w:p>
    <w:p w14:paraId="2B8D79A5" w14:textId="77777777" w:rsidR="00A94D4C" w:rsidRPr="002B3768" w:rsidRDefault="00A94D4C" w:rsidP="002B3768">
      <w:pPr>
        <w:numPr>
          <w:ilvl w:val="0"/>
          <w:numId w:val="17"/>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Key Quote</w:t>
      </w:r>
      <w:r w:rsidRPr="002B3768">
        <w:rPr>
          <w:rFonts w:ascii="Times New Roman" w:hAnsi="Times New Roman"/>
          <w:lang w:val="en-HK"/>
        </w:rPr>
        <w:t>:</w:t>
      </w:r>
    </w:p>
    <w:p w14:paraId="6D8087BB" w14:textId="77777777" w:rsidR="00A94D4C" w:rsidRPr="002B3768" w:rsidRDefault="00A94D4C" w:rsidP="002B3768">
      <w:pPr>
        <w:numPr>
          <w:ilvl w:val="1"/>
          <w:numId w:val="17"/>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“By prioritizing sovereignty over access, the UK deliberately chose a framework that increases friction and complexity in its trade relationship with the EU.”</w:t>
      </w:r>
    </w:p>
    <w:p w14:paraId="76E3F423" w14:textId="77777777" w:rsidR="00A94D4C" w:rsidRPr="002B3768" w:rsidRDefault="00E82DEF" w:rsidP="002B3768">
      <w:pPr>
        <w:spacing w:line="276" w:lineRule="auto"/>
        <w:rPr>
          <w:rFonts w:ascii="Times New Roman" w:hAnsi="Times New Roman"/>
          <w:lang w:val="en-HK"/>
        </w:rPr>
      </w:pPr>
      <w:r>
        <w:pict w14:anchorId="1393306D">
          <v:rect id="Horizontal Line 9"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19CF70"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5. Legal Implications of the TCA Framework</w:t>
      </w:r>
    </w:p>
    <w:p w14:paraId="5337C4BE"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Regulatory Divergence</w:t>
      </w:r>
    </w:p>
    <w:p w14:paraId="1D838AB0" w14:textId="77777777" w:rsidR="00A94D4C" w:rsidRPr="002B3768" w:rsidRDefault="00A94D4C" w:rsidP="002B3768">
      <w:pPr>
        <w:numPr>
          <w:ilvl w:val="0"/>
          <w:numId w:val="18"/>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explicitly allows for regulatory divergence, enabling the UK to adopt its own rules. However, this comes with trade-offs:</w:t>
      </w:r>
    </w:p>
    <w:p w14:paraId="5A6C375C" w14:textId="77777777" w:rsidR="00A94D4C" w:rsidRPr="002B3768" w:rsidRDefault="00A94D4C" w:rsidP="002B3768">
      <w:pPr>
        <w:numPr>
          <w:ilvl w:val="1"/>
          <w:numId w:val="18"/>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Increased Trade Barriers</w:t>
      </w:r>
      <w:r w:rsidRPr="002B3768">
        <w:rPr>
          <w:rFonts w:ascii="Times New Roman" w:hAnsi="Times New Roman"/>
          <w:lang w:val="en-HK"/>
        </w:rPr>
        <w:t>: Divergent standards mean UK goods must comply with EU regulations to access the Single Market.</w:t>
      </w:r>
    </w:p>
    <w:p w14:paraId="0494B1D2" w14:textId="77777777" w:rsidR="00A94D4C" w:rsidRPr="002B3768" w:rsidRDefault="00A94D4C" w:rsidP="002B3768">
      <w:pPr>
        <w:numPr>
          <w:ilvl w:val="1"/>
          <w:numId w:val="18"/>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Loss of Mutual Recognition</w:t>
      </w:r>
      <w:r w:rsidRPr="002B3768">
        <w:rPr>
          <w:rFonts w:ascii="Times New Roman" w:hAnsi="Times New Roman"/>
          <w:lang w:val="en-HK"/>
        </w:rPr>
        <w:t>: The absence of mutual recognition agreements (MRAs) significantly increases compliance costs for UK exporters.</w:t>
      </w:r>
    </w:p>
    <w:p w14:paraId="57768042"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WTO-Inspired Approach</w:t>
      </w:r>
    </w:p>
    <w:p w14:paraId="78233BF0" w14:textId="77777777" w:rsidR="00A94D4C" w:rsidRPr="002B3768" w:rsidRDefault="00A94D4C" w:rsidP="002B3768">
      <w:pPr>
        <w:numPr>
          <w:ilvl w:val="0"/>
          <w:numId w:val="1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relies on WTO principles, such as non-discrimination under </w:t>
      </w:r>
      <w:r w:rsidRPr="002B3768">
        <w:rPr>
          <w:rFonts w:ascii="Times New Roman" w:hAnsi="Times New Roman"/>
          <w:b/>
          <w:bCs/>
          <w:lang w:val="en-HK"/>
        </w:rPr>
        <w:t>GATT Article III</w:t>
      </w:r>
      <w:r w:rsidRPr="002B3768">
        <w:rPr>
          <w:rFonts w:ascii="Times New Roman" w:hAnsi="Times New Roman"/>
          <w:lang w:val="en-HK"/>
        </w:rPr>
        <w:t xml:space="preserve">, rather than the broader market access principles of </w:t>
      </w:r>
      <w:r w:rsidRPr="002B3768">
        <w:rPr>
          <w:rFonts w:ascii="Times New Roman" w:hAnsi="Times New Roman"/>
          <w:b/>
          <w:bCs/>
          <w:lang w:val="en-HK"/>
        </w:rPr>
        <w:t>Article 34 TFEU</w:t>
      </w:r>
      <w:r w:rsidRPr="002B3768">
        <w:rPr>
          <w:rFonts w:ascii="Times New Roman" w:hAnsi="Times New Roman"/>
          <w:lang w:val="en-HK"/>
        </w:rPr>
        <w:t>.</w:t>
      </w:r>
    </w:p>
    <w:p w14:paraId="7ABF6FD4" w14:textId="77777777" w:rsidR="00A94D4C" w:rsidRPr="002B3768" w:rsidRDefault="00A94D4C" w:rsidP="002B3768">
      <w:pPr>
        <w:numPr>
          <w:ilvl w:val="0"/>
          <w:numId w:val="1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Authors’ Analysis</w:t>
      </w:r>
      <w:r w:rsidRPr="002B3768">
        <w:rPr>
          <w:rFonts w:ascii="Times New Roman" w:hAnsi="Times New Roman"/>
          <w:lang w:val="en-HK"/>
        </w:rPr>
        <w:t>:</w:t>
      </w:r>
    </w:p>
    <w:p w14:paraId="1D320BC8" w14:textId="77777777" w:rsidR="00A94D4C" w:rsidRPr="002B3768" w:rsidRDefault="00A94D4C" w:rsidP="002B3768">
      <w:pPr>
        <w:numPr>
          <w:ilvl w:val="1"/>
          <w:numId w:val="1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represents a stark departure from the principles of EU law, reflecting a shift toward a looser, WTO-based model of trade.”</w:t>
      </w:r>
    </w:p>
    <w:p w14:paraId="23FAC390" w14:textId="77777777" w:rsidR="00A94D4C" w:rsidRPr="002B3768" w:rsidRDefault="00E82DEF" w:rsidP="002B3768">
      <w:pPr>
        <w:spacing w:line="276" w:lineRule="auto"/>
        <w:rPr>
          <w:rFonts w:ascii="Times New Roman" w:hAnsi="Times New Roman"/>
          <w:lang w:val="en-HK"/>
        </w:rPr>
      </w:pPr>
      <w:r>
        <w:pict w14:anchorId="1783FA7A">
          <v:rect 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2D1EDC"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Conclusion of Section 3</w:t>
      </w:r>
    </w:p>
    <w:p w14:paraId="6C05DCEC" w14:textId="77777777" w:rsidR="00A94D4C" w:rsidRPr="002B3768" w:rsidRDefault="00A94D4C" w:rsidP="002B3768">
      <w:pPr>
        <w:numPr>
          <w:ilvl w:val="0"/>
          <w:numId w:val="2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negotiation process for the TCA illustrates the fundamental tension between the UK’s desire for regulatory autonomy and the EU’s commitment to preserving the integrity of its Single Market.</w:t>
      </w:r>
    </w:p>
    <w:p w14:paraId="37F9455E" w14:textId="77777777" w:rsidR="00A94D4C" w:rsidRPr="002B3768" w:rsidRDefault="00A94D4C" w:rsidP="002B3768">
      <w:pPr>
        <w:numPr>
          <w:ilvl w:val="0"/>
          <w:numId w:val="20"/>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Key Takeaways</w:t>
      </w:r>
      <w:r w:rsidRPr="002B3768">
        <w:rPr>
          <w:rFonts w:ascii="Times New Roman" w:hAnsi="Times New Roman"/>
          <w:lang w:val="en-HK"/>
        </w:rPr>
        <w:t>:</w:t>
      </w:r>
    </w:p>
    <w:p w14:paraId="70E6F5BF" w14:textId="77777777" w:rsidR="00A94D4C" w:rsidRPr="002B3768" w:rsidRDefault="00A94D4C" w:rsidP="002B3768">
      <w:pPr>
        <w:numPr>
          <w:ilvl w:val="1"/>
          <w:numId w:val="2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UK’s red lines ensured that the TCA would not replicate the benefits of EU membership, resulting in increased trade barriers.</w:t>
      </w:r>
    </w:p>
    <w:p w14:paraId="676E8EFB" w14:textId="77777777" w:rsidR="00A94D4C" w:rsidRPr="002B3768" w:rsidRDefault="00A94D4C" w:rsidP="002B3768">
      <w:pPr>
        <w:numPr>
          <w:ilvl w:val="1"/>
          <w:numId w:val="2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EU’s focus on protecting its legal and institutional framework prevented compromises that might have allowed for closer integration.</w:t>
      </w:r>
    </w:p>
    <w:p w14:paraId="177010EC" w14:textId="240CC9BD" w:rsidR="00A94D4C" w:rsidRPr="002B3768" w:rsidRDefault="00A94D4C" w:rsidP="002B3768">
      <w:pPr>
        <w:numPr>
          <w:ilvl w:val="1"/>
          <w:numId w:val="2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final agreement reflects the UK’s prioritization of sovereignty over economic integration, with significant implications for businesses and policymakers.</w:t>
      </w:r>
    </w:p>
    <w:p w14:paraId="293974FB" w14:textId="54F5DA2B" w:rsidR="00A94D4C" w:rsidRPr="002B3768" w:rsidRDefault="00E82DEF" w:rsidP="002B3768">
      <w:pPr>
        <w:spacing w:before="100" w:beforeAutospacing="1" w:after="100" w:afterAutospacing="1" w:line="276" w:lineRule="auto"/>
        <w:outlineLvl w:val="2"/>
        <w:rPr>
          <w:rFonts w:ascii="Times New Roman" w:hAnsi="Times New Roman"/>
          <w:b/>
          <w:bCs/>
          <w:lang w:val="en-HK"/>
        </w:rPr>
      </w:pPr>
      <w:r>
        <w:pict w14:anchorId="458D8605">
          <v:rect id="Horizontal Line 17"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sidR="00A94D4C" w:rsidRPr="002B3768">
        <w:rPr>
          <w:rFonts w:ascii="Times New Roman" w:hAnsi="Times New Roman"/>
          <w:b/>
          <w:bCs/>
          <w:lang w:val="en-HK"/>
        </w:rPr>
        <w:t>Section 4: The Structure of the TCA in Respect of Goods</w:t>
      </w:r>
    </w:p>
    <w:p w14:paraId="1C4977A9"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Overview:</w:t>
      </w:r>
    </w:p>
    <w:p w14:paraId="58B97631" w14:textId="7E72A1AF"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This section of the document outlines how the structure of the Trade and Cooperation Agreement (TCA) governs trade in goods between the UK and the EU. The TCA adopts a framework based on World Trade Organization (WTO) principles, diverging significantly from the EU law on free movement of goods.</w:t>
      </w:r>
    </w:p>
    <w:p w14:paraId="5DF81303"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Thematic Chapters:</w:t>
      </w:r>
    </w:p>
    <w:p w14:paraId="10FE326F" w14:textId="77777777"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TCA's Title I under Part Two, Heading One ("Trade"), is organized into the following thematic chapters:</w:t>
      </w:r>
    </w:p>
    <w:p w14:paraId="02E185B9" w14:textId="77777777" w:rsidR="00A94D4C" w:rsidRPr="002B3768" w:rsidRDefault="00A94D4C" w:rsidP="002B3768">
      <w:pPr>
        <w:numPr>
          <w:ilvl w:val="0"/>
          <w:numId w:val="2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National Treatment and Market Access for Goods (Including Trade Remedies):</w:t>
      </w:r>
    </w:p>
    <w:p w14:paraId="20D3C2EE" w14:textId="77777777" w:rsidR="00A94D4C" w:rsidRPr="002B3768" w:rsidRDefault="00A94D4C" w:rsidP="002B3768">
      <w:pPr>
        <w:numPr>
          <w:ilvl w:val="1"/>
          <w:numId w:val="2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This chapter prohibits tariffs and quotas on EU-UK trade (the "0,0 deal"), but unlike EU law, it does not eliminate regulatory barriers or measures having equivalent effects (MEEs). Regulatory checks are required at borders for all goods, including UK-origin goods, under complex rules of origin (RoO) to determine applicable tariffs.</w:t>
      </w:r>
    </w:p>
    <w:p w14:paraId="76E9EB31" w14:textId="77777777" w:rsidR="00A94D4C" w:rsidRPr="002B3768" w:rsidRDefault="00A94D4C" w:rsidP="002B3768">
      <w:pPr>
        <w:numPr>
          <w:ilvl w:val="0"/>
          <w:numId w:val="2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Rules of Origin (RoO):</w:t>
      </w:r>
    </w:p>
    <w:p w14:paraId="06F0B9A1" w14:textId="77777777" w:rsidR="00A94D4C" w:rsidRPr="002B3768" w:rsidRDefault="00A94D4C" w:rsidP="002B3768">
      <w:pPr>
        <w:numPr>
          <w:ilvl w:val="1"/>
          <w:numId w:val="2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RoO under the TCA necessitate proof of origin to qualify for zero tariffs, imposing a substantial administrative burden on traders. Third-country goods entering the EU via the UK must adhere to the EU’s Common Customs Tariff (CCT) unless processed significantly in the UK.</w:t>
      </w:r>
    </w:p>
    <w:p w14:paraId="5C0E0E82" w14:textId="77777777" w:rsidR="00A94D4C" w:rsidRPr="002B3768" w:rsidRDefault="00A94D4C" w:rsidP="002B3768">
      <w:pPr>
        <w:numPr>
          <w:ilvl w:val="0"/>
          <w:numId w:val="2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Sanitary and Phytosanitary (SPS) Measures:</w:t>
      </w:r>
    </w:p>
    <w:p w14:paraId="224F73D6" w14:textId="77777777" w:rsidR="00A94D4C" w:rsidRPr="002B3768" w:rsidRDefault="00A94D4C" w:rsidP="002B3768">
      <w:pPr>
        <w:numPr>
          <w:ilvl w:val="1"/>
          <w:numId w:val="2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These provisions align with the WTO's SPS Agreement, addressing public, animal, and plant health standards. The absence of mutual recognition increases costs for UK exporters, as they must meet EU regulatory standards.</w:t>
      </w:r>
    </w:p>
    <w:p w14:paraId="5D1B8DB7" w14:textId="77777777" w:rsidR="00A94D4C" w:rsidRPr="002B3768" w:rsidRDefault="00A94D4C" w:rsidP="002B3768">
      <w:pPr>
        <w:numPr>
          <w:ilvl w:val="0"/>
          <w:numId w:val="2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Technical Barriers to Trade (TBT):</w:t>
      </w:r>
    </w:p>
    <w:p w14:paraId="05188F6F" w14:textId="77777777" w:rsidR="00A94D4C" w:rsidRPr="002B3768" w:rsidRDefault="00A94D4C" w:rsidP="002B3768">
      <w:pPr>
        <w:numPr>
          <w:ilvl w:val="1"/>
          <w:numId w:val="2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Similar to the WTO TBT Agreement, this chapter allows states to impose technical regulations provided they do not constitute "unnecessary obstacles to international trade." Unlike the EU framework, there is no mutual recognition, meaning UK exporters must comply with each EU member state’s technical requirements.</w:t>
      </w:r>
    </w:p>
    <w:p w14:paraId="1A4342A9" w14:textId="77777777" w:rsidR="00A94D4C" w:rsidRPr="002B3768" w:rsidRDefault="00A94D4C" w:rsidP="002B3768">
      <w:pPr>
        <w:numPr>
          <w:ilvl w:val="0"/>
          <w:numId w:val="2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Customs and Trade Facilitation:</w:t>
      </w:r>
    </w:p>
    <w:p w14:paraId="2160FCC0" w14:textId="77777777" w:rsidR="00A94D4C" w:rsidRPr="002B3768" w:rsidRDefault="00A94D4C" w:rsidP="002B3768">
      <w:pPr>
        <w:numPr>
          <w:ilvl w:val="1"/>
          <w:numId w:val="2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This chapter incorporates WTO standards, including streamlined customs procedures. However, it stops short of granting frictionless trade, requiring customs declarations and regulatory checks.</w:t>
      </w:r>
    </w:p>
    <w:p w14:paraId="20CD23CC" w14:textId="77777777" w:rsidR="00A94D4C" w:rsidRPr="002B3768" w:rsidRDefault="00E82DEF" w:rsidP="002B3768">
      <w:pPr>
        <w:spacing w:line="276" w:lineRule="auto"/>
        <w:rPr>
          <w:rFonts w:ascii="Times New Roman" w:hAnsi="Times New Roman"/>
          <w:lang w:val="en-HK"/>
        </w:rPr>
      </w:pPr>
      <w:r>
        <w:pict w14:anchorId="61755013">
          <v:rect id="Horizontal Line 18"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E31EF9"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Divergence from EU Free Movement of Goods:</w:t>
      </w:r>
    </w:p>
    <w:p w14:paraId="3C283CCE" w14:textId="77777777" w:rsidR="00A94D4C" w:rsidRPr="002B3768" w:rsidRDefault="00A94D4C" w:rsidP="002B3768">
      <w:pPr>
        <w:numPr>
          <w:ilvl w:val="0"/>
          <w:numId w:val="22"/>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lastRenderedPageBreak/>
        <w:t>Absence of MEEs Prohibition:</w:t>
      </w:r>
    </w:p>
    <w:p w14:paraId="6EB17889" w14:textId="77777777" w:rsidR="00A94D4C" w:rsidRPr="002B3768" w:rsidRDefault="00A94D4C" w:rsidP="002B3768">
      <w:pPr>
        <w:numPr>
          <w:ilvl w:val="1"/>
          <w:numId w:val="2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EU law prohibits MEEs under Article 34 TFEU, facilitating market access. In contrast, the TCA permits non-tariff barriers as long as they comply with national treatment principles.</w:t>
      </w:r>
    </w:p>
    <w:p w14:paraId="296A0779" w14:textId="77777777" w:rsidR="00A94D4C" w:rsidRPr="002B3768" w:rsidRDefault="00A94D4C" w:rsidP="002B3768">
      <w:pPr>
        <w:numPr>
          <w:ilvl w:val="0"/>
          <w:numId w:val="22"/>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Regulatory Autonomy:</w:t>
      </w:r>
    </w:p>
    <w:p w14:paraId="63AD6F6B" w14:textId="77777777" w:rsidR="00A94D4C" w:rsidRPr="002B3768" w:rsidRDefault="00A94D4C" w:rsidP="002B3768">
      <w:pPr>
        <w:numPr>
          <w:ilvl w:val="1"/>
          <w:numId w:val="2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EU Single Market emphasizes harmonization and mutual recognition of standards. The TCA allows both parties to retain regulatory autonomy, subjecting goods to border checks and compliance with domestic standards.</w:t>
      </w:r>
    </w:p>
    <w:p w14:paraId="0F983A22" w14:textId="77777777" w:rsidR="00A94D4C" w:rsidRPr="002B3768" w:rsidRDefault="00A94D4C" w:rsidP="002B3768">
      <w:pPr>
        <w:numPr>
          <w:ilvl w:val="0"/>
          <w:numId w:val="22"/>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Impact on Trade Liberalization:</w:t>
      </w:r>
    </w:p>
    <w:p w14:paraId="5DFAF128" w14:textId="77777777" w:rsidR="00A94D4C" w:rsidRPr="002B3768" w:rsidRDefault="00A94D4C" w:rsidP="002B3768">
      <w:pPr>
        <w:numPr>
          <w:ilvl w:val="1"/>
          <w:numId w:val="2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absence of mutual recognition and reliance on WTO principles (e.g., RoO) imposes significant administrative burdens and costs, reducing the liberalization effect compared to EU law.</w:t>
      </w:r>
    </w:p>
    <w:p w14:paraId="7F027E51" w14:textId="77777777" w:rsidR="00A94D4C" w:rsidRPr="002B3768" w:rsidRDefault="00E82DEF" w:rsidP="002B3768">
      <w:pPr>
        <w:spacing w:line="276" w:lineRule="auto"/>
        <w:rPr>
          <w:rFonts w:ascii="Times New Roman" w:hAnsi="Times New Roman"/>
          <w:lang w:val="en-HK"/>
        </w:rPr>
      </w:pPr>
      <w:r>
        <w:pict w14:anchorId="4606FDDF">
          <v:rect id="Horizontal Line 19"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B4F41F"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Conclusion:</w:t>
      </w:r>
    </w:p>
    <w:p w14:paraId="42060521" w14:textId="77777777"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TCA’s structure for trade in goods reflects a deliberate shift toward the WTO framework rather than a simplified EU Single Market model. While achieving tariff- and quota-free trade, the TCA imposes substantial non-tariff barriers, reflecting the UK’s objective of regulatory autonomy post-Brexit​</w:t>
      </w:r>
    </w:p>
    <w:p w14:paraId="0FF2BF7D" w14:textId="1A9EA6D2" w:rsidR="00CD39F1" w:rsidRPr="002B3768" w:rsidRDefault="00E82DEF" w:rsidP="002B3768">
      <w:pPr>
        <w:spacing w:line="276" w:lineRule="auto"/>
      </w:pPr>
      <w:r>
        <w:pict w14:anchorId="42C9C26E">
          <v:rect 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6443C5"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Key Features of the TCA Goods Regime</w:t>
      </w:r>
    </w:p>
    <w:p w14:paraId="3E88BE6C"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1. Overview</w:t>
      </w:r>
    </w:p>
    <w:p w14:paraId="1EFE179E" w14:textId="77777777"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This section examines the key features of the goods regime established under the </w:t>
      </w:r>
      <w:r w:rsidRPr="002B3768">
        <w:rPr>
          <w:rFonts w:ascii="Times New Roman" w:hAnsi="Times New Roman"/>
          <w:b/>
          <w:bCs/>
          <w:lang w:val="en-HK"/>
        </w:rPr>
        <w:t>Trade and Cooperation Agreement (TCA)</w:t>
      </w:r>
      <w:r w:rsidRPr="002B3768">
        <w:rPr>
          <w:rFonts w:ascii="Times New Roman" w:hAnsi="Times New Roman"/>
          <w:lang w:val="en-HK"/>
        </w:rPr>
        <w:t>. It highlights the agreement’s legal and practical differences from the EU’s free movement of goods framework under Articles 28–36 TFEU. The TCA’s reliance on World Trade Organization (WTO) principles, rather than the EU’s harmonization and mutual recognition model, underscores the trade-offs between regulatory autonomy and seamless trade.</w:t>
      </w:r>
    </w:p>
    <w:p w14:paraId="14DCCED6" w14:textId="77777777" w:rsidR="00A94D4C" w:rsidRPr="002B3768" w:rsidRDefault="00E82DEF" w:rsidP="002B3768">
      <w:pPr>
        <w:spacing w:line="276" w:lineRule="auto"/>
        <w:rPr>
          <w:rFonts w:ascii="Times New Roman" w:hAnsi="Times New Roman"/>
          <w:lang w:val="en-HK"/>
        </w:rPr>
      </w:pPr>
      <w:r>
        <w:pict w14:anchorId="14F682C4">
          <v:rect id="Horizontal Line 37"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F79153"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2. Zero Tariffs and Zero Quotas</w:t>
      </w:r>
    </w:p>
    <w:p w14:paraId="358F1616" w14:textId="77777777" w:rsidR="00A94D4C" w:rsidRPr="002B3768" w:rsidRDefault="00A94D4C" w:rsidP="002B3768">
      <w:pPr>
        <w:numPr>
          <w:ilvl w:val="0"/>
          <w:numId w:val="3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Elimination of Tariffs and Quotas</w:t>
      </w:r>
      <w:r w:rsidRPr="002B3768">
        <w:rPr>
          <w:rFonts w:ascii="Times New Roman" w:hAnsi="Times New Roman"/>
          <w:lang w:val="en-HK"/>
        </w:rPr>
        <w:t>:</w:t>
      </w:r>
    </w:p>
    <w:p w14:paraId="4D4F2A46" w14:textId="77777777" w:rsidR="00A94D4C" w:rsidRPr="002B3768" w:rsidRDefault="00A94D4C" w:rsidP="002B3768">
      <w:pPr>
        <w:numPr>
          <w:ilvl w:val="1"/>
          <w:numId w:val="3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eliminates tariffs and quotas for goods traded between the UK and the EU, provided they meet the agreement's </w:t>
      </w:r>
      <w:r w:rsidRPr="002B3768">
        <w:rPr>
          <w:rFonts w:ascii="Times New Roman" w:hAnsi="Times New Roman"/>
          <w:b/>
          <w:bCs/>
          <w:lang w:val="en-HK"/>
        </w:rPr>
        <w:t>rules of origin (RoO)</w:t>
      </w:r>
      <w:r w:rsidRPr="002B3768">
        <w:rPr>
          <w:rFonts w:ascii="Times New Roman" w:hAnsi="Times New Roman"/>
          <w:lang w:val="en-HK"/>
        </w:rPr>
        <w:t xml:space="preserve"> requirements.</w:t>
      </w:r>
    </w:p>
    <w:p w14:paraId="7115A8ED" w14:textId="77777777" w:rsidR="00A94D4C" w:rsidRPr="002B3768" w:rsidRDefault="00A94D4C" w:rsidP="002B3768">
      <w:pPr>
        <w:numPr>
          <w:ilvl w:val="1"/>
          <w:numId w:val="3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Rules of Origin</w:t>
      </w:r>
      <w:r w:rsidRPr="002B3768">
        <w:rPr>
          <w:rFonts w:ascii="Times New Roman" w:hAnsi="Times New Roman"/>
          <w:lang w:val="en-HK"/>
        </w:rPr>
        <w:t>:</w:t>
      </w:r>
    </w:p>
    <w:p w14:paraId="66FE82B5" w14:textId="77777777" w:rsidR="00A94D4C" w:rsidRPr="002B3768" w:rsidRDefault="00A94D4C" w:rsidP="002B3768">
      <w:pPr>
        <w:numPr>
          <w:ilvl w:val="2"/>
          <w:numId w:val="3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lastRenderedPageBreak/>
        <w:t>Goods must be substantially produced or processed in the UK or EU to qualify for tariff-free trade.</w:t>
      </w:r>
    </w:p>
    <w:p w14:paraId="4CE94846" w14:textId="77777777" w:rsidR="00A94D4C" w:rsidRPr="002B3768" w:rsidRDefault="00A94D4C" w:rsidP="002B3768">
      <w:pPr>
        <w:numPr>
          <w:ilvl w:val="2"/>
          <w:numId w:val="3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administrative burden of proving origin has resulted in some traders opting to pay WTO Most Favored Nation (MFN) tariffs instead.</w:t>
      </w:r>
    </w:p>
    <w:p w14:paraId="2C867C33" w14:textId="77777777" w:rsidR="00A94D4C" w:rsidRPr="002B3768" w:rsidRDefault="00A94D4C" w:rsidP="002B3768">
      <w:pPr>
        <w:numPr>
          <w:ilvl w:val="1"/>
          <w:numId w:val="3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Authors’ Critique</w:t>
      </w:r>
      <w:r w:rsidRPr="002B3768">
        <w:rPr>
          <w:rFonts w:ascii="Times New Roman" w:hAnsi="Times New Roman"/>
          <w:lang w:val="en-HK"/>
        </w:rPr>
        <w:t>:</w:t>
      </w:r>
    </w:p>
    <w:p w14:paraId="3E57710B" w14:textId="77777777" w:rsidR="00A94D4C" w:rsidRPr="002B3768" w:rsidRDefault="00A94D4C" w:rsidP="002B3768">
      <w:pPr>
        <w:numPr>
          <w:ilvl w:val="2"/>
          <w:numId w:val="3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authors argue that while the removal of tariffs and quotas is a headline achievement, the complexity of RoO compliance limits its practical benefit, particularly for small and medium-sized enterprises (SMEs).</w:t>
      </w:r>
    </w:p>
    <w:p w14:paraId="3B987588"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Key Comparison with EU Law:</w:t>
      </w:r>
    </w:p>
    <w:p w14:paraId="62E1C7A2" w14:textId="77777777" w:rsidR="00A94D4C" w:rsidRPr="002B3768" w:rsidRDefault="00A94D4C" w:rsidP="002B3768">
      <w:pPr>
        <w:numPr>
          <w:ilvl w:val="0"/>
          <w:numId w:val="4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Under the EU’s internal market, tariffs and quotas are eliminated without the need for RoO compliance. The TCA, by contrast, introduces administrative barriers that diminish the benefits of zero tariffs.</w:t>
      </w:r>
    </w:p>
    <w:p w14:paraId="0AB47AE8" w14:textId="77777777" w:rsidR="00A94D4C" w:rsidRPr="002B3768" w:rsidRDefault="00E82DEF" w:rsidP="002B3768">
      <w:pPr>
        <w:spacing w:line="276" w:lineRule="auto"/>
        <w:rPr>
          <w:rFonts w:ascii="Times New Roman" w:hAnsi="Times New Roman"/>
          <w:lang w:val="en-HK"/>
        </w:rPr>
      </w:pPr>
      <w:r w:rsidRPr="00E82DEF">
        <w:rPr>
          <w:rFonts w:ascii="Times New Roman" w:hAnsi="Times New Roman"/>
          <w:noProof/>
          <w:lang w:val="en-HK"/>
          <w14:ligatures w14:val="standardContextual"/>
        </w:rPr>
        <w:pict w14:anchorId="63266A88">
          <v:rect id="_x0000_i1033" alt="" style="width:451.3pt;height:.05pt;mso-width-percent:0;mso-height-percent:0;mso-width-percent:0;mso-height-percent:0" o:hralign="center" o:hrstd="t" o:hr="t" fillcolor="#a0a0a0" stroked="f"/>
        </w:pict>
      </w:r>
    </w:p>
    <w:p w14:paraId="48DBBCB8"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3. Non-Discrimination Principle</w:t>
      </w:r>
    </w:p>
    <w:p w14:paraId="30E3BFA7" w14:textId="77777777" w:rsidR="00A94D4C" w:rsidRPr="002B3768" w:rsidRDefault="00A94D4C" w:rsidP="002B3768">
      <w:pPr>
        <w:numPr>
          <w:ilvl w:val="0"/>
          <w:numId w:val="4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TCA’s GATT-Inspired Approach</w:t>
      </w:r>
      <w:r w:rsidRPr="002B3768">
        <w:rPr>
          <w:rFonts w:ascii="Times New Roman" w:hAnsi="Times New Roman"/>
          <w:lang w:val="en-HK"/>
        </w:rPr>
        <w:t>:</w:t>
      </w:r>
    </w:p>
    <w:p w14:paraId="2C3C3738" w14:textId="77777777" w:rsidR="00A94D4C" w:rsidRPr="002B3768" w:rsidRDefault="00A94D4C" w:rsidP="002B3768">
      <w:pPr>
        <w:numPr>
          <w:ilvl w:val="1"/>
          <w:numId w:val="4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adopts the principle of non-discrimination under </w:t>
      </w:r>
      <w:r w:rsidRPr="002B3768">
        <w:rPr>
          <w:rFonts w:ascii="Times New Roman" w:hAnsi="Times New Roman"/>
          <w:b/>
          <w:bCs/>
          <w:lang w:val="en-HK"/>
        </w:rPr>
        <w:t>Article III GATT</w:t>
      </w:r>
      <w:r w:rsidRPr="002B3768">
        <w:rPr>
          <w:rFonts w:ascii="Times New Roman" w:hAnsi="Times New Roman"/>
          <w:lang w:val="en-HK"/>
        </w:rPr>
        <w:t>, which prohibits less favorable treatment of imported goods compared to domestic goods.</w:t>
      </w:r>
    </w:p>
    <w:p w14:paraId="1D1F391C" w14:textId="77777777" w:rsidR="00A94D4C" w:rsidRPr="002B3768" w:rsidRDefault="00A94D4C" w:rsidP="002B3768">
      <w:pPr>
        <w:numPr>
          <w:ilvl w:val="1"/>
          <w:numId w:val="4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This contrasts with the EU’s broader </w:t>
      </w:r>
      <w:r w:rsidRPr="002B3768">
        <w:rPr>
          <w:rFonts w:ascii="Times New Roman" w:hAnsi="Times New Roman"/>
          <w:b/>
          <w:bCs/>
          <w:lang w:val="en-HK"/>
        </w:rPr>
        <w:t>market access principle</w:t>
      </w:r>
      <w:r w:rsidRPr="002B3768">
        <w:rPr>
          <w:rFonts w:ascii="Times New Roman" w:hAnsi="Times New Roman"/>
          <w:lang w:val="en-HK"/>
        </w:rPr>
        <w:t xml:space="preserve"> under </w:t>
      </w:r>
      <w:r w:rsidRPr="002B3768">
        <w:rPr>
          <w:rFonts w:ascii="Times New Roman" w:hAnsi="Times New Roman"/>
          <w:b/>
          <w:bCs/>
          <w:lang w:val="en-HK"/>
        </w:rPr>
        <w:t>Article 34 TFEU</w:t>
      </w:r>
      <w:r w:rsidRPr="002B3768">
        <w:rPr>
          <w:rFonts w:ascii="Times New Roman" w:hAnsi="Times New Roman"/>
          <w:lang w:val="en-HK"/>
        </w:rPr>
        <w:t>, which prohibits measures having equivalent effect (MEEs) to quantitative restrictions, even if they are non-discriminatory.</w:t>
      </w:r>
    </w:p>
    <w:p w14:paraId="51DEB1E0" w14:textId="77777777" w:rsidR="00A94D4C" w:rsidRPr="002B3768" w:rsidRDefault="00A94D4C" w:rsidP="002B3768">
      <w:pPr>
        <w:numPr>
          <w:ilvl w:val="1"/>
          <w:numId w:val="4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Example</w:t>
      </w:r>
      <w:r w:rsidRPr="002B3768">
        <w:rPr>
          <w:rFonts w:ascii="Times New Roman" w:hAnsi="Times New Roman"/>
          <w:lang w:val="en-HK"/>
        </w:rPr>
        <w:t>:</w:t>
      </w:r>
    </w:p>
    <w:p w14:paraId="675ABBE2" w14:textId="77777777" w:rsidR="00A94D4C" w:rsidRPr="002B3768" w:rsidRDefault="00A94D4C" w:rsidP="002B3768">
      <w:pPr>
        <w:numPr>
          <w:ilvl w:val="2"/>
          <w:numId w:val="4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In </w:t>
      </w:r>
      <w:r w:rsidRPr="002B3768">
        <w:rPr>
          <w:rFonts w:ascii="Times New Roman" w:hAnsi="Times New Roman"/>
          <w:i/>
          <w:iCs/>
          <w:lang w:val="en-HK"/>
        </w:rPr>
        <w:t>Dassonville (Case 8/74)</w:t>
      </w:r>
      <w:r w:rsidRPr="002B3768">
        <w:rPr>
          <w:rFonts w:ascii="Times New Roman" w:hAnsi="Times New Roman"/>
          <w:lang w:val="en-HK"/>
        </w:rPr>
        <w:t>, the CJEU held that all measures capable of hindering intra-EU trade fall within the scope of Article 34, whether discriminatory or not.</w:t>
      </w:r>
    </w:p>
    <w:p w14:paraId="1EE6C151" w14:textId="77777777" w:rsidR="00A94D4C" w:rsidRPr="002B3768" w:rsidRDefault="00A94D4C" w:rsidP="002B3768">
      <w:pPr>
        <w:numPr>
          <w:ilvl w:val="0"/>
          <w:numId w:val="41"/>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Implications</w:t>
      </w:r>
      <w:r w:rsidRPr="002B3768">
        <w:rPr>
          <w:rFonts w:ascii="Times New Roman" w:hAnsi="Times New Roman"/>
          <w:lang w:val="en-HK"/>
        </w:rPr>
        <w:t>:</w:t>
      </w:r>
    </w:p>
    <w:p w14:paraId="15930FB4" w14:textId="77777777" w:rsidR="00A94D4C" w:rsidRPr="002B3768" w:rsidRDefault="00A94D4C" w:rsidP="002B3768">
      <w:pPr>
        <w:numPr>
          <w:ilvl w:val="1"/>
          <w:numId w:val="4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TCA’s narrower focus on non-discrimination permits non-tariff barriers (e.g., technical regulations) that would violate Article 34 TFEU.</w:t>
      </w:r>
    </w:p>
    <w:p w14:paraId="45CE269C"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Authors’ Critique:</w:t>
      </w:r>
    </w:p>
    <w:p w14:paraId="10AC0DAF" w14:textId="77777777" w:rsidR="00A94D4C" w:rsidRPr="002B3768" w:rsidRDefault="00A94D4C" w:rsidP="002B3768">
      <w:pPr>
        <w:numPr>
          <w:ilvl w:val="0"/>
          <w:numId w:val="4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authors argue that the TCA’s reliance on GATT principles represents a significant departure from the EU’s market access framework, increasing trade barriers for UK exporters.</w:t>
      </w:r>
    </w:p>
    <w:p w14:paraId="3395B257" w14:textId="77777777" w:rsidR="00A94D4C" w:rsidRPr="002B3768" w:rsidRDefault="00E82DEF" w:rsidP="002B3768">
      <w:pPr>
        <w:spacing w:line="276" w:lineRule="auto"/>
        <w:rPr>
          <w:rFonts w:ascii="Times New Roman" w:hAnsi="Times New Roman"/>
          <w:lang w:val="en-HK"/>
        </w:rPr>
      </w:pPr>
      <w:r w:rsidRPr="00E82DEF">
        <w:rPr>
          <w:rFonts w:ascii="Times New Roman" w:hAnsi="Times New Roman"/>
          <w:noProof/>
          <w:lang w:val="en-HK"/>
          <w14:ligatures w14:val="standardContextual"/>
        </w:rPr>
        <w:pict w14:anchorId="53D1C530">
          <v:rect id="_x0000_i1032" alt="" style="width:451.3pt;height:.05pt;mso-width-percent:0;mso-height-percent:0;mso-width-percent:0;mso-height-percent:0" o:hralign="center" o:hrstd="t" o:hr="t" fillcolor="#a0a0a0" stroked="f"/>
        </w:pict>
      </w:r>
    </w:p>
    <w:p w14:paraId="10E77D30"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4. Regulatory Barriers and Mutual Recognition</w:t>
      </w:r>
    </w:p>
    <w:p w14:paraId="1BBA5C27" w14:textId="77777777" w:rsidR="00A94D4C" w:rsidRPr="002B3768" w:rsidRDefault="00A94D4C" w:rsidP="002B3768">
      <w:pPr>
        <w:numPr>
          <w:ilvl w:val="0"/>
          <w:numId w:val="43"/>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lastRenderedPageBreak/>
        <w:t>Absence of Mutual Recognition</w:t>
      </w:r>
      <w:r w:rsidRPr="002B3768">
        <w:rPr>
          <w:rFonts w:ascii="Times New Roman" w:hAnsi="Times New Roman"/>
          <w:lang w:val="en-HK"/>
        </w:rPr>
        <w:t>:</w:t>
      </w:r>
    </w:p>
    <w:p w14:paraId="576E031B" w14:textId="77777777" w:rsidR="00A94D4C" w:rsidRPr="002B3768" w:rsidRDefault="00A94D4C" w:rsidP="002B3768">
      <w:pPr>
        <w:numPr>
          <w:ilvl w:val="1"/>
          <w:numId w:val="4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does not include mutual recognition agreements (MRAs) for regulatory standards. As a result, UK goods must comply with EU standards to access the Single Market.</w:t>
      </w:r>
    </w:p>
    <w:p w14:paraId="327A12D4" w14:textId="77777777" w:rsidR="00A94D4C" w:rsidRPr="002B3768" w:rsidRDefault="00A94D4C" w:rsidP="002B3768">
      <w:pPr>
        <w:numPr>
          <w:ilvl w:val="1"/>
          <w:numId w:val="43"/>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Impact on Trade</w:t>
      </w:r>
      <w:r w:rsidRPr="002B3768">
        <w:rPr>
          <w:rFonts w:ascii="Times New Roman" w:hAnsi="Times New Roman"/>
          <w:lang w:val="en-HK"/>
        </w:rPr>
        <w:t>:</w:t>
      </w:r>
    </w:p>
    <w:p w14:paraId="103117B3" w14:textId="77777777" w:rsidR="00A94D4C" w:rsidRPr="002B3768" w:rsidRDefault="00A94D4C" w:rsidP="002B3768">
      <w:pPr>
        <w:numPr>
          <w:ilvl w:val="2"/>
          <w:numId w:val="4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absence of MRAs increases costs for exporters, who must undergo separate testing and certification for EU markets.</w:t>
      </w:r>
    </w:p>
    <w:p w14:paraId="4666E8D9" w14:textId="77777777" w:rsidR="00A94D4C" w:rsidRPr="002B3768" w:rsidRDefault="00A94D4C" w:rsidP="002B3768">
      <w:pPr>
        <w:numPr>
          <w:ilvl w:val="2"/>
          <w:numId w:val="4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For example, a UK product meeting British safety standards may still require re-certification to meet EU requirements.</w:t>
      </w:r>
    </w:p>
    <w:p w14:paraId="74FF96DC" w14:textId="77777777" w:rsidR="00A94D4C" w:rsidRPr="002B3768" w:rsidRDefault="00A94D4C" w:rsidP="002B3768">
      <w:pPr>
        <w:numPr>
          <w:ilvl w:val="1"/>
          <w:numId w:val="43"/>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Comparison with EU Law</w:t>
      </w:r>
      <w:r w:rsidRPr="002B3768">
        <w:rPr>
          <w:rFonts w:ascii="Times New Roman" w:hAnsi="Times New Roman"/>
          <w:lang w:val="en-HK"/>
        </w:rPr>
        <w:t>:</w:t>
      </w:r>
    </w:p>
    <w:p w14:paraId="0C4B6173" w14:textId="77777777" w:rsidR="00A94D4C" w:rsidRPr="002B3768" w:rsidRDefault="00A94D4C" w:rsidP="002B3768">
      <w:pPr>
        <w:numPr>
          <w:ilvl w:val="2"/>
          <w:numId w:val="4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EU’s principle of mutual recognition allows goods lawfully marketed in one Member State to be sold in others without additional requirements (</w:t>
      </w:r>
      <w:r w:rsidRPr="002B3768">
        <w:rPr>
          <w:rFonts w:ascii="Times New Roman" w:hAnsi="Times New Roman"/>
          <w:i/>
          <w:iCs/>
          <w:lang w:val="en-HK"/>
        </w:rPr>
        <w:t>Cassis de Dijon</w:t>
      </w:r>
      <w:r w:rsidRPr="002B3768">
        <w:rPr>
          <w:rFonts w:ascii="Times New Roman" w:hAnsi="Times New Roman"/>
          <w:lang w:val="en-HK"/>
        </w:rPr>
        <w:t>).</w:t>
      </w:r>
    </w:p>
    <w:p w14:paraId="42E61F11"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Technical Barriers to Trade (TBT):</w:t>
      </w:r>
    </w:p>
    <w:p w14:paraId="1142A20D" w14:textId="77777777" w:rsidR="00A94D4C" w:rsidRPr="002B3768" w:rsidRDefault="00A94D4C" w:rsidP="002B3768">
      <w:pPr>
        <w:numPr>
          <w:ilvl w:val="0"/>
          <w:numId w:val="44"/>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incorporates provisions from the WTO’s </w:t>
      </w:r>
      <w:r w:rsidRPr="002B3768">
        <w:rPr>
          <w:rFonts w:ascii="Times New Roman" w:hAnsi="Times New Roman"/>
          <w:b/>
          <w:bCs/>
          <w:lang w:val="en-HK"/>
        </w:rPr>
        <w:t>TBT Agreement</w:t>
      </w:r>
      <w:r w:rsidRPr="002B3768">
        <w:rPr>
          <w:rFonts w:ascii="Times New Roman" w:hAnsi="Times New Roman"/>
          <w:lang w:val="en-HK"/>
        </w:rPr>
        <w:t>, which ensures that technical regulations do not create unnecessary obstacles to trade.</w:t>
      </w:r>
    </w:p>
    <w:p w14:paraId="444F7C27" w14:textId="77777777" w:rsidR="00A94D4C" w:rsidRPr="002B3768" w:rsidRDefault="00A94D4C" w:rsidP="002B3768">
      <w:pPr>
        <w:numPr>
          <w:ilvl w:val="0"/>
          <w:numId w:val="44"/>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However, the lack of mutual recognition under the TCA means that exporters face higher compliance costs and longer processing times.</w:t>
      </w:r>
    </w:p>
    <w:p w14:paraId="385ABD2F" w14:textId="77777777" w:rsidR="00A94D4C" w:rsidRPr="002B3768" w:rsidRDefault="00E82DEF" w:rsidP="002B3768">
      <w:pPr>
        <w:spacing w:line="276" w:lineRule="auto"/>
        <w:rPr>
          <w:rFonts w:ascii="Times New Roman" w:hAnsi="Times New Roman"/>
          <w:lang w:val="en-HK"/>
        </w:rPr>
      </w:pPr>
      <w:r>
        <w:pict w14:anchorId="41625034">
          <v:rect id="Horizontal Line 40"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1885D3"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5. Sanitary and Phytosanitary (SPS) Measures</w:t>
      </w:r>
    </w:p>
    <w:p w14:paraId="23D2A9A6" w14:textId="77777777" w:rsidR="00A94D4C" w:rsidRPr="002B3768" w:rsidRDefault="00A94D4C" w:rsidP="002B3768">
      <w:pPr>
        <w:numPr>
          <w:ilvl w:val="0"/>
          <w:numId w:val="4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Food Safety and Animal Health</w:t>
      </w:r>
      <w:r w:rsidRPr="002B3768">
        <w:rPr>
          <w:rFonts w:ascii="Times New Roman" w:hAnsi="Times New Roman"/>
          <w:lang w:val="en-HK"/>
        </w:rPr>
        <w:t>:</w:t>
      </w:r>
    </w:p>
    <w:p w14:paraId="63C30F68" w14:textId="77777777" w:rsidR="00A94D4C" w:rsidRPr="002B3768" w:rsidRDefault="00A94D4C" w:rsidP="002B3768">
      <w:pPr>
        <w:numPr>
          <w:ilvl w:val="1"/>
          <w:numId w:val="4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 xml:space="preserve">The TCA incorporates provisions from the WTO’s </w:t>
      </w:r>
      <w:r w:rsidRPr="002B3768">
        <w:rPr>
          <w:rFonts w:ascii="Times New Roman" w:hAnsi="Times New Roman"/>
          <w:b/>
          <w:bCs/>
          <w:lang w:val="en-HK"/>
        </w:rPr>
        <w:t>SPS Agreement</w:t>
      </w:r>
      <w:r w:rsidRPr="002B3768">
        <w:rPr>
          <w:rFonts w:ascii="Times New Roman" w:hAnsi="Times New Roman"/>
          <w:lang w:val="en-HK"/>
        </w:rPr>
        <w:t>, requiring compliance with importing countries' standards to ensure the safety of food and animal products.</w:t>
      </w:r>
    </w:p>
    <w:p w14:paraId="4D32FB45" w14:textId="77777777" w:rsidR="00A94D4C" w:rsidRPr="002B3768" w:rsidRDefault="00A94D4C" w:rsidP="002B3768">
      <w:pPr>
        <w:numPr>
          <w:ilvl w:val="1"/>
          <w:numId w:val="45"/>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Practical Impact</w:t>
      </w:r>
      <w:r w:rsidRPr="002B3768">
        <w:rPr>
          <w:rFonts w:ascii="Times New Roman" w:hAnsi="Times New Roman"/>
          <w:lang w:val="en-HK"/>
        </w:rPr>
        <w:t>:</w:t>
      </w:r>
    </w:p>
    <w:p w14:paraId="37DE74E3" w14:textId="77777777" w:rsidR="00A94D4C" w:rsidRPr="002B3768" w:rsidRDefault="00A94D4C" w:rsidP="002B3768">
      <w:pPr>
        <w:numPr>
          <w:ilvl w:val="2"/>
          <w:numId w:val="4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UK exporters face stringent border checks for agricultural products, including veterinary inspections and certifications.</w:t>
      </w:r>
    </w:p>
    <w:p w14:paraId="6C36F4BD" w14:textId="77777777" w:rsidR="00A94D4C" w:rsidRPr="002B3768" w:rsidRDefault="00A94D4C" w:rsidP="002B3768">
      <w:pPr>
        <w:numPr>
          <w:ilvl w:val="2"/>
          <w:numId w:val="45"/>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This contrasts with the seamless movement of goods under the EU’s internal market, where harmonized SPS rules eliminate such barriers.</w:t>
      </w:r>
    </w:p>
    <w:p w14:paraId="1357F36B" w14:textId="77777777" w:rsidR="00A94D4C" w:rsidRPr="002B3768" w:rsidRDefault="00E82DEF" w:rsidP="002B3768">
      <w:pPr>
        <w:spacing w:line="276" w:lineRule="auto"/>
        <w:rPr>
          <w:rFonts w:ascii="Times New Roman" w:hAnsi="Times New Roman"/>
          <w:lang w:val="en-HK"/>
        </w:rPr>
      </w:pPr>
      <w:r>
        <w:pict w14:anchorId="1E401E76">
          <v:rect id="Horizontal Line 41"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2213FB"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6. Level Playing Field Provisions</w:t>
      </w:r>
    </w:p>
    <w:p w14:paraId="2665624C" w14:textId="77777777" w:rsidR="00A94D4C" w:rsidRPr="002B3768" w:rsidRDefault="00A94D4C" w:rsidP="002B3768">
      <w:pPr>
        <w:numPr>
          <w:ilvl w:val="0"/>
          <w:numId w:val="46"/>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Fair Competition Standards</w:t>
      </w:r>
      <w:r w:rsidRPr="002B3768">
        <w:rPr>
          <w:rFonts w:ascii="Times New Roman" w:hAnsi="Times New Roman"/>
          <w:lang w:val="en-HK"/>
        </w:rPr>
        <w:t>:</w:t>
      </w:r>
    </w:p>
    <w:p w14:paraId="1A78B67C" w14:textId="77777777" w:rsidR="00A94D4C" w:rsidRPr="002B3768" w:rsidRDefault="00A94D4C" w:rsidP="002B3768">
      <w:pPr>
        <w:numPr>
          <w:ilvl w:val="1"/>
          <w:numId w:val="4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includes level-playing-field provisions to prevent the UK from undercutting EU businesses through state aid, lower labor standards, or environmental deregulation.</w:t>
      </w:r>
    </w:p>
    <w:p w14:paraId="23FD615B" w14:textId="77777777" w:rsidR="00A94D4C" w:rsidRPr="002B3768" w:rsidRDefault="00A94D4C" w:rsidP="002B3768">
      <w:pPr>
        <w:numPr>
          <w:ilvl w:val="1"/>
          <w:numId w:val="4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These provisions ensure that the UK and EU remain aligned on core standards, reducing the risk of a "race to the bottom."</w:t>
      </w:r>
    </w:p>
    <w:p w14:paraId="4A8C9D46" w14:textId="77777777" w:rsidR="00A94D4C" w:rsidRPr="002B3768" w:rsidRDefault="00A94D4C" w:rsidP="002B3768">
      <w:pPr>
        <w:numPr>
          <w:ilvl w:val="0"/>
          <w:numId w:val="46"/>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lastRenderedPageBreak/>
        <w:t>Enforcement Mechanisms</w:t>
      </w:r>
      <w:r w:rsidRPr="002B3768">
        <w:rPr>
          <w:rFonts w:ascii="Times New Roman" w:hAnsi="Times New Roman"/>
          <w:lang w:val="en-HK"/>
        </w:rPr>
        <w:t>:</w:t>
      </w:r>
    </w:p>
    <w:p w14:paraId="0F7A6FA2" w14:textId="77777777" w:rsidR="00A94D4C" w:rsidRPr="002B3768" w:rsidRDefault="00A94D4C" w:rsidP="002B3768">
      <w:pPr>
        <w:numPr>
          <w:ilvl w:val="1"/>
          <w:numId w:val="46"/>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establishes dispute resolution mechanisms to address alleged violations of level-playing-field commitments.</w:t>
      </w:r>
    </w:p>
    <w:p w14:paraId="67194E39"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Comparison with EU Law:</w:t>
      </w:r>
    </w:p>
    <w:p w14:paraId="50DADFA3" w14:textId="77777777" w:rsidR="00A94D4C" w:rsidRPr="002B3768" w:rsidRDefault="00A94D4C" w:rsidP="002B3768">
      <w:pPr>
        <w:numPr>
          <w:ilvl w:val="0"/>
          <w:numId w:val="47"/>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Under the EU’s internal market, harmonization of competition and environmental standards eliminates the need for such enforcement mechanisms. The TCA’s approach relies on regulatory divergence with safeguards to prevent unfair competition.</w:t>
      </w:r>
    </w:p>
    <w:p w14:paraId="77C23E83" w14:textId="77777777" w:rsidR="00A94D4C" w:rsidRPr="002B3768" w:rsidRDefault="00E82DEF" w:rsidP="002B3768">
      <w:pPr>
        <w:spacing w:line="276" w:lineRule="auto"/>
        <w:rPr>
          <w:rFonts w:ascii="Times New Roman" w:hAnsi="Times New Roman"/>
          <w:lang w:val="en-HK"/>
        </w:rPr>
      </w:pPr>
      <w:r>
        <w:pict w14:anchorId="1AF1D385">
          <v:rect id="Horizontal Line 42"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E520AC"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7. Northern Ireland Protocol</w:t>
      </w:r>
    </w:p>
    <w:p w14:paraId="7E2354B3" w14:textId="77777777" w:rsidR="00A94D4C" w:rsidRPr="002B3768" w:rsidRDefault="00A94D4C" w:rsidP="002B3768">
      <w:pPr>
        <w:numPr>
          <w:ilvl w:val="0"/>
          <w:numId w:val="48"/>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Northern Ireland Protocol ensures that Northern Ireland remains aligned with the EU’s customs and regulatory rules to avoid a hard border with Ireland. This creates significant trade friction between Northern Ireland and Great Britain.</w:t>
      </w:r>
    </w:p>
    <w:p w14:paraId="2C755EB9" w14:textId="77777777" w:rsidR="00A94D4C" w:rsidRPr="002B3768" w:rsidRDefault="00A94D4C" w:rsidP="002B3768">
      <w:pPr>
        <w:numPr>
          <w:ilvl w:val="0"/>
          <w:numId w:val="48"/>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Authors’ Perspective</w:t>
      </w:r>
      <w:r w:rsidRPr="002B3768">
        <w:rPr>
          <w:rFonts w:ascii="Times New Roman" w:hAnsi="Times New Roman"/>
          <w:lang w:val="en-HK"/>
        </w:rPr>
        <w:t>:</w:t>
      </w:r>
    </w:p>
    <w:p w14:paraId="2DBFB740" w14:textId="77777777" w:rsidR="00A94D4C" w:rsidRPr="002B3768" w:rsidRDefault="00A94D4C" w:rsidP="002B3768">
      <w:pPr>
        <w:numPr>
          <w:ilvl w:val="1"/>
          <w:numId w:val="48"/>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Protocol’s dual integration into the EU and UK systems complicates compliance for businesses and underscores the challenges of reconciling trade objectives with political commitments.</w:t>
      </w:r>
    </w:p>
    <w:p w14:paraId="2EE5D623" w14:textId="77777777" w:rsidR="00A94D4C" w:rsidRPr="002B3768" w:rsidRDefault="00E82DEF" w:rsidP="002B3768">
      <w:pPr>
        <w:spacing w:line="276" w:lineRule="auto"/>
        <w:rPr>
          <w:rFonts w:ascii="Times New Roman" w:hAnsi="Times New Roman"/>
          <w:lang w:val="en-HK"/>
        </w:rPr>
      </w:pPr>
      <w:r>
        <w:pict w14:anchorId="63465B11">
          <v:rect id="Horizontal Line 43"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54C5EC"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8. Authors’ Critical Assessment</w:t>
      </w:r>
    </w:p>
    <w:p w14:paraId="4939B3F8" w14:textId="77777777" w:rsidR="00A94D4C" w:rsidRPr="002B3768" w:rsidRDefault="00A94D4C" w:rsidP="002B3768">
      <w:pPr>
        <w:numPr>
          <w:ilvl w:val="0"/>
          <w:numId w:val="4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Increased Trade Frictions</w:t>
      </w:r>
      <w:r w:rsidRPr="002B3768">
        <w:rPr>
          <w:rFonts w:ascii="Times New Roman" w:hAnsi="Times New Roman"/>
          <w:lang w:val="en-HK"/>
        </w:rPr>
        <w:t>:</w:t>
      </w:r>
    </w:p>
    <w:p w14:paraId="45BA04A4" w14:textId="77777777" w:rsidR="00A94D4C" w:rsidRPr="002B3768" w:rsidRDefault="00A94D4C" w:rsidP="002B3768">
      <w:pPr>
        <w:numPr>
          <w:ilvl w:val="1"/>
          <w:numId w:val="4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While the TCA achieves tariff-free trade, the lack of harmonization and mutual recognition increases non-tariff barriers, particularly for SMEs.</w:t>
      </w:r>
    </w:p>
    <w:p w14:paraId="0C50CF5D" w14:textId="77777777" w:rsidR="00A94D4C" w:rsidRPr="002B3768" w:rsidRDefault="00A94D4C" w:rsidP="002B3768">
      <w:pPr>
        <w:numPr>
          <w:ilvl w:val="0"/>
          <w:numId w:val="4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Departure from EU Principles</w:t>
      </w:r>
      <w:r w:rsidRPr="002B3768">
        <w:rPr>
          <w:rFonts w:ascii="Times New Roman" w:hAnsi="Times New Roman"/>
          <w:lang w:val="en-HK"/>
        </w:rPr>
        <w:t>:</w:t>
      </w:r>
    </w:p>
    <w:p w14:paraId="132FD6B7" w14:textId="77777777" w:rsidR="00A94D4C" w:rsidRPr="002B3768" w:rsidRDefault="00A94D4C" w:rsidP="002B3768">
      <w:pPr>
        <w:numPr>
          <w:ilvl w:val="1"/>
          <w:numId w:val="4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TCA’s reliance on WTO principles represents a stark departure from the EU’s internal market framework, prioritizing regulatory autonomy over trade facilitation.</w:t>
      </w:r>
    </w:p>
    <w:p w14:paraId="2D4CD93D" w14:textId="77777777" w:rsidR="00A94D4C" w:rsidRPr="002B3768" w:rsidRDefault="00A94D4C" w:rsidP="002B3768">
      <w:pPr>
        <w:numPr>
          <w:ilvl w:val="0"/>
          <w:numId w:val="49"/>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Economic Impact</w:t>
      </w:r>
      <w:r w:rsidRPr="002B3768">
        <w:rPr>
          <w:rFonts w:ascii="Times New Roman" w:hAnsi="Times New Roman"/>
          <w:lang w:val="en-HK"/>
        </w:rPr>
        <w:t>:</w:t>
      </w:r>
    </w:p>
    <w:p w14:paraId="7836B9D2" w14:textId="77777777" w:rsidR="00A94D4C" w:rsidRPr="002B3768" w:rsidRDefault="00A94D4C" w:rsidP="002B3768">
      <w:pPr>
        <w:numPr>
          <w:ilvl w:val="1"/>
          <w:numId w:val="49"/>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administrative and compliance costs associated with TCA provisions disproportionately affect UK exporters, limiting the agreement’s economic benefits.</w:t>
      </w:r>
    </w:p>
    <w:p w14:paraId="6683A420" w14:textId="77777777" w:rsidR="00A94D4C" w:rsidRPr="002B3768" w:rsidRDefault="00E82DEF" w:rsidP="002B3768">
      <w:pPr>
        <w:spacing w:line="276" w:lineRule="auto"/>
        <w:rPr>
          <w:rFonts w:ascii="Times New Roman" w:hAnsi="Times New Roman"/>
          <w:lang w:val="en-HK"/>
        </w:rPr>
      </w:pPr>
      <w:r>
        <w:pict w14:anchorId="761997F2">
          <v:rect id="Horizontal Line 44"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3C3C9C"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Conclusion of Section</w:t>
      </w:r>
    </w:p>
    <w:p w14:paraId="18EE1679" w14:textId="77777777" w:rsidR="00A94D4C" w:rsidRPr="002B3768" w:rsidRDefault="00A94D4C" w:rsidP="002B3768">
      <w:pPr>
        <w:numPr>
          <w:ilvl w:val="0"/>
          <w:numId w:val="5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lastRenderedPageBreak/>
        <w:t>The TCA’s goods regime achieves limited trade liberalization compared to the EU’s internal market. By prioritizing regulatory autonomy, the UK has accepted higher trade barriers, increased administrative burdens, and reduced market access.</w:t>
      </w:r>
    </w:p>
    <w:p w14:paraId="00E0E5B8" w14:textId="77777777" w:rsidR="00A94D4C" w:rsidRPr="002B3768" w:rsidRDefault="00A94D4C" w:rsidP="002B3768">
      <w:pPr>
        <w:numPr>
          <w:ilvl w:val="0"/>
          <w:numId w:val="50"/>
        </w:numPr>
        <w:spacing w:before="100" w:beforeAutospacing="1" w:after="100" w:afterAutospacing="1" w:line="276" w:lineRule="auto"/>
        <w:rPr>
          <w:rFonts w:ascii="Times New Roman" w:hAnsi="Times New Roman"/>
          <w:lang w:val="en-HK"/>
        </w:rPr>
      </w:pPr>
      <w:r w:rsidRPr="002B3768">
        <w:rPr>
          <w:rFonts w:ascii="Times New Roman" w:hAnsi="Times New Roman"/>
          <w:b/>
          <w:bCs/>
          <w:lang w:val="en-HK"/>
        </w:rPr>
        <w:t>Key Takeaways</w:t>
      </w:r>
      <w:r w:rsidRPr="002B3768">
        <w:rPr>
          <w:rFonts w:ascii="Times New Roman" w:hAnsi="Times New Roman"/>
          <w:lang w:val="en-HK"/>
        </w:rPr>
        <w:t>:</w:t>
      </w:r>
    </w:p>
    <w:p w14:paraId="4ED97B71" w14:textId="77777777" w:rsidR="00A94D4C" w:rsidRPr="002B3768" w:rsidRDefault="00A94D4C" w:rsidP="002B3768">
      <w:pPr>
        <w:numPr>
          <w:ilvl w:val="1"/>
          <w:numId w:val="5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TCA eliminates tariffs and quotas but introduces significant non-tariff barriers through rules of origin and regulatory divergence.</w:t>
      </w:r>
    </w:p>
    <w:p w14:paraId="08616F5A" w14:textId="77777777" w:rsidR="00A94D4C" w:rsidRPr="002B3768" w:rsidRDefault="00A94D4C" w:rsidP="002B3768">
      <w:pPr>
        <w:numPr>
          <w:ilvl w:val="1"/>
          <w:numId w:val="5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absence of mutual recognition agreements increases compliance costs for UK exporters.</w:t>
      </w:r>
    </w:p>
    <w:p w14:paraId="1CF991B6" w14:textId="77777777" w:rsidR="00A94D4C" w:rsidRPr="002B3768" w:rsidRDefault="00A94D4C" w:rsidP="002B3768">
      <w:pPr>
        <w:numPr>
          <w:ilvl w:val="1"/>
          <w:numId w:val="50"/>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agreement reflects the UK’s prioritization of sovereignty over economic integration, with significant trade-offs for businesses.</w:t>
      </w:r>
    </w:p>
    <w:p w14:paraId="667B83F2" w14:textId="4D9EC4F3" w:rsidR="00A94D4C" w:rsidRPr="002B3768" w:rsidRDefault="00E82DEF" w:rsidP="002B3768">
      <w:pPr>
        <w:spacing w:line="276" w:lineRule="auto"/>
      </w:pPr>
      <w:r>
        <w:pict w14:anchorId="13F605F2">
          <v:rect 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0A6B07"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6. Northern Ireland Protocol</w:t>
      </w:r>
    </w:p>
    <w:p w14:paraId="0EB8AF6E"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Overview and Challenges</w:t>
      </w:r>
    </w:p>
    <w:p w14:paraId="5E2ED82A" w14:textId="77777777"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Northern Ireland Protocol was developed to manage the "Brexit trilemma," reconciling three conflicting objectives:</w:t>
      </w:r>
    </w:p>
    <w:p w14:paraId="4627AEDB" w14:textId="77777777" w:rsidR="00A94D4C" w:rsidRPr="002B3768" w:rsidRDefault="00A94D4C" w:rsidP="002B3768">
      <w:pPr>
        <w:numPr>
          <w:ilvl w:val="0"/>
          <w:numId w:val="5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Avoiding a hard border between Northern Ireland and the Republic of Ireland.</w:t>
      </w:r>
    </w:p>
    <w:p w14:paraId="7B6BDB1A" w14:textId="77777777" w:rsidR="00A94D4C" w:rsidRPr="002B3768" w:rsidRDefault="00A94D4C" w:rsidP="002B3768">
      <w:pPr>
        <w:numPr>
          <w:ilvl w:val="0"/>
          <w:numId w:val="5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Avoiding checks between Great Britain and Northern Ireland.</w:t>
      </w:r>
    </w:p>
    <w:p w14:paraId="73C16296" w14:textId="77777777" w:rsidR="00A94D4C" w:rsidRPr="002B3768" w:rsidRDefault="00A94D4C" w:rsidP="002B3768">
      <w:pPr>
        <w:numPr>
          <w:ilvl w:val="0"/>
          <w:numId w:val="51"/>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Allowing the UK to leave the EU's Customs Union and Single Market these objectives proved challenging after Brexit, as Northern Ireland retained access to both the EU Single Market and the UK's internal market. This dual alignment has caused operational issues, particularly with checks on goods crossing the Irish Sea .</w:t>
      </w:r>
    </w:p>
    <w:p w14:paraId="5CF01525"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**Northern Ireland remains part of the EU's Customs Union for practical purposes. The Protocol ensures compliance with the Union Customs Code (Article 5(3) NIP). Key points include:</w:t>
      </w:r>
    </w:p>
    <w:p w14:paraId="016801A4" w14:textId="77777777" w:rsidR="00A94D4C" w:rsidRPr="002B3768" w:rsidRDefault="00A94D4C" w:rsidP="002B3768">
      <w:pPr>
        <w:numPr>
          <w:ilvl w:val="0"/>
          <w:numId w:val="5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Application of Articles 30 and 110 TFEU in Northern Ireland, prohibiting discriminatory or protective taxation .</w:t>
      </w:r>
    </w:p>
    <w:p w14:paraId="0E1391DA" w14:textId="77777777" w:rsidR="00A94D4C" w:rsidRPr="002B3768" w:rsidRDefault="00A94D4C" w:rsidP="002B3768">
      <w:pPr>
        <w:numPr>
          <w:ilvl w:val="0"/>
          <w:numId w:val="52"/>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Over 300 EU Single Market laws y in Northern Ireland under Annex 2 of the Protocol, with automatic updates for future legislation .</w:t>
      </w:r>
    </w:p>
    <w:p w14:paraId="1FCEFE30"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Operational Challenges</w:t>
      </w:r>
    </w:p>
    <w:p w14:paraId="62FA39EF" w14:textId="77777777"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Key issues whether goods entering Northern Ireland are "at risk" of moving into the EU, which may trigger tariffs under Article 5(2) NIP. 2. Checks on goods from Great Britain, including conformity with EU rules for SPS and TBT standards .</w:t>
      </w:r>
    </w:p>
    <w:p w14:paraId="348D7AC0" w14:textId="77777777"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Protocol has caused friction, with the UK unilaterally extendingce, leading to EU legal action under Article 258 TFEU and Article 12(4) NIP .</w:t>
      </w:r>
    </w:p>
    <w:p w14:paraId="32AAEFB8" w14:textId="77777777" w:rsidR="00A94D4C" w:rsidRPr="002B3768" w:rsidRDefault="00E82DEF" w:rsidP="002B3768">
      <w:pPr>
        <w:spacing w:line="276" w:lineRule="auto"/>
        <w:rPr>
          <w:rFonts w:ascii="Times New Roman" w:hAnsi="Times New Roman"/>
          <w:lang w:val="en-HK"/>
        </w:rPr>
      </w:pPr>
      <w:r>
        <w:pict w14:anchorId="0A0551A1">
          <v:rect id="Horizontal Line 5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BB22C2" w14:textId="77777777" w:rsidR="00A94D4C" w:rsidRPr="002B3768" w:rsidRDefault="00A94D4C" w:rsidP="002B3768">
      <w:pPr>
        <w:spacing w:before="100" w:beforeAutospacing="1" w:after="100" w:afterAutospacing="1" w:line="276" w:lineRule="auto"/>
        <w:outlineLvl w:val="2"/>
        <w:rPr>
          <w:rFonts w:ascii="Times New Roman" w:hAnsi="Times New Roman"/>
          <w:b/>
          <w:bCs/>
          <w:lang w:val="en-HK"/>
        </w:rPr>
      </w:pPr>
      <w:r w:rsidRPr="002B3768">
        <w:rPr>
          <w:rFonts w:ascii="Times New Roman" w:hAnsi="Times New Roman"/>
          <w:b/>
          <w:bCs/>
          <w:lang w:val="en-HK"/>
        </w:rPr>
        <w:t>7. Conclusion</w:t>
      </w:r>
    </w:p>
    <w:p w14:paraId="4031602B" w14:textId="77777777" w:rsidR="00A94D4C" w:rsidRPr="002B3768" w:rsidRDefault="00A94D4C" w:rsidP="002B3768">
      <w:pPr>
        <w:spacing w:before="100" w:beforeAutospacing="1" w:after="100" w:afterAutospacing="1" w:line="276" w:lineRule="auto"/>
        <w:rPr>
          <w:rFonts w:ascii="Times New Roman" w:hAnsi="Times New Roman"/>
          <w:lang w:val="en-HK"/>
        </w:rPr>
      </w:pPr>
      <w:r w:rsidRPr="002B3768">
        <w:rPr>
          <w:rFonts w:ascii="Times New Roman" w:hAnsi="Times New Roman"/>
          <w:lang w:val="en-HK"/>
        </w:rPr>
        <w:t>The article concludes that the Trade and Cooperation Agreement (TCA) an Ireland Protocol represent a significant departure from the EU's approach to free movement. While the TCA prioritizes non-discrimination and limits equivalence or mutual recognition, the Protocol enforces stricter EU alignment in Northern Ireland.</w:t>
      </w:r>
    </w:p>
    <w:p w14:paraId="4143167B" w14:textId="77777777" w:rsidR="00A94D4C" w:rsidRPr="002B3768" w:rsidRDefault="00A94D4C" w:rsidP="002B3768">
      <w:pPr>
        <w:spacing w:before="100" w:beforeAutospacing="1" w:after="100" w:afterAutospacing="1" w:line="276" w:lineRule="auto"/>
        <w:outlineLvl w:val="3"/>
        <w:rPr>
          <w:rFonts w:ascii="Times New Roman" w:hAnsi="Times New Roman"/>
          <w:b/>
          <w:bCs/>
          <w:lang w:val="en-HK"/>
        </w:rPr>
      </w:pPr>
      <w:r w:rsidRPr="002B3768">
        <w:rPr>
          <w:rFonts w:ascii="Times New Roman" w:hAnsi="Times New Roman"/>
          <w:b/>
          <w:bCs/>
          <w:lang w:val="en-HK"/>
        </w:rPr>
        <w:t>Political and Economic Impact</w:t>
      </w:r>
    </w:p>
    <w:p w14:paraId="45C243C0" w14:textId="77777777" w:rsidR="00A94D4C" w:rsidRPr="002B3768" w:rsidRDefault="00A94D4C" w:rsidP="002B3768">
      <w:pPr>
        <w:numPr>
          <w:ilvl w:val="0"/>
          <w:numId w:val="5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For the UK: The TCA satisfies Eurosceptic demands for sovereignty but at the cost of increased bureaucracy for businesses .</w:t>
      </w:r>
    </w:p>
    <w:p w14:paraId="48ADF923" w14:textId="77777777" w:rsidR="00A94D4C" w:rsidRPr="002B3768" w:rsidRDefault="00A94D4C" w:rsidP="002B3768">
      <w:pPr>
        <w:numPr>
          <w:ilvl w:val="0"/>
          <w:numId w:val="53"/>
        </w:numPr>
        <w:spacing w:before="100" w:beforeAutospacing="1" w:after="100" w:afterAutospacing="1" w:line="276" w:lineRule="auto"/>
        <w:rPr>
          <w:rFonts w:ascii="Times New Roman" w:hAnsi="Times New Roman"/>
          <w:lang w:val="en-HK"/>
        </w:rPr>
      </w:pPr>
      <w:r w:rsidRPr="002B3768">
        <w:rPr>
          <w:rFonts w:ascii="Times New Roman" w:hAnsi="Times New Roman"/>
          <w:lang w:val="en-HK"/>
        </w:rPr>
        <w:t>For Northern Ireland: The Protocol integrates it deeply into the EU's Single Market while creating trade , provoking political backlash and operational challenges .</w:t>
      </w:r>
    </w:p>
    <w:p w14:paraId="04C16FD6" w14:textId="77777777" w:rsidR="00A94D4C" w:rsidRPr="002B3768" w:rsidRDefault="00A94D4C" w:rsidP="002B3768">
      <w:pPr>
        <w:spacing w:line="276" w:lineRule="auto"/>
      </w:pPr>
    </w:p>
    <w:sectPr w:rsidR="00A94D4C" w:rsidRPr="002B3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F7974"/>
    <w:multiLevelType w:val="multilevel"/>
    <w:tmpl w:val="663EF4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212B0"/>
    <w:multiLevelType w:val="multilevel"/>
    <w:tmpl w:val="405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07BB9"/>
    <w:multiLevelType w:val="multilevel"/>
    <w:tmpl w:val="7D8E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E1286"/>
    <w:multiLevelType w:val="multilevel"/>
    <w:tmpl w:val="B4E2E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E3462"/>
    <w:multiLevelType w:val="multilevel"/>
    <w:tmpl w:val="9AF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C2691"/>
    <w:multiLevelType w:val="multilevel"/>
    <w:tmpl w:val="AA40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11A08"/>
    <w:multiLevelType w:val="multilevel"/>
    <w:tmpl w:val="B9C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91C6A"/>
    <w:multiLevelType w:val="multilevel"/>
    <w:tmpl w:val="8B3E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A2C0A"/>
    <w:multiLevelType w:val="multilevel"/>
    <w:tmpl w:val="59CE9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44E51"/>
    <w:multiLevelType w:val="multilevel"/>
    <w:tmpl w:val="704ED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165B7"/>
    <w:multiLevelType w:val="multilevel"/>
    <w:tmpl w:val="D27A4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246CF"/>
    <w:multiLevelType w:val="multilevel"/>
    <w:tmpl w:val="6C149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1371C"/>
    <w:multiLevelType w:val="multilevel"/>
    <w:tmpl w:val="BCA23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33B81"/>
    <w:multiLevelType w:val="multilevel"/>
    <w:tmpl w:val="EADC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5252A"/>
    <w:multiLevelType w:val="multilevel"/>
    <w:tmpl w:val="FC526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5147F"/>
    <w:multiLevelType w:val="multilevel"/>
    <w:tmpl w:val="0540B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B1258"/>
    <w:multiLevelType w:val="multilevel"/>
    <w:tmpl w:val="E0B8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C7C7B"/>
    <w:multiLevelType w:val="multilevel"/>
    <w:tmpl w:val="78C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279B5"/>
    <w:multiLevelType w:val="multilevel"/>
    <w:tmpl w:val="EBB2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762FF"/>
    <w:multiLevelType w:val="multilevel"/>
    <w:tmpl w:val="2DD25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00B72"/>
    <w:multiLevelType w:val="multilevel"/>
    <w:tmpl w:val="A01A7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F6FCF"/>
    <w:multiLevelType w:val="multilevel"/>
    <w:tmpl w:val="5F0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723FA"/>
    <w:multiLevelType w:val="multilevel"/>
    <w:tmpl w:val="DFF8C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820E5"/>
    <w:multiLevelType w:val="multilevel"/>
    <w:tmpl w:val="35A42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60862"/>
    <w:multiLevelType w:val="multilevel"/>
    <w:tmpl w:val="71CAA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82A1A"/>
    <w:multiLevelType w:val="multilevel"/>
    <w:tmpl w:val="B1E8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F42BA"/>
    <w:multiLevelType w:val="multilevel"/>
    <w:tmpl w:val="25A0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C4E7A"/>
    <w:multiLevelType w:val="multilevel"/>
    <w:tmpl w:val="EE0CD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D40B3"/>
    <w:multiLevelType w:val="multilevel"/>
    <w:tmpl w:val="9F9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23582"/>
    <w:multiLevelType w:val="multilevel"/>
    <w:tmpl w:val="F19C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0432C5"/>
    <w:multiLevelType w:val="multilevel"/>
    <w:tmpl w:val="BC9E6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A1317"/>
    <w:multiLevelType w:val="multilevel"/>
    <w:tmpl w:val="FB9A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B1162"/>
    <w:multiLevelType w:val="multilevel"/>
    <w:tmpl w:val="3E0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D47E8A"/>
    <w:multiLevelType w:val="multilevel"/>
    <w:tmpl w:val="A934D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E7E22"/>
    <w:multiLevelType w:val="multilevel"/>
    <w:tmpl w:val="4C04C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A3E2E"/>
    <w:multiLevelType w:val="multilevel"/>
    <w:tmpl w:val="5706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560BB"/>
    <w:multiLevelType w:val="multilevel"/>
    <w:tmpl w:val="7708F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5723C8"/>
    <w:multiLevelType w:val="multilevel"/>
    <w:tmpl w:val="B492D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41540"/>
    <w:multiLevelType w:val="multilevel"/>
    <w:tmpl w:val="C0C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54F1B"/>
    <w:multiLevelType w:val="multilevel"/>
    <w:tmpl w:val="1AA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41F45"/>
    <w:multiLevelType w:val="multilevel"/>
    <w:tmpl w:val="C78AA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EE2181"/>
    <w:multiLevelType w:val="multilevel"/>
    <w:tmpl w:val="2E2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90F51"/>
    <w:multiLevelType w:val="multilevel"/>
    <w:tmpl w:val="7BF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2A650C"/>
    <w:multiLevelType w:val="multilevel"/>
    <w:tmpl w:val="962E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2A651A"/>
    <w:multiLevelType w:val="multilevel"/>
    <w:tmpl w:val="A4D0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75857"/>
    <w:multiLevelType w:val="multilevel"/>
    <w:tmpl w:val="ABAC9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A4F3B"/>
    <w:multiLevelType w:val="multilevel"/>
    <w:tmpl w:val="9E80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E7B08"/>
    <w:multiLevelType w:val="multilevel"/>
    <w:tmpl w:val="7CBCA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6276AB"/>
    <w:multiLevelType w:val="multilevel"/>
    <w:tmpl w:val="82464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711CC1"/>
    <w:multiLevelType w:val="multilevel"/>
    <w:tmpl w:val="B33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5792D"/>
    <w:multiLevelType w:val="multilevel"/>
    <w:tmpl w:val="2138E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981433"/>
    <w:multiLevelType w:val="multilevel"/>
    <w:tmpl w:val="4694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34074E"/>
    <w:multiLevelType w:val="multilevel"/>
    <w:tmpl w:val="F19A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635762">
    <w:abstractNumId w:val="15"/>
  </w:num>
  <w:num w:numId="2" w16cid:durableId="1065034326">
    <w:abstractNumId w:val="37"/>
  </w:num>
  <w:num w:numId="3" w16cid:durableId="1141458127">
    <w:abstractNumId w:val="52"/>
  </w:num>
  <w:num w:numId="4" w16cid:durableId="1723168005">
    <w:abstractNumId w:val="51"/>
  </w:num>
  <w:num w:numId="5" w16cid:durableId="881937746">
    <w:abstractNumId w:val="3"/>
  </w:num>
  <w:num w:numId="6" w16cid:durableId="2060587109">
    <w:abstractNumId w:val="7"/>
  </w:num>
  <w:num w:numId="7" w16cid:durableId="138348270">
    <w:abstractNumId w:val="14"/>
  </w:num>
  <w:num w:numId="8" w16cid:durableId="1819958906">
    <w:abstractNumId w:val="1"/>
  </w:num>
  <w:num w:numId="9" w16cid:durableId="1654918070">
    <w:abstractNumId w:val="43"/>
  </w:num>
  <w:num w:numId="10" w16cid:durableId="8724717">
    <w:abstractNumId w:val="5"/>
  </w:num>
  <w:num w:numId="11" w16cid:durableId="297075013">
    <w:abstractNumId w:val="35"/>
  </w:num>
  <w:num w:numId="12" w16cid:durableId="1811747078">
    <w:abstractNumId w:val="45"/>
  </w:num>
  <w:num w:numId="13" w16cid:durableId="2062707890">
    <w:abstractNumId w:val="33"/>
  </w:num>
  <w:num w:numId="14" w16cid:durableId="1133985133">
    <w:abstractNumId w:val="23"/>
  </w:num>
  <w:num w:numId="15" w16cid:durableId="862128833">
    <w:abstractNumId w:val="26"/>
  </w:num>
  <w:num w:numId="16" w16cid:durableId="1120883604">
    <w:abstractNumId w:val="24"/>
  </w:num>
  <w:num w:numId="17" w16cid:durableId="494489592">
    <w:abstractNumId w:val="8"/>
  </w:num>
  <w:num w:numId="18" w16cid:durableId="1172138173">
    <w:abstractNumId w:val="21"/>
  </w:num>
  <w:num w:numId="19" w16cid:durableId="1001851380">
    <w:abstractNumId w:val="44"/>
  </w:num>
  <w:num w:numId="20" w16cid:durableId="1583680036">
    <w:abstractNumId w:val="0"/>
  </w:num>
  <w:num w:numId="21" w16cid:durableId="779684552">
    <w:abstractNumId w:val="9"/>
  </w:num>
  <w:num w:numId="22" w16cid:durableId="510416233">
    <w:abstractNumId w:val="36"/>
  </w:num>
  <w:num w:numId="23" w16cid:durableId="1912502376">
    <w:abstractNumId w:val="49"/>
  </w:num>
  <w:num w:numId="24" w16cid:durableId="1596354175">
    <w:abstractNumId w:val="50"/>
  </w:num>
  <w:num w:numId="25" w16cid:durableId="1216359115">
    <w:abstractNumId w:val="30"/>
  </w:num>
  <w:num w:numId="26" w16cid:durableId="2095008469">
    <w:abstractNumId w:val="48"/>
  </w:num>
  <w:num w:numId="27" w16cid:durableId="193929591">
    <w:abstractNumId w:val="2"/>
  </w:num>
  <w:num w:numId="28" w16cid:durableId="697782772">
    <w:abstractNumId w:val="6"/>
  </w:num>
  <w:num w:numId="29" w16cid:durableId="1465193403">
    <w:abstractNumId w:val="29"/>
  </w:num>
  <w:num w:numId="30" w16cid:durableId="1536116276">
    <w:abstractNumId w:val="16"/>
  </w:num>
  <w:num w:numId="31" w16cid:durableId="1994136665">
    <w:abstractNumId w:val="4"/>
  </w:num>
  <w:num w:numId="32" w16cid:durableId="1022051940">
    <w:abstractNumId w:val="18"/>
  </w:num>
  <w:num w:numId="33" w16cid:durableId="528227686">
    <w:abstractNumId w:val="17"/>
  </w:num>
  <w:num w:numId="34" w16cid:durableId="372114876">
    <w:abstractNumId w:val="10"/>
  </w:num>
  <w:num w:numId="35" w16cid:durableId="1033964314">
    <w:abstractNumId w:val="11"/>
  </w:num>
  <w:num w:numId="36" w16cid:durableId="1103843871">
    <w:abstractNumId w:val="12"/>
  </w:num>
  <w:num w:numId="37" w16cid:durableId="346759862">
    <w:abstractNumId w:val="28"/>
  </w:num>
  <w:num w:numId="38" w16cid:durableId="97795897">
    <w:abstractNumId w:val="31"/>
  </w:num>
  <w:num w:numId="39" w16cid:durableId="51198521">
    <w:abstractNumId w:val="19"/>
  </w:num>
  <w:num w:numId="40" w16cid:durableId="1715691574">
    <w:abstractNumId w:val="39"/>
  </w:num>
  <w:num w:numId="41" w16cid:durableId="1847360121">
    <w:abstractNumId w:val="27"/>
  </w:num>
  <w:num w:numId="42" w16cid:durableId="1244485532">
    <w:abstractNumId w:val="32"/>
  </w:num>
  <w:num w:numId="43" w16cid:durableId="134495214">
    <w:abstractNumId w:val="34"/>
  </w:num>
  <w:num w:numId="44" w16cid:durableId="730233107">
    <w:abstractNumId w:val="42"/>
  </w:num>
  <w:num w:numId="45" w16cid:durableId="601648991">
    <w:abstractNumId w:val="20"/>
  </w:num>
  <w:num w:numId="46" w16cid:durableId="1853108533">
    <w:abstractNumId w:val="40"/>
  </w:num>
  <w:num w:numId="47" w16cid:durableId="1842308423">
    <w:abstractNumId w:val="46"/>
  </w:num>
  <w:num w:numId="48" w16cid:durableId="1911841804">
    <w:abstractNumId w:val="13"/>
  </w:num>
  <w:num w:numId="49" w16cid:durableId="1611280211">
    <w:abstractNumId w:val="47"/>
  </w:num>
  <w:num w:numId="50" w16cid:durableId="1368917935">
    <w:abstractNumId w:val="22"/>
  </w:num>
  <w:num w:numId="51" w16cid:durableId="1169906766">
    <w:abstractNumId w:val="25"/>
  </w:num>
  <w:num w:numId="52" w16cid:durableId="1266618777">
    <w:abstractNumId w:val="41"/>
  </w:num>
  <w:num w:numId="53" w16cid:durableId="1129396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E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B3377"/>
    <w:rsid w:val="002B3768"/>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144C5"/>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4D4C"/>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6C28"/>
    <w:rsid w:val="00C17D79"/>
    <w:rsid w:val="00C24A8A"/>
    <w:rsid w:val="00C27321"/>
    <w:rsid w:val="00C44474"/>
    <w:rsid w:val="00C44EB3"/>
    <w:rsid w:val="00C54722"/>
    <w:rsid w:val="00C616D7"/>
    <w:rsid w:val="00C65F70"/>
    <w:rsid w:val="00C7052D"/>
    <w:rsid w:val="00C76196"/>
    <w:rsid w:val="00C941C4"/>
    <w:rsid w:val="00C96A36"/>
    <w:rsid w:val="00C97D3C"/>
    <w:rsid w:val="00CA350B"/>
    <w:rsid w:val="00CA3F60"/>
    <w:rsid w:val="00CC2EFF"/>
    <w:rsid w:val="00CC4FEF"/>
    <w:rsid w:val="00CD39F1"/>
    <w:rsid w:val="00CE0AE5"/>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82DEF"/>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6DFD2A74"/>
  <w15:chartTrackingRefBased/>
  <w15:docId w15:val="{CF82399B-6101-364A-BD62-E4E74160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CE0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0AE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E0AE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0AE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E0A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0A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0A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0A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AE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CE0AE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CE0AE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CE0AE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CE0AE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CE0AE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CE0AE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CE0AE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CE0AE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CE0A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AE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CE0A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AE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CE0A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0AE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CE0AE5"/>
    <w:pPr>
      <w:ind w:left="720"/>
      <w:contextualSpacing/>
    </w:pPr>
  </w:style>
  <w:style w:type="character" w:styleId="IntenseEmphasis">
    <w:name w:val="Intense Emphasis"/>
    <w:basedOn w:val="DefaultParagraphFont"/>
    <w:uiPriority w:val="21"/>
    <w:qFormat/>
    <w:rsid w:val="00CE0AE5"/>
    <w:rPr>
      <w:i/>
      <w:iCs/>
      <w:color w:val="2F5496" w:themeColor="accent1" w:themeShade="BF"/>
    </w:rPr>
  </w:style>
  <w:style w:type="paragraph" w:styleId="IntenseQuote">
    <w:name w:val="Intense Quote"/>
    <w:basedOn w:val="Normal"/>
    <w:next w:val="Normal"/>
    <w:link w:val="IntenseQuoteChar"/>
    <w:uiPriority w:val="30"/>
    <w:qFormat/>
    <w:rsid w:val="00CE0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AE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CE0AE5"/>
    <w:rPr>
      <w:b/>
      <w:bCs/>
      <w:smallCaps/>
      <w:color w:val="2F5496" w:themeColor="accent1" w:themeShade="BF"/>
      <w:spacing w:val="5"/>
    </w:rPr>
  </w:style>
  <w:style w:type="character" w:styleId="Strong">
    <w:name w:val="Strong"/>
    <w:basedOn w:val="DefaultParagraphFont"/>
    <w:uiPriority w:val="22"/>
    <w:qFormat/>
    <w:rsid w:val="00C97D3C"/>
    <w:rPr>
      <w:b/>
      <w:bCs/>
    </w:rPr>
  </w:style>
  <w:style w:type="character" w:styleId="Emphasis">
    <w:name w:val="Emphasis"/>
    <w:basedOn w:val="DefaultParagraphFont"/>
    <w:uiPriority w:val="20"/>
    <w:qFormat/>
    <w:rsid w:val="00C97D3C"/>
    <w:rPr>
      <w:i/>
      <w:iCs/>
    </w:rPr>
  </w:style>
  <w:style w:type="paragraph" w:styleId="NormalWeb">
    <w:name w:val="Normal (Web)"/>
    <w:basedOn w:val="Normal"/>
    <w:uiPriority w:val="99"/>
    <w:semiHidden/>
    <w:unhideWhenUsed/>
    <w:rsid w:val="00A94D4C"/>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510505">
      <w:bodyDiv w:val="1"/>
      <w:marLeft w:val="0"/>
      <w:marRight w:val="0"/>
      <w:marTop w:val="0"/>
      <w:marBottom w:val="0"/>
      <w:divBdr>
        <w:top w:val="none" w:sz="0" w:space="0" w:color="auto"/>
        <w:left w:val="none" w:sz="0" w:space="0" w:color="auto"/>
        <w:bottom w:val="none" w:sz="0" w:space="0" w:color="auto"/>
        <w:right w:val="none" w:sz="0" w:space="0" w:color="auto"/>
      </w:divBdr>
    </w:div>
    <w:div w:id="1005397012">
      <w:bodyDiv w:val="1"/>
      <w:marLeft w:val="0"/>
      <w:marRight w:val="0"/>
      <w:marTop w:val="0"/>
      <w:marBottom w:val="0"/>
      <w:divBdr>
        <w:top w:val="none" w:sz="0" w:space="0" w:color="auto"/>
        <w:left w:val="none" w:sz="0" w:space="0" w:color="auto"/>
        <w:bottom w:val="none" w:sz="0" w:space="0" w:color="auto"/>
        <w:right w:val="none" w:sz="0" w:space="0" w:color="auto"/>
      </w:divBdr>
    </w:div>
    <w:div w:id="1006055664">
      <w:bodyDiv w:val="1"/>
      <w:marLeft w:val="0"/>
      <w:marRight w:val="0"/>
      <w:marTop w:val="0"/>
      <w:marBottom w:val="0"/>
      <w:divBdr>
        <w:top w:val="none" w:sz="0" w:space="0" w:color="auto"/>
        <w:left w:val="none" w:sz="0" w:space="0" w:color="auto"/>
        <w:bottom w:val="none" w:sz="0" w:space="0" w:color="auto"/>
        <w:right w:val="none" w:sz="0" w:space="0" w:color="auto"/>
      </w:divBdr>
    </w:div>
    <w:div w:id="1439835068">
      <w:bodyDiv w:val="1"/>
      <w:marLeft w:val="0"/>
      <w:marRight w:val="0"/>
      <w:marTop w:val="0"/>
      <w:marBottom w:val="0"/>
      <w:divBdr>
        <w:top w:val="none" w:sz="0" w:space="0" w:color="auto"/>
        <w:left w:val="none" w:sz="0" w:space="0" w:color="auto"/>
        <w:bottom w:val="none" w:sz="0" w:space="0" w:color="auto"/>
        <w:right w:val="none" w:sz="0" w:space="0" w:color="auto"/>
      </w:divBdr>
    </w:div>
    <w:div w:id="1442846930">
      <w:bodyDiv w:val="1"/>
      <w:marLeft w:val="0"/>
      <w:marRight w:val="0"/>
      <w:marTop w:val="0"/>
      <w:marBottom w:val="0"/>
      <w:divBdr>
        <w:top w:val="none" w:sz="0" w:space="0" w:color="auto"/>
        <w:left w:val="none" w:sz="0" w:space="0" w:color="auto"/>
        <w:bottom w:val="none" w:sz="0" w:space="0" w:color="auto"/>
        <w:right w:val="none" w:sz="0" w:space="0" w:color="auto"/>
      </w:divBdr>
    </w:div>
    <w:div w:id="172058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3315</Words>
  <Characters>18901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2025-01-24T13:09:00Z</dcterms:created>
  <dcterms:modified xsi:type="dcterms:W3CDTF">2025-01-24T13:57:00Z</dcterms:modified>
</cp:coreProperties>
</file>