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528B6"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Introduction</w:t>
      </w:r>
    </w:p>
    <w:p w14:paraId="51C78916" w14:textId="77777777" w:rsidR="00AD6FBD" w:rsidRPr="00AD6FBD" w:rsidRDefault="00AD6FBD" w:rsidP="00AD6FBD">
      <w:pPr>
        <w:spacing w:before="100" w:beforeAutospacing="1" w:after="100" w:afterAutospacing="1" w:line="276" w:lineRule="auto"/>
        <w:rPr>
          <w:rFonts w:ascii="Times New Roman" w:hAnsi="Times New Roman"/>
          <w:b/>
          <w:bCs/>
          <w:lang w:val="en-HK"/>
        </w:rPr>
      </w:pPr>
      <w:r w:rsidRPr="00AD6FBD">
        <w:rPr>
          <w:rFonts w:ascii="Times New Roman" w:hAnsi="Times New Roman"/>
          <w:lang w:val="en-HK"/>
        </w:rPr>
        <w:t xml:space="preserve">The article explores the constitutional and governance implications of the </w:t>
      </w:r>
      <w:r w:rsidRPr="00AD6FBD">
        <w:rPr>
          <w:rFonts w:ascii="Times New Roman" w:hAnsi="Times New Roman"/>
          <w:b/>
          <w:bCs/>
          <w:lang w:val="en-HK"/>
        </w:rPr>
        <w:t>United Kingdom Internal Market Act 2020 (UKIM Act) following Brexit.</w:t>
      </w:r>
    </w:p>
    <w:p w14:paraId="6EE2E8F5" w14:textId="77777777" w:rsidR="00AD6FBD" w:rsidRPr="00AD6FBD" w:rsidRDefault="00AD6FBD" w:rsidP="00AD6FBD">
      <w:pPr>
        <w:spacing w:before="100" w:beforeAutospacing="1" w:after="100" w:afterAutospacing="1" w:line="276" w:lineRule="auto"/>
        <w:rPr>
          <w:rFonts w:ascii="Times New Roman" w:hAnsi="Times New Roman"/>
          <w:lang w:val="en-HK"/>
        </w:rPr>
      </w:pPr>
      <w:r w:rsidRPr="00AD6FBD">
        <w:rPr>
          <w:rFonts w:ascii="Times New Roman" w:hAnsi="Times New Roman"/>
          <w:lang w:val="en-HK"/>
        </w:rPr>
        <w:t>Two main claims are advanced:</w:t>
      </w:r>
    </w:p>
    <w:p w14:paraId="120FE249" w14:textId="77777777" w:rsidR="00AD6FBD" w:rsidRPr="00AD6FBD" w:rsidRDefault="00AD6FBD" w:rsidP="00AD6FBD">
      <w:pPr>
        <w:numPr>
          <w:ilvl w:val="1"/>
          <w:numId w:val="1"/>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The UKIM Act</w:t>
      </w:r>
      <w:r w:rsidRPr="00AD6FBD">
        <w:rPr>
          <w:rFonts w:ascii="Times New Roman" w:hAnsi="Times New Roman"/>
          <w:lang w:val="en-HK"/>
        </w:rPr>
        <w:t xml:space="preserve"> represents a strategy to "de-constitutionalise" the governance of the internal market by replacing EU judicial authority with UK legislative authority.</w:t>
      </w:r>
    </w:p>
    <w:p w14:paraId="0668D7ED" w14:textId="77777777" w:rsidR="00AD6FBD" w:rsidRPr="00AD6FBD" w:rsidRDefault="00AD6FBD" w:rsidP="00AD6FBD">
      <w:pPr>
        <w:numPr>
          <w:ilvl w:val="1"/>
          <w:numId w:val="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introduces "economic unionism," which disrupts "collaborative unionism" within the UK's territorial constitution.</w:t>
      </w:r>
    </w:p>
    <w:p w14:paraId="7F30448F"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6D3AE2A1">
          <v:rect id="_x0000_i1049" alt="" style="width:451.3pt;height:.05pt;mso-width-percent:0;mso-height-percent:0;mso-width-percent:0;mso-height-percent:0" o:hralign="center" o:hrstd="t" o:hr="t" fillcolor="#a0a0a0" stroked="f"/>
        </w:pict>
      </w:r>
    </w:p>
    <w:p w14:paraId="0BC97364" w14:textId="77777777" w:rsidR="00AD6FBD" w:rsidRPr="00AD6FBD" w:rsidRDefault="00AD6FBD" w:rsidP="00AD6FBD">
      <w:pPr>
        <w:spacing w:before="100" w:beforeAutospacing="1" w:after="100" w:afterAutospacing="1" w:line="276" w:lineRule="auto"/>
        <w:outlineLvl w:val="2"/>
        <w:rPr>
          <w:rFonts w:ascii="Times New Roman" w:hAnsi="Times New Roman"/>
          <w:b/>
          <w:bCs/>
          <w:lang w:val="en-HK"/>
        </w:rPr>
      </w:pPr>
      <w:r w:rsidRPr="00AD6FBD">
        <w:rPr>
          <w:rFonts w:ascii="Times New Roman" w:hAnsi="Times New Roman"/>
          <w:b/>
          <w:bCs/>
          <w:lang w:val="en-HK"/>
        </w:rPr>
        <w:t>Section 1: Governance of the EU Internal Market</w:t>
      </w:r>
    </w:p>
    <w:p w14:paraId="4A5C7C93"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Judicial Governance and the European Economic Constitution</w:t>
      </w:r>
    </w:p>
    <w:p w14:paraId="5923E48C" w14:textId="77777777" w:rsidR="00AD6FBD" w:rsidRPr="00AD6FBD" w:rsidRDefault="00AD6FBD" w:rsidP="00AD6FBD">
      <w:pPr>
        <w:numPr>
          <w:ilvl w:val="0"/>
          <w:numId w:val="2"/>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The Foundations of EU Economic Governance</w:t>
      </w:r>
    </w:p>
    <w:p w14:paraId="5103C432" w14:textId="77777777" w:rsidR="00AD6FBD" w:rsidRPr="00AD6FBD" w:rsidRDefault="00AD6FBD" w:rsidP="00AD6FBD">
      <w:pPr>
        <w:numPr>
          <w:ilvl w:val="1"/>
          <w:numId w:val="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EU internal market was conceived as a "Common Market" under the Treaty of Rome, embodying ordo-liberal principles of creating a competitive market free of national barriers.</w:t>
      </w:r>
    </w:p>
    <w:p w14:paraId="188A9D3D" w14:textId="77777777" w:rsidR="00AD6FBD" w:rsidRPr="00AD6FBD" w:rsidRDefault="00AD6FBD" w:rsidP="00AD6FBD">
      <w:pPr>
        <w:numPr>
          <w:ilvl w:val="1"/>
          <w:numId w:val="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Key legal principles such as </w:t>
      </w:r>
      <w:r w:rsidRPr="00AD6FBD">
        <w:rPr>
          <w:rFonts w:ascii="Times New Roman" w:hAnsi="Times New Roman"/>
          <w:i/>
          <w:iCs/>
          <w:lang w:val="en-HK"/>
        </w:rPr>
        <w:t>direct effect</w:t>
      </w:r>
      <w:r w:rsidRPr="00AD6FBD">
        <w:rPr>
          <w:rFonts w:ascii="Times New Roman" w:hAnsi="Times New Roman"/>
          <w:lang w:val="en-HK"/>
        </w:rPr>
        <w:t xml:space="preserve"> and </w:t>
      </w:r>
      <w:r w:rsidRPr="00AD6FBD">
        <w:rPr>
          <w:rFonts w:ascii="Times New Roman" w:hAnsi="Times New Roman"/>
          <w:i/>
          <w:iCs/>
          <w:lang w:val="en-HK"/>
        </w:rPr>
        <w:t>primacy</w:t>
      </w:r>
      <w:r w:rsidRPr="00AD6FBD">
        <w:rPr>
          <w:rFonts w:ascii="Times New Roman" w:hAnsi="Times New Roman"/>
          <w:lang w:val="en-HK"/>
        </w:rPr>
        <w:t xml:space="preserve"> emerged under the Court of Justice of the European Union (CJEU). These principles gave EU law supremacy over conflicting national laws and allowed private parties to enforce EU rights within domestic courts.</w:t>
      </w:r>
    </w:p>
    <w:p w14:paraId="18BEF64B"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Statutory Foundation</w:t>
      </w:r>
      <w:r w:rsidRPr="00AD6FBD">
        <w:rPr>
          <w:rFonts w:ascii="Times New Roman" w:hAnsi="Times New Roman"/>
          <w:lang w:val="en-HK"/>
        </w:rPr>
        <w:t>:</w:t>
      </w:r>
    </w:p>
    <w:p w14:paraId="70FB5982" w14:textId="77777777" w:rsidR="00AD6FBD" w:rsidRPr="00AD6FBD" w:rsidRDefault="00AD6FBD" w:rsidP="00AD6FBD">
      <w:pPr>
        <w:numPr>
          <w:ilvl w:val="1"/>
          <w:numId w:val="2"/>
        </w:numPr>
        <w:spacing w:before="100" w:beforeAutospacing="1" w:after="100" w:afterAutospacing="1" w:line="276" w:lineRule="auto"/>
        <w:rPr>
          <w:rFonts w:ascii="Times New Roman" w:hAnsi="Times New Roman"/>
          <w:lang w:val="en-HK"/>
        </w:rPr>
      </w:pPr>
      <w:r w:rsidRPr="00AD6FBD">
        <w:rPr>
          <w:rFonts w:ascii="Times New Roman" w:hAnsi="Times New Roman"/>
          <w:i/>
          <w:iCs/>
          <w:lang w:val="en-HK"/>
        </w:rPr>
        <w:t>Treaty of Rome, Article 30 EEC</w:t>
      </w:r>
      <w:r w:rsidRPr="00AD6FBD">
        <w:rPr>
          <w:rFonts w:ascii="Times New Roman" w:hAnsi="Times New Roman"/>
          <w:lang w:val="en-HK"/>
        </w:rPr>
        <w:t xml:space="preserve"> (now Article 34 TFEU): "Quantitative restrictions on imports and all measures having equivalent effect shall be prohibited between Member States."</w:t>
      </w:r>
    </w:p>
    <w:p w14:paraId="75A5CE41" w14:textId="77777777" w:rsidR="00AD6FBD" w:rsidRPr="00AD6FBD" w:rsidRDefault="00AD6FBD" w:rsidP="00AD6FBD">
      <w:pPr>
        <w:numPr>
          <w:ilvl w:val="2"/>
          <w:numId w:val="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provision became the cornerstone of free movement of goods, ensuring non-discrimination and prohibiting trade barriers.</w:t>
      </w:r>
    </w:p>
    <w:p w14:paraId="74E68161"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Judicial Interpretation</w:t>
      </w:r>
      <w:r w:rsidRPr="00AD6FBD">
        <w:rPr>
          <w:rFonts w:ascii="Times New Roman" w:hAnsi="Times New Roman"/>
          <w:lang w:val="en-HK"/>
        </w:rPr>
        <w:t>:</w:t>
      </w:r>
    </w:p>
    <w:p w14:paraId="49FE6A7D" w14:textId="77777777" w:rsidR="00AD6FBD" w:rsidRPr="00AD6FBD" w:rsidRDefault="00AD6FBD" w:rsidP="00AD6FBD">
      <w:pPr>
        <w:numPr>
          <w:ilvl w:val="1"/>
          <w:numId w:val="2"/>
        </w:numPr>
        <w:spacing w:before="100" w:beforeAutospacing="1" w:after="100" w:afterAutospacing="1" w:line="276" w:lineRule="auto"/>
        <w:rPr>
          <w:rFonts w:ascii="Times New Roman" w:hAnsi="Times New Roman"/>
          <w:lang w:val="en-HK"/>
        </w:rPr>
      </w:pPr>
      <w:r w:rsidRPr="00AD6FBD">
        <w:rPr>
          <w:rFonts w:ascii="Times New Roman" w:hAnsi="Times New Roman"/>
          <w:i/>
          <w:iCs/>
          <w:lang w:val="en-HK"/>
        </w:rPr>
        <w:t xml:space="preserve">Case 26/62 Van </w:t>
      </w:r>
      <w:proofErr w:type="spellStart"/>
      <w:r w:rsidRPr="00AD6FBD">
        <w:rPr>
          <w:rFonts w:ascii="Times New Roman" w:hAnsi="Times New Roman"/>
          <w:i/>
          <w:iCs/>
          <w:lang w:val="en-HK"/>
        </w:rPr>
        <w:t>Gend</w:t>
      </w:r>
      <w:proofErr w:type="spellEnd"/>
      <w:r w:rsidRPr="00AD6FBD">
        <w:rPr>
          <w:rFonts w:ascii="Times New Roman" w:hAnsi="Times New Roman"/>
          <w:i/>
          <w:iCs/>
          <w:lang w:val="en-HK"/>
        </w:rPr>
        <w:t xml:space="preserve"> </w:t>
      </w:r>
      <w:proofErr w:type="spellStart"/>
      <w:r w:rsidRPr="00AD6FBD">
        <w:rPr>
          <w:rFonts w:ascii="Times New Roman" w:hAnsi="Times New Roman"/>
          <w:i/>
          <w:iCs/>
          <w:lang w:val="en-HK"/>
        </w:rPr>
        <w:t>en</w:t>
      </w:r>
      <w:proofErr w:type="spellEnd"/>
      <w:r w:rsidRPr="00AD6FBD">
        <w:rPr>
          <w:rFonts w:ascii="Times New Roman" w:hAnsi="Times New Roman"/>
          <w:i/>
          <w:iCs/>
          <w:lang w:val="en-HK"/>
        </w:rPr>
        <w:t xml:space="preserve"> Loos</w:t>
      </w:r>
      <w:r w:rsidRPr="00AD6FBD">
        <w:rPr>
          <w:rFonts w:ascii="Times New Roman" w:hAnsi="Times New Roman"/>
          <w:lang w:val="en-HK"/>
        </w:rPr>
        <w:t xml:space="preserve"> [1963]: The CJEU held that EU law has </w:t>
      </w:r>
      <w:r w:rsidRPr="00AD6FBD">
        <w:rPr>
          <w:rFonts w:ascii="Times New Roman" w:hAnsi="Times New Roman"/>
          <w:i/>
          <w:iCs/>
          <w:lang w:val="en-HK"/>
        </w:rPr>
        <w:t>direct effect</w:t>
      </w:r>
      <w:r w:rsidRPr="00AD6FBD">
        <w:rPr>
          <w:rFonts w:ascii="Times New Roman" w:hAnsi="Times New Roman"/>
          <w:lang w:val="en-HK"/>
        </w:rPr>
        <w:t>, allowing individuals to rely on EU provisions in national courts.</w:t>
      </w:r>
    </w:p>
    <w:p w14:paraId="404807D0" w14:textId="77777777" w:rsidR="00AD6FBD" w:rsidRPr="00AD6FBD" w:rsidRDefault="00AD6FBD" w:rsidP="00AD6FBD">
      <w:pPr>
        <w:numPr>
          <w:ilvl w:val="1"/>
          <w:numId w:val="2"/>
        </w:numPr>
        <w:spacing w:before="100" w:beforeAutospacing="1" w:after="100" w:afterAutospacing="1" w:line="276" w:lineRule="auto"/>
        <w:rPr>
          <w:rFonts w:ascii="Times New Roman" w:hAnsi="Times New Roman"/>
          <w:lang w:val="en-HK"/>
        </w:rPr>
      </w:pPr>
      <w:r w:rsidRPr="00AD6FBD">
        <w:rPr>
          <w:rFonts w:ascii="Times New Roman" w:hAnsi="Times New Roman"/>
          <w:i/>
          <w:iCs/>
          <w:lang w:val="en-HK"/>
        </w:rPr>
        <w:t>Case 6/64 Costa v ENEL</w:t>
      </w:r>
      <w:r w:rsidRPr="00AD6FBD">
        <w:rPr>
          <w:rFonts w:ascii="Times New Roman" w:hAnsi="Times New Roman"/>
          <w:lang w:val="en-HK"/>
        </w:rPr>
        <w:t xml:space="preserve"> [1964]: Established the principle of </w:t>
      </w:r>
      <w:r w:rsidRPr="00AD6FBD">
        <w:rPr>
          <w:rFonts w:ascii="Times New Roman" w:hAnsi="Times New Roman"/>
          <w:i/>
          <w:iCs/>
          <w:lang w:val="en-HK"/>
        </w:rPr>
        <w:t>primacy</w:t>
      </w:r>
      <w:r w:rsidRPr="00AD6FBD">
        <w:rPr>
          <w:rFonts w:ascii="Times New Roman" w:hAnsi="Times New Roman"/>
          <w:lang w:val="en-HK"/>
        </w:rPr>
        <w:t>, affirming that EU law prevails over conflicting national laws.</w:t>
      </w:r>
    </w:p>
    <w:p w14:paraId="26609E91"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Opinion</w:t>
      </w:r>
      <w:r w:rsidRPr="00AD6FBD">
        <w:rPr>
          <w:rFonts w:ascii="Times New Roman" w:hAnsi="Times New Roman"/>
          <w:lang w:val="en-HK"/>
        </w:rPr>
        <w:t>:</w:t>
      </w:r>
    </w:p>
    <w:p w14:paraId="63AFD8A5" w14:textId="77777777" w:rsidR="00AD6FBD" w:rsidRPr="00AD6FBD" w:rsidRDefault="00AD6FBD" w:rsidP="00AD6FBD">
      <w:pPr>
        <w:numPr>
          <w:ilvl w:val="1"/>
          <w:numId w:val="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De Witte (</w:t>
      </w:r>
      <w:r w:rsidRPr="00AD6FBD">
        <w:rPr>
          <w:rFonts w:ascii="Times New Roman" w:hAnsi="Times New Roman"/>
          <w:i/>
          <w:iCs/>
          <w:lang w:val="en-HK"/>
        </w:rPr>
        <w:t>The Evolution of EU Law</w:t>
      </w:r>
      <w:r w:rsidRPr="00AD6FBD">
        <w:rPr>
          <w:rFonts w:ascii="Times New Roman" w:hAnsi="Times New Roman"/>
          <w:lang w:val="en-HK"/>
        </w:rPr>
        <w:t>, 2021): “Direct effect and primacy are the dual pillars of the EU’s legal architecture, transforming economic rules into enforceable legal commitments.”</w:t>
      </w:r>
    </w:p>
    <w:p w14:paraId="6C172614" w14:textId="77777777" w:rsidR="00AD6FBD" w:rsidRPr="00AD6FBD" w:rsidRDefault="00AD6FBD" w:rsidP="00AD6FBD">
      <w:pPr>
        <w:numPr>
          <w:ilvl w:val="1"/>
          <w:numId w:val="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Maduro (</w:t>
      </w:r>
      <w:r w:rsidRPr="00AD6FBD">
        <w:rPr>
          <w:rFonts w:ascii="Times New Roman" w:hAnsi="Times New Roman"/>
          <w:i/>
          <w:iCs/>
          <w:lang w:val="en-HK"/>
        </w:rPr>
        <w:t>We, the Court</w:t>
      </w:r>
      <w:r w:rsidRPr="00AD6FBD">
        <w:rPr>
          <w:rFonts w:ascii="Times New Roman" w:hAnsi="Times New Roman"/>
          <w:lang w:val="en-HK"/>
        </w:rPr>
        <w:t>, 1998): “The significance of Article 30 EEC lies in its brevity but profound reach, encapsulating the essence of market integration in sixteen words.”</w:t>
      </w:r>
    </w:p>
    <w:p w14:paraId="4F1CBBEF"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04C43152">
          <v:rect id="_x0000_i1048" alt="" style="width:451.3pt;height:.05pt;mso-width-percent:0;mso-height-percent:0;mso-width-percent:0;mso-height-percent:0" o:hralign="center" o:hrstd="t" o:hr="t" fillcolor="#a0a0a0" stroked="f"/>
        </w:pict>
      </w:r>
    </w:p>
    <w:p w14:paraId="1C62A49B" w14:textId="77777777" w:rsidR="00AD6FBD" w:rsidRPr="00AD6FBD" w:rsidRDefault="00AD6FBD" w:rsidP="00AD6FBD">
      <w:pPr>
        <w:numPr>
          <w:ilvl w:val="0"/>
          <w:numId w:val="3"/>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CJEU’s Expansion of Free Movement Principles</w:t>
      </w:r>
    </w:p>
    <w:p w14:paraId="0F518D8D" w14:textId="77777777" w:rsidR="00AD6FBD" w:rsidRPr="00AD6FBD" w:rsidRDefault="00AD6FBD" w:rsidP="00AD6FBD">
      <w:pPr>
        <w:numPr>
          <w:ilvl w:val="1"/>
          <w:numId w:val="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CJEU extended the scope of free movement principles beyond tariff barriers to regulatory measures, reshaping Member States’ autonomy in market regulation.</w:t>
      </w:r>
    </w:p>
    <w:p w14:paraId="46B01963" w14:textId="77777777" w:rsidR="00AD6FBD" w:rsidRPr="00AD6FBD" w:rsidRDefault="00AD6FBD" w:rsidP="00AD6FBD">
      <w:pPr>
        <w:numPr>
          <w:ilvl w:val="1"/>
          <w:numId w:val="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In </w:t>
      </w:r>
      <w:proofErr w:type="spellStart"/>
      <w:r w:rsidRPr="00AD6FBD">
        <w:rPr>
          <w:rFonts w:ascii="Times New Roman" w:hAnsi="Times New Roman"/>
          <w:i/>
          <w:iCs/>
          <w:lang w:val="en-HK"/>
        </w:rPr>
        <w:t>Rewe-Zentral</w:t>
      </w:r>
      <w:proofErr w:type="spellEnd"/>
      <w:r w:rsidRPr="00AD6FBD">
        <w:rPr>
          <w:rFonts w:ascii="Times New Roman" w:hAnsi="Times New Roman"/>
          <w:i/>
          <w:iCs/>
          <w:lang w:val="en-HK"/>
        </w:rPr>
        <w:t xml:space="preserve"> AG v </w:t>
      </w:r>
      <w:proofErr w:type="spellStart"/>
      <w:r w:rsidRPr="00AD6FBD">
        <w:rPr>
          <w:rFonts w:ascii="Times New Roman" w:hAnsi="Times New Roman"/>
          <w:i/>
          <w:iCs/>
          <w:lang w:val="en-HK"/>
        </w:rPr>
        <w:t>Bundesmonopolverwaltung</w:t>
      </w:r>
      <w:proofErr w:type="spellEnd"/>
      <w:r w:rsidRPr="00AD6FBD">
        <w:rPr>
          <w:rFonts w:ascii="Times New Roman" w:hAnsi="Times New Roman"/>
          <w:i/>
          <w:iCs/>
          <w:lang w:val="en-HK"/>
        </w:rPr>
        <w:t xml:space="preserve"> für </w:t>
      </w:r>
      <w:proofErr w:type="spellStart"/>
      <w:r w:rsidRPr="00AD6FBD">
        <w:rPr>
          <w:rFonts w:ascii="Times New Roman" w:hAnsi="Times New Roman"/>
          <w:i/>
          <w:iCs/>
          <w:lang w:val="en-HK"/>
        </w:rPr>
        <w:t>Branntwein</w:t>
      </w:r>
      <w:proofErr w:type="spellEnd"/>
      <w:r w:rsidRPr="00AD6FBD">
        <w:rPr>
          <w:rFonts w:ascii="Times New Roman" w:hAnsi="Times New Roman"/>
          <w:lang w:val="en-HK"/>
        </w:rPr>
        <w:t xml:space="preserve"> (</w:t>
      </w:r>
      <w:r w:rsidRPr="00AD6FBD">
        <w:rPr>
          <w:rFonts w:ascii="Times New Roman" w:hAnsi="Times New Roman"/>
          <w:i/>
          <w:iCs/>
          <w:lang w:val="en-HK"/>
        </w:rPr>
        <w:t>Cassis de Dijon</w:t>
      </w:r>
      <w:r w:rsidRPr="00AD6FBD">
        <w:rPr>
          <w:rFonts w:ascii="Times New Roman" w:hAnsi="Times New Roman"/>
          <w:lang w:val="en-HK"/>
        </w:rPr>
        <w:t>, Case C-120/78), the Court ruled that:</w:t>
      </w:r>
    </w:p>
    <w:p w14:paraId="6CCAC986" w14:textId="77777777" w:rsidR="00AD6FBD" w:rsidRPr="00AD6FBD" w:rsidRDefault="00AD6FBD" w:rsidP="00AD6FBD">
      <w:pPr>
        <w:numPr>
          <w:ilvl w:val="2"/>
          <w:numId w:val="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Products lawfully manufactured and marketed in one Member State must be allowed into another unless justified by mandatory requirements.</w:t>
      </w:r>
    </w:p>
    <w:p w14:paraId="3AA1FC5C" w14:textId="77777777" w:rsidR="00AD6FBD" w:rsidRPr="00AD6FBD" w:rsidRDefault="00AD6FBD" w:rsidP="00AD6FBD">
      <w:pPr>
        <w:numPr>
          <w:ilvl w:val="2"/>
          <w:numId w:val="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Introduced the principle of </w:t>
      </w:r>
      <w:r w:rsidRPr="00AD6FBD">
        <w:rPr>
          <w:rFonts w:ascii="Times New Roman" w:hAnsi="Times New Roman"/>
          <w:i/>
          <w:iCs/>
          <w:lang w:val="en-HK"/>
        </w:rPr>
        <w:t>mutual recognition</w:t>
      </w:r>
      <w:r w:rsidRPr="00AD6FBD">
        <w:rPr>
          <w:rFonts w:ascii="Times New Roman" w:hAnsi="Times New Roman"/>
          <w:lang w:val="en-HK"/>
        </w:rPr>
        <w:t xml:space="preserve"> and established proportionality as the benchmark for assessing national regulations.</w:t>
      </w:r>
    </w:p>
    <w:p w14:paraId="735B37CD"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Case Details</w:t>
      </w:r>
      <w:r w:rsidRPr="00AD6FBD">
        <w:rPr>
          <w:rFonts w:ascii="Times New Roman" w:hAnsi="Times New Roman"/>
          <w:lang w:val="en-HK"/>
        </w:rPr>
        <w:t>:</w:t>
      </w:r>
    </w:p>
    <w:p w14:paraId="0D78A046" w14:textId="77777777" w:rsidR="00AD6FBD" w:rsidRPr="00AD6FBD" w:rsidRDefault="00AD6FBD" w:rsidP="00AD6FBD">
      <w:pPr>
        <w:numPr>
          <w:ilvl w:val="1"/>
          <w:numId w:val="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Facts: Germany restricted the sale of French liqueur based on minimum alcohol content rules.</w:t>
      </w:r>
    </w:p>
    <w:p w14:paraId="67A94703" w14:textId="77777777" w:rsidR="00AD6FBD" w:rsidRPr="00AD6FBD" w:rsidRDefault="00AD6FBD" w:rsidP="00AD6FBD">
      <w:pPr>
        <w:numPr>
          <w:ilvl w:val="1"/>
          <w:numId w:val="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Judgment: The CJEU struck down the restriction, holding that it violated Article 34 TFEU as it unjustifiably restricted market access.</w:t>
      </w:r>
    </w:p>
    <w:p w14:paraId="64163706" w14:textId="77777777" w:rsidR="00AD6FBD" w:rsidRPr="00AD6FBD" w:rsidRDefault="00AD6FBD" w:rsidP="00AD6FBD">
      <w:pPr>
        <w:numPr>
          <w:ilvl w:val="1"/>
          <w:numId w:val="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Proportionality Test: National rules must be necessary and proportionate to achieve legitimate public policy objectives (e.g., public health).</w:t>
      </w:r>
    </w:p>
    <w:p w14:paraId="4349C176"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Commentary</w:t>
      </w:r>
      <w:r w:rsidRPr="00AD6FBD">
        <w:rPr>
          <w:rFonts w:ascii="Times New Roman" w:hAnsi="Times New Roman"/>
          <w:lang w:val="en-HK"/>
        </w:rPr>
        <w:t>:</w:t>
      </w:r>
    </w:p>
    <w:p w14:paraId="7F8FB55D" w14:textId="77777777" w:rsidR="00AD6FBD" w:rsidRPr="00AD6FBD" w:rsidRDefault="00AD6FBD" w:rsidP="00AD6FBD">
      <w:pPr>
        <w:numPr>
          <w:ilvl w:val="1"/>
          <w:numId w:val="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Floris de Witte (</w:t>
      </w:r>
      <w:r w:rsidRPr="00AD6FBD">
        <w:rPr>
          <w:rFonts w:ascii="Times New Roman" w:hAnsi="Times New Roman"/>
          <w:i/>
          <w:iCs/>
          <w:lang w:val="en-HK"/>
        </w:rPr>
        <w:t>European Law Review</w:t>
      </w:r>
      <w:r w:rsidRPr="00AD6FBD">
        <w:rPr>
          <w:rFonts w:ascii="Times New Roman" w:hAnsi="Times New Roman"/>
          <w:lang w:val="en-HK"/>
        </w:rPr>
        <w:t>, 2017): “The proportionality principle embodies the balancing act between market integration and national regulatory autonomy.”</w:t>
      </w:r>
    </w:p>
    <w:p w14:paraId="472DA766" w14:textId="77777777" w:rsidR="00AD6FBD" w:rsidRPr="00AD6FBD" w:rsidRDefault="00AD6FBD" w:rsidP="00AD6FBD">
      <w:pPr>
        <w:numPr>
          <w:ilvl w:val="1"/>
          <w:numId w:val="3"/>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lang w:val="en-HK"/>
        </w:rPr>
        <w:t>Streit</w:t>
      </w:r>
      <w:proofErr w:type="spellEnd"/>
      <w:r w:rsidRPr="00AD6FBD">
        <w:rPr>
          <w:rFonts w:ascii="Times New Roman" w:hAnsi="Times New Roman"/>
          <w:lang w:val="en-HK"/>
        </w:rPr>
        <w:t xml:space="preserve"> and </w:t>
      </w:r>
      <w:proofErr w:type="spellStart"/>
      <w:r w:rsidRPr="00AD6FBD">
        <w:rPr>
          <w:rFonts w:ascii="Times New Roman" w:hAnsi="Times New Roman"/>
          <w:lang w:val="en-HK"/>
        </w:rPr>
        <w:t>Mussler</w:t>
      </w:r>
      <w:proofErr w:type="spellEnd"/>
      <w:r w:rsidRPr="00AD6FBD">
        <w:rPr>
          <w:rFonts w:ascii="Times New Roman" w:hAnsi="Times New Roman"/>
          <w:lang w:val="en-HK"/>
        </w:rPr>
        <w:t xml:space="preserve"> (</w:t>
      </w:r>
      <w:r w:rsidRPr="00AD6FBD">
        <w:rPr>
          <w:rFonts w:ascii="Times New Roman" w:hAnsi="Times New Roman"/>
          <w:i/>
          <w:iCs/>
          <w:lang w:val="en-HK"/>
        </w:rPr>
        <w:t>European Law Journal</w:t>
      </w:r>
      <w:r w:rsidRPr="00AD6FBD">
        <w:rPr>
          <w:rFonts w:ascii="Times New Roman" w:hAnsi="Times New Roman"/>
          <w:lang w:val="en-HK"/>
        </w:rPr>
        <w:t>, 1995): “Cassis de Dijon transformed the internal market by ensuring that regulatory disparities do not fragment trade.”</w:t>
      </w:r>
    </w:p>
    <w:p w14:paraId="3D7BBC36"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75A4C88A">
          <v:rect id="_x0000_i1047" alt="" style="width:451.3pt;height:.05pt;mso-width-percent:0;mso-height-percent:0;mso-width-percent:0;mso-height-percent:0" o:hralign="center" o:hrstd="t" o:hr="t" fillcolor="#a0a0a0" stroked="f"/>
        </w:pict>
      </w:r>
    </w:p>
    <w:p w14:paraId="4EF03A62" w14:textId="77777777" w:rsidR="00AD6FBD" w:rsidRPr="00AD6FBD" w:rsidRDefault="00AD6FBD" w:rsidP="00AD6FBD">
      <w:pPr>
        <w:numPr>
          <w:ilvl w:val="0"/>
          <w:numId w:val="4"/>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Balancing Market Access with Regulatory Autonomy</w:t>
      </w:r>
    </w:p>
    <w:p w14:paraId="70FCA87A" w14:textId="77777777" w:rsidR="00AD6FBD" w:rsidRPr="00AD6FBD" w:rsidRDefault="00AD6FBD" w:rsidP="00AD6FBD">
      <w:pPr>
        <w:numPr>
          <w:ilvl w:val="1"/>
          <w:numId w:val="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CJEU developed nuanced doctrines to balance market integration and Member State sovereignty:</w:t>
      </w:r>
    </w:p>
    <w:p w14:paraId="27D83939" w14:textId="77777777" w:rsidR="00AD6FBD" w:rsidRPr="00AD6FBD" w:rsidRDefault="00AD6FBD" w:rsidP="00AD6FBD">
      <w:pPr>
        <w:numPr>
          <w:ilvl w:val="2"/>
          <w:numId w:val="4"/>
        </w:numPr>
        <w:spacing w:before="100" w:beforeAutospacing="1" w:after="100" w:afterAutospacing="1" w:line="276" w:lineRule="auto"/>
        <w:rPr>
          <w:rFonts w:ascii="Times New Roman" w:hAnsi="Times New Roman"/>
          <w:lang w:val="en-HK"/>
        </w:rPr>
      </w:pPr>
      <w:r w:rsidRPr="00AD6FBD">
        <w:rPr>
          <w:rFonts w:ascii="Times New Roman" w:hAnsi="Times New Roman"/>
          <w:i/>
          <w:iCs/>
          <w:lang w:val="en-HK"/>
        </w:rPr>
        <w:lastRenderedPageBreak/>
        <w:t xml:space="preserve">Keck and </w:t>
      </w:r>
      <w:proofErr w:type="spellStart"/>
      <w:r w:rsidRPr="00AD6FBD">
        <w:rPr>
          <w:rFonts w:ascii="Times New Roman" w:hAnsi="Times New Roman"/>
          <w:i/>
          <w:iCs/>
          <w:lang w:val="en-HK"/>
        </w:rPr>
        <w:t>Mithouard</w:t>
      </w:r>
      <w:proofErr w:type="spellEnd"/>
      <w:r w:rsidRPr="00AD6FBD">
        <w:rPr>
          <w:rFonts w:ascii="Times New Roman" w:hAnsi="Times New Roman"/>
          <w:lang w:val="en-HK"/>
        </w:rPr>
        <w:t xml:space="preserve"> (Cases C-267/91 and C-268/91): The Court distinguished between product-related regulations (subject to Article 34 TFEU) and "selling arrangements," which fall outside its scope if applied non-discriminatorily.</w:t>
      </w:r>
    </w:p>
    <w:p w14:paraId="2D17FE93" w14:textId="77777777" w:rsidR="00AD6FBD" w:rsidRPr="00AD6FBD" w:rsidRDefault="00AD6FBD" w:rsidP="00AD6FBD">
      <w:pPr>
        <w:numPr>
          <w:ilvl w:val="2"/>
          <w:numId w:val="4"/>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i/>
          <w:iCs/>
          <w:lang w:val="en-HK"/>
        </w:rPr>
        <w:t>Mickelsson</w:t>
      </w:r>
      <w:proofErr w:type="spellEnd"/>
      <w:r w:rsidRPr="00AD6FBD">
        <w:rPr>
          <w:rFonts w:ascii="Times New Roman" w:hAnsi="Times New Roman"/>
          <w:i/>
          <w:iCs/>
          <w:lang w:val="en-HK"/>
        </w:rPr>
        <w:t xml:space="preserve"> and </w:t>
      </w:r>
      <w:proofErr w:type="spellStart"/>
      <w:r w:rsidRPr="00AD6FBD">
        <w:rPr>
          <w:rFonts w:ascii="Times New Roman" w:hAnsi="Times New Roman"/>
          <w:i/>
          <w:iCs/>
          <w:lang w:val="en-HK"/>
        </w:rPr>
        <w:t>Roos</w:t>
      </w:r>
      <w:proofErr w:type="spellEnd"/>
      <w:r w:rsidRPr="00AD6FBD">
        <w:rPr>
          <w:rFonts w:ascii="Times New Roman" w:hAnsi="Times New Roman"/>
          <w:lang w:val="en-HK"/>
        </w:rPr>
        <w:t xml:space="preserve"> (Case C-142/05): Expanded Article 34 TFEU to include any measure that creates a market access barrier, even if not discriminatory.</w:t>
      </w:r>
    </w:p>
    <w:p w14:paraId="0C8E1018"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Critique</w:t>
      </w:r>
      <w:r w:rsidRPr="00AD6FBD">
        <w:rPr>
          <w:rFonts w:ascii="Times New Roman" w:hAnsi="Times New Roman"/>
          <w:lang w:val="en-HK"/>
        </w:rPr>
        <w:t>:</w:t>
      </w:r>
    </w:p>
    <w:p w14:paraId="410C0F28" w14:textId="77777777" w:rsidR="00AD6FBD" w:rsidRPr="00AD6FBD" w:rsidRDefault="00AD6FBD" w:rsidP="00AD6FBD">
      <w:pPr>
        <w:numPr>
          <w:ilvl w:val="1"/>
          <w:numId w:val="4"/>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lang w:val="en-HK"/>
        </w:rPr>
        <w:t>Weatherill</w:t>
      </w:r>
      <w:proofErr w:type="spellEnd"/>
      <w:r w:rsidRPr="00AD6FBD">
        <w:rPr>
          <w:rFonts w:ascii="Times New Roman" w:hAnsi="Times New Roman"/>
          <w:lang w:val="en-HK"/>
        </w:rPr>
        <w:t xml:space="preserve"> (</w:t>
      </w:r>
      <w:r w:rsidRPr="00AD6FBD">
        <w:rPr>
          <w:rFonts w:ascii="Times New Roman" w:hAnsi="Times New Roman"/>
          <w:i/>
          <w:iCs/>
          <w:lang w:val="en-HK"/>
        </w:rPr>
        <w:t>The Internal Market as a Legal Concept</w:t>
      </w:r>
      <w:r w:rsidRPr="00AD6FBD">
        <w:rPr>
          <w:rFonts w:ascii="Times New Roman" w:hAnsi="Times New Roman"/>
          <w:lang w:val="en-HK"/>
        </w:rPr>
        <w:t>, 2017): “The Keck judgment was an attempt to preserve regulatory diversity, but its application has been inconsistent.”</w:t>
      </w:r>
    </w:p>
    <w:p w14:paraId="06AE5258" w14:textId="77777777" w:rsidR="00AD6FBD" w:rsidRPr="00AD6FBD" w:rsidRDefault="00AD6FBD" w:rsidP="00AD6FBD">
      <w:pPr>
        <w:numPr>
          <w:ilvl w:val="1"/>
          <w:numId w:val="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Governing Goods: Content and Context</w:t>
      </w:r>
      <w:r w:rsidRPr="00AD6FBD">
        <w:rPr>
          <w:rFonts w:ascii="Times New Roman" w:hAnsi="Times New Roman"/>
          <w:lang w:val="en-HK"/>
        </w:rPr>
        <w:t>, 2015): “EU law’s market access doctrine reflects a dynamic tension between centralizing market-making and decentralizing regulatory autonomy.”</w:t>
      </w:r>
    </w:p>
    <w:p w14:paraId="6899A127"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4DAE4759">
          <v:rect id="_x0000_i1046" alt="" style="width:451.3pt;height:.05pt;mso-width-percent:0;mso-height-percent:0;mso-width-percent:0;mso-height-percent:0" o:hralign="center" o:hrstd="t" o:hr="t" fillcolor="#a0a0a0" stroked="f"/>
        </w:pict>
      </w:r>
    </w:p>
    <w:p w14:paraId="68C8554B" w14:textId="77777777" w:rsidR="00AD6FBD" w:rsidRPr="00AD6FBD" w:rsidRDefault="00AD6FBD" w:rsidP="00AD6FBD">
      <w:pPr>
        <w:numPr>
          <w:ilvl w:val="0"/>
          <w:numId w:val="5"/>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EU Law's Reach into Welfare States</w:t>
      </w:r>
    </w:p>
    <w:p w14:paraId="687D0F50" w14:textId="77777777" w:rsidR="00AD6FBD" w:rsidRPr="00AD6FBD" w:rsidRDefault="00AD6FBD" w:rsidP="00AD6FBD">
      <w:pPr>
        <w:numPr>
          <w:ilvl w:val="1"/>
          <w:numId w:val="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Court applied free movement principles to areas traditionally under national competence, such as social welfare, healthcare, and education.</w:t>
      </w:r>
    </w:p>
    <w:p w14:paraId="20C14D93" w14:textId="77777777" w:rsidR="00AD6FBD" w:rsidRPr="00AD6FBD" w:rsidRDefault="00AD6FBD" w:rsidP="00AD6FBD">
      <w:pPr>
        <w:numPr>
          <w:ilvl w:val="1"/>
          <w:numId w:val="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Example: </w:t>
      </w:r>
      <w:r w:rsidRPr="00AD6FBD">
        <w:rPr>
          <w:rFonts w:ascii="Times New Roman" w:hAnsi="Times New Roman"/>
          <w:i/>
          <w:iCs/>
          <w:lang w:val="en-HK"/>
        </w:rPr>
        <w:t>Bidar</w:t>
      </w:r>
      <w:r w:rsidRPr="00AD6FBD">
        <w:rPr>
          <w:rFonts w:ascii="Times New Roman" w:hAnsi="Times New Roman"/>
          <w:lang w:val="en-HK"/>
        </w:rPr>
        <w:t xml:space="preserve"> (Case C-209/03): The CJEU ruled that EU citizens could claim equal access to educational grants in host Member States, provided they demonstrated a degree of integration.</w:t>
      </w:r>
    </w:p>
    <w:p w14:paraId="32C9CE41" w14:textId="77777777" w:rsidR="00AD6FBD" w:rsidRPr="00AD6FBD" w:rsidRDefault="00AD6FBD" w:rsidP="00AD6FBD">
      <w:pPr>
        <w:numPr>
          <w:ilvl w:val="1"/>
          <w:numId w:val="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This interventionist approach raised concerns about the "boundaries of welfare," as described by </w:t>
      </w:r>
      <w:proofErr w:type="spellStart"/>
      <w:r w:rsidRPr="00AD6FBD">
        <w:rPr>
          <w:rFonts w:ascii="Times New Roman" w:hAnsi="Times New Roman"/>
          <w:lang w:val="en-HK"/>
        </w:rPr>
        <w:t>Ferrera</w:t>
      </w:r>
      <w:proofErr w:type="spellEnd"/>
      <w:r w:rsidRPr="00AD6FBD">
        <w:rPr>
          <w:rFonts w:ascii="Times New Roman" w:hAnsi="Times New Roman"/>
          <w:lang w:val="en-HK"/>
        </w:rPr>
        <w:t xml:space="preserve"> (</w:t>
      </w:r>
      <w:r w:rsidRPr="00AD6FBD">
        <w:rPr>
          <w:rFonts w:ascii="Times New Roman" w:hAnsi="Times New Roman"/>
          <w:i/>
          <w:iCs/>
          <w:lang w:val="en-HK"/>
        </w:rPr>
        <w:t>The Boundaries of Welfare</w:t>
      </w:r>
      <w:r w:rsidRPr="00AD6FBD">
        <w:rPr>
          <w:rFonts w:ascii="Times New Roman" w:hAnsi="Times New Roman"/>
          <w:lang w:val="en-HK"/>
        </w:rPr>
        <w:t>, 2005).</w:t>
      </w:r>
    </w:p>
    <w:p w14:paraId="02FA62E4"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31F40CDB">
          <v:rect id="_x0000_i1045" alt="" style="width:451.3pt;height:.05pt;mso-width-percent:0;mso-height-percent:0;mso-width-percent:0;mso-height-percent:0" o:hralign="center" o:hrstd="t" o:hr="t" fillcolor="#a0a0a0" stroked="f"/>
        </w:pict>
      </w:r>
    </w:p>
    <w:p w14:paraId="5AB07F0C" w14:textId="77777777" w:rsidR="00AD6FBD" w:rsidRPr="00AD6FBD" w:rsidRDefault="00AD6FBD" w:rsidP="00AD6FBD">
      <w:pPr>
        <w:numPr>
          <w:ilvl w:val="0"/>
          <w:numId w:val="6"/>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Private Autonomy and Collective Bargaining</w:t>
      </w:r>
    </w:p>
    <w:p w14:paraId="4006CE5F" w14:textId="77777777" w:rsidR="00AD6FBD" w:rsidRPr="00AD6FBD" w:rsidRDefault="00AD6FBD" w:rsidP="00AD6FBD">
      <w:pPr>
        <w:numPr>
          <w:ilvl w:val="1"/>
          <w:numId w:val="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The CJEU also extended free movement principles to private actors, affecting areas like collective bargaining and </w:t>
      </w:r>
      <w:proofErr w:type="spellStart"/>
      <w:r w:rsidRPr="00AD6FBD">
        <w:rPr>
          <w:rFonts w:ascii="Times New Roman" w:hAnsi="Times New Roman"/>
          <w:lang w:val="en-HK"/>
        </w:rPr>
        <w:t>labor</w:t>
      </w:r>
      <w:proofErr w:type="spellEnd"/>
      <w:r w:rsidRPr="00AD6FBD">
        <w:rPr>
          <w:rFonts w:ascii="Times New Roman" w:hAnsi="Times New Roman"/>
          <w:lang w:val="en-HK"/>
        </w:rPr>
        <w:t xml:space="preserve"> standards.</w:t>
      </w:r>
    </w:p>
    <w:p w14:paraId="6027E947" w14:textId="77777777" w:rsidR="00AD6FBD" w:rsidRPr="00AD6FBD" w:rsidRDefault="00AD6FBD" w:rsidP="00AD6FBD">
      <w:pPr>
        <w:numPr>
          <w:ilvl w:val="1"/>
          <w:numId w:val="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Example: </w:t>
      </w:r>
      <w:r w:rsidRPr="00AD6FBD">
        <w:rPr>
          <w:rFonts w:ascii="Times New Roman" w:hAnsi="Times New Roman"/>
          <w:i/>
          <w:iCs/>
          <w:lang w:val="en-HK"/>
        </w:rPr>
        <w:t>Laval</w:t>
      </w:r>
      <w:r w:rsidRPr="00AD6FBD">
        <w:rPr>
          <w:rFonts w:ascii="Times New Roman" w:hAnsi="Times New Roman"/>
          <w:lang w:val="en-HK"/>
        </w:rPr>
        <w:t xml:space="preserve"> (Case C-341/05): National </w:t>
      </w:r>
      <w:proofErr w:type="spellStart"/>
      <w:r w:rsidRPr="00AD6FBD">
        <w:rPr>
          <w:rFonts w:ascii="Times New Roman" w:hAnsi="Times New Roman"/>
          <w:lang w:val="en-HK"/>
        </w:rPr>
        <w:t>labor</w:t>
      </w:r>
      <w:proofErr w:type="spellEnd"/>
      <w:r w:rsidRPr="00AD6FBD">
        <w:rPr>
          <w:rFonts w:ascii="Times New Roman" w:hAnsi="Times New Roman"/>
          <w:lang w:val="en-HK"/>
        </w:rPr>
        <w:t xml:space="preserve"> actions restricting cross-border service provision were held to infringe EU law unless justified and proportionate.</w:t>
      </w:r>
    </w:p>
    <w:p w14:paraId="762D2FAB"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Critiques</w:t>
      </w:r>
      <w:r w:rsidRPr="00AD6FBD">
        <w:rPr>
          <w:rFonts w:ascii="Times New Roman" w:hAnsi="Times New Roman"/>
          <w:lang w:val="en-HK"/>
        </w:rPr>
        <w:t>:</w:t>
      </w:r>
    </w:p>
    <w:p w14:paraId="3E8A9C05" w14:textId="77777777" w:rsidR="00AD6FBD" w:rsidRPr="00AD6FBD" w:rsidRDefault="00AD6FBD" w:rsidP="00AD6FBD">
      <w:pPr>
        <w:numPr>
          <w:ilvl w:val="1"/>
          <w:numId w:val="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Schepel (</w:t>
      </w:r>
      <w:r w:rsidRPr="00AD6FBD">
        <w:rPr>
          <w:rFonts w:ascii="Times New Roman" w:hAnsi="Times New Roman"/>
          <w:i/>
          <w:iCs/>
          <w:lang w:val="en-HK"/>
        </w:rPr>
        <w:t>European Law Journal</w:t>
      </w:r>
      <w:r w:rsidRPr="00AD6FBD">
        <w:rPr>
          <w:rFonts w:ascii="Times New Roman" w:hAnsi="Times New Roman"/>
          <w:lang w:val="en-HK"/>
        </w:rPr>
        <w:t>, 2012): “The horizontal application of free movement law risks marketizing domains traditionally insulated from competitive pressures.”</w:t>
      </w:r>
    </w:p>
    <w:p w14:paraId="6690510B"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7A9DFA22">
          <v:rect id="_x0000_i1044" alt="" style="width:451.3pt;height:.05pt;mso-width-percent:0;mso-height-percent:0;mso-width-percent:0;mso-height-percent:0" o:hralign="center" o:hrstd="t" o:hr="t" fillcolor="#a0a0a0" stroked="f"/>
        </w:pict>
      </w:r>
    </w:p>
    <w:p w14:paraId="4981FC0C"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lastRenderedPageBreak/>
        <w:t>Reconstructing and Re-Constitutionalising the Regulatory State</w:t>
      </w:r>
    </w:p>
    <w:p w14:paraId="1AAF252A" w14:textId="77777777" w:rsidR="00AD6FBD" w:rsidRPr="00AD6FBD" w:rsidRDefault="00AD6FBD" w:rsidP="00AD6FBD">
      <w:pPr>
        <w:numPr>
          <w:ilvl w:val="0"/>
          <w:numId w:val="7"/>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Legislative Harmonization</w:t>
      </w:r>
    </w:p>
    <w:p w14:paraId="4C3176B4" w14:textId="77777777" w:rsidR="00AD6FBD" w:rsidRPr="00AD6FBD" w:rsidRDefault="00AD6FBD" w:rsidP="00AD6FBD">
      <w:pPr>
        <w:numPr>
          <w:ilvl w:val="1"/>
          <w:numId w:val="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Single European Act (1987) introduced Article 114 TFEU, empowering the EU to harmonize national laws affecting the internal market.</w:t>
      </w:r>
    </w:p>
    <w:p w14:paraId="20A3A4F2" w14:textId="77777777" w:rsidR="00AD6FBD" w:rsidRPr="00AD6FBD" w:rsidRDefault="00AD6FBD" w:rsidP="00AD6FBD">
      <w:pPr>
        <w:numPr>
          <w:ilvl w:val="1"/>
          <w:numId w:val="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Harmonization reduced regulatory divergence and fostered economic integration, but it also centralized decision-making in the EU.</w:t>
      </w:r>
    </w:p>
    <w:p w14:paraId="40FB8B51" w14:textId="77777777" w:rsidR="00AD6FBD" w:rsidRPr="00AD6FBD" w:rsidRDefault="00AD6FBD" w:rsidP="00AD6FBD">
      <w:p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Key Legislative Instruments</w:t>
      </w:r>
      <w:r w:rsidRPr="00AD6FBD">
        <w:rPr>
          <w:rFonts w:ascii="Times New Roman" w:hAnsi="Times New Roman"/>
          <w:lang w:val="en-HK"/>
        </w:rPr>
        <w:t>:</w:t>
      </w:r>
    </w:p>
    <w:p w14:paraId="0D1C6D22" w14:textId="77777777" w:rsidR="00AD6FBD" w:rsidRPr="00AD6FBD" w:rsidRDefault="00AD6FBD" w:rsidP="00AD6FBD">
      <w:pPr>
        <w:numPr>
          <w:ilvl w:val="1"/>
          <w:numId w:val="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Directive 83/189/EEC (now Directive 2015/1535): Required Member States to notify the European Commission of draft technical standards.</w:t>
      </w:r>
    </w:p>
    <w:p w14:paraId="16936880" w14:textId="77777777" w:rsidR="00AD6FBD" w:rsidRPr="00AD6FBD" w:rsidRDefault="00AD6FBD" w:rsidP="00AD6FBD">
      <w:pPr>
        <w:numPr>
          <w:ilvl w:val="1"/>
          <w:numId w:val="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Commission White Paper (1985): Proposed an accelerated harmonization agenda to complete the internal market.</w:t>
      </w:r>
    </w:p>
    <w:p w14:paraId="301CC45A" w14:textId="77777777" w:rsidR="00AD6FBD" w:rsidRPr="00AD6FBD" w:rsidRDefault="00AD6FBD" w:rsidP="00AD6FBD">
      <w:pPr>
        <w:numPr>
          <w:ilvl w:val="0"/>
          <w:numId w:val="7"/>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Institutional Evolution</w:t>
      </w:r>
    </w:p>
    <w:p w14:paraId="5AA57FF8" w14:textId="77777777" w:rsidR="00AD6FBD" w:rsidRPr="00AD6FBD" w:rsidRDefault="00AD6FBD" w:rsidP="00AD6FBD">
      <w:pPr>
        <w:numPr>
          <w:ilvl w:val="1"/>
          <w:numId w:val="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European Parliament gained co-legislative powers, while the Council adopted qualified majority voting, reducing Member States' ability to veto harmonization measures.</w:t>
      </w:r>
    </w:p>
    <w:p w14:paraId="1A2B2DAE"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Insights</w:t>
      </w:r>
      <w:r w:rsidRPr="00AD6FBD">
        <w:rPr>
          <w:rFonts w:ascii="Times New Roman" w:hAnsi="Times New Roman"/>
          <w:lang w:val="en-HK"/>
        </w:rPr>
        <w:t>:</w:t>
      </w:r>
    </w:p>
    <w:p w14:paraId="058424DC" w14:textId="77777777" w:rsidR="00AD6FBD" w:rsidRPr="00AD6FBD" w:rsidRDefault="00AD6FBD" w:rsidP="00AD6FBD">
      <w:pPr>
        <w:numPr>
          <w:ilvl w:val="1"/>
          <w:numId w:val="7"/>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lang w:val="en-HK"/>
        </w:rPr>
        <w:t>Majone</w:t>
      </w:r>
      <w:proofErr w:type="spellEnd"/>
      <w:r w:rsidRPr="00AD6FBD">
        <w:rPr>
          <w:rFonts w:ascii="Times New Roman" w:hAnsi="Times New Roman"/>
          <w:lang w:val="en-HK"/>
        </w:rPr>
        <w:t xml:space="preserve"> (</w:t>
      </w:r>
      <w:r w:rsidRPr="00AD6FBD">
        <w:rPr>
          <w:rFonts w:ascii="Times New Roman" w:hAnsi="Times New Roman"/>
          <w:i/>
          <w:iCs/>
          <w:lang w:val="en-HK"/>
        </w:rPr>
        <w:t>Regulating Europe</w:t>
      </w:r>
      <w:r w:rsidRPr="00AD6FBD">
        <w:rPr>
          <w:rFonts w:ascii="Times New Roman" w:hAnsi="Times New Roman"/>
          <w:lang w:val="en-HK"/>
        </w:rPr>
        <w:t>, 1996): “The regulatory state replaced intergovernmentalism with a centralized model of rulemaking.”</w:t>
      </w:r>
    </w:p>
    <w:p w14:paraId="3986CBB0" w14:textId="77777777" w:rsidR="00AD6FBD" w:rsidRPr="00AD6FBD" w:rsidRDefault="00AD6FBD" w:rsidP="00AD6FBD">
      <w:pPr>
        <w:numPr>
          <w:ilvl w:val="1"/>
          <w:numId w:val="7"/>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lang w:val="en-HK"/>
        </w:rPr>
        <w:t>Weiler</w:t>
      </w:r>
      <w:proofErr w:type="spellEnd"/>
      <w:r w:rsidRPr="00AD6FBD">
        <w:rPr>
          <w:rFonts w:ascii="Times New Roman" w:hAnsi="Times New Roman"/>
          <w:lang w:val="en-HK"/>
        </w:rPr>
        <w:t xml:space="preserve"> (</w:t>
      </w:r>
      <w:r w:rsidRPr="00AD6FBD">
        <w:rPr>
          <w:rFonts w:ascii="Times New Roman" w:hAnsi="Times New Roman"/>
          <w:i/>
          <w:iCs/>
          <w:lang w:val="en-HK"/>
        </w:rPr>
        <w:t>The Transformation of Europe</w:t>
      </w:r>
      <w:r w:rsidRPr="00AD6FBD">
        <w:rPr>
          <w:rFonts w:ascii="Times New Roman" w:hAnsi="Times New Roman"/>
          <w:lang w:val="en-HK"/>
        </w:rPr>
        <w:t>, 1991): “Harmonization represents a shift from judicially enforced negative integration to politically negotiated positive integration.”</w:t>
      </w:r>
    </w:p>
    <w:p w14:paraId="0340E885" w14:textId="77777777" w:rsidR="00AD6FBD" w:rsidRPr="00AD6FBD" w:rsidRDefault="00AD6FBD" w:rsidP="00AD6FBD">
      <w:pPr>
        <w:numPr>
          <w:ilvl w:val="0"/>
          <w:numId w:val="7"/>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Balancing Judicial and Political Authority</w:t>
      </w:r>
    </w:p>
    <w:p w14:paraId="6C24F807" w14:textId="77777777" w:rsidR="00AD6FBD" w:rsidRPr="00AD6FBD" w:rsidRDefault="00AD6FBD" w:rsidP="00AD6FBD">
      <w:pPr>
        <w:numPr>
          <w:ilvl w:val="1"/>
          <w:numId w:val="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While judicial governance dominated early market integration, political institutions increasingly shaped internal market rules.</w:t>
      </w:r>
    </w:p>
    <w:p w14:paraId="614C09D9" w14:textId="77777777" w:rsidR="00AD6FBD" w:rsidRPr="00AD6FBD" w:rsidRDefault="00AD6FBD" w:rsidP="00AD6FBD">
      <w:pPr>
        <w:numPr>
          <w:ilvl w:val="1"/>
          <w:numId w:val="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However, as Grimm (</w:t>
      </w:r>
      <w:r w:rsidRPr="00AD6FBD">
        <w:rPr>
          <w:rFonts w:ascii="Times New Roman" w:hAnsi="Times New Roman"/>
          <w:i/>
          <w:iCs/>
          <w:lang w:val="en-HK"/>
        </w:rPr>
        <w:t>European Law Journal</w:t>
      </w:r>
      <w:r w:rsidRPr="00AD6FBD">
        <w:rPr>
          <w:rFonts w:ascii="Times New Roman" w:hAnsi="Times New Roman"/>
          <w:lang w:val="en-HK"/>
        </w:rPr>
        <w:t>, 2015) argues, "The over-</w:t>
      </w:r>
      <w:proofErr w:type="spellStart"/>
      <w:r w:rsidRPr="00AD6FBD">
        <w:rPr>
          <w:rFonts w:ascii="Times New Roman" w:hAnsi="Times New Roman"/>
          <w:lang w:val="en-HK"/>
        </w:rPr>
        <w:t>constitutionalization</w:t>
      </w:r>
      <w:proofErr w:type="spellEnd"/>
      <w:r w:rsidRPr="00AD6FBD">
        <w:rPr>
          <w:rFonts w:ascii="Times New Roman" w:hAnsi="Times New Roman"/>
          <w:lang w:val="en-HK"/>
        </w:rPr>
        <w:t xml:space="preserve"> of EU law diminishes democratic accountability by elevating economic freedoms above political contestation."</w:t>
      </w:r>
    </w:p>
    <w:p w14:paraId="3D22AA6A" w14:textId="29C732BF" w:rsidR="00AD6FBD" w:rsidRPr="00AD6FBD" w:rsidRDefault="00AD6FBD" w:rsidP="00AD6FBD">
      <w:pPr>
        <w:spacing w:line="276" w:lineRule="auto"/>
        <w:rPr>
          <w:rFonts w:ascii="Times New Roman" w:hAnsi="Times New Roman"/>
          <w:lang w:val="en-HK"/>
        </w:rPr>
      </w:pPr>
    </w:p>
    <w:p w14:paraId="75F08384" w14:textId="77777777" w:rsidR="00AD6FBD" w:rsidRPr="00AD6FBD" w:rsidRDefault="00AD6FBD" w:rsidP="00AD6FBD">
      <w:pPr>
        <w:spacing w:before="100" w:beforeAutospacing="1" w:after="100" w:afterAutospacing="1" w:line="276" w:lineRule="auto"/>
        <w:outlineLvl w:val="2"/>
        <w:rPr>
          <w:rFonts w:ascii="Times New Roman" w:hAnsi="Times New Roman"/>
          <w:b/>
          <w:bCs/>
          <w:lang w:val="en-HK"/>
        </w:rPr>
      </w:pPr>
      <w:r w:rsidRPr="00AD6FBD">
        <w:rPr>
          <w:rFonts w:ascii="Times New Roman" w:hAnsi="Times New Roman"/>
          <w:b/>
          <w:bCs/>
          <w:lang w:val="en-HK"/>
        </w:rPr>
        <w:t>Conclusion of Section 1</w:t>
      </w:r>
    </w:p>
    <w:p w14:paraId="26F24515" w14:textId="77777777" w:rsidR="00AD6FBD" w:rsidRPr="00AD6FBD" w:rsidRDefault="00AD6FBD" w:rsidP="00AD6FBD">
      <w:p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The EU internal market governance evolved through a dynamic interplay of judicial and legislative processes. The CJEU’s </w:t>
      </w:r>
      <w:proofErr w:type="spellStart"/>
      <w:r w:rsidRPr="00AD6FBD">
        <w:rPr>
          <w:rFonts w:ascii="Times New Roman" w:hAnsi="Times New Roman"/>
          <w:lang w:val="en-HK"/>
        </w:rPr>
        <w:t>constitutionalization</w:t>
      </w:r>
      <w:proofErr w:type="spellEnd"/>
      <w:r w:rsidRPr="00AD6FBD">
        <w:rPr>
          <w:rFonts w:ascii="Times New Roman" w:hAnsi="Times New Roman"/>
          <w:lang w:val="en-HK"/>
        </w:rPr>
        <w:t xml:space="preserve"> of market integration principles established a robust economic framework, but harmonization efforts shifted governance toward political institutions. This balance between centralization and Member State autonomy forms the backdrop against which the UKIM Act operates, marking a departure from EU-style governance.</w:t>
      </w:r>
    </w:p>
    <w:p w14:paraId="6564EE16" w14:textId="57666B86" w:rsidR="00AD6FBD" w:rsidRPr="00AD6FBD" w:rsidRDefault="00180838" w:rsidP="00AD6FBD">
      <w:pPr>
        <w:spacing w:before="100" w:beforeAutospacing="1" w:after="100" w:afterAutospacing="1" w:line="276" w:lineRule="auto"/>
        <w:outlineLvl w:val="2"/>
        <w:rPr>
          <w:rFonts w:ascii="Times New Roman" w:hAnsi="Times New Roman"/>
          <w:b/>
          <w:bCs/>
          <w:lang w:val="en-HK"/>
        </w:rPr>
      </w:pPr>
      <w:r w:rsidRPr="00180838">
        <w:rPr>
          <w:rFonts w:ascii="Times New Roman" w:hAnsi="Times New Roman"/>
          <w:noProof/>
          <w:lang w:val="en-HK"/>
          <w14:ligatures w14:val="standardContextual"/>
        </w:rPr>
        <w:lastRenderedPageBreak/>
        <w:pict w14:anchorId="0F37EAD2">
          <v:rect id="_x0000_i1043" alt="" style="width:451.3pt;height:.05pt;mso-width-percent:0;mso-height-percent:0;mso-width-percent:0;mso-height-percent:0" o:hralign="center" o:hrstd="t" o:hr="t" fillcolor="#a0a0a0" stroked="f"/>
        </w:pict>
      </w:r>
      <w:r w:rsidR="00AD6FBD" w:rsidRPr="00AD6FBD">
        <w:rPr>
          <w:rFonts w:ascii="Times New Roman" w:hAnsi="Times New Roman"/>
          <w:b/>
          <w:bCs/>
          <w:lang w:val="en-HK"/>
        </w:rPr>
        <w:t>Detailed Analysis of Section 2: The UKIM Act as a Substitute Framework</w:t>
      </w:r>
    </w:p>
    <w:p w14:paraId="6C0EADF6"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Market Access Principles: Mutual Recognition and Non-Discrimination</w:t>
      </w:r>
    </w:p>
    <w:p w14:paraId="0A34ACC2" w14:textId="77777777" w:rsidR="00AD6FBD" w:rsidRPr="00AD6FBD" w:rsidRDefault="00AD6FBD" w:rsidP="00AD6FBD">
      <w:pPr>
        <w:numPr>
          <w:ilvl w:val="0"/>
          <w:numId w:val="8"/>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Overview of the Principles</w:t>
      </w:r>
    </w:p>
    <w:p w14:paraId="21D441A8" w14:textId="77777777" w:rsidR="00AD6FBD" w:rsidRPr="00AD6FBD" w:rsidRDefault="00AD6FBD" w:rsidP="00AD6FBD">
      <w:pPr>
        <w:numPr>
          <w:ilvl w:val="1"/>
          <w:numId w:val="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 Internal Market (UKIM) Act 2020 replaces EU free movement law with two statutory principles:</w:t>
      </w:r>
    </w:p>
    <w:p w14:paraId="66E77FD4" w14:textId="77777777" w:rsidR="00AD6FBD" w:rsidRPr="00AD6FBD" w:rsidRDefault="00AD6FBD" w:rsidP="00AD6FBD">
      <w:pPr>
        <w:numPr>
          <w:ilvl w:val="2"/>
          <w:numId w:val="8"/>
        </w:numPr>
        <w:spacing w:before="100" w:beforeAutospacing="1" w:after="100" w:afterAutospacing="1" w:line="276" w:lineRule="auto"/>
        <w:rPr>
          <w:rFonts w:ascii="Times New Roman" w:hAnsi="Times New Roman"/>
          <w:lang w:val="en-HK"/>
        </w:rPr>
      </w:pPr>
      <w:r w:rsidRPr="00AD6FBD">
        <w:rPr>
          <w:rFonts w:ascii="Times New Roman" w:hAnsi="Times New Roman"/>
          <w:i/>
          <w:iCs/>
          <w:lang w:val="en-HK"/>
        </w:rPr>
        <w:t>Mutual Recognition</w:t>
      </w:r>
      <w:r w:rsidRPr="00AD6FBD">
        <w:rPr>
          <w:rFonts w:ascii="Times New Roman" w:hAnsi="Times New Roman"/>
          <w:lang w:val="en-HK"/>
        </w:rPr>
        <w:t>: Goods and services lawfully produced or provided in one part of the UK can be sold or provided in another without needing to meet additional local requirements.</w:t>
      </w:r>
    </w:p>
    <w:p w14:paraId="5A1FD1E3" w14:textId="77777777" w:rsidR="00AD6FBD" w:rsidRPr="00AD6FBD" w:rsidRDefault="00AD6FBD" w:rsidP="00AD6FBD">
      <w:pPr>
        <w:numPr>
          <w:ilvl w:val="2"/>
          <w:numId w:val="8"/>
        </w:numPr>
        <w:spacing w:before="100" w:beforeAutospacing="1" w:after="100" w:afterAutospacing="1" w:line="276" w:lineRule="auto"/>
        <w:rPr>
          <w:rFonts w:ascii="Times New Roman" w:hAnsi="Times New Roman"/>
          <w:lang w:val="en-HK"/>
        </w:rPr>
      </w:pPr>
      <w:r w:rsidRPr="00AD6FBD">
        <w:rPr>
          <w:rFonts w:ascii="Times New Roman" w:hAnsi="Times New Roman"/>
          <w:i/>
          <w:iCs/>
          <w:lang w:val="en-HK"/>
        </w:rPr>
        <w:t>Non-Discrimination</w:t>
      </w:r>
      <w:r w:rsidRPr="00AD6FBD">
        <w:rPr>
          <w:rFonts w:ascii="Times New Roman" w:hAnsi="Times New Roman"/>
          <w:lang w:val="en-HK"/>
        </w:rPr>
        <w:t>: Regulatory measures must not directly or indirectly discriminate against goods or services from other parts of the UK.</w:t>
      </w:r>
    </w:p>
    <w:p w14:paraId="11C3E48F" w14:textId="77777777" w:rsidR="00AD6FBD" w:rsidRPr="00AD6FBD" w:rsidRDefault="00AD6FBD" w:rsidP="00AD6FBD">
      <w:pPr>
        <w:numPr>
          <w:ilvl w:val="1"/>
          <w:numId w:val="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These principles aim to ensure cross-border economic activity within the UK, while managing regulatory diversity among devolved administrations.</w:t>
      </w:r>
    </w:p>
    <w:p w14:paraId="2323F56D"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Key Statutory Provisions</w:t>
      </w:r>
      <w:r w:rsidRPr="00AD6FBD">
        <w:rPr>
          <w:rFonts w:ascii="Times New Roman" w:hAnsi="Times New Roman"/>
          <w:lang w:val="en-HK"/>
        </w:rPr>
        <w:t>:</w:t>
      </w:r>
    </w:p>
    <w:p w14:paraId="358B2845" w14:textId="77777777" w:rsidR="00AD6FBD" w:rsidRPr="00AD6FBD" w:rsidRDefault="00AD6FBD" w:rsidP="00AD6FBD">
      <w:pPr>
        <w:numPr>
          <w:ilvl w:val="1"/>
          <w:numId w:val="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Section 2 defines the </w:t>
      </w:r>
      <w:r w:rsidRPr="00AD6FBD">
        <w:rPr>
          <w:rFonts w:ascii="Times New Roman" w:hAnsi="Times New Roman"/>
          <w:i/>
          <w:iCs/>
          <w:lang w:val="en-HK"/>
        </w:rPr>
        <w:t>mutual recognition</w:t>
      </w:r>
      <w:r w:rsidRPr="00AD6FBD">
        <w:rPr>
          <w:rFonts w:ascii="Times New Roman" w:hAnsi="Times New Roman"/>
          <w:lang w:val="en-HK"/>
        </w:rPr>
        <w:t xml:space="preserve"> principle for goods, stating that:</w:t>
      </w:r>
    </w:p>
    <w:p w14:paraId="3694B875" w14:textId="77777777" w:rsidR="00AD6FBD" w:rsidRPr="00AD6FBD" w:rsidRDefault="00AD6FBD" w:rsidP="00AD6FBD">
      <w:pPr>
        <w:spacing w:beforeAutospacing="1" w:afterAutospacing="1" w:line="276" w:lineRule="auto"/>
        <w:ind w:left="2160"/>
        <w:rPr>
          <w:rFonts w:ascii="Times New Roman" w:hAnsi="Times New Roman"/>
          <w:lang w:val="en-HK"/>
        </w:rPr>
      </w:pPr>
      <w:r w:rsidRPr="00AD6FBD">
        <w:rPr>
          <w:rFonts w:ascii="Times New Roman" w:hAnsi="Times New Roman"/>
          <w:lang w:val="en-HK"/>
        </w:rPr>
        <w:t>"Goods lawfully produced or imported in one part of the UK may be sold in any other part of the UK without having to comply with local requirements."</w:t>
      </w:r>
    </w:p>
    <w:p w14:paraId="02752EBC" w14:textId="77777777" w:rsidR="00AD6FBD" w:rsidRPr="00AD6FBD" w:rsidRDefault="00AD6FBD" w:rsidP="00AD6FBD">
      <w:pPr>
        <w:numPr>
          <w:ilvl w:val="1"/>
          <w:numId w:val="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Section 6 defines </w:t>
      </w:r>
      <w:r w:rsidRPr="00AD6FBD">
        <w:rPr>
          <w:rFonts w:ascii="Times New Roman" w:hAnsi="Times New Roman"/>
          <w:i/>
          <w:iCs/>
          <w:lang w:val="en-HK"/>
        </w:rPr>
        <w:t>non-discrimination</w:t>
      </w:r>
      <w:r w:rsidRPr="00AD6FBD">
        <w:rPr>
          <w:rFonts w:ascii="Times New Roman" w:hAnsi="Times New Roman"/>
          <w:lang w:val="en-HK"/>
        </w:rPr>
        <w:t>:</w:t>
      </w:r>
    </w:p>
    <w:p w14:paraId="648E87AF" w14:textId="77777777" w:rsidR="00AD6FBD" w:rsidRPr="00AD6FBD" w:rsidRDefault="00AD6FBD" w:rsidP="00AD6FBD">
      <w:pPr>
        <w:spacing w:beforeAutospacing="1" w:afterAutospacing="1" w:line="276" w:lineRule="auto"/>
        <w:ind w:left="2160"/>
        <w:rPr>
          <w:rFonts w:ascii="Times New Roman" w:hAnsi="Times New Roman"/>
          <w:lang w:val="en-HK"/>
        </w:rPr>
      </w:pPr>
      <w:r w:rsidRPr="00AD6FBD">
        <w:rPr>
          <w:rFonts w:ascii="Times New Roman" w:hAnsi="Times New Roman"/>
          <w:lang w:val="en-HK"/>
        </w:rPr>
        <w:t>"Relevant requirements that impose discriminatory burdens based on the origin of goods or services are prohibited."</w:t>
      </w:r>
    </w:p>
    <w:p w14:paraId="4AF836EB" w14:textId="77777777" w:rsidR="00AD6FBD" w:rsidRPr="00AD6FBD" w:rsidRDefault="00AD6FBD" w:rsidP="00AD6FBD">
      <w:pPr>
        <w:numPr>
          <w:ilvl w:val="0"/>
          <w:numId w:val="8"/>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Departure from EU Law</w:t>
      </w:r>
    </w:p>
    <w:p w14:paraId="2F5FA6E5" w14:textId="77777777" w:rsidR="00AD6FBD" w:rsidRPr="00AD6FBD" w:rsidRDefault="00AD6FBD" w:rsidP="00AD6FBD">
      <w:pPr>
        <w:numPr>
          <w:ilvl w:val="1"/>
          <w:numId w:val="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borrows the language and structure of EU free movement law but recalibrates its operation in critical ways.</w:t>
      </w:r>
    </w:p>
    <w:p w14:paraId="03926AA6" w14:textId="77777777" w:rsidR="00AD6FBD" w:rsidRPr="00AD6FBD" w:rsidRDefault="00AD6FBD" w:rsidP="00AD6FBD">
      <w:pPr>
        <w:numPr>
          <w:ilvl w:val="1"/>
          <w:numId w:val="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Unlike EU law, which subjects regulatory measures to judicial proportionality analysis (e.g., </w:t>
      </w:r>
      <w:r w:rsidRPr="00AD6FBD">
        <w:rPr>
          <w:rFonts w:ascii="Times New Roman" w:hAnsi="Times New Roman"/>
          <w:i/>
          <w:iCs/>
          <w:lang w:val="en-HK"/>
        </w:rPr>
        <w:t>Cassis de Dijon</w:t>
      </w:r>
      <w:r w:rsidRPr="00AD6FBD">
        <w:rPr>
          <w:rFonts w:ascii="Times New Roman" w:hAnsi="Times New Roman"/>
          <w:lang w:val="en-HK"/>
        </w:rPr>
        <w:t xml:space="preserve">), the UKIM Act </w:t>
      </w:r>
      <w:proofErr w:type="spellStart"/>
      <w:r w:rsidRPr="00AD6FBD">
        <w:rPr>
          <w:rFonts w:ascii="Times New Roman" w:hAnsi="Times New Roman"/>
          <w:lang w:val="en-HK"/>
        </w:rPr>
        <w:t>preempts</w:t>
      </w:r>
      <w:proofErr w:type="spellEnd"/>
      <w:r w:rsidRPr="00AD6FBD">
        <w:rPr>
          <w:rFonts w:ascii="Times New Roman" w:hAnsi="Times New Roman"/>
          <w:lang w:val="en-HK"/>
        </w:rPr>
        <w:t xml:space="preserve"> certain local requirements outright through statutory definitions.</w:t>
      </w:r>
    </w:p>
    <w:p w14:paraId="23121269"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Key Differences</w:t>
      </w:r>
      <w:r w:rsidRPr="00AD6FBD">
        <w:rPr>
          <w:rFonts w:ascii="Times New Roman" w:hAnsi="Times New Roman"/>
          <w:lang w:val="en-HK"/>
        </w:rPr>
        <w:t>:</w:t>
      </w:r>
    </w:p>
    <w:p w14:paraId="07591127" w14:textId="77777777" w:rsidR="00AD6FBD" w:rsidRPr="00AD6FBD" w:rsidRDefault="00AD6FBD" w:rsidP="00AD6FBD">
      <w:pPr>
        <w:numPr>
          <w:ilvl w:val="1"/>
          <w:numId w:val="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EU law allows Member States to justify restrictions on free movement under Article 36 TFEU (e.g., public health or consumer protection) if proportionate. The UKIM Act provides a more limited list of justifications, precluding judicial expansion.</w:t>
      </w:r>
    </w:p>
    <w:p w14:paraId="7EF3B1D2" w14:textId="77777777" w:rsidR="00AD6FBD" w:rsidRPr="00AD6FBD" w:rsidRDefault="00AD6FBD" w:rsidP="00AD6FBD">
      <w:pPr>
        <w:numPr>
          <w:ilvl w:val="1"/>
          <w:numId w:val="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codifies the principles, restricting judicial discretion and emphasizing legislative authority.</w:t>
      </w:r>
    </w:p>
    <w:p w14:paraId="65F9CF61"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lastRenderedPageBreak/>
        <w:t>Scholarly Commentary</w:t>
      </w:r>
      <w:r w:rsidRPr="00AD6FBD">
        <w:rPr>
          <w:rFonts w:ascii="Times New Roman" w:hAnsi="Times New Roman"/>
          <w:lang w:val="en-HK"/>
        </w:rPr>
        <w:t>:</w:t>
      </w:r>
    </w:p>
    <w:p w14:paraId="3B95B373" w14:textId="77777777" w:rsidR="00AD6FBD" w:rsidRPr="00AD6FBD" w:rsidRDefault="00AD6FBD" w:rsidP="00AD6FBD">
      <w:pPr>
        <w:numPr>
          <w:ilvl w:val="1"/>
          <w:numId w:val="8"/>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lang w:val="en-HK"/>
        </w:rPr>
        <w:t>Weatherill</w:t>
      </w:r>
      <w:proofErr w:type="spellEnd"/>
      <w:r w:rsidRPr="00AD6FBD">
        <w:rPr>
          <w:rFonts w:ascii="Times New Roman" w:hAnsi="Times New Roman"/>
          <w:lang w:val="en-HK"/>
        </w:rPr>
        <w:t xml:space="preserve"> (</w:t>
      </w:r>
      <w:r w:rsidRPr="00AD6FBD">
        <w:rPr>
          <w:rFonts w:ascii="Times New Roman" w:hAnsi="Times New Roman"/>
          <w:i/>
          <w:iCs/>
          <w:lang w:val="en-HK"/>
        </w:rPr>
        <w:t>Yearbook of European Law</w:t>
      </w:r>
      <w:r w:rsidRPr="00AD6FBD">
        <w:rPr>
          <w:rFonts w:ascii="Times New Roman" w:hAnsi="Times New Roman"/>
          <w:lang w:val="en-HK"/>
        </w:rPr>
        <w:t xml:space="preserve">, forthcoming): “The UKIM Act’s statutory framework departs from the constitutional flexibility of EU law, </w:t>
      </w:r>
      <w:proofErr w:type="spellStart"/>
      <w:r w:rsidRPr="00AD6FBD">
        <w:rPr>
          <w:rFonts w:ascii="Times New Roman" w:hAnsi="Times New Roman"/>
          <w:lang w:val="en-HK"/>
        </w:rPr>
        <w:t>favoring</w:t>
      </w:r>
      <w:proofErr w:type="spellEnd"/>
      <w:r w:rsidRPr="00AD6FBD">
        <w:rPr>
          <w:rFonts w:ascii="Times New Roman" w:hAnsi="Times New Roman"/>
          <w:lang w:val="en-HK"/>
        </w:rPr>
        <w:t xml:space="preserve"> rigid legislative controls over judicial oversight.”</w:t>
      </w:r>
    </w:p>
    <w:p w14:paraId="79121C3D"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499D9780">
          <v:rect id="_x0000_i1042" alt="" style="width:451.3pt;height:.05pt;mso-width-percent:0;mso-height-percent:0;mso-width-percent:0;mso-height-percent:0" o:hralign="center" o:hrstd="t" o:hr="t" fillcolor="#a0a0a0" stroked="f"/>
        </w:pict>
      </w:r>
    </w:p>
    <w:p w14:paraId="46D24BB8"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Mutual Recognition in Practice</w:t>
      </w:r>
    </w:p>
    <w:p w14:paraId="0CAF998E" w14:textId="77777777" w:rsidR="00AD6FBD" w:rsidRPr="00AD6FBD" w:rsidRDefault="00AD6FBD" w:rsidP="00AD6FBD">
      <w:pPr>
        <w:numPr>
          <w:ilvl w:val="0"/>
          <w:numId w:val="9"/>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Goods</w:t>
      </w:r>
    </w:p>
    <w:p w14:paraId="47A2898B" w14:textId="77777777" w:rsidR="00AD6FBD" w:rsidRPr="00AD6FBD" w:rsidRDefault="00AD6FBD" w:rsidP="00AD6FBD">
      <w:pPr>
        <w:numPr>
          <w:ilvl w:val="1"/>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Section 3(3) provides a statutory list of "relevant requirements" covered by the mutual recognition principle, including:</w:t>
      </w:r>
    </w:p>
    <w:p w14:paraId="418372BC" w14:textId="77777777" w:rsidR="00AD6FBD" w:rsidRPr="00AD6FBD" w:rsidRDefault="00AD6FBD" w:rsidP="00AD6FBD">
      <w:pPr>
        <w:numPr>
          <w:ilvl w:val="2"/>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Characteristics of goods (e.g., composition, quality, </w:t>
      </w:r>
      <w:proofErr w:type="spellStart"/>
      <w:r w:rsidRPr="00AD6FBD">
        <w:rPr>
          <w:rFonts w:ascii="Times New Roman" w:hAnsi="Times New Roman"/>
          <w:lang w:val="en-HK"/>
        </w:rPr>
        <w:t>labeling</w:t>
      </w:r>
      <w:proofErr w:type="spellEnd"/>
      <w:r w:rsidRPr="00AD6FBD">
        <w:rPr>
          <w:rFonts w:ascii="Times New Roman" w:hAnsi="Times New Roman"/>
          <w:lang w:val="en-HK"/>
        </w:rPr>
        <w:t>).</w:t>
      </w:r>
    </w:p>
    <w:p w14:paraId="6AD57CF2" w14:textId="77777777" w:rsidR="00AD6FBD" w:rsidRPr="00AD6FBD" w:rsidRDefault="00AD6FBD" w:rsidP="00AD6FBD">
      <w:pPr>
        <w:numPr>
          <w:ilvl w:val="2"/>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Production methods.</w:t>
      </w:r>
    </w:p>
    <w:p w14:paraId="1B274A46" w14:textId="77777777" w:rsidR="00AD6FBD" w:rsidRPr="00AD6FBD" w:rsidRDefault="00AD6FBD" w:rsidP="00AD6FBD">
      <w:pPr>
        <w:numPr>
          <w:ilvl w:val="2"/>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Presentation and marketing (e.g., packaging, branding).</w:t>
      </w:r>
    </w:p>
    <w:p w14:paraId="4D592ABB"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Operational Impact</w:t>
      </w:r>
      <w:r w:rsidRPr="00AD6FBD">
        <w:rPr>
          <w:rFonts w:ascii="Times New Roman" w:hAnsi="Times New Roman"/>
          <w:lang w:val="en-HK"/>
        </w:rPr>
        <w:t>:</w:t>
      </w:r>
    </w:p>
    <w:p w14:paraId="70C936D3" w14:textId="77777777" w:rsidR="00AD6FBD" w:rsidRPr="00AD6FBD" w:rsidRDefault="00AD6FBD" w:rsidP="00AD6FBD">
      <w:pPr>
        <w:numPr>
          <w:ilvl w:val="1"/>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Goods lawfully sold in one part of the UK can bypass local requirements in other parts, creating a system of </w:t>
      </w:r>
      <w:r w:rsidRPr="00AD6FBD">
        <w:rPr>
          <w:rFonts w:ascii="Times New Roman" w:hAnsi="Times New Roman"/>
          <w:i/>
          <w:iCs/>
          <w:lang w:val="en-HK"/>
        </w:rPr>
        <w:t>country of origin regulation</w:t>
      </w:r>
      <w:r w:rsidRPr="00AD6FBD">
        <w:rPr>
          <w:rFonts w:ascii="Times New Roman" w:hAnsi="Times New Roman"/>
          <w:lang w:val="en-HK"/>
        </w:rPr>
        <w:t>.</w:t>
      </w:r>
    </w:p>
    <w:p w14:paraId="72493642" w14:textId="77777777" w:rsidR="00AD6FBD" w:rsidRPr="00AD6FBD" w:rsidRDefault="00AD6FBD" w:rsidP="00AD6FBD">
      <w:pPr>
        <w:numPr>
          <w:ilvl w:val="1"/>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For example, if Scotland imposes stricter environmental standards on packaging, goods from England complying with English rules can still be sold in Scotland.</w:t>
      </w:r>
    </w:p>
    <w:p w14:paraId="7DB37AAF"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Deviation from EU Law</w:t>
      </w:r>
      <w:r w:rsidRPr="00AD6FBD">
        <w:rPr>
          <w:rFonts w:ascii="Times New Roman" w:hAnsi="Times New Roman"/>
          <w:lang w:val="en-HK"/>
        </w:rPr>
        <w:t>:</w:t>
      </w:r>
    </w:p>
    <w:p w14:paraId="69767D63" w14:textId="77777777" w:rsidR="00AD6FBD" w:rsidRPr="00AD6FBD" w:rsidRDefault="00AD6FBD" w:rsidP="00AD6FBD">
      <w:pPr>
        <w:numPr>
          <w:ilvl w:val="1"/>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EU law operates under a presumptive "country of origin" principle but allows Member States to rebut this presumption by invoking public policy exceptions (e.g., proportionality test in </w:t>
      </w:r>
      <w:r w:rsidRPr="00AD6FBD">
        <w:rPr>
          <w:rFonts w:ascii="Times New Roman" w:hAnsi="Times New Roman"/>
          <w:i/>
          <w:iCs/>
          <w:lang w:val="en-HK"/>
        </w:rPr>
        <w:t>Cassis de Dijon</w:t>
      </w:r>
      <w:r w:rsidRPr="00AD6FBD">
        <w:rPr>
          <w:rFonts w:ascii="Times New Roman" w:hAnsi="Times New Roman"/>
          <w:lang w:val="en-HK"/>
        </w:rPr>
        <w:t xml:space="preserve">). The UKIM Act, however, </w:t>
      </w:r>
      <w:proofErr w:type="spellStart"/>
      <w:r w:rsidRPr="00AD6FBD">
        <w:rPr>
          <w:rFonts w:ascii="Times New Roman" w:hAnsi="Times New Roman"/>
          <w:lang w:val="en-HK"/>
        </w:rPr>
        <w:t>preempts</w:t>
      </w:r>
      <w:proofErr w:type="spellEnd"/>
      <w:r w:rsidRPr="00AD6FBD">
        <w:rPr>
          <w:rFonts w:ascii="Times New Roman" w:hAnsi="Times New Roman"/>
          <w:lang w:val="en-HK"/>
        </w:rPr>
        <w:t xml:space="preserve"> local rules without proportionality analysis.</w:t>
      </w:r>
    </w:p>
    <w:p w14:paraId="01B53BE0"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Statutory Derogations</w:t>
      </w:r>
      <w:r w:rsidRPr="00AD6FBD">
        <w:rPr>
          <w:rFonts w:ascii="Times New Roman" w:hAnsi="Times New Roman"/>
          <w:lang w:val="en-HK"/>
        </w:rPr>
        <w:t>:</w:t>
      </w:r>
    </w:p>
    <w:p w14:paraId="20C6ABFC" w14:textId="77777777" w:rsidR="00AD6FBD" w:rsidRPr="00AD6FBD" w:rsidRDefault="00AD6FBD" w:rsidP="00AD6FBD">
      <w:pPr>
        <w:numPr>
          <w:ilvl w:val="1"/>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Schedule 1 lists exceptions to mutual recognition, including:</w:t>
      </w:r>
    </w:p>
    <w:p w14:paraId="00C0B174" w14:textId="77777777" w:rsidR="00AD6FBD" w:rsidRPr="00AD6FBD" w:rsidRDefault="00AD6FBD" w:rsidP="00AD6FBD">
      <w:pPr>
        <w:numPr>
          <w:ilvl w:val="2"/>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Measures to control pests or diseases.</w:t>
      </w:r>
    </w:p>
    <w:p w14:paraId="7B645D85" w14:textId="77777777" w:rsidR="00AD6FBD" w:rsidRPr="00AD6FBD" w:rsidRDefault="00AD6FBD" w:rsidP="00AD6FBD">
      <w:pPr>
        <w:numPr>
          <w:ilvl w:val="2"/>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Food safety regulations.</w:t>
      </w:r>
    </w:p>
    <w:p w14:paraId="5464A1DD" w14:textId="77777777" w:rsidR="00AD6FBD" w:rsidRPr="00AD6FBD" w:rsidRDefault="00AD6FBD" w:rsidP="00AD6FBD">
      <w:pPr>
        <w:numPr>
          <w:ilvl w:val="2"/>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Chemical control under the REACH regime.</w:t>
      </w:r>
    </w:p>
    <w:p w14:paraId="33A28BE7"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Critiques</w:t>
      </w:r>
      <w:r w:rsidRPr="00AD6FBD">
        <w:rPr>
          <w:rFonts w:ascii="Times New Roman" w:hAnsi="Times New Roman"/>
          <w:lang w:val="en-HK"/>
        </w:rPr>
        <w:t>:</w:t>
      </w:r>
    </w:p>
    <w:p w14:paraId="7DDDF6FA" w14:textId="77777777" w:rsidR="00AD6FBD" w:rsidRPr="00AD6FBD" w:rsidRDefault="00AD6FBD" w:rsidP="00AD6FBD">
      <w:pPr>
        <w:numPr>
          <w:ilvl w:val="1"/>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xml:space="preserve">, 2022): “By </w:t>
      </w:r>
      <w:proofErr w:type="spellStart"/>
      <w:r w:rsidRPr="00AD6FBD">
        <w:rPr>
          <w:rFonts w:ascii="Times New Roman" w:hAnsi="Times New Roman"/>
          <w:lang w:val="en-HK"/>
        </w:rPr>
        <w:t>preemptively</w:t>
      </w:r>
      <w:proofErr w:type="spellEnd"/>
      <w:r w:rsidRPr="00AD6FBD">
        <w:rPr>
          <w:rFonts w:ascii="Times New Roman" w:hAnsi="Times New Roman"/>
          <w:lang w:val="en-HK"/>
        </w:rPr>
        <w:t xml:space="preserve"> excluding proportionality analysis, the UKIM Act diminishes devolved administrations’ ability to pursue localized public policy objectives.”</w:t>
      </w:r>
    </w:p>
    <w:p w14:paraId="4758E1C3" w14:textId="77777777" w:rsidR="00AD6FBD" w:rsidRPr="00AD6FBD" w:rsidRDefault="00AD6FBD" w:rsidP="00AD6FBD">
      <w:pPr>
        <w:numPr>
          <w:ilvl w:val="0"/>
          <w:numId w:val="9"/>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Services</w:t>
      </w:r>
    </w:p>
    <w:p w14:paraId="37D9C2F1" w14:textId="77777777" w:rsidR="00AD6FBD" w:rsidRPr="00AD6FBD" w:rsidRDefault="00AD6FBD" w:rsidP="00AD6FBD">
      <w:pPr>
        <w:numPr>
          <w:ilvl w:val="1"/>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The mutual recognition principle extends to service providers, particularly in the regulation of "authorizations" (e.g., licenses).</w:t>
      </w:r>
    </w:p>
    <w:p w14:paraId="38186DDE" w14:textId="77777777" w:rsidR="00AD6FBD" w:rsidRPr="00AD6FBD" w:rsidRDefault="00AD6FBD" w:rsidP="00AD6FBD">
      <w:pPr>
        <w:numPr>
          <w:ilvl w:val="1"/>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Existing services regulations (transposed from EU law) continue to apply unless explicitly repealed or amended by the UKIM Act.</w:t>
      </w:r>
    </w:p>
    <w:p w14:paraId="1C3BC115"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Statutory Exemptions</w:t>
      </w:r>
      <w:r w:rsidRPr="00AD6FBD">
        <w:rPr>
          <w:rFonts w:ascii="Times New Roman" w:hAnsi="Times New Roman"/>
          <w:lang w:val="en-HK"/>
        </w:rPr>
        <w:t>:</w:t>
      </w:r>
    </w:p>
    <w:p w14:paraId="3B6AF787" w14:textId="77777777" w:rsidR="00AD6FBD" w:rsidRPr="00AD6FBD" w:rsidRDefault="00AD6FBD" w:rsidP="00AD6FBD">
      <w:pPr>
        <w:numPr>
          <w:ilvl w:val="1"/>
          <w:numId w:val="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Schedule 2 excludes specific services (e.g., healthcare, waste management) from mutual recognition, maintaining partial alignment with EU law.</w:t>
      </w:r>
    </w:p>
    <w:p w14:paraId="11A6D907"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3DC9F8B2">
          <v:rect id="_x0000_i1041" alt="" style="width:451.3pt;height:.05pt;mso-width-percent:0;mso-height-percent:0;mso-width-percent:0;mso-height-percent:0" o:hralign="center" o:hrstd="t" o:hr="t" fillcolor="#a0a0a0" stroked="f"/>
        </w:pict>
      </w:r>
    </w:p>
    <w:p w14:paraId="48E092FF" w14:textId="77777777" w:rsidR="00AD6FBD" w:rsidRPr="00AD6FBD" w:rsidRDefault="00AD6FBD" w:rsidP="00AD6FBD">
      <w:pPr>
        <w:spacing w:before="100" w:beforeAutospacing="1" w:after="100" w:afterAutospacing="1" w:line="276" w:lineRule="auto"/>
        <w:outlineLvl w:val="3"/>
        <w:rPr>
          <w:rFonts w:ascii="Times New Roman" w:hAnsi="Times New Roman"/>
          <w:b/>
          <w:bCs/>
          <w:u w:val="single"/>
          <w:lang w:val="en-HK"/>
        </w:rPr>
      </w:pPr>
      <w:r w:rsidRPr="00AD6FBD">
        <w:rPr>
          <w:rFonts w:ascii="Times New Roman" w:hAnsi="Times New Roman"/>
          <w:b/>
          <w:bCs/>
          <w:u w:val="single"/>
          <w:lang w:val="en-HK"/>
        </w:rPr>
        <w:t>Non-Discrimination in Practice</w:t>
      </w:r>
    </w:p>
    <w:p w14:paraId="6A7415FA" w14:textId="77777777" w:rsidR="00AD6FBD" w:rsidRPr="00AD6FBD" w:rsidRDefault="00AD6FBD" w:rsidP="00AD6FBD">
      <w:pPr>
        <w:numPr>
          <w:ilvl w:val="0"/>
          <w:numId w:val="10"/>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Direct and Indirect Discrimination</w:t>
      </w:r>
    </w:p>
    <w:p w14:paraId="027C13C1" w14:textId="77777777" w:rsidR="00AD6FBD" w:rsidRPr="00AD6FBD" w:rsidRDefault="00AD6FBD" w:rsidP="00AD6FBD">
      <w:pPr>
        <w:numPr>
          <w:ilvl w:val="1"/>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Section 6 distinguishes between:</w:t>
      </w:r>
    </w:p>
    <w:p w14:paraId="6D0E9738" w14:textId="77777777" w:rsidR="00AD6FBD" w:rsidRPr="00AD6FBD" w:rsidRDefault="00AD6FBD" w:rsidP="00AD6FBD">
      <w:pPr>
        <w:numPr>
          <w:ilvl w:val="2"/>
          <w:numId w:val="10"/>
        </w:numPr>
        <w:spacing w:before="100" w:beforeAutospacing="1" w:after="100" w:afterAutospacing="1" w:line="276" w:lineRule="auto"/>
        <w:rPr>
          <w:rFonts w:ascii="Times New Roman" w:hAnsi="Times New Roman"/>
          <w:lang w:val="en-HK"/>
        </w:rPr>
      </w:pPr>
      <w:r w:rsidRPr="00AD6FBD">
        <w:rPr>
          <w:rFonts w:ascii="Times New Roman" w:hAnsi="Times New Roman"/>
          <w:i/>
          <w:iCs/>
          <w:lang w:val="en-HK"/>
        </w:rPr>
        <w:t>Direct discrimination</w:t>
      </w:r>
      <w:r w:rsidRPr="00AD6FBD">
        <w:rPr>
          <w:rFonts w:ascii="Times New Roman" w:hAnsi="Times New Roman"/>
          <w:lang w:val="en-HK"/>
        </w:rPr>
        <w:t>: Regulatory requirements explicitly treating goods/services differently based on origin.</w:t>
      </w:r>
    </w:p>
    <w:p w14:paraId="63CC43D1" w14:textId="77777777" w:rsidR="00AD6FBD" w:rsidRPr="00AD6FBD" w:rsidRDefault="00AD6FBD" w:rsidP="00AD6FBD">
      <w:pPr>
        <w:numPr>
          <w:ilvl w:val="2"/>
          <w:numId w:val="10"/>
        </w:numPr>
        <w:spacing w:before="100" w:beforeAutospacing="1" w:after="100" w:afterAutospacing="1" w:line="276" w:lineRule="auto"/>
        <w:rPr>
          <w:rFonts w:ascii="Times New Roman" w:hAnsi="Times New Roman"/>
          <w:lang w:val="en-HK"/>
        </w:rPr>
      </w:pPr>
      <w:r w:rsidRPr="00AD6FBD">
        <w:rPr>
          <w:rFonts w:ascii="Times New Roman" w:hAnsi="Times New Roman"/>
          <w:i/>
          <w:iCs/>
          <w:lang w:val="en-HK"/>
        </w:rPr>
        <w:t>Indirect discrimination</w:t>
      </w:r>
      <w:r w:rsidRPr="00AD6FBD">
        <w:rPr>
          <w:rFonts w:ascii="Times New Roman" w:hAnsi="Times New Roman"/>
          <w:lang w:val="en-HK"/>
        </w:rPr>
        <w:t>: Neutral rules that disproportionately disadvantage goods/services from other parts of the UK.</w:t>
      </w:r>
    </w:p>
    <w:p w14:paraId="2E529F17"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Definitions and Thresholds</w:t>
      </w:r>
      <w:r w:rsidRPr="00AD6FBD">
        <w:rPr>
          <w:rFonts w:ascii="Times New Roman" w:hAnsi="Times New Roman"/>
          <w:lang w:val="en-HK"/>
        </w:rPr>
        <w:t>:</w:t>
      </w:r>
    </w:p>
    <w:p w14:paraId="32ADF9FE" w14:textId="77777777" w:rsidR="00AD6FBD" w:rsidRPr="00AD6FBD" w:rsidRDefault="00AD6FBD" w:rsidP="00AD6FBD">
      <w:pPr>
        <w:numPr>
          <w:ilvl w:val="1"/>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 "relevant requirement" imposes indirect discrimination if it makes trade "more difficult or less attractive" (Section 6(5)).</w:t>
      </w:r>
    </w:p>
    <w:p w14:paraId="575C476F" w14:textId="77777777" w:rsidR="00AD6FBD" w:rsidRPr="00AD6FBD" w:rsidRDefault="00AD6FBD" w:rsidP="00AD6FBD">
      <w:pPr>
        <w:numPr>
          <w:ilvl w:val="1"/>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However, indirect discrimination is only actionable if it causes a "significant adverse effect on competition" (Section 8).</w:t>
      </w:r>
    </w:p>
    <w:p w14:paraId="0A2D5614"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Examples</w:t>
      </w:r>
      <w:r w:rsidRPr="00AD6FBD">
        <w:rPr>
          <w:rFonts w:ascii="Times New Roman" w:hAnsi="Times New Roman"/>
          <w:lang w:val="en-HK"/>
        </w:rPr>
        <w:t>:</w:t>
      </w:r>
    </w:p>
    <w:p w14:paraId="084BEE33" w14:textId="77777777" w:rsidR="00AD6FBD" w:rsidRPr="00AD6FBD" w:rsidRDefault="00AD6FBD" w:rsidP="00AD6FBD">
      <w:pPr>
        <w:numPr>
          <w:ilvl w:val="1"/>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 Welsh regulation imposing higher safety standards on English goods would be directly discriminatory if it targets goods based on origin.</w:t>
      </w:r>
    </w:p>
    <w:p w14:paraId="63FDBF17" w14:textId="77777777" w:rsidR="00AD6FBD" w:rsidRPr="00AD6FBD" w:rsidRDefault="00AD6FBD" w:rsidP="00AD6FBD">
      <w:pPr>
        <w:numPr>
          <w:ilvl w:val="1"/>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 Scottish environmental regulation increasing production costs for all goods, but disproportionately affecting English producers, could be indirectly discriminatory.</w:t>
      </w:r>
    </w:p>
    <w:p w14:paraId="1898C7C6" w14:textId="77777777" w:rsidR="00AD6FBD" w:rsidRPr="00AD6FBD" w:rsidRDefault="00AD6FBD" w:rsidP="00AD6FBD">
      <w:pPr>
        <w:numPr>
          <w:ilvl w:val="0"/>
          <w:numId w:val="10"/>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Justifications for Discrimination</w:t>
      </w:r>
    </w:p>
    <w:p w14:paraId="3834B86B" w14:textId="77777777" w:rsidR="00AD6FBD" w:rsidRPr="00AD6FBD" w:rsidRDefault="00AD6FBD" w:rsidP="00AD6FBD">
      <w:pPr>
        <w:numPr>
          <w:ilvl w:val="1"/>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Schedule 1 limits the justifications for indirect discrimination to:</w:t>
      </w:r>
    </w:p>
    <w:p w14:paraId="5993B145" w14:textId="77777777" w:rsidR="00AD6FBD" w:rsidRPr="00AD6FBD" w:rsidRDefault="00AD6FBD" w:rsidP="00AD6FBD">
      <w:pPr>
        <w:numPr>
          <w:ilvl w:val="2"/>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Protection of human, animal, or plant life.</w:t>
      </w:r>
    </w:p>
    <w:p w14:paraId="12047A16" w14:textId="77777777" w:rsidR="00AD6FBD" w:rsidRPr="00AD6FBD" w:rsidRDefault="00AD6FBD" w:rsidP="00AD6FBD">
      <w:pPr>
        <w:numPr>
          <w:ilvl w:val="2"/>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Public safety and security.</w:t>
      </w:r>
    </w:p>
    <w:p w14:paraId="50CC658C"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Comparison to EU Law</w:t>
      </w:r>
      <w:r w:rsidRPr="00AD6FBD">
        <w:rPr>
          <w:rFonts w:ascii="Times New Roman" w:hAnsi="Times New Roman"/>
          <w:lang w:val="en-HK"/>
        </w:rPr>
        <w:t>:</w:t>
      </w:r>
    </w:p>
    <w:p w14:paraId="4C60979B" w14:textId="77777777" w:rsidR="00AD6FBD" w:rsidRPr="00AD6FBD" w:rsidRDefault="00AD6FBD" w:rsidP="00AD6FBD">
      <w:pPr>
        <w:numPr>
          <w:ilvl w:val="1"/>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EU law under Article 36 TFEU allows a broader range of justifications, including consumer protection and environmental concerns.</w:t>
      </w:r>
    </w:p>
    <w:p w14:paraId="30A4F6CB" w14:textId="77777777" w:rsidR="00AD6FBD" w:rsidRPr="00AD6FBD" w:rsidRDefault="00AD6FBD" w:rsidP="00AD6FBD">
      <w:pPr>
        <w:numPr>
          <w:ilvl w:val="1"/>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The UKIM Act’s closed list of justifications curtails judicial flexibility, consolidating power within the UK Parliament.</w:t>
      </w:r>
    </w:p>
    <w:p w14:paraId="439C8949"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Insights</w:t>
      </w:r>
      <w:r w:rsidRPr="00AD6FBD">
        <w:rPr>
          <w:rFonts w:ascii="Times New Roman" w:hAnsi="Times New Roman"/>
          <w:lang w:val="en-HK"/>
        </w:rPr>
        <w:t>:</w:t>
      </w:r>
    </w:p>
    <w:p w14:paraId="674B908E" w14:textId="77777777" w:rsidR="00AD6FBD" w:rsidRPr="00AD6FBD" w:rsidRDefault="00AD6FBD" w:rsidP="00AD6FBD">
      <w:pPr>
        <w:numPr>
          <w:ilvl w:val="1"/>
          <w:numId w:val="1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Snell (</w:t>
      </w:r>
      <w:r w:rsidRPr="00AD6FBD">
        <w:rPr>
          <w:rFonts w:ascii="Times New Roman" w:hAnsi="Times New Roman"/>
          <w:i/>
          <w:iCs/>
          <w:lang w:val="en-HK"/>
        </w:rPr>
        <w:t>Common Market Law Review</w:t>
      </w:r>
      <w:r w:rsidRPr="00AD6FBD">
        <w:rPr>
          <w:rFonts w:ascii="Times New Roman" w:hAnsi="Times New Roman"/>
          <w:lang w:val="en-HK"/>
        </w:rPr>
        <w:t>, 2010): “The UKIM Act’s restrictive approach to legitimate aims contrasts sharply with the dynamic and evolving framework of EU mandatory requirements.”</w:t>
      </w:r>
    </w:p>
    <w:p w14:paraId="58F58C06"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08568D6C">
          <v:rect id="_x0000_i1040" alt="" style="width:451.3pt;height:.05pt;mso-width-percent:0;mso-height-percent:0;mso-width-percent:0;mso-height-percent:0" o:hralign="center" o:hrstd="t" o:hr="t" fillcolor="#a0a0a0" stroked="f"/>
        </w:pict>
      </w:r>
    </w:p>
    <w:p w14:paraId="5F09A65B"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Regulatory Competition vs. Collaboration</w:t>
      </w:r>
    </w:p>
    <w:p w14:paraId="103FEBA5" w14:textId="77777777" w:rsidR="00AD6FBD" w:rsidRPr="00AD6FBD" w:rsidRDefault="00AD6FBD" w:rsidP="00AD6FBD">
      <w:pPr>
        <w:numPr>
          <w:ilvl w:val="0"/>
          <w:numId w:val="11"/>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Shift Toward Regulatory Competition</w:t>
      </w:r>
    </w:p>
    <w:p w14:paraId="7F3FD2B5" w14:textId="77777777" w:rsidR="00AD6FBD" w:rsidRPr="00AD6FBD" w:rsidRDefault="00AD6FBD" w:rsidP="00AD6FBD">
      <w:pPr>
        <w:numPr>
          <w:ilvl w:val="1"/>
          <w:numId w:val="1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The UKIM Act </w:t>
      </w:r>
      <w:proofErr w:type="spellStart"/>
      <w:r w:rsidRPr="00AD6FBD">
        <w:rPr>
          <w:rFonts w:ascii="Times New Roman" w:hAnsi="Times New Roman"/>
          <w:lang w:val="en-HK"/>
        </w:rPr>
        <w:t>favors</w:t>
      </w:r>
      <w:proofErr w:type="spellEnd"/>
      <w:r w:rsidRPr="00AD6FBD">
        <w:rPr>
          <w:rFonts w:ascii="Times New Roman" w:hAnsi="Times New Roman"/>
          <w:lang w:val="en-HK"/>
        </w:rPr>
        <w:t xml:space="preserve"> regulatory competition by enabling businesses to choose jurisdictions with lower regulatory burdens, potentially undermining devolved governments’ ability to enforce higher standards.</w:t>
      </w:r>
    </w:p>
    <w:p w14:paraId="4E836BAE"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Critiques</w:t>
      </w:r>
      <w:r w:rsidRPr="00AD6FBD">
        <w:rPr>
          <w:rFonts w:ascii="Times New Roman" w:hAnsi="Times New Roman"/>
          <w:lang w:val="en-HK"/>
        </w:rPr>
        <w:t>:</w:t>
      </w:r>
    </w:p>
    <w:p w14:paraId="22C6CAB4" w14:textId="77777777" w:rsidR="00AD6FBD" w:rsidRPr="00AD6FBD" w:rsidRDefault="00AD6FBD" w:rsidP="00AD6FBD">
      <w:pPr>
        <w:numPr>
          <w:ilvl w:val="1"/>
          <w:numId w:val="1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xml:space="preserve">, 2022): “The </w:t>
      </w:r>
      <w:proofErr w:type="spellStart"/>
      <w:r w:rsidRPr="00AD6FBD">
        <w:rPr>
          <w:rFonts w:ascii="Times New Roman" w:hAnsi="Times New Roman"/>
          <w:lang w:val="en-HK"/>
        </w:rPr>
        <w:t>preemptive</w:t>
      </w:r>
      <w:proofErr w:type="spellEnd"/>
      <w:r w:rsidRPr="00AD6FBD">
        <w:rPr>
          <w:rFonts w:ascii="Times New Roman" w:hAnsi="Times New Roman"/>
          <w:lang w:val="en-HK"/>
        </w:rPr>
        <w:t xml:space="preserve"> allocation of regulatory authority to the originating jurisdiction creates a competitive ‘race to the bottom’ in standards.”</w:t>
      </w:r>
    </w:p>
    <w:p w14:paraId="3F5B22B9" w14:textId="77777777" w:rsidR="00AD6FBD" w:rsidRPr="00AD6FBD" w:rsidRDefault="00AD6FBD" w:rsidP="00AD6FBD">
      <w:pPr>
        <w:numPr>
          <w:ilvl w:val="0"/>
          <w:numId w:val="11"/>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Limited Scope for Collaboration</w:t>
      </w:r>
    </w:p>
    <w:p w14:paraId="264FEA0D" w14:textId="77777777" w:rsidR="00AD6FBD" w:rsidRPr="00AD6FBD" w:rsidRDefault="00AD6FBD" w:rsidP="00AD6FBD">
      <w:pPr>
        <w:numPr>
          <w:ilvl w:val="1"/>
          <w:numId w:val="1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While EU law fosters collaborative governance through harmonization and subsidiarity, the UKIM Act provides no mechanisms for intergovernmental negotiation or consensus-building.</w:t>
      </w:r>
    </w:p>
    <w:p w14:paraId="498AFBAB" w14:textId="1EA3028E" w:rsidR="00AD6FBD" w:rsidRPr="00AD6FBD" w:rsidRDefault="00AD6FBD" w:rsidP="00AD6FBD">
      <w:pPr>
        <w:numPr>
          <w:ilvl w:val="1"/>
          <w:numId w:val="1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For example, the Act does not require consultation with devolved administrations before amending market access principles or exclusions.</w:t>
      </w:r>
    </w:p>
    <w:p w14:paraId="73E5B4B9"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Conclusion</w:t>
      </w:r>
    </w:p>
    <w:p w14:paraId="4E5302BC" w14:textId="77777777" w:rsidR="00AD6FBD" w:rsidRPr="00AD6FBD" w:rsidRDefault="00AD6FBD" w:rsidP="00AD6FBD">
      <w:pPr>
        <w:numPr>
          <w:ilvl w:val="0"/>
          <w:numId w:val="1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substitutes the EU's constitutionalized internal market governance with a statutory framework, prioritizing legislative control over judicial discretion.</w:t>
      </w:r>
    </w:p>
    <w:p w14:paraId="619CC4EE" w14:textId="77777777" w:rsidR="00AD6FBD" w:rsidRPr="00AD6FBD" w:rsidRDefault="00AD6FBD" w:rsidP="00AD6FBD">
      <w:pPr>
        <w:numPr>
          <w:ilvl w:val="0"/>
          <w:numId w:val="1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The principles of mutual recognition and non-discrimination are narrowly defined, </w:t>
      </w:r>
      <w:proofErr w:type="spellStart"/>
      <w:r w:rsidRPr="00AD6FBD">
        <w:rPr>
          <w:rFonts w:ascii="Times New Roman" w:hAnsi="Times New Roman"/>
          <w:lang w:val="en-HK"/>
        </w:rPr>
        <w:t>favoring</w:t>
      </w:r>
      <w:proofErr w:type="spellEnd"/>
      <w:r w:rsidRPr="00AD6FBD">
        <w:rPr>
          <w:rFonts w:ascii="Times New Roman" w:hAnsi="Times New Roman"/>
          <w:lang w:val="en-HK"/>
        </w:rPr>
        <w:t xml:space="preserve"> regulatory competition at the expense of devolved autonomy.</w:t>
      </w:r>
    </w:p>
    <w:p w14:paraId="563BC81C" w14:textId="77777777" w:rsidR="00AD6FBD" w:rsidRPr="00AD6FBD" w:rsidRDefault="00AD6FBD" w:rsidP="00AD6FBD">
      <w:pPr>
        <w:numPr>
          <w:ilvl w:val="0"/>
          <w:numId w:val="1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Act represents a deliberate recalibration of internal market governance, aligning with Westminster's vision of centralized authority but diverging sharply from EU-style subsidiarity and judicial oversight.</w:t>
      </w:r>
    </w:p>
    <w:p w14:paraId="1411C0B5" w14:textId="3A6CFB59" w:rsidR="00CD39F1" w:rsidRPr="00AD6FBD" w:rsidRDefault="00180838" w:rsidP="00AD6FBD">
      <w:pPr>
        <w:spacing w:line="276" w:lineRule="auto"/>
        <w:rPr>
          <w:rFonts w:ascii="Times New Roman" w:hAnsi="Times New Roman"/>
        </w:rPr>
      </w:pPr>
      <w:r w:rsidRPr="00180838">
        <w:rPr>
          <w:rFonts w:ascii="Times New Roman" w:hAnsi="Times New Roman"/>
          <w:noProof/>
          <w:lang w:val="en-HK"/>
          <w14:ligatures w14:val="standardContextual"/>
        </w:rPr>
        <w:pict w14:anchorId="01F361CC">
          <v:rect id="_x0000_i1039" alt="" style="width:451.3pt;height:.05pt;mso-width-percent:0;mso-height-percent:0;mso-width-percent:0;mso-height-percent:0" o:hralign="center" o:hrstd="t" o:hr="t" fillcolor="#a0a0a0" stroked="f"/>
        </w:pict>
      </w:r>
    </w:p>
    <w:p w14:paraId="5B560BD8" w14:textId="77777777" w:rsidR="00AD6FBD" w:rsidRPr="00AD6FBD" w:rsidRDefault="00AD6FBD" w:rsidP="00AD6FBD">
      <w:pPr>
        <w:spacing w:before="100" w:beforeAutospacing="1" w:after="100" w:afterAutospacing="1" w:line="276" w:lineRule="auto"/>
        <w:outlineLvl w:val="2"/>
        <w:rPr>
          <w:rFonts w:ascii="Times New Roman" w:hAnsi="Times New Roman"/>
          <w:b/>
          <w:bCs/>
          <w:lang w:val="en-HK"/>
        </w:rPr>
      </w:pPr>
      <w:r w:rsidRPr="00AD6FBD">
        <w:rPr>
          <w:rFonts w:ascii="Times New Roman" w:hAnsi="Times New Roman"/>
          <w:b/>
          <w:bCs/>
          <w:lang w:val="en-HK"/>
        </w:rPr>
        <w:t>Section 3: De-/Re-Constitutionalising the Internal Market</w:t>
      </w:r>
    </w:p>
    <w:p w14:paraId="0F1148EB" w14:textId="77777777" w:rsidR="00AD6FBD" w:rsidRPr="00AD6FBD" w:rsidRDefault="00AD6FBD" w:rsidP="00AD6FBD">
      <w:p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 xml:space="preserve">This section of the article examines the constitutional implications of the United Kingdom Internal Market (UKIM) Act 2020. It </w:t>
      </w:r>
      <w:proofErr w:type="spellStart"/>
      <w:r w:rsidRPr="00AD6FBD">
        <w:rPr>
          <w:rFonts w:ascii="Times New Roman" w:hAnsi="Times New Roman"/>
          <w:lang w:val="en-HK"/>
        </w:rPr>
        <w:t>analyzes</w:t>
      </w:r>
      <w:proofErr w:type="spellEnd"/>
      <w:r w:rsidRPr="00AD6FBD">
        <w:rPr>
          <w:rFonts w:ascii="Times New Roman" w:hAnsi="Times New Roman"/>
          <w:lang w:val="en-HK"/>
        </w:rPr>
        <w:t xml:space="preserve"> the Act’s approach to de-constitutionalizing market governance and how this contrasts with EU internal market governance.</w:t>
      </w:r>
    </w:p>
    <w:p w14:paraId="252724FB"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1632D713">
          <v:rect id="_x0000_i1038" alt="" style="width:451.3pt;height:.05pt;mso-width-percent:0;mso-height-percent:0;mso-width-percent:0;mso-height-percent:0" o:hralign="center" o:hrstd="t" o:hr="t" fillcolor="#a0a0a0" stroked="f"/>
        </w:pict>
      </w:r>
    </w:p>
    <w:p w14:paraId="69C28134"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1. De-</w:t>
      </w:r>
      <w:proofErr w:type="spellStart"/>
      <w:r w:rsidRPr="00AD6FBD">
        <w:rPr>
          <w:rFonts w:ascii="Times New Roman" w:hAnsi="Times New Roman"/>
          <w:b/>
          <w:bCs/>
          <w:lang w:val="en-HK"/>
        </w:rPr>
        <w:t>Constitutionalisation</w:t>
      </w:r>
      <w:proofErr w:type="spellEnd"/>
      <w:r w:rsidRPr="00AD6FBD">
        <w:rPr>
          <w:rFonts w:ascii="Times New Roman" w:hAnsi="Times New Roman"/>
          <w:b/>
          <w:bCs/>
          <w:lang w:val="en-HK"/>
        </w:rPr>
        <w:t xml:space="preserve"> of Market Governance</w:t>
      </w:r>
    </w:p>
    <w:p w14:paraId="65E3A7CB" w14:textId="77777777" w:rsidR="00AD6FBD" w:rsidRPr="00AD6FBD" w:rsidRDefault="00AD6FBD" w:rsidP="00AD6FBD">
      <w:pPr>
        <w:numPr>
          <w:ilvl w:val="0"/>
          <w:numId w:val="13"/>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Statutory Replacement of Constitutional Principles</w:t>
      </w:r>
    </w:p>
    <w:p w14:paraId="69A8F2E8"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departs from the constitutional model of the EU internal market, which is characterized by the direct effect and primacy of EU law over national laws.</w:t>
      </w:r>
    </w:p>
    <w:p w14:paraId="117B9828"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Instead, the Act embeds market governance within a statutory framework that emphasizes legislative supremacy and limits judicial discretion.</w:t>
      </w:r>
    </w:p>
    <w:p w14:paraId="4D890342"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Statutory Provisions</w:t>
      </w:r>
      <w:r w:rsidRPr="00AD6FBD">
        <w:rPr>
          <w:rFonts w:ascii="Times New Roman" w:hAnsi="Times New Roman"/>
          <w:lang w:val="en-HK"/>
        </w:rPr>
        <w:t>:</w:t>
      </w:r>
    </w:p>
    <w:p w14:paraId="1C4ED4D1"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Section 1(4) of the UKIM Act explicitly states:</w:t>
      </w:r>
    </w:p>
    <w:p w14:paraId="1747279A" w14:textId="77777777" w:rsidR="00AD6FBD" w:rsidRPr="00AD6FBD" w:rsidRDefault="00AD6FBD" w:rsidP="00AD6FBD">
      <w:pPr>
        <w:spacing w:beforeAutospacing="1" w:afterAutospacing="1" w:line="276" w:lineRule="auto"/>
        <w:ind w:left="2160"/>
        <w:rPr>
          <w:rFonts w:ascii="Times New Roman" w:hAnsi="Times New Roman"/>
          <w:lang w:val="en-HK"/>
        </w:rPr>
      </w:pPr>
      <w:r w:rsidRPr="00AD6FBD">
        <w:rPr>
          <w:rFonts w:ascii="Times New Roman" w:hAnsi="Times New Roman"/>
          <w:lang w:val="en-HK"/>
        </w:rPr>
        <w:t>"The mutual recognition and non-discrimination principles have no direct legal effect beyond the provisions of this Act."</w:t>
      </w:r>
    </w:p>
    <w:p w14:paraId="1FC6F1F9"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provision ensures that the Act’s principles are purely statutory and do not acquire constitutional status.</w:t>
      </w:r>
    </w:p>
    <w:p w14:paraId="2E3DABAF"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Key Difference from EU Law</w:t>
      </w:r>
      <w:r w:rsidRPr="00AD6FBD">
        <w:rPr>
          <w:rFonts w:ascii="Times New Roman" w:hAnsi="Times New Roman"/>
          <w:lang w:val="en-HK"/>
        </w:rPr>
        <w:t>:</w:t>
      </w:r>
    </w:p>
    <w:p w14:paraId="0EF02454"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In the EU, market governance is constitutionalized through the Treaty on the Functioning of the European Union (TFEU), which gives legal effect to fundamental principles such as proportionality and mutual recognition.</w:t>
      </w:r>
    </w:p>
    <w:p w14:paraId="2DAE767F"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Cases like </w:t>
      </w:r>
      <w:r w:rsidRPr="00AD6FBD">
        <w:rPr>
          <w:rFonts w:ascii="Times New Roman" w:hAnsi="Times New Roman"/>
          <w:i/>
          <w:iCs/>
          <w:lang w:val="en-HK"/>
        </w:rPr>
        <w:t xml:space="preserve">Van </w:t>
      </w:r>
      <w:proofErr w:type="spellStart"/>
      <w:r w:rsidRPr="00AD6FBD">
        <w:rPr>
          <w:rFonts w:ascii="Times New Roman" w:hAnsi="Times New Roman"/>
          <w:i/>
          <w:iCs/>
          <w:lang w:val="en-HK"/>
        </w:rPr>
        <w:t>Gend</w:t>
      </w:r>
      <w:proofErr w:type="spellEnd"/>
      <w:r w:rsidRPr="00AD6FBD">
        <w:rPr>
          <w:rFonts w:ascii="Times New Roman" w:hAnsi="Times New Roman"/>
          <w:i/>
          <w:iCs/>
          <w:lang w:val="en-HK"/>
        </w:rPr>
        <w:t xml:space="preserve"> </w:t>
      </w:r>
      <w:proofErr w:type="spellStart"/>
      <w:r w:rsidRPr="00AD6FBD">
        <w:rPr>
          <w:rFonts w:ascii="Times New Roman" w:hAnsi="Times New Roman"/>
          <w:i/>
          <w:iCs/>
          <w:lang w:val="en-HK"/>
        </w:rPr>
        <w:t>en</w:t>
      </w:r>
      <w:proofErr w:type="spellEnd"/>
      <w:r w:rsidRPr="00AD6FBD">
        <w:rPr>
          <w:rFonts w:ascii="Times New Roman" w:hAnsi="Times New Roman"/>
          <w:i/>
          <w:iCs/>
          <w:lang w:val="en-HK"/>
        </w:rPr>
        <w:t xml:space="preserve"> Loos</w:t>
      </w:r>
      <w:r w:rsidRPr="00AD6FBD">
        <w:rPr>
          <w:rFonts w:ascii="Times New Roman" w:hAnsi="Times New Roman"/>
          <w:lang w:val="en-HK"/>
        </w:rPr>
        <w:t xml:space="preserve"> (Case 26/62) and </w:t>
      </w:r>
      <w:r w:rsidRPr="00AD6FBD">
        <w:rPr>
          <w:rFonts w:ascii="Times New Roman" w:hAnsi="Times New Roman"/>
          <w:i/>
          <w:iCs/>
          <w:lang w:val="en-HK"/>
        </w:rPr>
        <w:t>Costa v ENEL</w:t>
      </w:r>
      <w:r w:rsidRPr="00AD6FBD">
        <w:rPr>
          <w:rFonts w:ascii="Times New Roman" w:hAnsi="Times New Roman"/>
          <w:lang w:val="en-HK"/>
        </w:rPr>
        <w:t xml:space="preserve"> (Case 6/64) established the constitutional nature of EU internal market law.</w:t>
      </w:r>
    </w:p>
    <w:p w14:paraId="1904A0A9"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Opinions</w:t>
      </w:r>
      <w:r w:rsidRPr="00AD6FBD">
        <w:rPr>
          <w:rFonts w:ascii="Times New Roman" w:hAnsi="Times New Roman"/>
          <w:lang w:val="en-HK"/>
        </w:rPr>
        <w:t>:</w:t>
      </w:r>
    </w:p>
    <w:p w14:paraId="6194218C"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Grimm (</w:t>
      </w:r>
      <w:r w:rsidRPr="00AD6FBD">
        <w:rPr>
          <w:rFonts w:ascii="Times New Roman" w:hAnsi="Times New Roman"/>
          <w:i/>
          <w:iCs/>
          <w:lang w:val="en-HK"/>
        </w:rPr>
        <w:t>European Law Journal</w:t>
      </w:r>
      <w:r w:rsidRPr="00AD6FBD">
        <w:rPr>
          <w:rFonts w:ascii="Times New Roman" w:hAnsi="Times New Roman"/>
          <w:lang w:val="en-HK"/>
        </w:rPr>
        <w:t>, 2015): "De-</w:t>
      </w:r>
      <w:proofErr w:type="spellStart"/>
      <w:r w:rsidRPr="00AD6FBD">
        <w:rPr>
          <w:rFonts w:ascii="Times New Roman" w:hAnsi="Times New Roman"/>
          <w:lang w:val="en-HK"/>
        </w:rPr>
        <w:t>constitutionalisation</w:t>
      </w:r>
      <w:proofErr w:type="spellEnd"/>
      <w:r w:rsidRPr="00AD6FBD">
        <w:rPr>
          <w:rFonts w:ascii="Times New Roman" w:hAnsi="Times New Roman"/>
          <w:lang w:val="en-HK"/>
        </w:rPr>
        <w:t xml:space="preserve"> can restore democratic accountability by subjecting economic governance to the ordinary legislative process."</w:t>
      </w:r>
    </w:p>
    <w:p w14:paraId="0AD7F3DF"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2022): “The UKIM Act reflects a conscious choice to strip market governance of its constitutionalized, judicially enforced character.”</w:t>
      </w:r>
    </w:p>
    <w:p w14:paraId="19B356BB" w14:textId="77777777" w:rsidR="00AD6FBD" w:rsidRPr="00AD6FBD" w:rsidRDefault="00AD6FBD" w:rsidP="00AD6FBD">
      <w:pPr>
        <w:numPr>
          <w:ilvl w:val="0"/>
          <w:numId w:val="13"/>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Curtailment of Judicial Oversight</w:t>
      </w:r>
    </w:p>
    <w:p w14:paraId="1012F790"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Under the UKIM Act, courts are limited to interpreting and applying statutory provisions rather than developing constitutional principles.</w:t>
      </w:r>
    </w:p>
    <w:p w14:paraId="42B0088F"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Judicial oversight is restricted to assessing compliance with the statutory language, leaving little room for proportionality analysis or evolving jurisprudence.</w:t>
      </w:r>
    </w:p>
    <w:p w14:paraId="76452718"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Impact on Devolved Administrations</w:t>
      </w:r>
      <w:r w:rsidRPr="00AD6FBD">
        <w:rPr>
          <w:rFonts w:ascii="Times New Roman" w:hAnsi="Times New Roman"/>
          <w:lang w:val="en-HK"/>
        </w:rPr>
        <w:t>:</w:t>
      </w:r>
    </w:p>
    <w:p w14:paraId="55F9B90E"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removal of judicial discretion weakens devolved administrations’ ability to challenge market access rules imposed by Westminster.</w:t>
      </w:r>
    </w:p>
    <w:p w14:paraId="683D3928" w14:textId="77777777" w:rsidR="00AD6FBD" w:rsidRPr="00AD6FBD" w:rsidRDefault="00AD6FBD" w:rsidP="00AD6FBD">
      <w:pPr>
        <w:numPr>
          <w:ilvl w:val="1"/>
          <w:numId w:val="1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contrasts with the EU, where Member States can invoke proportionality to justify restrictive measures under Article 36 TFEU.</w:t>
      </w:r>
    </w:p>
    <w:p w14:paraId="0FC6A307"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3771A1AF">
          <v:rect id="_x0000_i1037" alt="" style="width:451.3pt;height:.05pt;mso-width-percent:0;mso-height-percent:0;mso-width-percent:0;mso-height-percent:0" o:hralign="center" o:hrstd="t" o:hr="t" fillcolor="#a0a0a0" stroked="f"/>
        </w:pict>
      </w:r>
    </w:p>
    <w:p w14:paraId="526901CF"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2. Re-</w:t>
      </w:r>
      <w:proofErr w:type="spellStart"/>
      <w:r w:rsidRPr="00AD6FBD">
        <w:rPr>
          <w:rFonts w:ascii="Times New Roman" w:hAnsi="Times New Roman"/>
          <w:b/>
          <w:bCs/>
          <w:lang w:val="en-HK"/>
        </w:rPr>
        <w:t>Constitutionalisation</w:t>
      </w:r>
      <w:proofErr w:type="spellEnd"/>
      <w:r w:rsidRPr="00AD6FBD">
        <w:rPr>
          <w:rFonts w:ascii="Times New Roman" w:hAnsi="Times New Roman"/>
          <w:b/>
          <w:bCs/>
          <w:lang w:val="en-HK"/>
        </w:rPr>
        <w:t xml:space="preserve"> through Legislative Supremacy</w:t>
      </w:r>
    </w:p>
    <w:p w14:paraId="217739DE" w14:textId="77777777" w:rsidR="00AD6FBD" w:rsidRPr="00AD6FBD" w:rsidRDefault="00AD6FBD" w:rsidP="00AD6FBD">
      <w:pPr>
        <w:numPr>
          <w:ilvl w:val="0"/>
          <w:numId w:val="14"/>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Reassertion of Parliamentary Sovereignty</w:t>
      </w:r>
    </w:p>
    <w:p w14:paraId="75F3C10D"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reasserts the supremacy of the UK Parliament in regulating the internal market, centralizing authority in Westminster.</w:t>
      </w:r>
    </w:p>
    <w:p w14:paraId="234213E6"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re-centralization represents a shift from the EU’s multilevel governance model, where authority is shared between the EU and Member States.</w:t>
      </w:r>
    </w:p>
    <w:p w14:paraId="390221EA"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Statutory Mechanisms</w:t>
      </w:r>
      <w:r w:rsidRPr="00AD6FBD">
        <w:rPr>
          <w:rFonts w:ascii="Times New Roman" w:hAnsi="Times New Roman"/>
          <w:lang w:val="en-HK"/>
        </w:rPr>
        <w:t>:</w:t>
      </w:r>
    </w:p>
    <w:p w14:paraId="21DBF32A"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Section 50 empowers the Secretary of State to amend or extend the scope of mutual recognition and non-discrimination principles through secondary legislation.</w:t>
      </w:r>
    </w:p>
    <w:p w14:paraId="0E0C4DFB"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delegation of power underscores the legislative dominance of the UK Parliament over market governance.</w:t>
      </w:r>
    </w:p>
    <w:p w14:paraId="091840BF"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Critique of Centralization</w:t>
      </w:r>
      <w:r w:rsidRPr="00AD6FBD">
        <w:rPr>
          <w:rFonts w:ascii="Times New Roman" w:hAnsi="Times New Roman"/>
          <w:lang w:val="en-HK"/>
        </w:rPr>
        <w:t>:</w:t>
      </w:r>
    </w:p>
    <w:p w14:paraId="02789976"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Some scholars argue that the UKIM Act undermines the devolved settlement by prioritizing Westminster’s vision of the internal market over the regulatory autonomy of Scotland, Wales, and Northern Ireland.</w:t>
      </w:r>
    </w:p>
    <w:p w14:paraId="67A3EE93"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Rawlings (</w:t>
      </w:r>
      <w:r w:rsidRPr="00AD6FBD">
        <w:rPr>
          <w:rFonts w:ascii="Times New Roman" w:hAnsi="Times New Roman"/>
          <w:i/>
          <w:iCs/>
          <w:lang w:val="en-HK"/>
        </w:rPr>
        <w:t>Public Law</w:t>
      </w:r>
      <w:r w:rsidRPr="00AD6FBD">
        <w:rPr>
          <w:rFonts w:ascii="Times New Roman" w:hAnsi="Times New Roman"/>
          <w:lang w:val="en-HK"/>
        </w:rPr>
        <w:t>, 2021): “The UKIM Act represents a legislative coup that marginalizes the role of devolved legislatures in shaping the internal market.”</w:t>
      </w:r>
    </w:p>
    <w:p w14:paraId="17046BC7" w14:textId="77777777" w:rsidR="00AD6FBD" w:rsidRPr="00AD6FBD" w:rsidRDefault="00AD6FBD" w:rsidP="00AD6FBD">
      <w:pPr>
        <w:numPr>
          <w:ilvl w:val="0"/>
          <w:numId w:val="14"/>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Tensions within the UK’s Territorial Constitution</w:t>
      </w:r>
    </w:p>
    <w:p w14:paraId="1FA76AC4"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has sparked significant constitutional conflict between Westminster and the devolved administrations.</w:t>
      </w:r>
    </w:p>
    <w:p w14:paraId="74B7A0E4"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Both the Scottish Parliament and the Welsh Senedd refused to grant legislative consent to the Act, citing concerns over its impact on devolved powers.</w:t>
      </w:r>
    </w:p>
    <w:p w14:paraId="43A433CE"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Constitutional Disputes</w:t>
      </w:r>
      <w:r w:rsidRPr="00AD6FBD">
        <w:rPr>
          <w:rFonts w:ascii="Times New Roman" w:hAnsi="Times New Roman"/>
          <w:lang w:val="en-HK"/>
        </w:rPr>
        <w:t>:</w:t>
      </w:r>
    </w:p>
    <w:p w14:paraId="0D642BBF"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The principle of mutual recognition prevents devolved administrations from imposing higher regulatory standards on goods and services originating from other parts of the UK.</w:t>
      </w:r>
    </w:p>
    <w:p w14:paraId="56EF03EB"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For example, Scotland’s proposed ban on single-use plastics could be overridden by the UKIM Act if such products are lawfully marketed in England.</w:t>
      </w:r>
    </w:p>
    <w:p w14:paraId="2A763DCB"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Judicial Commentary</w:t>
      </w:r>
      <w:r w:rsidRPr="00AD6FBD">
        <w:rPr>
          <w:rFonts w:ascii="Times New Roman" w:hAnsi="Times New Roman"/>
          <w:lang w:val="en-HK"/>
        </w:rPr>
        <w:t>:</w:t>
      </w:r>
    </w:p>
    <w:p w14:paraId="152D4C0C" w14:textId="77777777" w:rsidR="00AD6FBD" w:rsidRPr="00AD6FBD" w:rsidRDefault="00AD6FBD" w:rsidP="00AD6FBD">
      <w:pPr>
        <w:numPr>
          <w:ilvl w:val="1"/>
          <w:numId w:val="1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Lord Hope (</w:t>
      </w:r>
      <w:r w:rsidRPr="00AD6FBD">
        <w:rPr>
          <w:rFonts w:ascii="Times New Roman" w:hAnsi="Times New Roman"/>
          <w:i/>
          <w:iCs/>
          <w:lang w:val="en-HK"/>
        </w:rPr>
        <w:t>UK Constitutional Law Blog</w:t>
      </w:r>
      <w:r w:rsidRPr="00AD6FBD">
        <w:rPr>
          <w:rFonts w:ascii="Times New Roman" w:hAnsi="Times New Roman"/>
          <w:lang w:val="en-HK"/>
        </w:rPr>
        <w:t>, 2021): “The UKIM Act creates a framework that is legally unassailable but politically incendiary, highlighting the fragility of the UK’s territorial constitution.”</w:t>
      </w:r>
    </w:p>
    <w:p w14:paraId="05CB1DCA"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1D548FBE">
          <v:rect id="_x0000_i1036" alt="" style="width:451.3pt;height:.05pt;mso-width-percent:0;mso-height-percent:0;mso-width-percent:0;mso-height-percent:0" o:hralign="center" o:hrstd="t" o:hr="t" fillcolor="#a0a0a0" stroked="f"/>
        </w:pict>
      </w:r>
    </w:p>
    <w:p w14:paraId="5C426F0D"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3. Implications for Market Access and Governance</w:t>
      </w:r>
    </w:p>
    <w:p w14:paraId="7BAB270D" w14:textId="77777777" w:rsidR="00AD6FBD" w:rsidRPr="00AD6FBD" w:rsidRDefault="00AD6FBD" w:rsidP="00AD6FBD">
      <w:pPr>
        <w:numPr>
          <w:ilvl w:val="0"/>
          <w:numId w:val="15"/>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Goods and Services</w:t>
      </w:r>
    </w:p>
    <w:p w14:paraId="70061C0D" w14:textId="77777777" w:rsidR="00AD6FBD" w:rsidRPr="00AD6FBD" w:rsidRDefault="00AD6FBD" w:rsidP="00AD6FBD">
      <w:pPr>
        <w:numPr>
          <w:ilvl w:val="1"/>
          <w:numId w:val="1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simplifies market access by codifying the mutual recognition and non-discrimination principles, but this comes at the expense of regulatory diversity.</w:t>
      </w:r>
    </w:p>
    <w:p w14:paraId="356F0201" w14:textId="77777777" w:rsidR="00AD6FBD" w:rsidRPr="00AD6FBD" w:rsidRDefault="00AD6FBD" w:rsidP="00AD6FBD">
      <w:pPr>
        <w:numPr>
          <w:ilvl w:val="1"/>
          <w:numId w:val="1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Unlike EU law, which balances market access with national interests, the UKIM Act imposes a rigid framework that prioritizes economic uniformity.</w:t>
      </w:r>
    </w:p>
    <w:p w14:paraId="7EACADC3"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Statutory Scope</w:t>
      </w:r>
      <w:r w:rsidRPr="00AD6FBD">
        <w:rPr>
          <w:rFonts w:ascii="Times New Roman" w:hAnsi="Times New Roman"/>
          <w:lang w:val="en-HK"/>
        </w:rPr>
        <w:t>:</w:t>
      </w:r>
    </w:p>
    <w:p w14:paraId="41930408" w14:textId="77777777" w:rsidR="00AD6FBD" w:rsidRPr="00AD6FBD" w:rsidRDefault="00AD6FBD" w:rsidP="00AD6FBD">
      <w:pPr>
        <w:numPr>
          <w:ilvl w:val="1"/>
          <w:numId w:val="1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Goods: Section 3(3) defines "relevant requirements" for mutual recognition, </w:t>
      </w:r>
      <w:proofErr w:type="spellStart"/>
      <w:r w:rsidRPr="00AD6FBD">
        <w:rPr>
          <w:rFonts w:ascii="Times New Roman" w:hAnsi="Times New Roman"/>
          <w:lang w:val="en-HK"/>
        </w:rPr>
        <w:t>preempting</w:t>
      </w:r>
      <w:proofErr w:type="spellEnd"/>
      <w:r w:rsidRPr="00AD6FBD">
        <w:rPr>
          <w:rFonts w:ascii="Times New Roman" w:hAnsi="Times New Roman"/>
          <w:lang w:val="en-HK"/>
        </w:rPr>
        <w:t xml:space="preserve"> local regulations.</w:t>
      </w:r>
    </w:p>
    <w:p w14:paraId="400E79DA" w14:textId="77777777" w:rsidR="00AD6FBD" w:rsidRPr="00AD6FBD" w:rsidRDefault="00AD6FBD" w:rsidP="00AD6FBD">
      <w:pPr>
        <w:numPr>
          <w:ilvl w:val="1"/>
          <w:numId w:val="1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Services: Section 17 extends mutual recognition to service providers but excludes certain sectors, such as healthcare and education.</w:t>
      </w:r>
    </w:p>
    <w:p w14:paraId="06657CF6" w14:textId="77777777" w:rsidR="00AD6FBD" w:rsidRPr="00AD6FBD" w:rsidRDefault="00AD6FBD" w:rsidP="00AD6FBD">
      <w:pPr>
        <w:numPr>
          <w:ilvl w:val="0"/>
          <w:numId w:val="15"/>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Impact on Public Policy</w:t>
      </w:r>
    </w:p>
    <w:p w14:paraId="7E7797E5" w14:textId="77777777" w:rsidR="00AD6FBD" w:rsidRPr="00AD6FBD" w:rsidRDefault="00AD6FBD" w:rsidP="00AD6FBD">
      <w:pPr>
        <w:numPr>
          <w:ilvl w:val="1"/>
          <w:numId w:val="1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Act limits the ability of devolved administrations to pursue distinct public policy objectives, such as environmental protection or public health.</w:t>
      </w:r>
    </w:p>
    <w:p w14:paraId="4D0B24AD" w14:textId="77777777" w:rsidR="00AD6FBD" w:rsidRPr="00AD6FBD" w:rsidRDefault="00AD6FBD" w:rsidP="00AD6FBD">
      <w:pPr>
        <w:numPr>
          <w:ilvl w:val="1"/>
          <w:numId w:val="1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Example: A Welsh regulation requiring minimum alcohol pricing could be challenged as indirectly discriminatory under the Act’s non-discrimination principle.</w:t>
      </w:r>
    </w:p>
    <w:p w14:paraId="3F8ADDAF"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Comparison to EU Law</w:t>
      </w:r>
      <w:r w:rsidRPr="00AD6FBD">
        <w:rPr>
          <w:rFonts w:ascii="Times New Roman" w:hAnsi="Times New Roman"/>
          <w:lang w:val="en-HK"/>
        </w:rPr>
        <w:t>:</w:t>
      </w:r>
    </w:p>
    <w:p w14:paraId="4D675E70" w14:textId="77777777" w:rsidR="00AD6FBD" w:rsidRPr="00AD6FBD" w:rsidRDefault="00AD6FBD" w:rsidP="00AD6FBD">
      <w:pPr>
        <w:numPr>
          <w:ilvl w:val="1"/>
          <w:numId w:val="15"/>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In the EU, public policy measures are assessed under Article 36 TFEU, which allows Member States to justify restrictions if proportionate. The UKIM Act’s lack of proportionality analysis narrows the scope for public interest exceptions.</w:t>
      </w:r>
    </w:p>
    <w:p w14:paraId="119EBCB1"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Critique</w:t>
      </w:r>
      <w:r w:rsidRPr="00AD6FBD">
        <w:rPr>
          <w:rFonts w:ascii="Times New Roman" w:hAnsi="Times New Roman"/>
          <w:lang w:val="en-HK"/>
        </w:rPr>
        <w:t>:</w:t>
      </w:r>
    </w:p>
    <w:p w14:paraId="11B98927" w14:textId="77777777" w:rsidR="00AD6FBD" w:rsidRPr="00AD6FBD" w:rsidRDefault="00AD6FBD" w:rsidP="00AD6FBD">
      <w:pPr>
        <w:numPr>
          <w:ilvl w:val="1"/>
          <w:numId w:val="15"/>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lang w:val="en-HK"/>
        </w:rPr>
        <w:lastRenderedPageBreak/>
        <w:t>Weatherill</w:t>
      </w:r>
      <w:proofErr w:type="spellEnd"/>
      <w:r w:rsidRPr="00AD6FBD">
        <w:rPr>
          <w:rFonts w:ascii="Times New Roman" w:hAnsi="Times New Roman"/>
          <w:lang w:val="en-HK"/>
        </w:rPr>
        <w:t xml:space="preserve"> (</w:t>
      </w:r>
      <w:r w:rsidRPr="00AD6FBD">
        <w:rPr>
          <w:rFonts w:ascii="Times New Roman" w:hAnsi="Times New Roman"/>
          <w:i/>
          <w:iCs/>
          <w:lang w:val="en-HK"/>
        </w:rPr>
        <w:t>Yearbook of European Law</w:t>
      </w:r>
      <w:r w:rsidRPr="00AD6FBD">
        <w:rPr>
          <w:rFonts w:ascii="Times New Roman" w:hAnsi="Times New Roman"/>
          <w:lang w:val="en-HK"/>
        </w:rPr>
        <w:t>, forthcoming): “The UKIM Act’s rigid statutory framework sacrifices flexibility and innovation in governance for the sake of market uniformity.”</w:t>
      </w:r>
    </w:p>
    <w:p w14:paraId="15CF4F26"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501B2558">
          <v:rect id="_x0000_i1035" alt="" style="width:451.3pt;height:.05pt;mso-width-percent:0;mso-height-percent:0;mso-width-percent:0;mso-height-percent:0" o:hralign="center" o:hrstd="t" o:hr="t" fillcolor="#a0a0a0" stroked="f"/>
        </w:pict>
      </w:r>
    </w:p>
    <w:p w14:paraId="4D1C1E33"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4. The UKIM Act as a Model of Economic Unionism</w:t>
      </w:r>
    </w:p>
    <w:p w14:paraId="4ABF699C" w14:textId="77777777" w:rsidR="00AD6FBD" w:rsidRPr="00AD6FBD" w:rsidRDefault="00AD6FBD" w:rsidP="00AD6FBD">
      <w:pPr>
        <w:numPr>
          <w:ilvl w:val="0"/>
          <w:numId w:val="16"/>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Concept of Economic Unionism</w:t>
      </w:r>
    </w:p>
    <w:p w14:paraId="2C4372C5" w14:textId="77777777" w:rsidR="00AD6FBD" w:rsidRPr="00AD6FBD" w:rsidRDefault="00AD6FBD" w:rsidP="00AD6FBD">
      <w:pPr>
        <w:numPr>
          <w:ilvl w:val="1"/>
          <w:numId w:val="1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embodies a vision of "economic unionism" that prioritizes free trade and regulatory competition within the UK.</w:t>
      </w:r>
    </w:p>
    <w:p w14:paraId="3296B507" w14:textId="77777777" w:rsidR="00AD6FBD" w:rsidRPr="00AD6FBD" w:rsidRDefault="00AD6FBD" w:rsidP="00AD6FBD">
      <w:pPr>
        <w:numPr>
          <w:ilvl w:val="1"/>
          <w:numId w:val="1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model contrasts with the EU’s "collaborative unionism," which emphasizes harmonization and subsidiarity.</w:t>
      </w:r>
    </w:p>
    <w:p w14:paraId="5AAB8FA1"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Key Features</w:t>
      </w:r>
      <w:r w:rsidRPr="00AD6FBD">
        <w:rPr>
          <w:rFonts w:ascii="Times New Roman" w:hAnsi="Times New Roman"/>
          <w:lang w:val="en-HK"/>
        </w:rPr>
        <w:t>:</w:t>
      </w:r>
    </w:p>
    <w:p w14:paraId="02B1F546" w14:textId="77777777" w:rsidR="00AD6FBD" w:rsidRPr="00AD6FBD" w:rsidRDefault="00AD6FBD" w:rsidP="00AD6FBD">
      <w:pPr>
        <w:numPr>
          <w:ilvl w:val="1"/>
          <w:numId w:val="1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Market access principles override local rules, creating a centralized economic framework.</w:t>
      </w:r>
    </w:p>
    <w:p w14:paraId="001B337C" w14:textId="77777777" w:rsidR="00AD6FBD" w:rsidRPr="00AD6FBD" w:rsidRDefault="00AD6FBD" w:rsidP="00AD6FBD">
      <w:pPr>
        <w:numPr>
          <w:ilvl w:val="1"/>
          <w:numId w:val="1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Limited scope for negotiation or collaboration between Westminster and devolved administrations.</w:t>
      </w:r>
    </w:p>
    <w:p w14:paraId="2E92C03E" w14:textId="77777777" w:rsidR="00AD6FBD" w:rsidRPr="00AD6FBD" w:rsidRDefault="00AD6FBD" w:rsidP="00AD6FBD">
      <w:pPr>
        <w:numPr>
          <w:ilvl w:val="0"/>
          <w:numId w:val="16"/>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Potential Consequences</w:t>
      </w:r>
    </w:p>
    <w:p w14:paraId="4EE5CABB" w14:textId="77777777" w:rsidR="00AD6FBD" w:rsidRPr="00AD6FBD" w:rsidRDefault="00AD6FBD" w:rsidP="00AD6FBD">
      <w:pPr>
        <w:numPr>
          <w:ilvl w:val="1"/>
          <w:numId w:val="1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Regulatory Competition: Businesses may gravitate toward jurisdictions with lower standards, leading to a "race to the bottom."</w:t>
      </w:r>
    </w:p>
    <w:p w14:paraId="609F4B10" w14:textId="77777777" w:rsidR="00AD6FBD" w:rsidRPr="00AD6FBD" w:rsidRDefault="00AD6FBD" w:rsidP="00AD6FBD">
      <w:pPr>
        <w:numPr>
          <w:ilvl w:val="1"/>
          <w:numId w:val="1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Constitutional Tensions: The Act exacerbates conflicts between devolved and central governments, undermining trust in the UK’s territorial constitution.</w:t>
      </w:r>
    </w:p>
    <w:p w14:paraId="5A0F8A90"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Critiques</w:t>
      </w:r>
      <w:r w:rsidRPr="00AD6FBD">
        <w:rPr>
          <w:rFonts w:ascii="Times New Roman" w:hAnsi="Times New Roman"/>
          <w:lang w:val="en-HK"/>
        </w:rPr>
        <w:t>:</w:t>
      </w:r>
    </w:p>
    <w:p w14:paraId="2143A9C7" w14:textId="77777777" w:rsidR="00AD6FBD" w:rsidRPr="00AD6FBD" w:rsidRDefault="00AD6FBD" w:rsidP="00AD6FBD">
      <w:pPr>
        <w:numPr>
          <w:ilvl w:val="1"/>
          <w:numId w:val="1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2022): “Economic unionism displaces the collaborative ethos of devolution, creating a one-size-fits-all approach to market governance.”</w:t>
      </w:r>
    </w:p>
    <w:p w14:paraId="7777FD19" w14:textId="36FF2505" w:rsidR="00AD6FBD" w:rsidRPr="00AD6FBD" w:rsidRDefault="00AD6FBD" w:rsidP="00AD6FBD">
      <w:pPr>
        <w:numPr>
          <w:ilvl w:val="1"/>
          <w:numId w:val="16"/>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Lord Sales (</w:t>
      </w:r>
      <w:r w:rsidRPr="00AD6FBD">
        <w:rPr>
          <w:rFonts w:ascii="Times New Roman" w:hAnsi="Times New Roman"/>
          <w:i/>
          <w:iCs/>
          <w:lang w:val="en-HK"/>
        </w:rPr>
        <w:t>UK Supreme Court Annual Review</w:t>
      </w:r>
      <w:r w:rsidRPr="00AD6FBD">
        <w:rPr>
          <w:rFonts w:ascii="Times New Roman" w:hAnsi="Times New Roman"/>
          <w:lang w:val="en-HK"/>
        </w:rPr>
        <w:t>, 2021): “The UKIM Act represents a shift from cooperative federalism to centralized economic management, with uncertain long-term consequences for the Union.”</w:t>
      </w:r>
    </w:p>
    <w:p w14:paraId="5135A9B5" w14:textId="77777777" w:rsidR="00AD6FBD" w:rsidRPr="00AD6FBD" w:rsidRDefault="00AD6FBD" w:rsidP="00AD6FBD">
      <w:pPr>
        <w:spacing w:before="100" w:beforeAutospacing="1" w:after="100" w:afterAutospacing="1" w:line="276" w:lineRule="auto"/>
        <w:outlineLvl w:val="2"/>
        <w:rPr>
          <w:rFonts w:ascii="Times New Roman" w:hAnsi="Times New Roman"/>
          <w:b/>
          <w:bCs/>
          <w:lang w:val="en-HK"/>
        </w:rPr>
      </w:pPr>
      <w:r w:rsidRPr="00AD6FBD">
        <w:rPr>
          <w:rFonts w:ascii="Times New Roman" w:hAnsi="Times New Roman"/>
          <w:b/>
          <w:bCs/>
          <w:lang w:val="en-HK"/>
        </w:rPr>
        <w:t>Conclusion of Section 3</w:t>
      </w:r>
    </w:p>
    <w:p w14:paraId="12BC67BD" w14:textId="77777777" w:rsidR="00AD6FBD" w:rsidRPr="00AD6FBD" w:rsidRDefault="00AD6FBD" w:rsidP="00AD6FBD">
      <w:p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de-constitutionalizes internal market governance by replacing EU-style judicial principles with a rigid statutory framework. While this reasserts Westminster’s legislative supremacy, it undermines the collaborative governance model that characterized the EU and deepens constitutional tensions within the UK. The Act’s emphasis on economic unionism prioritizes market access over regulatory diversity, challenging the autonomy of devolved administrations.</w:t>
      </w:r>
    </w:p>
    <w:p w14:paraId="68AC86A0" w14:textId="0335AA89" w:rsidR="00AD6FBD" w:rsidRPr="00AD6FBD" w:rsidRDefault="00180838" w:rsidP="00AD6FBD">
      <w:pPr>
        <w:spacing w:line="276" w:lineRule="auto"/>
        <w:rPr>
          <w:rFonts w:ascii="Times New Roman" w:hAnsi="Times New Roman"/>
        </w:rPr>
      </w:pPr>
      <w:r w:rsidRPr="00180838">
        <w:rPr>
          <w:rFonts w:ascii="Times New Roman" w:hAnsi="Times New Roman"/>
          <w:noProof/>
          <w:lang w:val="en-HK"/>
          <w14:ligatures w14:val="standardContextual"/>
        </w:rPr>
        <w:pict w14:anchorId="3CDBF8D3">
          <v:rect id="_x0000_i1034" alt="" style="width:451.3pt;height:.05pt;mso-width-percent:0;mso-height-percent:0;mso-width-percent:0;mso-height-percent:0" o:hralign="center" o:hrstd="t" o:hr="t" fillcolor="#a0a0a0" stroked="f"/>
        </w:pict>
      </w:r>
    </w:p>
    <w:p w14:paraId="2B966F08" w14:textId="77777777" w:rsidR="00AD6FBD" w:rsidRPr="00AD6FBD" w:rsidRDefault="00AD6FBD" w:rsidP="00AD6FBD">
      <w:pPr>
        <w:spacing w:before="100" w:beforeAutospacing="1" w:after="100" w:afterAutospacing="1" w:line="276" w:lineRule="auto"/>
        <w:outlineLvl w:val="2"/>
        <w:rPr>
          <w:rFonts w:ascii="Times New Roman" w:hAnsi="Times New Roman"/>
          <w:b/>
          <w:bCs/>
          <w:lang w:val="en-HK"/>
        </w:rPr>
      </w:pPr>
      <w:r w:rsidRPr="00AD6FBD">
        <w:rPr>
          <w:rFonts w:ascii="Times New Roman" w:hAnsi="Times New Roman"/>
          <w:b/>
          <w:bCs/>
          <w:lang w:val="en-HK"/>
        </w:rPr>
        <w:lastRenderedPageBreak/>
        <w:t>Section 4: Implications for Goods and Services</w:t>
      </w:r>
    </w:p>
    <w:p w14:paraId="452E491E" w14:textId="77777777" w:rsidR="00AD6FBD" w:rsidRPr="00AD6FBD" w:rsidRDefault="00AD6FBD" w:rsidP="00AD6FBD">
      <w:p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section delves into the operational implications of the United Kingdom Internal Market (UKIM) Act 2020 for goods and services. It highlights the differences in governance between the UKIM Act and EU law, focusing on the practical and legal outcomes of the market access principles.</w:t>
      </w:r>
    </w:p>
    <w:p w14:paraId="1BB7DB1E"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3326D337">
          <v:rect id="_x0000_i1033" alt="" style="width:451.3pt;height:.05pt;mso-width-percent:0;mso-height-percent:0;mso-width-percent:0;mso-height-percent:0" o:hralign="center" o:hrstd="t" o:hr="t" fillcolor="#a0a0a0" stroked="f"/>
        </w:pict>
      </w:r>
    </w:p>
    <w:p w14:paraId="775DD1DB"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1. Implications for Goods</w:t>
      </w:r>
    </w:p>
    <w:p w14:paraId="6548B518" w14:textId="77777777" w:rsidR="00AD6FBD" w:rsidRPr="00AD6FBD" w:rsidRDefault="00AD6FBD" w:rsidP="00AD6FBD">
      <w:pPr>
        <w:numPr>
          <w:ilvl w:val="0"/>
          <w:numId w:val="17"/>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Definition of "Relevant Requirements"</w:t>
      </w:r>
    </w:p>
    <w:p w14:paraId="31584132"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defines "relevant requirements" that are subject to the principles of mutual recognition and non-discrimination.</w:t>
      </w:r>
    </w:p>
    <w:p w14:paraId="21C9EF16"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Section 3(3) lists these requirements as including:</w:t>
      </w:r>
    </w:p>
    <w:p w14:paraId="5AE5E340" w14:textId="77777777" w:rsidR="00AD6FBD" w:rsidRPr="00AD6FBD" w:rsidRDefault="00AD6FBD" w:rsidP="00AD6FBD">
      <w:pPr>
        <w:numPr>
          <w:ilvl w:val="2"/>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Composition, characteristics, or quality of goods.</w:t>
      </w:r>
    </w:p>
    <w:p w14:paraId="404BFA4C" w14:textId="77777777" w:rsidR="00AD6FBD" w:rsidRPr="00AD6FBD" w:rsidRDefault="00AD6FBD" w:rsidP="00AD6FBD">
      <w:pPr>
        <w:numPr>
          <w:ilvl w:val="2"/>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Packaging, </w:t>
      </w:r>
      <w:proofErr w:type="spellStart"/>
      <w:r w:rsidRPr="00AD6FBD">
        <w:rPr>
          <w:rFonts w:ascii="Times New Roman" w:hAnsi="Times New Roman"/>
          <w:lang w:val="en-HK"/>
        </w:rPr>
        <w:t>labeling</w:t>
      </w:r>
      <w:proofErr w:type="spellEnd"/>
      <w:r w:rsidRPr="00AD6FBD">
        <w:rPr>
          <w:rFonts w:ascii="Times New Roman" w:hAnsi="Times New Roman"/>
          <w:lang w:val="en-HK"/>
        </w:rPr>
        <w:t>, or marketing standards.</w:t>
      </w:r>
    </w:p>
    <w:p w14:paraId="3DCE0C9A" w14:textId="77777777" w:rsidR="00AD6FBD" w:rsidRPr="00AD6FBD" w:rsidRDefault="00AD6FBD" w:rsidP="00AD6FBD">
      <w:pPr>
        <w:numPr>
          <w:ilvl w:val="2"/>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Methods of manufacture and presentation.</w:t>
      </w:r>
    </w:p>
    <w:p w14:paraId="24C6455E"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Operational Implications</w:t>
      </w:r>
      <w:r w:rsidRPr="00AD6FBD">
        <w:rPr>
          <w:rFonts w:ascii="Times New Roman" w:hAnsi="Times New Roman"/>
          <w:lang w:val="en-HK"/>
        </w:rPr>
        <w:t>:</w:t>
      </w:r>
    </w:p>
    <w:p w14:paraId="655FDD52"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Goods lawfully marketed in one part of the UK must be accepted in other parts, even if they do not meet local regulatory requirements.</w:t>
      </w:r>
    </w:p>
    <w:p w14:paraId="29BA7925"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creates a statutory framework for "country of origin regulation," ensuring free circulation of goods within the UK.</w:t>
      </w:r>
    </w:p>
    <w:p w14:paraId="71C6388F"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Comparison to EU Law</w:t>
      </w:r>
      <w:r w:rsidRPr="00AD6FBD">
        <w:rPr>
          <w:rFonts w:ascii="Times New Roman" w:hAnsi="Times New Roman"/>
          <w:lang w:val="en-HK"/>
        </w:rPr>
        <w:t>:</w:t>
      </w:r>
    </w:p>
    <w:p w14:paraId="5C74C806"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In EU law, mutual recognition under Article 34 TFEU allows for national regulatory divergence if justified under Article 36 TFEU and proportionality (</w:t>
      </w:r>
      <w:r w:rsidRPr="00AD6FBD">
        <w:rPr>
          <w:rFonts w:ascii="Times New Roman" w:hAnsi="Times New Roman"/>
          <w:i/>
          <w:iCs/>
          <w:lang w:val="en-HK"/>
        </w:rPr>
        <w:t>Cassis de Dijon</w:t>
      </w:r>
      <w:r w:rsidRPr="00AD6FBD">
        <w:rPr>
          <w:rFonts w:ascii="Times New Roman" w:hAnsi="Times New Roman"/>
          <w:lang w:val="en-HK"/>
        </w:rPr>
        <w:t>, Case 120/78).</w:t>
      </w:r>
    </w:p>
    <w:p w14:paraId="072A749C"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eliminates the proportionality test, creating a stricter application of mutual recognition.</w:t>
      </w:r>
    </w:p>
    <w:p w14:paraId="02C843C4" w14:textId="77777777" w:rsidR="00AD6FBD" w:rsidRPr="00AD6FBD" w:rsidRDefault="00AD6FBD" w:rsidP="00AD6FBD">
      <w:pPr>
        <w:numPr>
          <w:ilvl w:val="0"/>
          <w:numId w:val="17"/>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Derogations and Exclusions</w:t>
      </w:r>
    </w:p>
    <w:p w14:paraId="57DC676E"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Schedule 1 of the UKIM Act provides limited exceptions to the mutual recognition principle, including:</w:t>
      </w:r>
    </w:p>
    <w:p w14:paraId="3D78CDC4" w14:textId="77777777" w:rsidR="00AD6FBD" w:rsidRPr="00AD6FBD" w:rsidRDefault="00AD6FBD" w:rsidP="00AD6FBD">
      <w:pPr>
        <w:numPr>
          <w:ilvl w:val="2"/>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Measures necessary to prevent the spread of pests or diseases.</w:t>
      </w:r>
    </w:p>
    <w:p w14:paraId="5E7AAAC6" w14:textId="77777777" w:rsidR="00AD6FBD" w:rsidRPr="00AD6FBD" w:rsidRDefault="00AD6FBD" w:rsidP="00AD6FBD">
      <w:pPr>
        <w:numPr>
          <w:ilvl w:val="2"/>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Rules related to unsafe food or feed.</w:t>
      </w:r>
    </w:p>
    <w:p w14:paraId="22F64E37" w14:textId="77777777" w:rsidR="00AD6FBD" w:rsidRPr="00AD6FBD" w:rsidRDefault="00AD6FBD" w:rsidP="00AD6FBD">
      <w:pPr>
        <w:numPr>
          <w:ilvl w:val="2"/>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Regulatory measures to protect public health in emergencies.</w:t>
      </w:r>
    </w:p>
    <w:p w14:paraId="5E23571D"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Critiques of Narrow Exclusions</w:t>
      </w:r>
      <w:r w:rsidRPr="00AD6FBD">
        <w:rPr>
          <w:rFonts w:ascii="Times New Roman" w:hAnsi="Times New Roman"/>
          <w:lang w:val="en-HK"/>
        </w:rPr>
        <w:t>:</w:t>
      </w:r>
    </w:p>
    <w:p w14:paraId="0CD1EA26"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2022): “The narrow scope of derogations limits the ability of devolved administrations to address localized policy challenges, undermining their regulatory autonomy.”</w:t>
      </w:r>
    </w:p>
    <w:p w14:paraId="6C107BE2"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The contrast with EU law is stark, as Article 36 TFEU permits broader justifications, including environmental protection and consumer safety.</w:t>
      </w:r>
    </w:p>
    <w:p w14:paraId="4F6D8343"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Example</w:t>
      </w:r>
      <w:r w:rsidRPr="00AD6FBD">
        <w:rPr>
          <w:rFonts w:ascii="Times New Roman" w:hAnsi="Times New Roman"/>
          <w:lang w:val="en-HK"/>
        </w:rPr>
        <w:t>:</w:t>
      </w:r>
    </w:p>
    <w:p w14:paraId="37518C6A"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 Scottish regulation banning certain single-use plastics may be overridden under the UKIM Act if such products are lawfully marketed in England, barring a narrow public health justification.</w:t>
      </w:r>
    </w:p>
    <w:p w14:paraId="4E8487A3" w14:textId="77777777" w:rsidR="00AD6FBD" w:rsidRPr="00AD6FBD" w:rsidRDefault="00AD6FBD" w:rsidP="00AD6FBD">
      <w:pPr>
        <w:numPr>
          <w:ilvl w:val="0"/>
          <w:numId w:val="17"/>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Market Access and Regulatory Autonomy</w:t>
      </w:r>
    </w:p>
    <w:p w14:paraId="4D545CD8"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prioritizes market access over regulatory diversity, restricting devolved governments from imposing higher standards on goods entering their markets.</w:t>
      </w:r>
    </w:p>
    <w:p w14:paraId="387AA223"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Judicial Commentary</w:t>
      </w:r>
      <w:r w:rsidRPr="00AD6FBD">
        <w:rPr>
          <w:rFonts w:ascii="Times New Roman" w:hAnsi="Times New Roman"/>
          <w:lang w:val="en-HK"/>
        </w:rPr>
        <w:t>:</w:t>
      </w:r>
    </w:p>
    <w:p w14:paraId="53AAE01F" w14:textId="77777777" w:rsidR="00AD6FBD" w:rsidRPr="00AD6FBD" w:rsidRDefault="00AD6FBD" w:rsidP="00AD6FBD">
      <w:pPr>
        <w:numPr>
          <w:ilvl w:val="1"/>
          <w:numId w:val="17"/>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Lord Sales (</w:t>
      </w:r>
      <w:r w:rsidRPr="00AD6FBD">
        <w:rPr>
          <w:rFonts w:ascii="Times New Roman" w:hAnsi="Times New Roman"/>
          <w:i/>
          <w:iCs/>
          <w:lang w:val="en-HK"/>
        </w:rPr>
        <w:t>UK Supreme Court Review</w:t>
      </w:r>
      <w:r w:rsidRPr="00AD6FBD">
        <w:rPr>
          <w:rFonts w:ascii="Times New Roman" w:hAnsi="Times New Roman"/>
          <w:lang w:val="en-HK"/>
        </w:rPr>
        <w:t>, 2021): “The UKIM Act’s rigid approach to market access undermines the delicate balance of regulatory autonomy achieved under the EU framework.”</w:t>
      </w:r>
    </w:p>
    <w:p w14:paraId="5D64E312"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7381C243">
          <v:rect id="_x0000_i1032" alt="" style="width:451.3pt;height:.05pt;mso-width-percent:0;mso-height-percent:0;mso-width-percent:0;mso-height-percent:0" o:hralign="center" o:hrstd="t" o:hr="t" fillcolor="#a0a0a0" stroked="f"/>
        </w:pict>
      </w:r>
    </w:p>
    <w:p w14:paraId="02681344"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2. Implications for Services</w:t>
      </w:r>
    </w:p>
    <w:p w14:paraId="6DB7D67E" w14:textId="77777777" w:rsidR="00AD6FBD" w:rsidRPr="00AD6FBD" w:rsidRDefault="00AD6FBD" w:rsidP="00AD6FBD">
      <w:pPr>
        <w:numPr>
          <w:ilvl w:val="0"/>
          <w:numId w:val="18"/>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Scope of the Mutual Recognition Principle</w:t>
      </w:r>
    </w:p>
    <w:p w14:paraId="40AC81DB"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mutual recognition principle under the UKIM Act applies to service providers requiring "authorizations" (e.g., licenses or permits).</w:t>
      </w:r>
    </w:p>
    <w:p w14:paraId="34FE967C"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Section 17(1) ensures that:</w:t>
      </w:r>
    </w:p>
    <w:p w14:paraId="25DFEA6A" w14:textId="77777777" w:rsidR="00AD6FBD" w:rsidRPr="00AD6FBD" w:rsidRDefault="00AD6FBD" w:rsidP="00AD6FBD">
      <w:pPr>
        <w:spacing w:beforeAutospacing="1" w:afterAutospacing="1" w:line="276" w:lineRule="auto"/>
        <w:ind w:left="2160"/>
        <w:rPr>
          <w:rFonts w:ascii="Times New Roman" w:hAnsi="Times New Roman"/>
          <w:lang w:val="en-HK"/>
        </w:rPr>
      </w:pPr>
      <w:r w:rsidRPr="00AD6FBD">
        <w:rPr>
          <w:rFonts w:ascii="Times New Roman" w:hAnsi="Times New Roman"/>
          <w:lang w:val="en-HK"/>
        </w:rPr>
        <w:t>"Service providers authorized to operate in one part of the UK may operate in other parts without additional authorization."</w:t>
      </w:r>
    </w:p>
    <w:p w14:paraId="1A30B668" w14:textId="77777777" w:rsidR="00AD6FBD" w:rsidRPr="00AD6FBD" w:rsidRDefault="00AD6FBD" w:rsidP="00AD6FBD">
      <w:pPr>
        <w:numPr>
          <w:ilvl w:val="0"/>
          <w:numId w:val="18"/>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Excluded Services</w:t>
      </w:r>
      <w:r w:rsidRPr="00AD6FBD">
        <w:rPr>
          <w:rFonts w:ascii="Times New Roman" w:hAnsi="Times New Roman"/>
          <w:lang w:val="en-HK"/>
        </w:rPr>
        <w:t>:</w:t>
      </w:r>
    </w:p>
    <w:p w14:paraId="59D27BB6"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Certain services are excluded from mutual recognition under Schedule 2, such as:</w:t>
      </w:r>
    </w:p>
    <w:p w14:paraId="7AE0DD57" w14:textId="77777777" w:rsidR="00AD6FBD" w:rsidRPr="00AD6FBD" w:rsidRDefault="00AD6FBD" w:rsidP="00AD6FBD">
      <w:pPr>
        <w:numPr>
          <w:ilvl w:val="2"/>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Healthcare services.</w:t>
      </w:r>
    </w:p>
    <w:p w14:paraId="1F9845D9" w14:textId="77777777" w:rsidR="00AD6FBD" w:rsidRPr="00AD6FBD" w:rsidRDefault="00AD6FBD" w:rsidP="00AD6FBD">
      <w:pPr>
        <w:numPr>
          <w:ilvl w:val="2"/>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Waste management services.</w:t>
      </w:r>
    </w:p>
    <w:p w14:paraId="2FBC573F" w14:textId="77777777" w:rsidR="00AD6FBD" w:rsidRPr="00AD6FBD" w:rsidRDefault="00AD6FBD" w:rsidP="00AD6FBD">
      <w:pPr>
        <w:numPr>
          <w:ilvl w:val="2"/>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Public utilities.</w:t>
      </w:r>
    </w:p>
    <w:p w14:paraId="676BD550"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Comparison to EU Law</w:t>
      </w:r>
      <w:r w:rsidRPr="00AD6FBD">
        <w:rPr>
          <w:rFonts w:ascii="Times New Roman" w:hAnsi="Times New Roman"/>
          <w:lang w:val="en-HK"/>
        </w:rPr>
        <w:t>:</w:t>
      </w:r>
    </w:p>
    <w:p w14:paraId="2EE35E91"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EU Services Directive (Directive 2006/123/EC) provides a comprehensive framework for service liberalization, subject to proportionality and public policy justifications.</w:t>
      </w:r>
    </w:p>
    <w:p w14:paraId="63AFA7DB"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Act’s narrower scope reflects a deliberate focus on essential services while maintaining regulatory divergence in sensitive sectors.</w:t>
      </w:r>
    </w:p>
    <w:p w14:paraId="64C76BD3" w14:textId="77777777" w:rsidR="00AD6FBD" w:rsidRPr="00AD6FBD" w:rsidRDefault="00AD6FBD" w:rsidP="00AD6FBD">
      <w:pPr>
        <w:numPr>
          <w:ilvl w:val="0"/>
          <w:numId w:val="18"/>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lastRenderedPageBreak/>
        <w:t>Non-Discrimination in Services</w:t>
      </w:r>
    </w:p>
    <w:p w14:paraId="518073BD"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Section 18 prohibits direct and indirect discrimination against service providers based on their origin.</w:t>
      </w:r>
    </w:p>
    <w:p w14:paraId="47E4FDB0"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However, indirect discrimination is only actionable if it causes a "significant adverse effect on competition" (Section 18(5)).</w:t>
      </w:r>
    </w:p>
    <w:p w14:paraId="36E53596"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Practical Implications</w:t>
      </w:r>
      <w:r w:rsidRPr="00AD6FBD">
        <w:rPr>
          <w:rFonts w:ascii="Times New Roman" w:hAnsi="Times New Roman"/>
          <w:lang w:val="en-HK"/>
        </w:rPr>
        <w:t>:</w:t>
      </w:r>
    </w:p>
    <w:p w14:paraId="12457D82"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 Welsh requirement for additional qualifications for electricians from other parts of the UK could be challenged as indirectly discriminatory under the UKIM Act.</w:t>
      </w:r>
    </w:p>
    <w:p w14:paraId="0EEC98AE"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However, proving a "significant adverse effect on competition" may limit the practical enforceability of this principle.</w:t>
      </w:r>
    </w:p>
    <w:p w14:paraId="25AA0462" w14:textId="77777777" w:rsidR="00AD6FBD" w:rsidRPr="00AD6FBD" w:rsidRDefault="00AD6FBD" w:rsidP="00AD6FBD">
      <w:pPr>
        <w:numPr>
          <w:ilvl w:val="0"/>
          <w:numId w:val="18"/>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Regulatory Competition</w:t>
      </w:r>
    </w:p>
    <w:p w14:paraId="0676EDC9"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mutual recognition and non-discrimination principles encourage regulatory competition, as service providers may choose jurisdictions with less burdensome requirements.</w:t>
      </w:r>
    </w:p>
    <w:p w14:paraId="1B8CE4C1"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Critiques</w:t>
      </w:r>
      <w:r w:rsidRPr="00AD6FBD">
        <w:rPr>
          <w:rFonts w:ascii="Times New Roman" w:hAnsi="Times New Roman"/>
          <w:lang w:val="en-HK"/>
        </w:rPr>
        <w:t>:</w:t>
      </w:r>
    </w:p>
    <w:p w14:paraId="07308474" w14:textId="77777777" w:rsidR="00AD6FBD" w:rsidRPr="00AD6FBD" w:rsidRDefault="00AD6FBD" w:rsidP="00AD6FBD">
      <w:pPr>
        <w:numPr>
          <w:ilvl w:val="1"/>
          <w:numId w:val="18"/>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2022): “The UKIM Act’s emphasis on regulatory competition risks a race to the bottom, undermining the quality of services and public trust.”</w:t>
      </w:r>
    </w:p>
    <w:p w14:paraId="6B55FC6D"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54068A03">
          <v:rect id="_x0000_i1031" alt="" style="width:451.3pt;height:.05pt;mso-width-percent:0;mso-height-percent:0;mso-width-percent:0;mso-height-percent:0" o:hralign="center" o:hrstd="t" o:hr="t" fillcolor="#a0a0a0" stroked="f"/>
        </w:pict>
      </w:r>
    </w:p>
    <w:p w14:paraId="5CC1DAD5"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3. Broader Governance Implications</w:t>
      </w:r>
    </w:p>
    <w:p w14:paraId="13F4F32D" w14:textId="77777777" w:rsidR="00AD6FBD" w:rsidRPr="00AD6FBD" w:rsidRDefault="00AD6FBD" w:rsidP="00AD6FBD">
      <w:pPr>
        <w:numPr>
          <w:ilvl w:val="0"/>
          <w:numId w:val="19"/>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Economic Unionism vs. Regulatory Autonomy</w:t>
      </w:r>
    </w:p>
    <w:p w14:paraId="3721B800" w14:textId="77777777" w:rsidR="00AD6FBD" w:rsidRPr="00AD6FBD" w:rsidRDefault="00AD6FBD" w:rsidP="00AD6FBD">
      <w:pPr>
        <w:numPr>
          <w:ilvl w:val="1"/>
          <w:numId w:val="1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embodies a model of economic unionism that prioritizes free trade and market efficiency over devolved regulatory autonomy.</w:t>
      </w:r>
    </w:p>
    <w:p w14:paraId="239CA9C0" w14:textId="77777777" w:rsidR="00AD6FBD" w:rsidRPr="00AD6FBD" w:rsidRDefault="00AD6FBD" w:rsidP="00AD6FBD">
      <w:pPr>
        <w:numPr>
          <w:ilvl w:val="1"/>
          <w:numId w:val="1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marks a departure from the EU’s collaborative governance model, which balances market integration with Member States’ regulatory sovereignty.</w:t>
      </w:r>
    </w:p>
    <w:p w14:paraId="4C28E4BE"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Insights</w:t>
      </w:r>
      <w:r w:rsidRPr="00AD6FBD">
        <w:rPr>
          <w:rFonts w:ascii="Times New Roman" w:hAnsi="Times New Roman"/>
          <w:lang w:val="en-HK"/>
        </w:rPr>
        <w:t>:</w:t>
      </w:r>
    </w:p>
    <w:p w14:paraId="57DC3D7D" w14:textId="77777777" w:rsidR="00AD6FBD" w:rsidRPr="00AD6FBD" w:rsidRDefault="00AD6FBD" w:rsidP="00AD6FBD">
      <w:pPr>
        <w:numPr>
          <w:ilvl w:val="1"/>
          <w:numId w:val="19"/>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lang w:val="en-HK"/>
        </w:rPr>
        <w:t>Weatherill</w:t>
      </w:r>
      <w:proofErr w:type="spellEnd"/>
      <w:r w:rsidRPr="00AD6FBD">
        <w:rPr>
          <w:rFonts w:ascii="Times New Roman" w:hAnsi="Times New Roman"/>
          <w:lang w:val="en-HK"/>
        </w:rPr>
        <w:t xml:space="preserve"> (</w:t>
      </w:r>
      <w:r w:rsidRPr="00AD6FBD">
        <w:rPr>
          <w:rFonts w:ascii="Times New Roman" w:hAnsi="Times New Roman"/>
          <w:i/>
          <w:iCs/>
          <w:lang w:val="en-HK"/>
        </w:rPr>
        <w:t>Yearbook of European Law</w:t>
      </w:r>
      <w:r w:rsidRPr="00AD6FBD">
        <w:rPr>
          <w:rFonts w:ascii="Times New Roman" w:hAnsi="Times New Roman"/>
          <w:lang w:val="en-HK"/>
        </w:rPr>
        <w:t>, forthcoming): “The UKIM Act sacrifices the flexibility of EU governance for a rigid and centralized framework, limiting scope for regional innovation.”</w:t>
      </w:r>
    </w:p>
    <w:p w14:paraId="372FD6E7" w14:textId="77777777" w:rsidR="00AD6FBD" w:rsidRPr="00AD6FBD" w:rsidRDefault="00AD6FBD" w:rsidP="00AD6FBD">
      <w:pPr>
        <w:numPr>
          <w:ilvl w:val="0"/>
          <w:numId w:val="19"/>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Public Policy Challenges</w:t>
      </w:r>
    </w:p>
    <w:p w14:paraId="41542460" w14:textId="77777777" w:rsidR="00AD6FBD" w:rsidRPr="00AD6FBD" w:rsidRDefault="00AD6FBD" w:rsidP="00AD6FBD">
      <w:pPr>
        <w:numPr>
          <w:ilvl w:val="1"/>
          <w:numId w:val="1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limited scope of derogations under the UKIM Act constrains devolved administrations’ ability to pursue localized public policy objectives, such as environmental protection or public health.</w:t>
      </w:r>
    </w:p>
    <w:p w14:paraId="54044327" w14:textId="77777777" w:rsidR="00AD6FBD" w:rsidRPr="00AD6FBD" w:rsidRDefault="00AD6FBD" w:rsidP="00AD6FBD">
      <w:pPr>
        <w:numPr>
          <w:ilvl w:val="1"/>
          <w:numId w:val="1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 xml:space="preserve">Example: A Scottish alcohol pricing policy intended to reduce health harms could be challenged as indirectly discriminatory and </w:t>
      </w:r>
      <w:proofErr w:type="spellStart"/>
      <w:r w:rsidRPr="00AD6FBD">
        <w:rPr>
          <w:rFonts w:ascii="Times New Roman" w:hAnsi="Times New Roman"/>
          <w:lang w:val="en-HK"/>
        </w:rPr>
        <w:t>preempted</w:t>
      </w:r>
      <w:proofErr w:type="spellEnd"/>
      <w:r w:rsidRPr="00AD6FBD">
        <w:rPr>
          <w:rFonts w:ascii="Times New Roman" w:hAnsi="Times New Roman"/>
          <w:lang w:val="en-HK"/>
        </w:rPr>
        <w:t xml:space="preserve"> under the mutual recognition principle.</w:t>
      </w:r>
    </w:p>
    <w:p w14:paraId="4291058F" w14:textId="77777777" w:rsidR="00AD6FBD" w:rsidRPr="00AD6FBD" w:rsidRDefault="00AD6FBD" w:rsidP="00AD6FBD">
      <w:pPr>
        <w:numPr>
          <w:ilvl w:val="0"/>
          <w:numId w:val="19"/>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Judicial and Political Tensions</w:t>
      </w:r>
    </w:p>
    <w:p w14:paraId="508F2959" w14:textId="77777777" w:rsidR="00AD6FBD" w:rsidRPr="00AD6FBD" w:rsidRDefault="00AD6FBD" w:rsidP="00AD6FBD">
      <w:pPr>
        <w:numPr>
          <w:ilvl w:val="1"/>
          <w:numId w:val="1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Act’s rigid statutory framework reduces the role of the judiciary in balancing market access and public policy.</w:t>
      </w:r>
    </w:p>
    <w:p w14:paraId="1F32127A" w14:textId="77777777" w:rsidR="00AD6FBD" w:rsidRPr="00AD6FBD" w:rsidRDefault="00AD6FBD" w:rsidP="00AD6FBD">
      <w:pPr>
        <w:numPr>
          <w:ilvl w:val="1"/>
          <w:numId w:val="1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Political tensions between Westminster and devolved administrations are exacerbated, as the Act prioritizes centralized decision-making over intergovernmental collaboration.</w:t>
      </w:r>
    </w:p>
    <w:p w14:paraId="5EFB8F4F"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Judicial Commentary</w:t>
      </w:r>
      <w:r w:rsidRPr="00AD6FBD">
        <w:rPr>
          <w:rFonts w:ascii="Times New Roman" w:hAnsi="Times New Roman"/>
          <w:lang w:val="en-HK"/>
        </w:rPr>
        <w:t>:</w:t>
      </w:r>
    </w:p>
    <w:p w14:paraId="1F3ABE2A" w14:textId="3F43A401" w:rsidR="00AD6FBD" w:rsidRPr="00AD6FBD" w:rsidRDefault="00AD6FBD" w:rsidP="00AD6FBD">
      <w:pPr>
        <w:numPr>
          <w:ilvl w:val="1"/>
          <w:numId w:val="19"/>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Lord Hope (</w:t>
      </w:r>
      <w:r w:rsidRPr="00AD6FBD">
        <w:rPr>
          <w:rFonts w:ascii="Times New Roman" w:hAnsi="Times New Roman"/>
          <w:i/>
          <w:iCs/>
          <w:lang w:val="en-HK"/>
        </w:rPr>
        <w:t>UK Constitutional Law Blog</w:t>
      </w:r>
      <w:r w:rsidRPr="00AD6FBD">
        <w:rPr>
          <w:rFonts w:ascii="Times New Roman" w:hAnsi="Times New Roman"/>
          <w:lang w:val="en-HK"/>
        </w:rPr>
        <w:t>, 2021): “The UKIM Act’s inflexible framework highlights the constitutional fragility of the UK’s territorial settlement.”</w:t>
      </w:r>
    </w:p>
    <w:p w14:paraId="2B9E0256" w14:textId="77777777" w:rsidR="00AD6FBD" w:rsidRPr="00AD6FBD" w:rsidRDefault="00AD6FBD" w:rsidP="00AD6FBD">
      <w:pPr>
        <w:spacing w:before="100" w:beforeAutospacing="1" w:after="100" w:afterAutospacing="1" w:line="276" w:lineRule="auto"/>
        <w:outlineLvl w:val="2"/>
        <w:rPr>
          <w:rFonts w:ascii="Times New Roman" w:hAnsi="Times New Roman"/>
          <w:b/>
          <w:bCs/>
          <w:lang w:val="en-HK"/>
        </w:rPr>
      </w:pPr>
      <w:r w:rsidRPr="00AD6FBD">
        <w:rPr>
          <w:rFonts w:ascii="Times New Roman" w:hAnsi="Times New Roman"/>
          <w:b/>
          <w:bCs/>
          <w:lang w:val="en-HK"/>
        </w:rPr>
        <w:t>Conclusion of Section 4</w:t>
      </w:r>
    </w:p>
    <w:p w14:paraId="67CC761B" w14:textId="77777777" w:rsidR="00AD6FBD" w:rsidRPr="00AD6FBD" w:rsidRDefault="00AD6FBD" w:rsidP="00AD6FBD">
      <w:p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Act’s market access principles significantly impact goods and services regulation within the UK, prioritizing economic unionism and market uniformity over regulatory diversity and devolved autonomy. By replacing EU-style proportionality analysis with rigid statutory rules, the Act centralizes market governance, leading to political and constitutional tensions. While the Act simplifies market access, it limits the ability of devolved administrations to address localized policy challenges, undermining the collaborative ethos of devolution.</w:t>
      </w:r>
    </w:p>
    <w:p w14:paraId="3DE675A9" w14:textId="4D831595" w:rsidR="00AD6FBD" w:rsidRPr="00AD6FBD" w:rsidRDefault="00180838" w:rsidP="00AD6FBD">
      <w:pPr>
        <w:spacing w:line="276" w:lineRule="auto"/>
        <w:rPr>
          <w:rFonts w:ascii="Times New Roman" w:hAnsi="Times New Roman"/>
        </w:rPr>
      </w:pPr>
      <w:r w:rsidRPr="00180838">
        <w:rPr>
          <w:rFonts w:ascii="Times New Roman" w:hAnsi="Times New Roman"/>
          <w:noProof/>
          <w:lang w:val="en-HK"/>
          <w14:ligatures w14:val="standardContextual"/>
        </w:rPr>
        <w:pict w14:anchorId="38DFD710">
          <v:rect id="_x0000_i1030" alt="" style="width:451.3pt;height:.05pt;mso-width-percent:0;mso-height-percent:0;mso-width-percent:0;mso-height-percent:0" o:hralign="center" o:hrstd="t" o:hr="t" fillcolor="#a0a0a0" stroked="f"/>
        </w:pict>
      </w:r>
    </w:p>
    <w:p w14:paraId="6348726B" w14:textId="77777777" w:rsidR="00AD6FBD" w:rsidRPr="00AD6FBD" w:rsidRDefault="00AD6FBD" w:rsidP="00AD6FBD">
      <w:pPr>
        <w:spacing w:before="100" w:beforeAutospacing="1" w:after="100" w:afterAutospacing="1" w:line="276" w:lineRule="auto"/>
        <w:outlineLvl w:val="2"/>
        <w:rPr>
          <w:rFonts w:ascii="Times New Roman" w:hAnsi="Times New Roman"/>
          <w:b/>
          <w:bCs/>
          <w:lang w:val="en-HK"/>
        </w:rPr>
      </w:pPr>
      <w:r w:rsidRPr="00AD6FBD">
        <w:rPr>
          <w:rFonts w:ascii="Times New Roman" w:hAnsi="Times New Roman"/>
          <w:b/>
          <w:bCs/>
          <w:lang w:val="en-HK"/>
        </w:rPr>
        <w:t>Conclusion of the Document</w:t>
      </w:r>
    </w:p>
    <w:p w14:paraId="6D5A5CD1" w14:textId="77777777" w:rsidR="00AD6FBD" w:rsidRPr="00AD6FBD" w:rsidRDefault="00AD6FBD" w:rsidP="00AD6FBD">
      <w:p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conclusion of Kenneth A. Armstrong’s article, "The Governance of Economic Unionism after the United Kingdom Internal Market Act," synthesizes the core arguments and implications of the UKIM Act in the context of market governance, constitutional law, and the UK's territorial integrity. The section highlights the Act’s radical departure from EU governance principles and explores its broader consequences for regulatory autonomy, legal frameworks, and the balance of power within the UK.</w:t>
      </w:r>
    </w:p>
    <w:p w14:paraId="3EA7B7FC"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520C4688">
          <v:rect id="_x0000_i1029" alt="" style="width:451.3pt;height:.05pt;mso-width-percent:0;mso-height-percent:0;mso-width-percent:0;mso-height-percent:0" o:hralign="center" o:hrstd="t" o:hr="t" fillcolor="#a0a0a0" stroked="f"/>
        </w:pict>
      </w:r>
    </w:p>
    <w:p w14:paraId="434A1457"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1. A Shift in Governance Philosophy</w:t>
      </w:r>
    </w:p>
    <w:p w14:paraId="0BFB26A0" w14:textId="77777777" w:rsidR="00AD6FBD" w:rsidRPr="00AD6FBD" w:rsidRDefault="00AD6FBD" w:rsidP="00AD6FBD">
      <w:pPr>
        <w:numPr>
          <w:ilvl w:val="0"/>
          <w:numId w:val="20"/>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From Constitutionalized to Statutory Governance</w:t>
      </w:r>
    </w:p>
    <w:p w14:paraId="3D057382" w14:textId="77777777" w:rsidR="00AD6FBD" w:rsidRPr="00AD6FBD" w:rsidRDefault="00AD6FBD" w:rsidP="00AD6FBD">
      <w:pPr>
        <w:numPr>
          <w:ilvl w:val="1"/>
          <w:numId w:val="2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The UKIM Act represents a decisive shift from the constitutionalized governance of the EU internal market to a statutory framework </w:t>
      </w:r>
      <w:proofErr w:type="spellStart"/>
      <w:r w:rsidRPr="00AD6FBD">
        <w:rPr>
          <w:rFonts w:ascii="Times New Roman" w:hAnsi="Times New Roman"/>
          <w:lang w:val="en-HK"/>
        </w:rPr>
        <w:t>centered</w:t>
      </w:r>
      <w:proofErr w:type="spellEnd"/>
      <w:r w:rsidRPr="00AD6FBD">
        <w:rPr>
          <w:rFonts w:ascii="Times New Roman" w:hAnsi="Times New Roman"/>
          <w:lang w:val="en-HK"/>
        </w:rPr>
        <w:t xml:space="preserve"> on legislative supremacy.</w:t>
      </w:r>
    </w:p>
    <w:p w14:paraId="152D2296" w14:textId="77777777" w:rsidR="00AD6FBD" w:rsidRPr="00AD6FBD" w:rsidRDefault="00AD6FBD" w:rsidP="00AD6FBD">
      <w:pPr>
        <w:numPr>
          <w:ilvl w:val="1"/>
          <w:numId w:val="2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EU internal market law, governed by the Treaty on the Functioning of the European Union (TFEU), is judicially enforced and evolves through the interpretation of principles like proportionality and mutual recognition (</w:t>
      </w:r>
      <w:r w:rsidRPr="00AD6FBD">
        <w:rPr>
          <w:rFonts w:ascii="Times New Roman" w:hAnsi="Times New Roman"/>
          <w:i/>
          <w:iCs/>
          <w:lang w:val="en-HK"/>
        </w:rPr>
        <w:t xml:space="preserve">Van </w:t>
      </w:r>
      <w:proofErr w:type="spellStart"/>
      <w:r w:rsidRPr="00AD6FBD">
        <w:rPr>
          <w:rFonts w:ascii="Times New Roman" w:hAnsi="Times New Roman"/>
          <w:i/>
          <w:iCs/>
          <w:lang w:val="en-HK"/>
        </w:rPr>
        <w:t>Gend</w:t>
      </w:r>
      <w:proofErr w:type="spellEnd"/>
      <w:r w:rsidRPr="00AD6FBD">
        <w:rPr>
          <w:rFonts w:ascii="Times New Roman" w:hAnsi="Times New Roman"/>
          <w:i/>
          <w:iCs/>
          <w:lang w:val="en-HK"/>
        </w:rPr>
        <w:t xml:space="preserve"> </w:t>
      </w:r>
      <w:proofErr w:type="spellStart"/>
      <w:r w:rsidRPr="00AD6FBD">
        <w:rPr>
          <w:rFonts w:ascii="Times New Roman" w:hAnsi="Times New Roman"/>
          <w:i/>
          <w:iCs/>
          <w:lang w:val="en-HK"/>
        </w:rPr>
        <w:t>en</w:t>
      </w:r>
      <w:proofErr w:type="spellEnd"/>
      <w:r w:rsidRPr="00AD6FBD">
        <w:rPr>
          <w:rFonts w:ascii="Times New Roman" w:hAnsi="Times New Roman"/>
          <w:i/>
          <w:iCs/>
          <w:lang w:val="en-HK"/>
        </w:rPr>
        <w:t xml:space="preserve"> Loos</w:t>
      </w:r>
      <w:r w:rsidRPr="00AD6FBD">
        <w:rPr>
          <w:rFonts w:ascii="Times New Roman" w:hAnsi="Times New Roman"/>
          <w:lang w:val="en-HK"/>
        </w:rPr>
        <w:t xml:space="preserve">, </w:t>
      </w:r>
      <w:r w:rsidRPr="00AD6FBD">
        <w:rPr>
          <w:rFonts w:ascii="Times New Roman" w:hAnsi="Times New Roman"/>
          <w:i/>
          <w:iCs/>
          <w:lang w:val="en-HK"/>
        </w:rPr>
        <w:t>Cassis de Dijon</w:t>
      </w:r>
      <w:r w:rsidRPr="00AD6FBD">
        <w:rPr>
          <w:rFonts w:ascii="Times New Roman" w:hAnsi="Times New Roman"/>
          <w:lang w:val="en-HK"/>
        </w:rPr>
        <w:t>).</w:t>
      </w:r>
    </w:p>
    <w:p w14:paraId="7F949E98" w14:textId="77777777" w:rsidR="00AD6FBD" w:rsidRPr="00AD6FBD" w:rsidRDefault="00AD6FBD" w:rsidP="00AD6FBD">
      <w:pPr>
        <w:numPr>
          <w:ilvl w:val="1"/>
          <w:numId w:val="2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In contrast, the UKIM Act codifies market access rules in statute, limiting judicial discretion and prioritizing the authority of the UK Parliament.</w:t>
      </w:r>
    </w:p>
    <w:p w14:paraId="03951FB7"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Key Statutory Provision</w:t>
      </w:r>
      <w:r w:rsidRPr="00AD6FBD">
        <w:rPr>
          <w:rFonts w:ascii="Times New Roman" w:hAnsi="Times New Roman"/>
          <w:lang w:val="en-HK"/>
        </w:rPr>
        <w:t>:</w:t>
      </w:r>
    </w:p>
    <w:p w14:paraId="0AEE5194" w14:textId="77777777" w:rsidR="00AD6FBD" w:rsidRPr="00AD6FBD" w:rsidRDefault="00AD6FBD" w:rsidP="00AD6FBD">
      <w:pPr>
        <w:numPr>
          <w:ilvl w:val="1"/>
          <w:numId w:val="2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Section 1(4): "The mutual recognition and non-discrimination principles have no direct legal effect beyond the provisions of this Act."</w:t>
      </w:r>
    </w:p>
    <w:p w14:paraId="73BC40AD"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Opinion</w:t>
      </w:r>
      <w:r w:rsidRPr="00AD6FBD">
        <w:rPr>
          <w:rFonts w:ascii="Times New Roman" w:hAnsi="Times New Roman"/>
          <w:lang w:val="en-HK"/>
        </w:rPr>
        <w:t>:</w:t>
      </w:r>
    </w:p>
    <w:p w14:paraId="180A299B" w14:textId="77777777" w:rsidR="00AD6FBD" w:rsidRPr="00AD6FBD" w:rsidRDefault="00AD6FBD" w:rsidP="00AD6FBD">
      <w:pPr>
        <w:numPr>
          <w:ilvl w:val="1"/>
          <w:numId w:val="2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2022): "The Act consciously rejects the EU's constitutionalized governance model, replacing it with a rigid statutory framework that curtails judicial creativity."</w:t>
      </w:r>
    </w:p>
    <w:p w14:paraId="58EAE36B" w14:textId="77777777" w:rsidR="00AD6FBD" w:rsidRPr="00AD6FBD" w:rsidRDefault="00AD6FBD" w:rsidP="00AD6FBD">
      <w:pPr>
        <w:numPr>
          <w:ilvl w:val="0"/>
          <w:numId w:val="20"/>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Economic Unionism</w:t>
      </w:r>
    </w:p>
    <w:p w14:paraId="46235DFB" w14:textId="77777777" w:rsidR="00AD6FBD" w:rsidRPr="00AD6FBD" w:rsidRDefault="00AD6FBD" w:rsidP="00AD6FBD">
      <w:pPr>
        <w:numPr>
          <w:ilvl w:val="1"/>
          <w:numId w:val="2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Act embodies a model of "economic unionism," emphasizing market efficiency and uniformity over regional regulatory diversity.</w:t>
      </w:r>
    </w:p>
    <w:p w14:paraId="55D9456B" w14:textId="77777777" w:rsidR="00AD6FBD" w:rsidRPr="00AD6FBD" w:rsidRDefault="00AD6FBD" w:rsidP="00AD6FBD">
      <w:pPr>
        <w:numPr>
          <w:ilvl w:val="1"/>
          <w:numId w:val="20"/>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model starkly contrasts with the EU’s collaborative approach, which balances market integration with Member States’ regulatory autonomy.</w:t>
      </w:r>
    </w:p>
    <w:p w14:paraId="0B48EE8B"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Critiques</w:t>
      </w:r>
      <w:r w:rsidRPr="00AD6FBD">
        <w:rPr>
          <w:rFonts w:ascii="Times New Roman" w:hAnsi="Times New Roman"/>
          <w:lang w:val="en-HK"/>
        </w:rPr>
        <w:t>:</w:t>
      </w:r>
    </w:p>
    <w:p w14:paraId="07F407B7" w14:textId="77777777" w:rsidR="00AD6FBD" w:rsidRPr="00AD6FBD" w:rsidRDefault="00AD6FBD" w:rsidP="00AD6FBD">
      <w:pPr>
        <w:numPr>
          <w:ilvl w:val="1"/>
          <w:numId w:val="20"/>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lang w:val="en-HK"/>
        </w:rPr>
        <w:t>Weatherill</w:t>
      </w:r>
      <w:proofErr w:type="spellEnd"/>
      <w:r w:rsidRPr="00AD6FBD">
        <w:rPr>
          <w:rFonts w:ascii="Times New Roman" w:hAnsi="Times New Roman"/>
          <w:lang w:val="en-HK"/>
        </w:rPr>
        <w:t xml:space="preserve"> (</w:t>
      </w:r>
      <w:r w:rsidRPr="00AD6FBD">
        <w:rPr>
          <w:rFonts w:ascii="Times New Roman" w:hAnsi="Times New Roman"/>
          <w:i/>
          <w:iCs/>
          <w:lang w:val="en-HK"/>
        </w:rPr>
        <w:t>Yearbook of European Law</w:t>
      </w:r>
      <w:r w:rsidRPr="00AD6FBD">
        <w:rPr>
          <w:rFonts w:ascii="Times New Roman" w:hAnsi="Times New Roman"/>
          <w:lang w:val="en-HK"/>
        </w:rPr>
        <w:t>, forthcoming): “Economic unionism, as enshrined in the UKIM Act, prioritizes economic objectives over social and environmental considerations, sidelining the devolved administrations’ capacity to innovate.”</w:t>
      </w:r>
    </w:p>
    <w:p w14:paraId="37D8BA51"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3BFAA5A6">
          <v:rect id="_x0000_i1028" alt="" style="width:451.3pt;height:.05pt;mso-width-percent:0;mso-height-percent:0;mso-width-percent:0;mso-height-percent:0" o:hralign="center" o:hrstd="t" o:hr="t" fillcolor="#a0a0a0" stroked="f"/>
        </w:pict>
      </w:r>
    </w:p>
    <w:p w14:paraId="1070902B"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2. Erosion of Devolved Autonomy</w:t>
      </w:r>
    </w:p>
    <w:p w14:paraId="495773D3" w14:textId="77777777" w:rsidR="00AD6FBD" w:rsidRPr="00AD6FBD" w:rsidRDefault="00AD6FBD" w:rsidP="00AD6FBD">
      <w:pPr>
        <w:numPr>
          <w:ilvl w:val="0"/>
          <w:numId w:val="21"/>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Impact on the Territorial Constitution</w:t>
      </w:r>
    </w:p>
    <w:p w14:paraId="3B0333F4" w14:textId="77777777" w:rsidR="00AD6FBD" w:rsidRPr="00AD6FBD" w:rsidRDefault="00AD6FBD" w:rsidP="00AD6FBD">
      <w:pPr>
        <w:numPr>
          <w:ilvl w:val="1"/>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centralizes market governance, undermining the devolved administrations’ ability to pursue distinct public policy goals.</w:t>
      </w:r>
    </w:p>
    <w:p w14:paraId="04ECEA5E" w14:textId="77777777" w:rsidR="00AD6FBD" w:rsidRPr="00AD6FBD" w:rsidRDefault="00AD6FBD" w:rsidP="00AD6FBD">
      <w:pPr>
        <w:numPr>
          <w:ilvl w:val="1"/>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Examples include:</w:t>
      </w:r>
    </w:p>
    <w:p w14:paraId="0FE7B9A5" w14:textId="77777777" w:rsidR="00AD6FBD" w:rsidRPr="00AD6FBD" w:rsidRDefault="00AD6FBD" w:rsidP="00AD6FBD">
      <w:pPr>
        <w:numPr>
          <w:ilvl w:val="2"/>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Scotland’s proposals to ban single-use plastics.</w:t>
      </w:r>
    </w:p>
    <w:p w14:paraId="47C9A9D6" w14:textId="77777777" w:rsidR="00AD6FBD" w:rsidRPr="00AD6FBD" w:rsidRDefault="00AD6FBD" w:rsidP="00AD6FBD">
      <w:pPr>
        <w:numPr>
          <w:ilvl w:val="2"/>
          <w:numId w:val="21"/>
        </w:numPr>
        <w:spacing w:before="100" w:beforeAutospacing="1" w:after="100" w:afterAutospacing="1" w:line="276" w:lineRule="auto"/>
        <w:rPr>
          <w:rFonts w:ascii="Times New Roman" w:hAnsi="Times New Roman"/>
          <w:lang w:val="en-HK"/>
        </w:rPr>
      </w:pPr>
      <w:proofErr w:type="spellStart"/>
      <w:r w:rsidRPr="00AD6FBD">
        <w:rPr>
          <w:rFonts w:ascii="Times New Roman" w:hAnsi="Times New Roman"/>
          <w:lang w:val="en-HK"/>
        </w:rPr>
        <w:t>Wales’</w:t>
      </w:r>
      <w:proofErr w:type="spellEnd"/>
      <w:r w:rsidRPr="00AD6FBD">
        <w:rPr>
          <w:rFonts w:ascii="Times New Roman" w:hAnsi="Times New Roman"/>
          <w:lang w:val="en-HK"/>
        </w:rPr>
        <w:t xml:space="preserve"> minimum alcohol pricing policy.</w:t>
      </w:r>
    </w:p>
    <w:p w14:paraId="1E8547BE" w14:textId="77777777" w:rsidR="00AD6FBD" w:rsidRPr="00AD6FBD" w:rsidRDefault="00AD6FBD" w:rsidP="00AD6FBD">
      <w:pPr>
        <w:numPr>
          <w:ilvl w:val="1"/>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These measures could be overridden under the mutual recognition principle, which </w:t>
      </w:r>
      <w:proofErr w:type="spellStart"/>
      <w:r w:rsidRPr="00AD6FBD">
        <w:rPr>
          <w:rFonts w:ascii="Times New Roman" w:hAnsi="Times New Roman"/>
          <w:lang w:val="en-HK"/>
        </w:rPr>
        <w:t>preempts</w:t>
      </w:r>
      <w:proofErr w:type="spellEnd"/>
      <w:r w:rsidRPr="00AD6FBD">
        <w:rPr>
          <w:rFonts w:ascii="Times New Roman" w:hAnsi="Times New Roman"/>
          <w:lang w:val="en-HK"/>
        </w:rPr>
        <w:t xml:space="preserve"> local regulations inconsistent with market access.</w:t>
      </w:r>
    </w:p>
    <w:p w14:paraId="7A1E050F"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Statutory Basis</w:t>
      </w:r>
      <w:r w:rsidRPr="00AD6FBD">
        <w:rPr>
          <w:rFonts w:ascii="Times New Roman" w:hAnsi="Times New Roman"/>
          <w:lang w:val="en-HK"/>
        </w:rPr>
        <w:t>:</w:t>
      </w:r>
    </w:p>
    <w:p w14:paraId="6CB503C3" w14:textId="77777777" w:rsidR="00AD6FBD" w:rsidRPr="00AD6FBD" w:rsidRDefault="00AD6FBD" w:rsidP="00AD6FBD">
      <w:pPr>
        <w:numPr>
          <w:ilvl w:val="1"/>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Section 2: The mutual recognition principle applies to all goods lawfully marketed in one part of the UK.</w:t>
      </w:r>
    </w:p>
    <w:p w14:paraId="775E3EA8" w14:textId="77777777" w:rsidR="00AD6FBD" w:rsidRPr="00AD6FBD" w:rsidRDefault="00AD6FBD" w:rsidP="00AD6FBD">
      <w:pPr>
        <w:numPr>
          <w:ilvl w:val="1"/>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Schedule 1: Limited exceptions, such as public health emergencies, restrict the scope for regulatory divergence.</w:t>
      </w:r>
    </w:p>
    <w:p w14:paraId="7596A5BE"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Judicial Commentary</w:t>
      </w:r>
      <w:r w:rsidRPr="00AD6FBD">
        <w:rPr>
          <w:rFonts w:ascii="Times New Roman" w:hAnsi="Times New Roman"/>
          <w:lang w:val="en-HK"/>
        </w:rPr>
        <w:t>:</w:t>
      </w:r>
    </w:p>
    <w:p w14:paraId="2F616DD3" w14:textId="77777777" w:rsidR="00AD6FBD" w:rsidRPr="00AD6FBD" w:rsidRDefault="00AD6FBD" w:rsidP="00AD6FBD">
      <w:pPr>
        <w:numPr>
          <w:ilvl w:val="1"/>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Lord Hope (</w:t>
      </w:r>
      <w:r w:rsidRPr="00AD6FBD">
        <w:rPr>
          <w:rFonts w:ascii="Times New Roman" w:hAnsi="Times New Roman"/>
          <w:i/>
          <w:iCs/>
          <w:lang w:val="en-HK"/>
        </w:rPr>
        <w:t>UK Constitutional Law Blog</w:t>
      </w:r>
      <w:r w:rsidRPr="00AD6FBD">
        <w:rPr>
          <w:rFonts w:ascii="Times New Roman" w:hAnsi="Times New Roman"/>
          <w:lang w:val="en-HK"/>
        </w:rPr>
        <w:t>, 2021): “The UKIM Act exacerbates tensions within the UK’s territorial constitution by prioritizing centralized control over devolved policymaking.”</w:t>
      </w:r>
    </w:p>
    <w:p w14:paraId="47BEFE9C" w14:textId="77777777" w:rsidR="00AD6FBD" w:rsidRPr="00AD6FBD" w:rsidRDefault="00AD6FBD" w:rsidP="00AD6FBD">
      <w:pPr>
        <w:numPr>
          <w:ilvl w:val="0"/>
          <w:numId w:val="21"/>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Comparisons to EU Law</w:t>
      </w:r>
    </w:p>
    <w:p w14:paraId="053A810A" w14:textId="77777777" w:rsidR="00AD6FBD" w:rsidRPr="00AD6FBD" w:rsidRDefault="00AD6FBD" w:rsidP="00AD6FBD">
      <w:pPr>
        <w:numPr>
          <w:ilvl w:val="1"/>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Under EU law, Member States retain regulatory autonomy within the bounds of Article 36 TFEU, allowing for justifications such as public health, environmental protection, and consumer safety.</w:t>
      </w:r>
    </w:p>
    <w:p w14:paraId="3075125C" w14:textId="77777777" w:rsidR="00AD6FBD" w:rsidRPr="00AD6FBD" w:rsidRDefault="00AD6FBD" w:rsidP="00AD6FBD">
      <w:pPr>
        <w:numPr>
          <w:ilvl w:val="1"/>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narrows these justifications, leaving devolved administrations with fewer tools to defend local regulations.</w:t>
      </w:r>
    </w:p>
    <w:p w14:paraId="164E0FF8"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Case Example</w:t>
      </w:r>
      <w:r w:rsidRPr="00AD6FBD">
        <w:rPr>
          <w:rFonts w:ascii="Times New Roman" w:hAnsi="Times New Roman"/>
          <w:lang w:val="en-HK"/>
        </w:rPr>
        <w:t>:</w:t>
      </w:r>
    </w:p>
    <w:p w14:paraId="4BC74794" w14:textId="77777777" w:rsidR="00AD6FBD" w:rsidRPr="00AD6FBD" w:rsidRDefault="00AD6FBD" w:rsidP="00AD6FBD">
      <w:pPr>
        <w:numPr>
          <w:ilvl w:val="1"/>
          <w:numId w:val="21"/>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In </w:t>
      </w:r>
      <w:r w:rsidRPr="00AD6FBD">
        <w:rPr>
          <w:rFonts w:ascii="Times New Roman" w:hAnsi="Times New Roman"/>
          <w:i/>
          <w:iCs/>
          <w:lang w:val="en-HK"/>
        </w:rPr>
        <w:t>Scotch Whisky Association v Lord Advocate</w:t>
      </w:r>
      <w:r w:rsidRPr="00AD6FBD">
        <w:rPr>
          <w:rFonts w:ascii="Times New Roman" w:hAnsi="Times New Roman"/>
          <w:lang w:val="en-HK"/>
        </w:rPr>
        <w:t xml:space="preserve"> (Case C-333/14), the CJEU upheld Scotland’s minimum pricing for alcohol under Article 36 TFEU, finding it proportionate to its public health aim. Under the UKIM Act, such a measure could face stricter constraints due to the lack of proportionality analysis.</w:t>
      </w:r>
    </w:p>
    <w:p w14:paraId="3711D23B"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19B1ADC5">
          <v:rect id="_x0000_i1027" alt="" style="width:451.3pt;height:.05pt;mso-width-percent:0;mso-height-percent:0;mso-width-percent:0;mso-height-percent:0" o:hralign="center" o:hrstd="t" o:hr="t" fillcolor="#a0a0a0" stroked="f"/>
        </w:pict>
      </w:r>
    </w:p>
    <w:p w14:paraId="41BAF6A1"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3. Political and Constitutional Implications</w:t>
      </w:r>
    </w:p>
    <w:p w14:paraId="3C94461F" w14:textId="77777777" w:rsidR="00AD6FBD" w:rsidRPr="00AD6FBD" w:rsidRDefault="00AD6FBD" w:rsidP="00AD6FBD">
      <w:pPr>
        <w:numPr>
          <w:ilvl w:val="0"/>
          <w:numId w:val="22"/>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Centralization of Authority</w:t>
      </w:r>
    </w:p>
    <w:p w14:paraId="1F52DF9E" w14:textId="77777777" w:rsidR="00AD6FBD" w:rsidRPr="00AD6FBD" w:rsidRDefault="00AD6FBD" w:rsidP="00AD6FBD">
      <w:pPr>
        <w:numPr>
          <w:ilvl w:val="1"/>
          <w:numId w:val="2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UKIM Act strengthens the role of the UK Parliament and the Secretary of State, marginalizing the role of devolved legislatures.</w:t>
      </w:r>
    </w:p>
    <w:p w14:paraId="49596765" w14:textId="77777777" w:rsidR="00AD6FBD" w:rsidRPr="00AD6FBD" w:rsidRDefault="00AD6FBD" w:rsidP="00AD6FBD">
      <w:pPr>
        <w:numPr>
          <w:ilvl w:val="1"/>
          <w:numId w:val="2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Section 50 grants the Secretary of State broad powers to amend or extend the scope of market access principles, further centralizing decision-making.</w:t>
      </w:r>
    </w:p>
    <w:p w14:paraId="05E073F9"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Critique</w:t>
      </w:r>
      <w:r w:rsidRPr="00AD6FBD">
        <w:rPr>
          <w:rFonts w:ascii="Times New Roman" w:hAnsi="Times New Roman"/>
          <w:lang w:val="en-HK"/>
        </w:rPr>
        <w:t>:</w:t>
      </w:r>
    </w:p>
    <w:p w14:paraId="0ECDC89D" w14:textId="77777777" w:rsidR="00AD6FBD" w:rsidRPr="00AD6FBD" w:rsidRDefault="00AD6FBD" w:rsidP="00AD6FBD">
      <w:pPr>
        <w:numPr>
          <w:ilvl w:val="1"/>
          <w:numId w:val="2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Rawlings (</w:t>
      </w:r>
      <w:r w:rsidRPr="00AD6FBD">
        <w:rPr>
          <w:rFonts w:ascii="Times New Roman" w:hAnsi="Times New Roman"/>
          <w:i/>
          <w:iCs/>
          <w:lang w:val="en-HK"/>
        </w:rPr>
        <w:t>Public Law</w:t>
      </w:r>
      <w:r w:rsidRPr="00AD6FBD">
        <w:rPr>
          <w:rFonts w:ascii="Times New Roman" w:hAnsi="Times New Roman"/>
          <w:lang w:val="en-HK"/>
        </w:rPr>
        <w:t>, 2021): “The UKIM Act consolidates regulatory power in Westminster, creating a constitutional imbalance that threatens the devolved settlement.”</w:t>
      </w:r>
    </w:p>
    <w:p w14:paraId="0795E882" w14:textId="77777777" w:rsidR="00AD6FBD" w:rsidRPr="00AD6FBD" w:rsidRDefault="00AD6FBD" w:rsidP="00AD6FBD">
      <w:pPr>
        <w:numPr>
          <w:ilvl w:val="0"/>
          <w:numId w:val="22"/>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Intergovernmental Conflict</w:t>
      </w:r>
    </w:p>
    <w:p w14:paraId="1D0582EB" w14:textId="77777777" w:rsidR="00AD6FBD" w:rsidRPr="00AD6FBD" w:rsidRDefault="00AD6FBD" w:rsidP="00AD6FBD">
      <w:pPr>
        <w:numPr>
          <w:ilvl w:val="1"/>
          <w:numId w:val="2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Act’s rigid framework has intensified tensions between Westminster and the devolved administrations, as evidenced by the refusal of legislative consent from Scotland and Wales.</w:t>
      </w:r>
    </w:p>
    <w:p w14:paraId="777C33FB" w14:textId="77777777" w:rsidR="00AD6FBD" w:rsidRPr="00AD6FBD" w:rsidRDefault="00AD6FBD" w:rsidP="00AD6FBD">
      <w:pPr>
        <w:numPr>
          <w:ilvl w:val="1"/>
          <w:numId w:val="2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Without mechanisms for intergovernmental collaboration, the UKIM Act risks deepening divisions within the Union.</w:t>
      </w:r>
    </w:p>
    <w:p w14:paraId="72E31061"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Scholarly Insights</w:t>
      </w:r>
      <w:r w:rsidRPr="00AD6FBD">
        <w:rPr>
          <w:rFonts w:ascii="Times New Roman" w:hAnsi="Times New Roman"/>
          <w:lang w:val="en-HK"/>
        </w:rPr>
        <w:t>:</w:t>
      </w:r>
    </w:p>
    <w:p w14:paraId="0BF83E2C" w14:textId="77777777" w:rsidR="00AD6FBD" w:rsidRPr="00AD6FBD" w:rsidRDefault="00AD6FBD" w:rsidP="00AD6FBD">
      <w:pPr>
        <w:numPr>
          <w:ilvl w:val="1"/>
          <w:numId w:val="22"/>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2022): “The UKIM Act prioritizes uniformity over cooperation, undermining the trust and collaboration necessary for a functioning union.”</w:t>
      </w:r>
    </w:p>
    <w:p w14:paraId="4D75C4DF"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50641796">
          <v:rect id="_x0000_i1026" alt="" style="width:451.3pt;height:.05pt;mso-width-percent:0;mso-height-percent:0;mso-width-percent:0;mso-height-percent:0" o:hralign="center" o:hrstd="t" o:hr="t" fillcolor="#a0a0a0" stroked="f"/>
        </w:pict>
      </w:r>
    </w:p>
    <w:p w14:paraId="3A0E8344"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4. Broader Implications for Governance</w:t>
      </w:r>
    </w:p>
    <w:p w14:paraId="59CEA2E4" w14:textId="77777777" w:rsidR="00AD6FBD" w:rsidRPr="00AD6FBD" w:rsidRDefault="00AD6FBD" w:rsidP="00AD6FBD">
      <w:pPr>
        <w:numPr>
          <w:ilvl w:val="0"/>
          <w:numId w:val="23"/>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Regulatory Competition</w:t>
      </w:r>
    </w:p>
    <w:p w14:paraId="674BE0D7" w14:textId="77777777" w:rsidR="00AD6FBD" w:rsidRPr="00AD6FBD" w:rsidRDefault="00AD6FBD" w:rsidP="00AD6FBD">
      <w:pPr>
        <w:numPr>
          <w:ilvl w:val="1"/>
          <w:numId w:val="2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By prioritizing market access, the UKIM Act encourages regulatory competition between UK jurisdictions, potentially leading to a "race to the bottom" in standards.</w:t>
      </w:r>
    </w:p>
    <w:p w14:paraId="64FD740A" w14:textId="77777777" w:rsidR="00AD6FBD" w:rsidRPr="00AD6FBD" w:rsidRDefault="00AD6FBD" w:rsidP="00AD6FBD">
      <w:pPr>
        <w:numPr>
          <w:ilvl w:val="1"/>
          <w:numId w:val="2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Businesses may gravitate toward regions with less stringent regulations, undermining efforts to maintain high standards in areas like environmental protection and public health.</w:t>
      </w:r>
    </w:p>
    <w:p w14:paraId="6A599EF6"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Critiques</w:t>
      </w:r>
      <w:r w:rsidRPr="00AD6FBD">
        <w:rPr>
          <w:rFonts w:ascii="Times New Roman" w:hAnsi="Times New Roman"/>
          <w:lang w:val="en-HK"/>
        </w:rPr>
        <w:t>:</w:t>
      </w:r>
    </w:p>
    <w:p w14:paraId="0B3442D3" w14:textId="77777777" w:rsidR="00AD6FBD" w:rsidRPr="00AD6FBD" w:rsidRDefault="00AD6FBD" w:rsidP="00AD6FBD">
      <w:pPr>
        <w:numPr>
          <w:ilvl w:val="1"/>
          <w:numId w:val="2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2022): "The UKIM Act’s regulatory competition model threatens the coherence of public policy objectives, incentivizing deregulation over innovation."</w:t>
      </w:r>
    </w:p>
    <w:p w14:paraId="6EF44B00" w14:textId="77777777" w:rsidR="00AD6FBD" w:rsidRPr="00AD6FBD" w:rsidRDefault="00AD6FBD" w:rsidP="00AD6FBD">
      <w:pPr>
        <w:numPr>
          <w:ilvl w:val="0"/>
          <w:numId w:val="23"/>
        </w:numPr>
        <w:spacing w:before="100" w:beforeAutospacing="1" w:after="100" w:afterAutospacing="1" w:line="276" w:lineRule="auto"/>
        <w:rPr>
          <w:rFonts w:ascii="Times New Roman" w:hAnsi="Times New Roman"/>
          <w:lang w:val="en-HK"/>
        </w:rPr>
      </w:pPr>
      <w:r w:rsidRPr="00AD6FBD">
        <w:rPr>
          <w:rFonts w:ascii="Times New Roman" w:hAnsi="Times New Roman"/>
          <w:b/>
          <w:bCs/>
          <w:lang w:val="en-HK"/>
        </w:rPr>
        <w:t>Judicial Oversight</w:t>
      </w:r>
    </w:p>
    <w:p w14:paraId="2CEE419A" w14:textId="77777777" w:rsidR="00AD6FBD" w:rsidRPr="00AD6FBD" w:rsidRDefault="00AD6FBD" w:rsidP="00AD6FBD">
      <w:pPr>
        <w:numPr>
          <w:ilvl w:val="1"/>
          <w:numId w:val="2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Act significantly limits judicial oversight, restricting courts to interpreting statutory provisions rather than developing broader legal principles.</w:t>
      </w:r>
    </w:p>
    <w:p w14:paraId="4B577B80" w14:textId="77777777" w:rsidR="00AD6FBD" w:rsidRPr="00AD6FBD" w:rsidRDefault="00AD6FBD" w:rsidP="00AD6FBD">
      <w:pPr>
        <w:numPr>
          <w:ilvl w:val="1"/>
          <w:numId w:val="2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This contrasts with the EU’s reliance on the Court of Justice of the European Union (CJEU) to balance market access with public policy.</w:t>
      </w:r>
    </w:p>
    <w:p w14:paraId="7629AD12"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Case Comparison</w:t>
      </w:r>
      <w:r w:rsidRPr="00AD6FBD">
        <w:rPr>
          <w:rFonts w:ascii="Times New Roman" w:hAnsi="Times New Roman"/>
          <w:lang w:val="en-HK"/>
        </w:rPr>
        <w:t>:</w:t>
      </w:r>
    </w:p>
    <w:p w14:paraId="37E187FF" w14:textId="77777777" w:rsidR="00AD6FBD" w:rsidRPr="00AD6FBD" w:rsidRDefault="00AD6FBD" w:rsidP="00AD6FBD">
      <w:pPr>
        <w:numPr>
          <w:ilvl w:val="1"/>
          <w:numId w:val="23"/>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 xml:space="preserve">In </w:t>
      </w:r>
      <w:proofErr w:type="spellStart"/>
      <w:r w:rsidRPr="00AD6FBD">
        <w:rPr>
          <w:rFonts w:ascii="Times New Roman" w:hAnsi="Times New Roman"/>
          <w:i/>
          <w:iCs/>
          <w:lang w:val="en-HK"/>
        </w:rPr>
        <w:t>Mickelsson</w:t>
      </w:r>
      <w:proofErr w:type="spellEnd"/>
      <w:r w:rsidRPr="00AD6FBD">
        <w:rPr>
          <w:rFonts w:ascii="Times New Roman" w:hAnsi="Times New Roman"/>
          <w:i/>
          <w:iCs/>
          <w:lang w:val="en-HK"/>
        </w:rPr>
        <w:t xml:space="preserve"> and </w:t>
      </w:r>
      <w:proofErr w:type="spellStart"/>
      <w:r w:rsidRPr="00AD6FBD">
        <w:rPr>
          <w:rFonts w:ascii="Times New Roman" w:hAnsi="Times New Roman"/>
          <w:i/>
          <w:iCs/>
          <w:lang w:val="en-HK"/>
        </w:rPr>
        <w:t>Roos</w:t>
      </w:r>
      <w:proofErr w:type="spellEnd"/>
      <w:r w:rsidRPr="00AD6FBD">
        <w:rPr>
          <w:rFonts w:ascii="Times New Roman" w:hAnsi="Times New Roman"/>
          <w:lang w:val="en-HK"/>
        </w:rPr>
        <w:t xml:space="preserve"> (Case C-142/05), the CJEU extended Article 34 TFEU to cover market access barriers created by national regulations. The UKIM Act, by contrast, </w:t>
      </w:r>
      <w:proofErr w:type="spellStart"/>
      <w:r w:rsidRPr="00AD6FBD">
        <w:rPr>
          <w:rFonts w:ascii="Times New Roman" w:hAnsi="Times New Roman"/>
          <w:lang w:val="en-HK"/>
        </w:rPr>
        <w:t>preempts</w:t>
      </w:r>
      <w:proofErr w:type="spellEnd"/>
      <w:r w:rsidRPr="00AD6FBD">
        <w:rPr>
          <w:rFonts w:ascii="Times New Roman" w:hAnsi="Times New Roman"/>
          <w:lang w:val="en-HK"/>
        </w:rPr>
        <w:t xml:space="preserve"> judicial balancing, emphasizing legislative control.</w:t>
      </w:r>
    </w:p>
    <w:p w14:paraId="622B103C" w14:textId="77777777" w:rsidR="00AD6FBD" w:rsidRPr="00AD6FBD" w:rsidRDefault="00180838" w:rsidP="00AD6FBD">
      <w:pPr>
        <w:spacing w:line="276" w:lineRule="auto"/>
        <w:rPr>
          <w:rFonts w:ascii="Times New Roman" w:hAnsi="Times New Roman"/>
          <w:lang w:val="en-HK"/>
        </w:rPr>
      </w:pPr>
      <w:r w:rsidRPr="00180838">
        <w:rPr>
          <w:rFonts w:ascii="Times New Roman" w:hAnsi="Times New Roman"/>
          <w:noProof/>
          <w:lang w:val="en-HK"/>
          <w14:ligatures w14:val="standardContextual"/>
        </w:rPr>
        <w:pict w14:anchorId="2AE9B819">
          <v:rect id="_x0000_i1025" alt="" style="width:451.3pt;height:.05pt;mso-width-percent:0;mso-height-percent:0;mso-width-percent:0;mso-height-percent:0" o:hralign="center" o:hrstd="t" o:hr="t" fillcolor="#a0a0a0" stroked="f"/>
        </w:pict>
      </w:r>
    </w:p>
    <w:p w14:paraId="291ABC65" w14:textId="77777777" w:rsidR="00AD6FBD" w:rsidRPr="00AD6FBD" w:rsidRDefault="00AD6FBD" w:rsidP="00AD6FBD">
      <w:pPr>
        <w:spacing w:before="100" w:beforeAutospacing="1" w:after="100" w:afterAutospacing="1" w:line="276" w:lineRule="auto"/>
        <w:outlineLvl w:val="3"/>
        <w:rPr>
          <w:rFonts w:ascii="Times New Roman" w:hAnsi="Times New Roman"/>
          <w:b/>
          <w:bCs/>
          <w:lang w:val="en-HK"/>
        </w:rPr>
      </w:pPr>
      <w:r w:rsidRPr="00AD6FBD">
        <w:rPr>
          <w:rFonts w:ascii="Times New Roman" w:hAnsi="Times New Roman"/>
          <w:b/>
          <w:bCs/>
          <w:lang w:val="en-HK"/>
        </w:rPr>
        <w:t>5. Conclusion of the Conclusion</w:t>
      </w:r>
    </w:p>
    <w:p w14:paraId="01BA2611" w14:textId="77777777" w:rsidR="00AD6FBD" w:rsidRPr="00AD6FBD" w:rsidRDefault="00AD6FBD" w:rsidP="00AD6FBD">
      <w:pPr>
        <w:numPr>
          <w:ilvl w:val="0"/>
          <w:numId w:val="2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lastRenderedPageBreak/>
        <w:t>The UKIM Act represents a fundamental departure from the EU model of internal market governance, replacing constitutionalized principles with a statutory framework rooted in economic unionism.</w:t>
      </w:r>
    </w:p>
    <w:p w14:paraId="5D531691" w14:textId="77777777" w:rsidR="00AD6FBD" w:rsidRPr="00AD6FBD" w:rsidRDefault="00AD6FBD" w:rsidP="00AD6FBD">
      <w:pPr>
        <w:numPr>
          <w:ilvl w:val="0"/>
          <w:numId w:val="2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While the Act simplifies market access within the UK, it sacrifices regulatory diversity, judicial oversight, and devolved autonomy.</w:t>
      </w:r>
    </w:p>
    <w:p w14:paraId="5795A1F4" w14:textId="77777777" w:rsidR="00AD6FBD" w:rsidRPr="00AD6FBD" w:rsidRDefault="00AD6FBD" w:rsidP="00AD6FBD">
      <w:pPr>
        <w:numPr>
          <w:ilvl w:val="0"/>
          <w:numId w:val="2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The centralization of authority and the prioritization of market efficiency over collaboration have exacerbated political and constitutional tensions within the Union.</w:t>
      </w:r>
    </w:p>
    <w:p w14:paraId="2272DFFD" w14:textId="77777777" w:rsidR="00AD6FBD" w:rsidRPr="00AD6FBD" w:rsidRDefault="00AD6FBD" w:rsidP="00AD6FBD">
      <w:pPr>
        <w:spacing w:before="100" w:beforeAutospacing="1" w:after="100" w:afterAutospacing="1" w:line="276" w:lineRule="auto"/>
        <w:ind w:left="720"/>
        <w:rPr>
          <w:rFonts w:ascii="Times New Roman" w:hAnsi="Times New Roman"/>
          <w:lang w:val="en-HK"/>
        </w:rPr>
      </w:pPr>
      <w:r w:rsidRPr="00AD6FBD">
        <w:rPr>
          <w:rFonts w:ascii="Times New Roman" w:hAnsi="Times New Roman"/>
          <w:b/>
          <w:bCs/>
          <w:lang w:val="en-HK"/>
        </w:rPr>
        <w:t>Final Reflection</w:t>
      </w:r>
      <w:r w:rsidRPr="00AD6FBD">
        <w:rPr>
          <w:rFonts w:ascii="Times New Roman" w:hAnsi="Times New Roman"/>
          <w:lang w:val="en-HK"/>
        </w:rPr>
        <w:t>:</w:t>
      </w:r>
    </w:p>
    <w:p w14:paraId="2C07B84A" w14:textId="77777777" w:rsidR="00AD6FBD" w:rsidRPr="00AD6FBD" w:rsidRDefault="00AD6FBD" w:rsidP="00AD6FBD">
      <w:pPr>
        <w:numPr>
          <w:ilvl w:val="1"/>
          <w:numId w:val="24"/>
        </w:numPr>
        <w:spacing w:before="100" w:beforeAutospacing="1" w:after="100" w:afterAutospacing="1" w:line="276" w:lineRule="auto"/>
        <w:rPr>
          <w:rFonts w:ascii="Times New Roman" w:hAnsi="Times New Roman"/>
          <w:lang w:val="en-HK"/>
        </w:rPr>
      </w:pPr>
      <w:r w:rsidRPr="00AD6FBD">
        <w:rPr>
          <w:rFonts w:ascii="Times New Roman" w:hAnsi="Times New Roman"/>
          <w:lang w:val="en-HK"/>
        </w:rPr>
        <w:t>Armstrong (</w:t>
      </w:r>
      <w:r w:rsidRPr="00AD6FBD">
        <w:rPr>
          <w:rFonts w:ascii="Times New Roman" w:hAnsi="Times New Roman"/>
          <w:i/>
          <w:iCs/>
          <w:lang w:val="en-HK"/>
        </w:rPr>
        <w:t>Modern Law Review</w:t>
      </w:r>
      <w:r w:rsidRPr="00AD6FBD">
        <w:rPr>
          <w:rFonts w:ascii="Times New Roman" w:hAnsi="Times New Roman"/>
          <w:lang w:val="en-HK"/>
        </w:rPr>
        <w:t>, 2022): “The UKIM Act is not merely a technical instrument of market governance; it is a political statement of economic and constitutional priorities that redefines the governance of the UK’s internal market.”</w:t>
      </w:r>
    </w:p>
    <w:p w14:paraId="55C69782" w14:textId="77777777" w:rsidR="00AD6FBD" w:rsidRPr="00AD6FBD" w:rsidRDefault="00AD6FBD" w:rsidP="00AD6FBD">
      <w:pPr>
        <w:spacing w:line="276" w:lineRule="auto"/>
        <w:rPr>
          <w:rFonts w:ascii="Times New Roman" w:hAnsi="Times New Roman"/>
        </w:rPr>
      </w:pPr>
    </w:p>
    <w:sectPr w:rsidR="00AD6FBD" w:rsidRPr="00AD6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A0128"/>
    <w:multiLevelType w:val="multilevel"/>
    <w:tmpl w:val="235A76E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C2C2D"/>
    <w:multiLevelType w:val="multilevel"/>
    <w:tmpl w:val="C9C62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82F23"/>
    <w:multiLevelType w:val="multilevel"/>
    <w:tmpl w:val="35F4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26476"/>
    <w:multiLevelType w:val="multilevel"/>
    <w:tmpl w:val="BD10B15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E0C31"/>
    <w:multiLevelType w:val="multilevel"/>
    <w:tmpl w:val="AE9C2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8062C"/>
    <w:multiLevelType w:val="multilevel"/>
    <w:tmpl w:val="E0AE211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F50716"/>
    <w:multiLevelType w:val="multilevel"/>
    <w:tmpl w:val="1FCAD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3243C"/>
    <w:multiLevelType w:val="multilevel"/>
    <w:tmpl w:val="9B188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387615"/>
    <w:multiLevelType w:val="multilevel"/>
    <w:tmpl w:val="9222A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340914"/>
    <w:multiLevelType w:val="multilevel"/>
    <w:tmpl w:val="EFAE9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E207F3"/>
    <w:multiLevelType w:val="multilevel"/>
    <w:tmpl w:val="5AB0A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936A8"/>
    <w:multiLevelType w:val="multilevel"/>
    <w:tmpl w:val="03C4D7B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755859"/>
    <w:multiLevelType w:val="multilevel"/>
    <w:tmpl w:val="50BCD6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5E43427"/>
    <w:multiLevelType w:val="multilevel"/>
    <w:tmpl w:val="F044E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2128AA"/>
    <w:multiLevelType w:val="multilevel"/>
    <w:tmpl w:val="622EF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4C1489"/>
    <w:multiLevelType w:val="multilevel"/>
    <w:tmpl w:val="E06AF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416EBF"/>
    <w:multiLevelType w:val="multilevel"/>
    <w:tmpl w:val="C6F89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B12DFB"/>
    <w:multiLevelType w:val="multilevel"/>
    <w:tmpl w:val="402EA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12595D"/>
    <w:multiLevelType w:val="multilevel"/>
    <w:tmpl w:val="2D7EB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AA5D4F"/>
    <w:multiLevelType w:val="multilevel"/>
    <w:tmpl w:val="D004C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E55266"/>
    <w:multiLevelType w:val="multilevel"/>
    <w:tmpl w:val="A3D6D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A411F"/>
    <w:multiLevelType w:val="multilevel"/>
    <w:tmpl w:val="0A801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AA1DD7"/>
    <w:multiLevelType w:val="multilevel"/>
    <w:tmpl w:val="FA38D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8F6EB3"/>
    <w:multiLevelType w:val="multilevel"/>
    <w:tmpl w:val="4636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467006">
    <w:abstractNumId w:val="4"/>
  </w:num>
  <w:num w:numId="2" w16cid:durableId="912660407">
    <w:abstractNumId w:val="8"/>
  </w:num>
  <w:num w:numId="3" w16cid:durableId="1195193331">
    <w:abstractNumId w:val="3"/>
  </w:num>
  <w:num w:numId="4" w16cid:durableId="1495488995">
    <w:abstractNumId w:val="11"/>
  </w:num>
  <w:num w:numId="5" w16cid:durableId="1126507158">
    <w:abstractNumId w:val="5"/>
  </w:num>
  <w:num w:numId="6" w16cid:durableId="1317881724">
    <w:abstractNumId w:val="0"/>
  </w:num>
  <w:num w:numId="7" w16cid:durableId="833758650">
    <w:abstractNumId w:val="12"/>
  </w:num>
  <w:num w:numId="8" w16cid:durableId="136655225">
    <w:abstractNumId w:val="15"/>
  </w:num>
  <w:num w:numId="9" w16cid:durableId="295990336">
    <w:abstractNumId w:val="1"/>
  </w:num>
  <w:num w:numId="10" w16cid:durableId="1128627047">
    <w:abstractNumId w:val="6"/>
  </w:num>
  <w:num w:numId="11" w16cid:durableId="108206675">
    <w:abstractNumId w:val="22"/>
  </w:num>
  <w:num w:numId="12" w16cid:durableId="1755979671">
    <w:abstractNumId w:val="2"/>
  </w:num>
  <w:num w:numId="13" w16cid:durableId="1503544558">
    <w:abstractNumId w:val="9"/>
  </w:num>
  <w:num w:numId="14" w16cid:durableId="889806245">
    <w:abstractNumId w:val="10"/>
  </w:num>
  <w:num w:numId="15" w16cid:durableId="1254583038">
    <w:abstractNumId w:val="19"/>
  </w:num>
  <w:num w:numId="16" w16cid:durableId="1959799312">
    <w:abstractNumId w:val="21"/>
  </w:num>
  <w:num w:numId="17" w16cid:durableId="1413353463">
    <w:abstractNumId w:val="17"/>
  </w:num>
  <w:num w:numId="18" w16cid:durableId="2001231215">
    <w:abstractNumId w:val="14"/>
  </w:num>
  <w:num w:numId="19" w16cid:durableId="478620065">
    <w:abstractNumId w:val="13"/>
  </w:num>
  <w:num w:numId="20" w16cid:durableId="172498076">
    <w:abstractNumId w:val="23"/>
  </w:num>
  <w:num w:numId="21" w16cid:durableId="1425416347">
    <w:abstractNumId w:val="18"/>
  </w:num>
  <w:num w:numId="22" w16cid:durableId="1716809790">
    <w:abstractNumId w:val="7"/>
  </w:num>
  <w:num w:numId="23" w16cid:durableId="1912620241">
    <w:abstractNumId w:val="16"/>
  </w:num>
  <w:num w:numId="24" w16cid:durableId="1999780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6B"/>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8083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44E6B"/>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D6FBD"/>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4F6A"/>
    <w:rsid w:val="00EF3EF4"/>
    <w:rsid w:val="00F012E4"/>
    <w:rsid w:val="00F0631B"/>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56F6"/>
  <w15:chartTrackingRefBased/>
  <w15:docId w15:val="{284C68F7-7D77-D047-87E6-69FFFD1AA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644E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E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4E6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44E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4E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4E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4E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4E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4E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E6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644E6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644E6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644E6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644E6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644E6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644E6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644E6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644E6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644E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E6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644E6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6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644E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4E6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644E6B"/>
    <w:pPr>
      <w:ind w:left="720"/>
      <w:contextualSpacing/>
    </w:pPr>
  </w:style>
  <w:style w:type="character" w:styleId="IntenseEmphasis">
    <w:name w:val="Intense Emphasis"/>
    <w:basedOn w:val="DefaultParagraphFont"/>
    <w:uiPriority w:val="21"/>
    <w:qFormat/>
    <w:rsid w:val="00644E6B"/>
    <w:rPr>
      <w:i/>
      <w:iCs/>
      <w:color w:val="2F5496" w:themeColor="accent1" w:themeShade="BF"/>
    </w:rPr>
  </w:style>
  <w:style w:type="paragraph" w:styleId="IntenseQuote">
    <w:name w:val="Intense Quote"/>
    <w:basedOn w:val="Normal"/>
    <w:next w:val="Normal"/>
    <w:link w:val="IntenseQuoteChar"/>
    <w:uiPriority w:val="30"/>
    <w:qFormat/>
    <w:rsid w:val="00644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E6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644E6B"/>
    <w:rPr>
      <w:b/>
      <w:bCs/>
      <w:smallCaps/>
      <w:color w:val="2F5496" w:themeColor="accent1" w:themeShade="BF"/>
      <w:spacing w:val="5"/>
    </w:rPr>
  </w:style>
  <w:style w:type="character" w:styleId="Strong">
    <w:name w:val="Strong"/>
    <w:basedOn w:val="DefaultParagraphFont"/>
    <w:uiPriority w:val="22"/>
    <w:qFormat/>
    <w:rsid w:val="00AD6FBD"/>
    <w:rPr>
      <w:b/>
      <w:bCs/>
    </w:rPr>
  </w:style>
  <w:style w:type="paragraph" w:styleId="NormalWeb">
    <w:name w:val="Normal (Web)"/>
    <w:basedOn w:val="Normal"/>
    <w:uiPriority w:val="99"/>
    <w:semiHidden/>
    <w:unhideWhenUsed/>
    <w:rsid w:val="00AD6FBD"/>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AD6F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101428">
      <w:bodyDiv w:val="1"/>
      <w:marLeft w:val="0"/>
      <w:marRight w:val="0"/>
      <w:marTop w:val="0"/>
      <w:marBottom w:val="0"/>
      <w:divBdr>
        <w:top w:val="none" w:sz="0" w:space="0" w:color="auto"/>
        <w:left w:val="none" w:sz="0" w:space="0" w:color="auto"/>
        <w:bottom w:val="none" w:sz="0" w:space="0" w:color="auto"/>
        <w:right w:val="none" w:sz="0" w:space="0" w:color="auto"/>
      </w:divBdr>
    </w:div>
    <w:div w:id="645477603">
      <w:bodyDiv w:val="1"/>
      <w:marLeft w:val="0"/>
      <w:marRight w:val="0"/>
      <w:marTop w:val="0"/>
      <w:marBottom w:val="0"/>
      <w:divBdr>
        <w:top w:val="none" w:sz="0" w:space="0" w:color="auto"/>
        <w:left w:val="none" w:sz="0" w:space="0" w:color="auto"/>
        <w:bottom w:val="none" w:sz="0" w:space="0" w:color="auto"/>
        <w:right w:val="none" w:sz="0" w:space="0" w:color="auto"/>
      </w:divBdr>
      <w:divsChild>
        <w:div w:id="878198562">
          <w:blockQuote w:val="1"/>
          <w:marLeft w:val="720"/>
          <w:marRight w:val="720"/>
          <w:marTop w:val="100"/>
          <w:marBottom w:val="100"/>
          <w:divBdr>
            <w:top w:val="none" w:sz="0" w:space="0" w:color="auto"/>
            <w:left w:val="none" w:sz="0" w:space="0" w:color="auto"/>
            <w:bottom w:val="none" w:sz="0" w:space="0" w:color="auto"/>
            <w:right w:val="none" w:sz="0" w:space="0" w:color="auto"/>
          </w:divBdr>
        </w:div>
        <w:div w:id="48890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036839">
      <w:bodyDiv w:val="1"/>
      <w:marLeft w:val="0"/>
      <w:marRight w:val="0"/>
      <w:marTop w:val="0"/>
      <w:marBottom w:val="0"/>
      <w:divBdr>
        <w:top w:val="none" w:sz="0" w:space="0" w:color="auto"/>
        <w:left w:val="none" w:sz="0" w:space="0" w:color="auto"/>
        <w:bottom w:val="none" w:sz="0" w:space="0" w:color="auto"/>
        <w:right w:val="none" w:sz="0" w:space="0" w:color="auto"/>
      </w:divBdr>
    </w:div>
    <w:div w:id="1381246150">
      <w:bodyDiv w:val="1"/>
      <w:marLeft w:val="0"/>
      <w:marRight w:val="0"/>
      <w:marTop w:val="0"/>
      <w:marBottom w:val="0"/>
      <w:divBdr>
        <w:top w:val="none" w:sz="0" w:space="0" w:color="auto"/>
        <w:left w:val="none" w:sz="0" w:space="0" w:color="auto"/>
        <w:bottom w:val="none" w:sz="0" w:space="0" w:color="auto"/>
        <w:right w:val="none" w:sz="0" w:space="0" w:color="auto"/>
      </w:divBdr>
      <w:divsChild>
        <w:div w:id="58144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8634554">
      <w:bodyDiv w:val="1"/>
      <w:marLeft w:val="0"/>
      <w:marRight w:val="0"/>
      <w:marTop w:val="0"/>
      <w:marBottom w:val="0"/>
      <w:divBdr>
        <w:top w:val="none" w:sz="0" w:space="0" w:color="auto"/>
        <w:left w:val="none" w:sz="0" w:space="0" w:color="auto"/>
        <w:bottom w:val="none" w:sz="0" w:space="0" w:color="auto"/>
        <w:right w:val="none" w:sz="0" w:space="0" w:color="auto"/>
      </w:divBdr>
    </w:div>
    <w:div w:id="1807308555">
      <w:bodyDiv w:val="1"/>
      <w:marLeft w:val="0"/>
      <w:marRight w:val="0"/>
      <w:marTop w:val="0"/>
      <w:marBottom w:val="0"/>
      <w:divBdr>
        <w:top w:val="none" w:sz="0" w:space="0" w:color="auto"/>
        <w:left w:val="none" w:sz="0" w:space="0" w:color="auto"/>
        <w:bottom w:val="none" w:sz="0" w:space="0" w:color="auto"/>
        <w:right w:val="none" w:sz="0" w:space="0" w:color="auto"/>
      </w:divBdr>
      <w:divsChild>
        <w:div w:id="675887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5171</Words>
  <Characters>29476</Characters>
  <Application>Microsoft Office Word</Application>
  <DocSecurity>0</DocSecurity>
  <Lines>245</Lines>
  <Paragraphs>69</Paragraphs>
  <ScaleCrop>false</ScaleCrop>
  <Company/>
  <LinksUpToDate>false</LinksUpToDate>
  <CharactersWithSpaces>34578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2025-01-24T14:15:00Z</dcterms:created>
  <dcterms:modified xsi:type="dcterms:W3CDTF">2025-01-24T14:27:00Z</dcterms:modified>
</cp:coreProperties>
</file>