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E57C8E" w14:textId="225F6C3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Section 1. The Nature of the TCA</w:t>
      </w:r>
    </w:p>
    <w:p w14:paraId="1EE80617" w14:textId="77777777" w:rsidR="000503CD" w:rsidRPr="00291C19" w:rsidRDefault="000503CD" w:rsidP="00291C19">
      <w:pPr>
        <w:numPr>
          <w:ilvl w:val="0"/>
          <w:numId w:val="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represents a shift from the UK’s previous position as an EU Member State to a third country operating under an international treaty framework.</w:t>
      </w:r>
    </w:p>
    <w:p w14:paraId="463E642A" w14:textId="77777777" w:rsidR="000503CD" w:rsidRPr="00291C19" w:rsidRDefault="000503CD" w:rsidP="00291C19">
      <w:pPr>
        <w:numPr>
          <w:ilvl w:val="0"/>
          <w:numId w:val="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agreement does not replicate EU membership benefits but establishes a new legal and political relationship.</w:t>
      </w:r>
    </w:p>
    <w:p w14:paraId="629587DB" w14:textId="77777777" w:rsidR="000503CD" w:rsidRPr="00291C19" w:rsidRDefault="000503CD" w:rsidP="00291C19">
      <w:pPr>
        <w:numPr>
          <w:ilvl w:val="0"/>
          <w:numId w:val="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focuses on ensuring cooperation in specific areas while maintaining the sovereignty of both parties.</w:t>
      </w:r>
    </w:p>
    <w:p w14:paraId="1D89CC47"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Observation</w:t>
      </w:r>
      <w:r w:rsidRPr="00291C19">
        <w:rPr>
          <w:rFonts w:ascii="Times New Roman" w:hAnsi="Times New Roman"/>
          <w:lang w:val="en-HK"/>
        </w:rPr>
        <w:t>:</w:t>
      </w:r>
    </w:p>
    <w:p w14:paraId="4A6E92F7" w14:textId="77777777" w:rsidR="000503CD" w:rsidRPr="00291C19" w:rsidRDefault="000503CD" w:rsidP="00291C19">
      <w:pPr>
        <w:numPr>
          <w:ilvl w:val="1"/>
          <w:numId w:val="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captures the delicate balance between proximity and separation, reflecting the political compromises necessitated by Brexit.”</w:t>
      </w:r>
    </w:p>
    <w:p w14:paraId="0F08D909" w14:textId="77777777" w:rsidR="000503CD" w:rsidRPr="00291C19" w:rsidRDefault="006A1244" w:rsidP="00291C19">
      <w:pPr>
        <w:spacing w:line="276" w:lineRule="auto"/>
        <w:rPr>
          <w:rFonts w:ascii="Times New Roman" w:hAnsi="Times New Roman"/>
          <w:lang w:val="en-HK"/>
        </w:rPr>
      </w:pPr>
      <w:r>
        <w:pict w14:anchorId="179646A7">
          <v:rect id="Horizontal Line 1" o:spid="_x0000_s106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AF6CC"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2. Geographic and Economic Realities</w:t>
      </w:r>
    </w:p>
    <w:p w14:paraId="455AE9B8" w14:textId="77777777" w:rsidR="000503CD" w:rsidRPr="00291C19" w:rsidRDefault="000503CD" w:rsidP="00291C19">
      <w:pPr>
        <w:numPr>
          <w:ilvl w:val="0"/>
          <w:numId w:val="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EU and UK remain deeply interconnected by geography and economics, necessitating an agreement to manage their relationship.</w:t>
      </w:r>
    </w:p>
    <w:p w14:paraId="4BC50A1D" w14:textId="77777777" w:rsidR="000503CD" w:rsidRPr="00291C19" w:rsidRDefault="000503CD" w:rsidP="00291C19">
      <w:pPr>
        <w:numPr>
          <w:ilvl w:val="0"/>
          <w:numId w:val="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interdependence is especially evident in areas such as trade, security, and energy.</w:t>
      </w:r>
    </w:p>
    <w:p w14:paraId="6121E54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Argument</w:t>
      </w:r>
      <w:r w:rsidRPr="00291C19">
        <w:rPr>
          <w:rFonts w:ascii="Times New Roman" w:hAnsi="Times New Roman"/>
          <w:lang w:val="en-HK"/>
        </w:rPr>
        <w:t>:</w:t>
      </w:r>
    </w:p>
    <w:p w14:paraId="6C66DB51" w14:textId="77777777" w:rsidR="000503CD" w:rsidRPr="00291C19" w:rsidRDefault="000503CD" w:rsidP="00291C19">
      <w:pPr>
        <w:numPr>
          <w:ilvl w:val="1"/>
          <w:numId w:val="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“Geographic and economic proximity necessitates unavoidable connections, even as political divergence shapes the framework of those interactions.”</w:t>
      </w:r>
    </w:p>
    <w:p w14:paraId="40F8A78A" w14:textId="77777777" w:rsidR="000503CD" w:rsidRPr="00291C19" w:rsidRDefault="006A1244" w:rsidP="00291C19">
      <w:pPr>
        <w:spacing w:line="276" w:lineRule="auto"/>
        <w:rPr>
          <w:rFonts w:ascii="Times New Roman" w:hAnsi="Times New Roman"/>
          <w:lang w:val="en-HK"/>
        </w:rPr>
      </w:pPr>
      <w:r>
        <w:pict w14:anchorId="43A79441">
          <v:rect id="Horizontal Line 2" o:spid="_x0000_s106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402F61"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3. Legal Foundations of the TCA</w:t>
      </w:r>
    </w:p>
    <w:p w14:paraId="1F665257" w14:textId="77777777" w:rsidR="000503CD" w:rsidRPr="00291C19" w:rsidRDefault="000503CD" w:rsidP="00291C19">
      <w:pPr>
        <w:numPr>
          <w:ilvl w:val="0"/>
          <w:numId w:val="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is based on international law rather than EU law, marking a significant departure from the legal regime that governed the UK as an EU Member State.</w:t>
      </w:r>
    </w:p>
    <w:p w14:paraId="33718CA1" w14:textId="77777777" w:rsidR="000503CD" w:rsidRPr="00291C19" w:rsidRDefault="000503CD" w:rsidP="00291C19">
      <w:pPr>
        <w:numPr>
          <w:ilvl w:val="0"/>
          <w:numId w:val="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It is structured as a comprehensive free trade agreement (FTA) with added elements of cooperation in areas such as criminal law and energy.</w:t>
      </w:r>
    </w:p>
    <w:p w14:paraId="262CB8B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1CB7B946" w14:textId="77777777" w:rsidR="000503CD" w:rsidRPr="00291C19" w:rsidRDefault="000503CD" w:rsidP="00291C19">
      <w:pPr>
        <w:numPr>
          <w:ilvl w:val="1"/>
          <w:numId w:val="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is underpinned by Article 217 of the Treaty on the Functioning of the European Union (TFEU), which allows for association agreements with third countries.</w:t>
      </w:r>
    </w:p>
    <w:p w14:paraId="4F4B7604"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i/>
          <w:iCs/>
          <w:lang w:val="en-HK"/>
        </w:rPr>
        <w:t>TFEU Article 217</w:t>
      </w:r>
      <w:r w:rsidRPr="00291C19">
        <w:rPr>
          <w:rFonts w:ascii="Times New Roman" w:hAnsi="Times New Roman"/>
          <w:lang w:val="en-HK"/>
        </w:rPr>
        <w:t xml:space="preserve">: “The Union may conclude with one or more third countries or international organizations agreements establishing an </w:t>
      </w:r>
      <w:r w:rsidRPr="00291C19">
        <w:rPr>
          <w:rFonts w:ascii="Times New Roman" w:hAnsi="Times New Roman"/>
          <w:lang w:val="en-HK"/>
        </w:rPr>
        <w:lastRenderedPageBreak/>
        <w:t>association involving reciprocal rights and obligations, common action, and special procedure.”</w:t>
      </w:r>
    </w:p>
    <w:p w14:paraId="1CFB4B27" w14:textId="77777777" w:rsidR="000503CD" w:rsidRPr="00291C19" w:rsidRDefault="006A1244" w:rsidP="00291C19">
      <w:pPr>
        <w:spacing w:line="276" w:lineRule="auto"/>
        <w:rPr>
          <w:rFonts w:ascii="Times New Roman" w:hAnsi="Times New Roman"/>
          <w:lang w:val="en-HK"/>
        </w:rPr>
      </w:pPr>
      <w:r>
        <w:pict w14:anchorId="6D67D8B6">
          <v:rect id="Horizontal Line 3"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7EC685"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4. The Political Context of the TCA</w:t>
      </w:r>
    </w:p>
    <w:p w14:paraId="6D92D4B9" w14:textId="77777777" w:rsidR="000503CD" w:rsidRPr="00291C19" w:rsidRDefault="000503CD" w:rsidP="00291C19">
      <w:pPr>
        <w:numPr>
          <w:ilvl w:val="0"/>
          <w:numId w:val="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reflects the political priorities of both the EU and the UK:</w:t>
      </w:r>
    </w:p>
    <w:p w14:paraId="34F7B984" w14:textId="77777777" w:rsidR="000503CD" w:rsidRPr="00291C19" w:rsidRDefault="000503CD" w:rsidP="00291C19">
      <w:pPr>
        <w:numPr>
          <w:ilvl w:val="1"/>
          <w:numId w:val="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For the EU, maintaining the integrity of its single market and ensuring fair competition.</w:t>
      </w:r>
    </w:p>
    <w:p w14:paraId="1E94BD9E" w14:textId="77777777" w:rsidR="000503CD" w:rsidRPr="00291C19" w:rsidRDefault="000503CD" w:rsidP="00291C19">
      <w:pPr>
        <w:numPr>
          <w:ilvl w:val="1"/>
          <w:numId w:val="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For the UK, reclaiming regulatory sovereignty while securing economic ties with its largest trading partner.</w:t>
      </w:r>
    </w:p>
    <w:p w14:paraId="4B3B26DF" w14:textId="77777777" w:rsidR="000503CD" w:rsidRPr="00291C19" w:rsidRDefault="000503CD" w:rsidP="00291C19">
      <w:pPr>
        <w:numPr>
          <w:ilvl w:val="0"/>
          <w:numId w:val="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divergence creates inherent friction in the agreement, particularly in areas like the "level playing field" and governance.</w:t>
      </w:r>
    </w:p>
    <w:p w14:paraId="374F1600"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700BC16F" w14:textId="77777777" w:rsidR="000503CD" w:rsidRPr="00291C19" w:rsidRDefault="000503CD" w:rsidP="00291C19">
      <w:pPr>
        <w:numPr>
          <w:ilvl w:val="1"/>
          <w:numId w:val="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encapsulates the inherent contradictions of Brexit—aspiring to sovereignty while relying on close economic ties.”</w:t>
      </w:r>
    </w:p>
    <w:p w14:paraId="0E08AB73" w14:textId="77777777" w:rsidR="000503CD" w:rsidRPr="00291C19" w:rsidRDefault="006A1244" w:rsidP="00291C19">
      <w:pPr>
        <w:spacing w:line="276" w:lineRule="auto"/>
        <w:rPr>
          <w:rFonts w:ascii="Times New Roman" w:hAnsi="Times New Roman"/>
          <w:lang w:val="en-HK"/>
        </w:rPr>
      </w:pPr>
      <w:r>
        <w:pict w14:anchorId="0E08DEDC">
          <v:rect id="Horizontal Line 4"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A61272"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5. Provisional Application of the TCA</w:t>
      </w:r>
    </w:p>
    <w:p w14:paraId="671E9E0A" w14:textId="77777777" w:rsidR="000503CD" w:rsidRPr="00291C19" w:rsidRDefault="000503CD" w:rsidP="00291C19">
      <w:pPr>
        <w:numPr>
          <w:ilvl w:val="0"/>
          <w:numId w:val="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was provisionally applied from January 1, 2021, pending full ratification by the European Parliament and UK Parliament.</w:t>
      </w:r>
    </w:p>
    <w:p w14:paraId="1CA1E4CA" w14:textId="77777777" w:rsidR="000503CD" w:rsidRPr="00291C19" w:rsidRDefault="000503CD" w:rsidP="00291C19">
      <w:pPr>
        <w:numPr>
          <w:ilvl w:val="0"/>
          <w:numId w:val="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approach reflects the pragmatic need to avoid disruption during the transition period.</w:t>
      </w:r>
    </w:p>
    <w:p w14:paraId="09D2D63A"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7871356D" w14:textId="77777777" w:rsidR="000503CD" w:rsidRPr="00291C19" w:rsidRDefault="000503CD" w:rsidP="00291C19">
      <w:pPr>
        <w:numPr>
          <w:ilvl w:val="1"/>
          <w:numId w:val="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783(2) of the TCA allows for provisional application:</w:t>
      </w:r>
    </w:p>
    <w:p w14:paraId="2A1B85F1"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“This Agreement shall be applied provisionally by the Union and the United Kingdom from 1 January 2021.”</w:t>
      </w:r>
    </w:p>
    <w:p w14:paraId="7CEE453D"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w:t>
      </w:r>
      <w:r w:rsidRPr="00291C19">
        <w:rPr>
          <w:rFonts w:ascii="Times New Roman" w:hAnsi="Times New Roman"/>
          <w:lang w:val="en-HK"/>
        </w:rPr>
        <w:t>:</w:t>
      </w:r>
    </w:p>
    <w:p w14:paraId="5BE33B6E" w14:textId="77777777" w:rsidR="000503CD" w:rsidRPr="00291C19" w:rsidRDefault="000503CD" w:rsidP="00291C19">
      <w:pPr>
        <w:numPr>
          <w:ilvl w:val="1"/>
          <w:numId w:val="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“Provisional application demonstrates the pragmatic nature of the TCA, ensuring continuity while ratification processes are finalized.”</w:t>
      </w:r>
    </w:p>
    <w:p w14:paraId="376BD7FC" w14:textId="77777777" w:rsidR="000503CD" w:rsidRPr="00291C19" w:rsidRDefault="006A1244" w:rsidP="00291C19">
      <w:pPr>
        <w:spacing w:line="276" w:lineRule="auto"/>
        <w:rPr>
          <w:rFonts w:ascii="Times New Roman" w:hAnsi="Times New Roman"/>
          <w:lang w:val="en-HK"/>
        </w:rPr>
      </w:pPr>
      <w:r>
        <w:pict w14:anchorId="657B0592">
          <v:rect id="Horizontal Line 5"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499D0A"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6. Northern Ireland’s Unique Position</w:t>
      </w:r>
    </w:p>
    <w:p w14:paraId="061A4ED8" w14:textId="77777777" w:rsidR="000503CD" w:rsidRPr="00291C19" w:rsidRDefault="000503CD" w:rsidP="00291C19">
      <w:pPr>
        <w:numPr>
          <w:ilvl w:val="0"/>
          <w:numId w:val="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Northern Ireland remains partially governed by EU law under the Withdrawal Agreement’s Protocol on Ireland/Northern Ireland, creating a dual governance framework within the UK.</w:t>
      </w:r>
    </w:p>
    <w:p w14:paraId="3A4F6F83" w14:textId="77777777" w:rsidR="000503CD" w:rsidRPr="00291C19" w:rsidRDefault="000503CD" w:rsidP="00291C19">
      <w:pPr>
        <w:numPr>
          <w:ilvl w:val="0"/>
          <w:numId w:val="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does not alter this arrangement but operates alongside the Protocol.</w:t>
      </w:r>
    </w:p>
    <w:p w14:paraId="1475D387"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Commentary</w:t>
      </w:r>
      <w:r w:rsidRPr="00291C19">
        <w:rPr>
          <w:rFonts w:ascii="Times New Roman" w:hAnsi="Times New Roman"/>
          <w:lang w:val="en-HK"/>
        </w:rPr>
        <w:t>:</w:t>
      </w:r>
    </w:p>
    <w:p w14:paraId="07409AD8" w14:textId="77777777" w:rsidR="000503CD" w:rsidRPr="00291C19" w:rsidRDefault="000503CD" w:rsidP="00291C19">
      <w:pPr>
        <w:numPr>
          <w:ilvl w:val="1"/>
          <w:numId w:val="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emphasizes the distinctiveness of Northern Ireland’s position: “The Protocol underscores the complexity of Brexit, carving out an exception to the uniformity of UK law.”</w:t>
      </w:r>
    </w:p>
    <w:p w14:paraId="5480F7C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Legal Framework</w:t>
      </w:r>
      <w:r w:rsidRPr="00291C19">
        <w:rPr>
          <w:rFonts w:ascii="Times New Roman" w:hAnsi="Times New Roman"/>
          <w:lang w:val="en-HK"/>
        </w:rPr>
        <w:t>:</w:t>
      </w:r>
    </w:p>
    <w:p w14:paraId="72AF8189" w14:textId="77777777" w:rsidR="000503CD" w:rsidRPr="00291C19" w:rsidRDefault="000503CD" w:rsidP="00291C19">
      <w:pPr>
        <w:numPr>
          <w:ilvl w:val="1"/>
          <w:numId w:val="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Protocol on Ireland/Northern Ireland in the Withdrawal Agreement ensures:</w:t>
      </w:r>
    </w:p>
    <w:p w14:paraId="52094D98" w14:textId="77777777" w:rsidR="000503CD" w:rsidRPr="00291C19" w:rsidRDefault="000503CD" w:rsidP="00291C19">
      <w:pPr>
        <w:numPr>
          <w:ilvl w:val="2"/>
          <w:numId w:val="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Continued alignment with EU rules on goods.</w:t>
      </w:r>
    </w:p>
    <w:p w14:paraId="49F29E8E" w14:textId="77777777" w:rsidR="000503CD" w:rsidRPr="00291C19" w:rsidRDefault="000503CD" w:rsidP="00291C19">
      <w:pPr>
        <w:numPr>
          <w:ilvl w:val="2"/>
          <w:numId w:val="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Avoidance of a hard border on the island of Ireland.</w:t>
      </w:r>
    </w:p>
    <w:p w14:paraId="7BB97B5C" w14:textId="77777777" w:rsidR="000503CD" w:rsidRPr="00291C19" w:rsidRDefault="006A1244" w:rsidP="00291C19">
      <w:pPr>
        <w:spacing w:line="276" w:lineRule="auto"/>
        <w:rPr>
          <w:rFonts w:ascii="Times New Roman" w:hAnsi="Times New Roman"/>
          <w:lang w:val="en-HK"/>
        </w:rPr>
      </w:pPr>
      <w:r>
        <w:pict w14:anchorId="2583866B">
          <v:rect id="Horizontal Line 6"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BE6718"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7. The "Divorce-like" Relationship</w:t>
      </w:r>
    </w:p>
    <w:p w14:paraId="4485C222" w14:textId="77777777" w:rsidR="000503CD" w:rsidRPr="00291C19" w:rsidRDefault="000503CD" w:rsidP="00291C19">
      <w:pPr>
        <w:numPr>
          <w:ilvl w:val="0"/>
          <w:numId w:val="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is described as a "divorce-like" arrangement, reflecting the severance of a deeply integrated relationship while retaining necessary ties.</w:t>
      </w:r>
    </w:p>
    <w:p w14:paraId="5A7577F4" w14:textId="77777777" w:rsidR="000503CD" w:rsidRPr="00291C19" w:rsidRDefault="000503CD" w:rsidP="00291C19">
      <w:pPr>
        <w:numPr>
          <w:ilvl w:val="0"/>
          <w:numId w:val="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Unlike a traditional FTA, the TCA addresses not only trade but also areas like law enforcement, aviation, and energy.</w:t>
      </w:r>
    </w:p>
    <w:p w14:paraId="6787B12B"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Metaphor</w:t>
      </w:r>
      <w:r w:rsidRPr="00291C19">
        <w:rPr>
          <w:rFonts w:ascii="Times New Roman" w:hAnsi="Times New Roman"/>
          <w:lang w:val="en-HK"/>
        </w:rPr>
        <w:t>:</w:t>
      </w:r>
    </w:p>
    <w:p w14:paraId="5BA49D2E" w14:textId="77777777" w:rsidR="000503CD" w:rsidRPr="00291C19" w:rsidRDefault="000503CD" w:rsidP="00291C19">
      <w:pPr>
        <w:numPr>
          <w:ilvl w:val="1"/>
          <w:numId w:val="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resembles a divorce agreement: the ties that bind cannot be fully severed, but the relationship is inherently strained.”</w:t>
      </w:r>
    </w:p>
    <w:p w14:paraId="552ED064" w14:textId="77777777" w:rsidR="000503CD" w:rsidRPr="00291C19" w:rsidRDefault="006A1244" w:rsidP="00291C19">
      <w:pPr>
        <w:spacing w:line="276" w:lineRule="auto"/>
        <w:rPr>
          <w:rFonts w:ascii="Times New Roman" w:hAnsi="Times New Roman"/>
          <w:lang w:val="en-HK"/>
        </w:rPr>
      </w:pPr>
      <w:r>
        <w:pict w14:anchorId="255843B3">
          <v:rect id="Horizontal Line 7"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CBABB9" w14:textId="77777777" w:rsidR="000503CD" w:rsidRPr="00291C19" w:rsidRDefault="000503CD" w:rsidP="00291C19">
      <w:pPr>
        <w:spacing w:before="100" w:beforeAutospacing="1" w:after="100" w:afterAutospacing="1" w:line="276" w:lineRule="auto"/>
        <w:outlineLvl w:val="2"/>
        <w:rPr>
          <w:rFonts w:ascii="Times New Roman" w:hAnsi="Times New Roman"/>
          <w:b/>
          <w:bCs/>
          <w:lang w:val="en-HK"/>
        </w:rPr>
      </w:pPr>
      <w:r w:rsidRPr="00291C19">
        <w:rPr>
          <w:rFonts w:ascii="Times New Roman" w:hAnsi="Times New Roman"/>
          <w:b/>
          <w:bCs/>
          <w:lang w:val="en-HK"/>
        </w:rPr>
        <w:t>Section 2: Legal Framework of the TCA</w:t>
      </w:r>
    </w:p>
    <w:p w14:paraId="6287AAA0" w14:textId="77777777" w:rsidR="000503CD" w:rsidRPr="00291C19" w:rsidRDefault="000503CD" w:rsidP="00291C19">
      <w:p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section explores the legal structure of the EU-UK Trade and Cooperation Agreement (TCA), emphasizing its foundation in international law and its unique provisions for termination, suspension, and enforcement. It highlights the treaty's flexibility, the challenges of its implementation, and its divergence from the legal principles of EU membership.</w:t>
      </w:r>
    </w:p>
    <w:p w14:paraId="09A9B4D7" w14:textId="77777777" w:rsidR="000503CD" w:rsidRPr="00291C19" w:rsidRDefault="006A1244" w:rsidP="00291C19">
      <w:pPr>
        <w:spacing w:line="276" w:lineRule="auto"/>
        <w:rPr>
          <w:rFonts w:ascii="Times New Roman" w:hAnsi="Times New Roman"/>
          <w:lang w:val="en-HK"/>
        </w:rPr>
      </w:pPr>
      <w:r>
        <w:pict w14:anchorId="3DC07098">
          <v:rect id="Horizontal Line 15"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8B411F"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1. The TCA as an International Agreement</w:t>
      </w:r>
    </w:p>
    <w:p w14:paraId="4F4E11C3" w14:textId="77777777" w:rsidR="000503CD" w:rsidRPr="00291C19" w:rsidRDefault="000503CD" w:rsidP="00291C19">
      <w:pPr>
        <w:numPr>
          <w:ilvl w:val="0"/>
          <w:numId w:val="8"/>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lastRenderedPageBreak/>
        <w:t>Legal Nature</w:t>
      </w:r>
    </w:p>
    <w:p w14:paraId="010C34F8" w14:textId="77777777" w:rsidR="000503CD" w:rsidRPr="00291C19" w:rsidRDefault="000503CD" w:rsidP="00291C19">
      <w:pPr>
        <w:numPr>
          <w:ilvl w:val="1"/>
          <w:numId w:val="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is structured as an international agreement, governed by principles of public international law, not EU law.</w:t>
      </w:r>
    </w:p>
    <w:p w14:paraId="4C58BA60" w14:textId="77777777" w:rsidR="000503CD" w:rsidRPr="00291C19" w:rsidRDefault="000503CD" w:rsidP="00291C19">
      <w:pPr>
        <w:numPr>
          <w:ilvl w:val="1"/>
          <w:numId w:val="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It differs fundamentally from the Withdrawal Agreement, which is rooted in EU law and subject to the jurisdiction of the Court of Justice of the European Union (CJEU).</w:t>
      </w:r>
    </w:p>
    <w:p w14:paraId="02F2DC22"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39F3A878" w14:textId="77777777" w:rsidR="000503CD" w:rsidRPr="00291C19" w:rsidRDefault="000503CD" w:rsidP="00291C19">
      <w:pPr>
        <w:numPr>
          <w:ilvl w:val="1"/>
          <w:numId w:val="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217 TFEU allows the EU to conclude association agreements with third countries:</w:t>
      </w:r>
    </w:p>
    <w:p w14:paraId="5392CC33"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i/>
          <w:iCs/>
          <w:lang w:val="en-HK"/>
        </w:rPr>
        <w:t>TFEU Article 217</w:t>
      </w:r>
      <w:r w:rsidRPr="00291C19">
        <w:rPr>
          <w:rFonts w:ascii="Times New Roman" w:hAnsi="Times New Roman"/>
          <w:lang w:val="en-HK"/>
        </w:rPr>
        <w:t>: "The Union may conclude agreements establishing an association involving reciprocal rights and obligations."</w:t>
      </w:r>
    </w:p>
    <w:p w14:paraId="41B0B1BF"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329FB179" w14:textId="77777777" w:rsidR="000503CD" w:rsidRPr="00291C19" w:rsidRDefault="000503CD" w:rsidP="00291C19">
      <w:pPr>
        <w:numPr>
          <w:ilvl w:val="1"/>
          <w:numId w:val="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TCA’s reliance on international law reflects the UK's sovereignty ambitions and the EU's need to protect the integrity of its legal order."</w:t>
      </w:r>
    </w:p>
    <w:p w14:paraId="33683491" w14:textId="77777777" w:rsidR="000503CD" w:rsidRPr="00291C19" w:rsidRDefault="000503CD" w:rsidP="00291C19">
      <w:pPr>
        <w:numPr>
          <w:ilvl w:val="0"/>
          <w:numId w:val="8"/>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Single Treaty with Multiple Pillars</w:t>
      </w:r>
    </w:p>
    <w:p w14:paraId="3FB56EB3" w14:textId="77777777" w:rsidR="000503CD" w:rsidRPr="00291C19" w:rsidRDefault="000503CD" w:rsidP="00291C19">
      <w:pPr>
        <w:numPr>
          <w:ilvl w:val="1"/>
          <w:numId w:val="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combines trade, cooperation on law enforcement, and governance into a single legal framework.</w:t>
      </w:r>
    </w:p>
    <w:p w14:paraId="2E64A291" w14:textId="77777777" w:rsidR="000503CD" w:rsidRPr="00291C19" w:rsidRDefault="000503CD" w:rsidP="00291C19">
      <w:pPr>
        <w:numPr>
          <w:ilvl w:val="1"/>
          <w:numId w:val="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It introduces a modular structure, enabling independent suspension of specific parts without terminating the entire agreement.</w:t>
      </w:r>
    </w:p>
    <w:p w14:paraId="65BD70D6"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2F9EAB9E" w14:textId="77777777" w:rsidR="000503CD" w:rsidRPr="00291C19" w:rsidRDefault="000503CD" w:rsidP="00291C19">
      <w:pPr>
        <w:numPr>
          <w:ilvl w:val="1"/>
          <w:numId w:val="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modular approach balances the agreement’s complexity and political sensitivities, allowing selective enforcement while preserving overall cooperation."</w:t>
      </w:r>
    </w:p>
    <w:p w14:paraId="752A991F" w14:textId="77777777" w:rsidR="000503CD" w:rsidRPr="00291C19" w:rsidRDefault="006A1244" w:rsidP="00291C19">
      <w:pPr>
        <w:spacing w:line="276" w:lineRule="auto"/>
        <w:rPr>
          <w:rFonts w:ascii="Times New Roman" w:hAnsi="Times New Roman"/>
          <w:lang w:val="en-HK"/>
        </w:rPr>
      </w:pPr>
      <w:r>
        <w:pict w14:anchorId="161CB0AA">
          <v:rect id="Horizontal Line 16"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413A76"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2. Provisional Application and Ratification</w:t>
      </w:r>
    </w:p>
    <w:p w14:paraId="276CB8FB" w14:textId="77777777" w:rsidR="000503CD" w:rsidRPr="00291C19" w:rsidRDefault="000503CD" w:rsidP="00291C19">
      <w:pPr>
        <w:numPr>
          <w:ilvl w:val="0"/>
          <w:numId w:val="9"/>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Provisional Application</w:t>
      </w:r>
    </w:p>
    <w:p w14:paraId="11012F42" w14:textId="77777777" w:rsidR="000503CD" w:rsidRPr="00291C19" w:rsidRDefault="000503CD" w:rsidP="00291C19">
      <w:pPr>
        <w:numPr>
          <w:ilvl w:val="1"/>
          <w:numId w:val="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Due to time constraints, the TCA was provisionally applied from January 1, 2021, prior to ratification by the European Parliament and the UK Parliament.</w:t>
      </w:r>
    </w:p>
    <w:p w14:paraId="757EA1AF" w14:textId="77777777" w:rsidR="000503CD" w:rsidRPr="00291C19" w:rsidRDefault="000503CD" w:rsidP="00291C19">
      <w:pPr>
        <w:numPr>
          <w:ilvl w:val="1"/>
          <w:numId w:val="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ensured continuity in relations and avoided economic disruption.</w:t>
      </w:r>
    </w:p>
    <w:p w14:paraId="160DA4F2"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247DA0D2" w14:textId="77777777" w:rsidR="000503CD" w:rsidRPr="00291C19" w:rsidRDefault="000503CD" w:rsidP="00291C19">
      <w:pPr>
        <w:numPr>
          <w:ilvl w:val="1"/>
          <w:numId w:val="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783(2) permits provisional application:</w:t>
      </w:r>
    </w:p>
    <w:p w14:paraId="028F6804"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lastRenderedPageBreak/>
        <w:t>"This Agreement shall be applied provisionally by the Union and the United Kingdom from 1 January 2021 until its entry into force."</w:t>
      </w:r>
    </w:p>
    <w:p w14:paraId="52961F1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Insight</w:t>
      </w:r>
      <w:r w:rsidRPr="00291C19">
        <w:rPr>
          <w:rFonts w:ascii="Times New Roman" w:hAnsi="Times New Roman"/>
          <w:lang w:val="en-HK"/>
        </w:rPr>
        <w:t>:</w:t>
      </w:r>
    </w:p>
    <w:p w14:paraId="6434AE8B" w14:textId="77777777" w:rsidR="000503CD" w:rsidRPr="00291C19" w:rsidRDefault="000503CD" w:rsidP="00291C19">
      <w:pPr>
        <w:numPr>
          <w:ilvl w:val="1"/>
          <w:numId w:val="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"Provisional application underscores the practical challenges of implementing a comprehensive treaty in the shadow of Brexit's political pressures."</w:t>
      </w:r>
    </w:p>
    <w:p w14:paraId="541909E0" w14:textId="77777777" w:rsidR="000503CD" w:rsidRPr="00291C19" w:rsidRDefault="000503CD" w:rsidP="00291C19">
      <w:pPr>
        <w:numPr>
          <w:ilvl w:val="0"/>
          <w:numId w:val="9"/>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Ratification</w:t>
      </w:r>
    </w:p>
    <w:p w14:paraId="5F9CA81F" w14:textId="77777777" w:rsidR="000503CD" w:rsidRPr="00291C19" w:rsidRDefault="000503CD" w:rsidP="00291C19">
      <w:pPr>
        <w:numPr>
          <w:ilvl w:val="1"/>
          <w:numId w:val="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was formally ratified in April 2021 after debates in both the European and UK Parliaments, reflecting its significance as a post-Brexit governance tool.</w:t>
      </w:r>
    </w:p>
    <w:p w14:paraId="17EA8D9F" w14:textId="77777777" w:rsidR="000503CD" w:rsidRPr="00291C19" w:rsidRDefault="006A1244" w:rsidP="00291C19">
      <w:pPr>
        <w:spacing w:line="276" w:lineRule="auto"/>
        <w:rPr>
          <w:rFonts w:ascii="Times New Roman" w:hAnsi="Times New Roman"/>
          <w:lang w:val="en-HK"/>
        </w:rPr>
      </w:pPr>
      <w:r>
        <w:pict w14:anchorId="6D4F0F4C">
          <v:rect id="Horizontal Line 17"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47D6DE"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3. Termination and Suspension Provisions</w:t>
      </w:r>
    </w:p>
    <w:p w14:paraId="0B0ACEC7" w14:textId="77777777" w:rsidR="000503CD" w:rsidRPr="00291C19" w:rsidRDefault="000503CD" w:rsidP="00291C19">
      <w:pPr>
        <w:numPr>
          <w:ilvl w:val="0"/>
          <w:numId w:val="10"/>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Grounds for Termination</w:t>
      </w:r>
    </w:p>
    <w:p w14:paraId="38AB70C0" w14:textId="77777777" w:rsidR="000503CD" w:rsidRPr="00291C19" w:rsidRDefault="000503CD" w:rsidP="00291C19">
      <w:pPr>
        <w:numPr>
          <w:ilvl w:val="1"/>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allows either party to terminate the entire agreement or specific parts under various circumstances:</w:t>
      </w:r>
    </w:p>
    <w:p w14:paraId="24114207" w14:textId="77777777" w:rsidR="000503CD" w:rsidRPr="00291C19" w:rsidRDefault="000503CD" w:rsidP="00291C19">
      <w:pPr>
        <w:numPr>
          <w:ilvl w:val="2"/>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Broad rights to terminate any chapter with 12 months' notice (Article 783).</w:t>
      </w:r>
    </w:p>
    <w:p w14:paraId="451EDCEF" w14:textId="77777777" w:rsidR="000503CD" w:rsidRPr="00291C19" w:rsidRDefault="000503CD" w:rsidP="00291C19">
      <w:pPr>
        <w:numPr>
          <w:ilvl w:val="2"/>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Immediate termination for breaches of “essential elements,” such as human rights and democratic principles.</w:t>
      </w:r>
    </w:p>
    <w:p w14:paraId="4C0EA739"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69320CD9" w14:textId="77777777" w:rsidR="000503CD" w:rsidRPr="00291C19" w:rsidRDefault="000503CD" w:rsidP="00291C19">
      <w:pPr>
        <w:numPr>
          <w:ilvl w:val="1"/>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763 defines essential elements:</w:t>
      </w:r>
    </w:p>
    <w:p w14:paraId="4023C430"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"Respect for human rights, democratic principles, and the rule of law constitutes an essential element of this Agreement."</w:t>
      </w:r>
    </w:p>
    <w:p w14:paraId="372A39B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Perspective</w:t>
      </w:r>
      <w:r w:rsidRPr="00291C19">
        <w:rPr>
          <w:rFonts w:ascii="Times New Roman" w:hAnsi="Times New Roman"/>
          <w:lang w:val="en-HK"/>
        </w:rPr>
        <w:t>:</w:t>
      </w:r>
    </w:p>
    <w:p w14:paraId="69F5A208" w14:textId="77777777" w:rsidR="000503CD" w:rsidRPr="00291C19" w:rsidRDefault="000503CD" w:rsidP="00291C19">
      <w:pPr>
        <w:numPr>
          <w:ilvl w:val="1"/>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inclusion of such broad termination grounds reflects the fragile trust between the parties and the political uncertainties surrounding Brexit."</w:t>
      </w:r>
    </w:p>
    <w:p w14:paraId="0F560AB7" w14:textId="77777777" w:rsidR="000503CD" w:rsidRPr="00291C19" w:rsidRDefault="000503CD" w:rsidP="00291C19">
      <w:pPr>
        <w:numPr>
          <w:ilvl w:val="0"/>
          <w:numId w:val="10"/>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Suspension Mechanisms</w:t>
      </w:r>
    </w:p>
    <w:p w14:paraId="72E5C0FB" w14:textId="77777777" w:rsidR="000503CD" w:rsidRPr="00291C19" w:rsidRDefault="000503CD" w:rsidP="00291C19">
      <w:pPr>
        <w:numPr>
          <w:ilvl w:val="1"/>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introduces fast-track mechanisms to suspend parts of the agreement in response to specific breaches, such as in fisheries or energy cooperation.</w:t>
      </w:r>
    </w:p>
    <w:p w14:paraId="7329475B"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Key Examples</w:t>
      </w:r>
      <w:r w:rsidRPr="00291C19">
        <w:rPr>
          <w:rFonts w:ascii="Times New Roman" w:hAnsi="Times New Roman"/>
          <w:lang w:val="en-HK"/>
        </w:rPr>
        <w:t>:</w:t>
      </w:r>
    </w:p>
    <w:p w14:paraId="11A356BD" w14:textId="77777777" w:rsidR="000503CD" w:rsidRPr="00291C19" w:rsidRDefault="000503CD" w:rsidP="00291C19">
      <w:pPr>
        <w:numPr>
          <w:ilvl w:val="1"/>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Fisheries: Article 509 permits suspension of market access for fish products in retaliation for non-compliance with fishing quotas.</w:t>
      </w:r>
    </w:p>
    <w:p w14:paraId="42433AB2" w14:textId="77777777" w:rsidR="000503CD" w:rsidRPr="00291C19" w:rsidRDefault="000503CD" w:rsidP="00291C19">
      <w:pPr>
        <w:numPr>
          <w:ilvl w:val="1"/>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Energy: Article 331 allows suspension of energy cooperation for breaches related to regulatory standards.</w:t>
      </w:r>
    </w:p>
    <w:p w14:paraId="282F94AF"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lastRenderedPageBreak/>
        <w:t>Scholarly Insight</w:t>
      </w:r>
      <w:r w:rsidRPr="00291C19">
        <w:rPr>
          <w:rFonts w:ascii="Times New Roman" w:hAnsi="Times New Roman"/>
          <w:lang w:val="en-HK"/>
        </w:rPr>
        <w:t>:</w:t>
      </w:r>
    </w:p>
    <w:p w14:paraId="4467C521" w14:textId="77777777" w:rsidR="000503CD" w:rsidRPr="00291C19" w:rsidRDefault="000503CD" w:rsidP="00291C19">
      <w:pPr>
        <w:numPr>
          <w:ilvl w:val="1"/>
          <w:numId w:val="1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“These mechanisms highlight the tension between enforcing compliance and maintaining cooperative relationships.”</w:t>
      </w:r>
    </w:p>
    <w:p w14:paraId="5C026EBC" w14:textId="77777777" w:rsidR="000503CD" w:rsidRPr="00291C19" w:rsidRDefault="006A1244" w:rsidP="00291C19">
      <w:pPr>
        <w:spacing w:line="276" w:lineRule="auto"/>
        <w:rPr>
          <w:rFonts w:ascii="Times New Roman" w:hAnsi="Times New Roman"/>
          <w:lang w:val="en-HK"/>
        </w:rPr>
      </w:pPr>
      <w:r>
        <w:pict w14:anchorId="47C7CA2F">
          <v:rect id="Horizontal Line 18" o:spid="_x0000_s105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5F03C7"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4. Essential Elements and Human Rights</w:t>
      </w:r>
    </w:p>
    <w:p w14:paraId="2C20CF32" w14:textId="77777777" w:rsidR="000503CD" w:rsidRPr="00291C19" w:rsidRDefault="000503CD" w:rsidP="00291C19">
      <w:pPr>
        <w:numPr>
          <w:ilvl w:val="0"/>
          <w:numId w:val="11"/>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Human Rights as Essential Elements</w:t>
      </w:r>
    </w:p>
    <w:p w14:paraId="01B98C35" w14:textId="77777777" w:rsidR="000503CD" w:rsidRPr="00291C19" w:rsidRDefault="000503CD" w:rsidP="00291C19">
      <w:pPr>
        <w:numPr>
          <w:ilvl w:val="1"/>
          <w:numId w:val="1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Respect for human rights, democratic principles, and the rule of law are explicitly defined as essential elements of the TCA.</w:t>
      </w:r>
    </w:p>
    <w:p w14:paraId="464474F7" w14:textId="77777777" w:rsidR="000503CD" w:rsidRPr="00291C19" w:rsidRDefault="000503CD" w:rsidP="00291C19">
      <w:pPr>
        <w:numPr>
          <w:ilvl w:val="1"/>
          <w:numId w:val="1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Breaches of these principles can lead to suspension or termination of the agreement.</w:t>
      </w:r>
    </w:p>
    <w:p w14:paraId="4B480BE9"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25FDD4DE" w14:textId="77777777" w:rsidR="000503CD" w:rsidRPr="00291C19" w:rsidRDefault="000503CD" w:rsidP="00291C19">
      <w:pPr>
        <w:numPr>
          <w:ilvl w:val="1"/>
          <w:numId w:val="1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763(3):</w:t>
      </w:r>
    </w:p>
    <w:p w14:paraId="15DC1FB8"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"Either Party may terminate or suspend the operation of this Agreement in whole or in part in the event of a material breach of an essential element."</w:t>
      </w:r>
    </w:p>
    <w:p w14:paraId="38B98BDE" w14:textId="77777777" w:rsidR="000503CD" w:rsidRPr="00291C19" w:rsidRDefault="000503CD" w:rsidP="00291C19">
      <w:pPr>
        <w:numPr>
          <w:ilvl w:val="0"/>
          <w:numId w:val="11"/>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ECHR Commitments</w:t>
      </w:r>
    </w:p>
    <w:p w14:paraId="41379C10" w14:textId="77777777" w:rsidR="000503CD" w:rsidRPr="00291C19" w:rsidRDefault="000503CD" w:rsidP="00291C19">
      <w:pPr>
        <w:numPr>
          <w:ilvl w:val="1"/>
          <w:numId w:val="1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reaffirms the UK’s commitment to the European Convention on Human Rights (ECHR) as a condition for cooperation on law enforcement and judicial matters.</w:t>
      </w:r>
    </w:p>
    <w:p w14:paraId="0D6AF88B"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5BCDA118" w14:textId="77777777" w:rsidR="000503CD" w:rsidRPr="00291C19" w:rsidRDefault="000503CD" w:rsidP="00291C19">
      <w:pPr>
        <w:numPr>
          <w:ilvl w:val="1"/>
          <w:numId w:val="1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inclusion of ECHR obligations ensures alignment with fundamental EU principles while respecting the UK’s sovereignty."</w:t>
      </w:r>
    </w:p>
    <w:p w14:paraId="7AAA0330" w14:textId="77777777" w:rsidR="000503CD" w:rsidRPr="00291C19" w:rsidRDefault="006A1244" w:rsidP="00291C19">
      <w:pPr>
        <w:spacing w:line="276" w:lineRule="auto"/>
        <w:rPr>
          <w:rFonts w:ascii="Times New Roman" w:hAnsi="Times New Roman"/>
          <w:lang w:val="en-HK"/>
        </w:rPr>
      </w:pPr>
      <w:r>
        <w:pict w14:anchorId="0E992259">
          <v:rect id="Horizontal Line 19"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4930BC"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5. Enforcement and Governance</w:t>
      </w:r>
    </w:p>
    <w:p w14:paraId="7DDF9680" w14:textId="77777777" w:rsidR="000503CD" w:rsidRPr="00291C19" w:rsidRDefault="000503CD" w:rsidP="00291C19">
      <w:pPr>
        <w:numPr>
          <w:ilvl w:val="0"/>
          <w:numId w:val="12"/>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Arbitration Mechanism</w:t>
      </w:r>
    </w:p>
    <w:p w14:paraId="059DB686" w14:textId="77777777" w:rsidR="000503CD" w:rsidRPr="00291C19" w:rsidRDefault="000503CD" w:rsidP="00291C19">
      <w:pPr>
        <w:numPr>
          <w:ilvl w:val="1"/>
          <w:numId w:val="1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Disputes under the TCA are resolved through an arbitration mechanism rather than the CJEU.</w:t>
      </w:r>
    </w:p>
    <w:p w14:paraId="0E6FD620" w14:textId="77777777" w:rsidR="000503CD" w:rsidRPr="00291C19" w:rsidRDefault="000503CD" w:rsidP="00291C19">
      <w:pPr>
        <w:numPr>
          <w:ilvl w:val="1"/>
          <w:numId w:val="1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Arbitrators are jointly appointed, and their decisions are binding on both parties.</w:t>
      </w:r>
    </w:p>
    <w:p w14:paraId="737639E0"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199745AE" w14:textId="77777777" w:rsidR="000503CD" w:rsidRPr="00291C19" w:rsidRDefault="000503CD" w:rsidP="00291C19">
      <w:pPr>
        <w:numPr>
          <w:ilvl w:val="1"/>
          <w:numId w:val="1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Article 735 establishes arbitration procedures:</w:t>
      </w:r>
    </w:p>
    <w:p w14:paraId="5B58EF10"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"Arbitrators shall ensure a fair and impartial resolution of disputes, adhering to the principles of this Agreement."</w:t>
      </w:r>
    </w:p>
    <w:p w14:paraId="7DD82442" w14:textId="77777777" w:rsidR="000503CD" w:rsidRPr="00291C19" w:rsidRDefault="000503CD" w:rsidP="00291C19">
      <w:pPr>
        <w:numPr>
          <w:ilvl w:val="0"/>
          <w:numId w:val="12"/>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Proportionality of Remedies</w:t>
      </w:r>
    </w:p>
    <w:p w14:paraId="67F3E3F2" w14:textId="77777777" w:rsidR="000503CD" w:rsidRPr="00291C19" w:rsidRDefault="000503CD" w:rsidP="00291C19">
      <w:pPr>
        <w:numPr>
          <w:ilvl w:val="1"/>
          <w:numId w:val="1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Remedies for breaches must be proportionate and limited to the specific area of non-compliance, reflecting international law principles.</w:t>
      </w:r>
    </w:p>
    <w:p w14:paraId="127CB161"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Comparison</w:t>
      </w:r>
      <w:r w:rsidRPr="00291C19">
        <w:rPr>
          <w:rFonts w:ascii="Times New Roman" w:hAnsi="Times New Roman"/>
          <w:lang w:val="en-HK"/>
        </w:rPr>
        <w:t>:</w:t>
      </w:r>
    </w:p>
    <w:p w14:paraId="54AD9062" w14:textId="77777777" w:rsidR="000503CD" w:rsidRPr="00291C19" w:rsidRDefault="000503CD" w:rsidP="00291C19">
      <w:pPr>
        <w:numPr>
          <w:ilvl w:val="1"/>
          <w:numId w:val="1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 TCA’s arbitration framework draws from WTO dispute settlement models, emphasizing proportionality and mutual resolution."</w:t>
      </w:r>
    </w:p>
    <w:p w14:paraId="2188D7A5" w14:textId="77777777" w:rsidR="000503CD" w:rsidRPr="00291C19" w:rsidRDefault="006A1244" w:rsidP="00291C19">
      <w:pPr>
        <w:spacing w:line="276" w:lineRule="auto"/>
        <w:rPr>
          <w:rFonts w:ascii="Times New Roman" w:hAnsi="Times New Roman"/>
          <w:lang w:val="en-HK"/>
        </w:rPr>
      </w:pPr>
      <w:r>
        <w:pict w14:anchorId="13EB3FD7">
          <v:rect id="Horizontal Line 20"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C598D4"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6. Comparison to EU Law</w:t>
      </w:r>
    </w:p>
    <w:p w14:paraId="4C84C638" w14:textId="77777777" w:rsidR="000503CD" w:rsidRPr="00291C19" w:rsidRDefault="000503CD" w:rsidP="00291C19">
      <w:pPr>
        <w:numPr>
          <w:ilvl w:val="0"/>
          <w:numId w:val="13"/>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Jurisdictional Differences</w:t>
      </w:r>
    </w:p>
    <w:p w14:paraId="1CB53DF1" w14:textId="77777777" w:rsidR="000503CD" w:rsidRPr="00291C19" w:rsidRDefault="000503CD" w:rsidP="00291C19">
      <w:pPr>
        <w:numPr>
          <w:ilvl w:val="1"/>
          <w:numId w:val="1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Unlike EU law, where the CJEU has final authority, the TCA avoids a supranational court, reflecting the UK's insistence on sovereignty.</w:t>
      </w:r>
    </w:p>
    <w:p w14:paraId="70161A18" w14:textId="77777777" w:rsidR="000503CD" w:rsidRPr="00291C19" w:rsidRDefault="000503CD" w:rsidP="00291C19">
      <w:pPr>
        <w:numPr>
          <w:ilvl w:val="1"/>
          <w:numId w:val="1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limits judicial oversight but increases the likelihood of political disputes.</w:t>
      </w:r>
    </w:p>
    <w:p w14:paraId="1AF3F8D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Perspective</w:t>
      </w:r>
      <w:r w:rsidRPr="00291C19">
        <w:rPr>
          <w:rFonts w:ascii="Times New Roman" w:hAnsi="Times New Roman"/>
          <w:lang w:val="en-HK"/>
        </w:rPr>
        <w:t>:</w:t>
      </w:r>
    </w:p>
    <w:p w14:paraId="1C9F1094" w14:textId="77777777" w:rsidR="000503CD" w:rsidRPr="00291C19" w:rsidRDefault="000503CD" w:rsidP="00291C19">
      <w:pPr>
        <w:numPr>
          <w:ilvl w:val="1"/>
          <w:numId w:val="1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 absence of a supranational arbiter underscores the political nature of the TCA, prioritizing state sovereignty over legal uniformity.”</w:t>
      </w:r>
    </w:p>
    <w:p w14:paraId="1D4BAC86" w14:textId="77777777" w:rsidR="000503CD" w:rsidRPr="00291C19" w:rsidRDefault="000503CD" w:rsidP="00291C19">
      <w:pPr>
        <w:numPr>
          <w:ilvl w:val="0"/>
          <w:numId w:val="13"/>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Flexibility vs. Stability</w:t>
      </w:r>
    </w:p>
    <w:p w14:paraId="7B265157" w14:textId="77777777" w:rsidR="000503CD" w:rsidRPr="00291C19" w:rsidRDefault="000503CD" w:rsidP="00291C19">
      <w:pPr>
        <w:numPr>
          <w:ilvl w:val="1"/>
          <w:numId w:val="1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TCA’s termination and suspension clauses reflect its fragility compared to the stable, long-term governance framework of EU law.</w:t>
      </w:r>
    </w:p>
    <w:p w14:paraId="080B6D72" w14:textId="77777777" w:rsidR="000503CD" w:rsidRPr="00291C19" w:rsidRDefault="006A1244" w:rsidP="00291C19">
      <w:pPr>
        <w:spacing w:line="276" w:lineRule="auto"/>
        <w:rPr>
          <w:rFonts w:ascii="Times New Roman" w:hAnsi="Times New Roman"/>
          <w:lang w:val="en-HK"/>
        </w:rPr>
      </w:pPr>
      <w:r>
        <w:pict w14:anchorId="3F29D06B">
          <v:rect id="Horizontal Line 21"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6D453F" w14:textId="77777777" w:rsidR="000503CD" w:rsidRPr="00291C19" w:rsidRDefault="000503CD" w:rsidP="00291C19">
      <w:pPr>
        <w:spacing w:before="100" w:beforeAutospacing="1" w:after="100" w:afterAutospacing="1" w:line="276" w:lineRule="auto"/>
        <w:outlineLvl w:val="2"/>
        <w:rPr>
          <w:rFonts w:ascii="Times New Roman" w:hAnsi="Times New Roman"/>
          <w:b/>
          <w:bCs/>
          <w:lang w:val="en-HK"/>
        </w:rPr>
      </w:pPr>
      <w:r w:rsidRPr="00291C19">
        <w:rPr>
          <w:rFonts w:ascii="Times New Roman" w:hAnsi="Times New Roman"/>
          <w:b/>
          <w:bCs/>
          <w:lang w:val="en-HK"/>
        </w:rPr>
        <w:t>Section 3: Economic Cooperation Under the TCA</w:t>
      </w:r>
    </w:p>
    <w:p w14:paraId="65067427" w14:textId="77777777" w:rsidR="000503CD" w:rsidRPr="00291C19" w:rsidRDefault="000503CD" w:rsidP="00291C19">
      <w:p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section focuses on the economic provisions of the EU-UK Trade and Cooperation Agreement (TCA), particularly its approach to free trade, the level playing field (LPF), and special provisions for digital trade, intellectual property, and public procurement. It examines how the TCA balances economic integration with the UK's pursuit of regulatory independence.</w:t>
      </w:r>
    </w:p>
    <w:p w14:paraId="43A2D628" w14:textId="77777777" w:rsidR="000503CD" w:rsidRPr="00291C19" w:rsidRDefault="006A1244" w:rsidP="00291C19">
      <w:pPr>
        <w:spacing w:line="276" w:lineRule="auto"/>
        <w:rPr>
          <w:rFonts w:ascii="Times New Roman" w:hAnsi="Times New Roman"/>
          <w:lang w:val="en-HK"/>
        </w:rPr>
      </w:pPr>
      <w:r w:rsidRPr="006A1244">
        <w:rPr>
          <w:rFonts w:ascii="Times New Roman" w:hAnsi="Times New Roman"/>
          <w:noProof/>
          <w:lang w:val="en-HK"/>
          <w14:ligatures w14:val="standardContextual"/>
        </w:rPr>
        <w:pict w14:anchorId="4921E53A">
          <v:rect id="_x0000_i1051" alt="" style="width:451.3pt;height:.05pt;mso-width-percent:0;mso-height-percent:0;mso-width-percent:0;mso-height-percent:0" o:hralign="center" o:hrstd="t" o:hr="t" fillcolor="#a0a0a0" stroked="f"/>
        </w:pict>
      </w:r>
    </w:p>
    <w:p w14:paraId="58FE9C23"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1. Free Trade Area</w:t>
      </w:r>
    </w:p>
    <w:p w14:paraId="3AB8E23A" w14:textId="77777777" w:rsidR="000503CD" w:rsidRPr="00291C19" w:rsidRDefault="000503CD" w:rsidP="00291C19">
      <w:pPr>
        <w:numPr>
          <w:ilvl w:val="0"/>
          <w:numId w:val="14"/>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lastRenderedPageBreak/>
        <w:t>Tariff-Free and Quota-Free Trade</w:t>
      </w:r>
    </w:p>
    <w:p w14:paraId="61CB9A0B" w14:textId="77777777" w:rsidR="000503CD" w:rsidRPr="00291C19" w:rsidRDefault="000503CD" w:rsidP="00291C19">
      <w:pPr>
        <w:numPr>
          <w:ilvl w:val="1"/>
          <w:numId w:val="1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establishes a free trade area for goods, removing tariffs and quotas between the EU and the UK (Article 5).</w:t>
      </w:r>
    </w:p>
    <w:p w14:paraId="5AE18311" w14:textId="77777777" w:rsidR="000503CD" w:rsidRPr="00291C19" w:rsidRDefault="000503CD" w:rsidP="00291C19">
      <w:pPr>
        <w:numPr>
          <w:ilvl w:val="1"/>
          <w:numId w:val="1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However, the agreement does not eliminate non-tariff barriers, such as customs checks and regulatory divergence, which can affect trade efficiency.</w:t>
      </w:r>
    </w:p>
    <w:p w14:paraId="186E12A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51CF0EC0" w14:textId="77777777" w:rsidR="000503CD" w:rsidRPr="00291C19" w:rsidRDefault="000503CD" w:rsidP="00291C19">
      <w:pPr>
        <w:numPr>
          <w:ilvl w:val="1"/>
          <w:numId w:val="1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5(1): "No customs duties shall be imposed on goods originating in the other Party."</w:t>
      </w:r>
    </w:p>
    <w:p w14:paraId="0F75B36B"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3170D747" w14:textId="77777777" w:rsidR="000503CD" w:rsidRPr="00291C19" w:rsidRDefault="000503CD" w:rsidP="00291C19">
      <w:pPr>
        <w:numPr>
          <w:ilvl w:val="1"/>
          <w:numId w:val="1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TCA’s tariff-free and quota-free provisions offer significant economic benefits but fall short of the frictionless trade that existed under EU membership."</w:t>
      </w:r>
    </w:p>
    <w:p w14:paraId="50FF9C9A" w14:textId="77777777" w:rsidR="000503CD" w:rsidRPr="00291C19" w:rsidRDefault="000503CD" w:rsidP="00291C19">
      <w:pPr>
        <w:numPr>
          <w:ilvl w:val="0"/>
          <w:numId w:val="14"/>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Rules of Origin</w:t>
      </w:r>
    </w:p>
    <w:p w14:paraId="7927A9AA" w14:textId="77777777" w:rsidR="000503CD" w:rsidRPr="00291C19" w:rsidRDefault="000503CD" w:rsidP="00291C19">
      <w:pPr>
        <w:numPr>
          <w:ilvl w:val="1"/>
          <w:numId w:val="1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includes detailed rules of origin to determine whether goods qualify for preferential treatment.</w:t>
      </w:r>
    </w:p>
    <w:p w14:paraId="01A4EA47" w14:textId="77777777" w:rsidR="000503CD" w:rsidRPr="00291C19" w:rsidRDefault="000503CD" w:rsidP="00291C19">
      <w:pPr>
        <w:numPr>
          <w:ilvl w:val="1"/>
          <w:numId w:val="1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These rules require that a significant portion of a product’s value be created within the EU or UK to qualify for zero tariffs.</w:t>
      </w:r>
    </w:p>
    <w:p w14:paraId="2EBC6183"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Case Comparison</w:t>
      </w:r>
      <w:r w:rsidRPr="00291C19">
        <w:rPr>
          <w:rFonts w:ascii="Times New Roman" w:hAnsi="Times New Roman"/>
          <w:lang w:val="en-HK"/>
        </w:rPr>
        <w:t>:</w:t>
      </w:r>
    </w:p>
    <w:p w14:paraId="0BF5AF84" w14:textId="77777777" w:rsidR="000503CD" w:rsidRPr="00291C19" w:rsidRDefault="000503CD" w:rsidP="00291C19">
      <w:pPr>
        <w:numPr>
          <w:ilvl w:val="1"/>
          <w:numId w:val="1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Rules of origin provisions are stricter than under the EU Customs Union, leading to increased compliance costs for businesses.</w:t>
      </w:r>
    </w:p>
    <w:p w14:paraId="6B5B2086"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Insight</w:t>
      </w:r>
      <w:r w:rsidRPr="00291C19">
        <w:rPr>
          <w:rFonts w:ascii="Times New Roman" w:hAnsi="Times New Roman"/>
          <w:lang w:val="en-HK"/>
        </w:rPr>
        <w:t>:</w:t>
      </w:r>
    </w:p>
    <w:p w14:paraId="21FB9467" w14:textId="77777777" w:rsidR="000503CD" w:rsidRPr="00291C19" w:rsidRDefault="000503CD" w:rsidP="00291C19">
      <w:pPr>
        <w:numPr>
          <w:ilvl w:val="1"/>
          <w:numId w:val="1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 rules of origin, while essential for maintaining fair competition, introduce significant administrative burdens that challenge small and medium-sized enterprises."</w:t>
      </w:r>
    </w:p>
    <w:p w14:paraId="4B78FBE0" w14:textId="77777777" w:rsidR="000503CD" w:rsidRPr="00291C19" w:rsidRDefault="006A1244" w:rsidP="00291C19">
      <w:pPr>
        <w:spacing w:line="276" w:lineRule="auto"/>
        <w:rPr>
          <w:rFonts w:ascii="Times New Roman" w:hAnsi="Times New Roman"/>
          <w:lang w:val="en-HK"/>
        </w:rPr>
      </w:pPr>
      <w:r w:rsidRPr="006A1244">
        <w:rPr>
          <w:rFonts w:ascii="Times New Roman" w:hAnsi="Times New Roman"/>
          <w:noProof/>
          <w:lang w:val="en-HK"/>
          <w14:ligatures w14:val="standardContextual"/>
        </w:rPr>
        <w:pict w14:anchorId="3463AE38">
          <v:rect id="_x0000_i1050" alt="" style="width:451.3pt;height:.05pt;mso-width-percent:0;mso-height-percent:0;mso-width-percent:0;mso-height-percent:0" o:hralign="center" o:hrstd="t" o:hr="t" fillcolor="#a0a0a0" stroked="f"/>
        </w:pict>
      </w:r>
    </w:p>
    <w:p w14:paraId="7B638CA6"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2. Level Playing Field (LPF) Provisions</w:t>
      </w:r>
    </w:p>
    <w:p w14:paraId="3517B910" w14:textId="77777777" w:rsidR="000503CD" w:rsidRPr="00291C19" w:rsidRDefault="000503CD" w:rsidP="00291C19">
      <w:pPr>
        <w:numPr>
          <w:ilvl w:val="0"/>
          <w:numId w:val="15"/>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Non-Regression Commitments</w:t>
      </w:r>
    </w:p>
    <w:p w14:paraId="6A235EEC"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requires both parties to maintain current levels of environmental, labor, and social standards to ensure fair competition (Articles 386–387).</w:t>
      </w:r>
    </w:p>
    <w:p w14:paraId="69FD61D8"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These commitments prevent either party from lowering standards to gain a competitive advantage.</w:t>
      </w:r>
    </w:p>
    <w:p w14:paraId="389F7AB4"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5933200F"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Article 386: "A Party shall not weaken or reduce its levels of environmental or labor protection in a manner affecting trade or investment."</w:t>
      </w:r>
    </w:p>
    <w:p w14:paraId="1961C308"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Perspective</w:t>
      </w:r>
      <w:r w:rsidRPr="00291C19">
        <w:rPr>
          <w:rFonts w:ascii="Times New Roman" w:hAnsi="Times New Roman"/>
          <w:lang w:val="en-HK"/>
        </w:rPr>
        <w:t>:</w:t>
      </w:r>
    </w:p>
    <w:p w14:paraId="5683CCBE"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 LPF reflects the EU’s insistence on fair competition, ensuring that Brexit does not lead to regulatory dumping."</w:t>
      </w:r>
    </w:p>
    <w:p w14:paraId="19526FC4" w14:textId="77777777" w:rsidR="000503CD" w:rsidRPr="00291C19" w:rsidRDefault="000503CD" w:rsidP="00291C19">
      <w:pPr>
        <w:numPr>
          <w:ilvl w:val="0"/>
          <w:numId w:val="15"/>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Rebalancing Measures</w:t>
      </w:r>
    </w:p>
    <w:p w14:paraId="0A966469"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If significant divergences in standards affect trade, either party can take "rebalancing measures," such as imposing tariffs or quotas (Article 411).</w:t>
      </w:r>
    </w:p>
    <w:p w14:paraId="4696B815"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These measures are subject to arbitration to prevent abuse.</w:t>
      </w:r>
    </w:p>
    <w:p w14:paraId="1F20D05A"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Example</w:t>
      </w:r>
      <w:r w:rsidRPr="00291C19">
        <w:rPr>
          <w:rFonts w:ascii="Times New Roman" w:hAnsi="Times New Roman"/>
          <w:lang w:val="en-HK"/>
        </w:rPr>
        <w:t>:</w:t>
      </w:r>
    </w:p>
    <w:p w14:paraId="48E5D48D"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If the UK significantly relaxes labor laws, the EU could impose tariffs on UK goods under the rebalancing mechanism.</w:t>
      </w:r>
    </w:p>
    <w:p w14:paraId="3418067B"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18BD6DAF"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"Rebalancing measures introduce a dynamic enforcement tool, striking a balance between sovereignty and economic fairness."</w:t>
      </w:r>
    </w:p>
    <w:p w14:paraId="3625939D" w14:textId="77777777" w:rsidR="000503CD" w:rsidRPr="00291C19" w:rsidRDefault="000503CD" w:rsidP="00291C19">
      <w:pPr>
        <w:numPr>
          <w:ilvl w:val="0"/>
          <w:numId w:val="15"/>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State Aid</w:t>
      </w:r>
    </w:p>
    <w:p w14:paraId="5A9CBAFC"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includes provisions requiring transparency in state aid and maintaining independent regulators to oversee subsidies (Article 363).</w:t>
      </w:r>
    </w:p>
    <w:p w14:paraId="49BE444A"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the UK retains flexibility, it must ensure that subsidies do not distort competition in a way that affects trade.</w:t>
      </w:r>
    </w:p>
    <w:p w14:paraId="234EB68F"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Comparison to EU Law</w:t>
      </w:r>
      <w:r w:rsidRPr="00291C19">
        <w:rPr>
          <w:rFonts w:ascii="Times New Roman" w:hAnsi="Times New Roman"/>
          <w:lang w:val="en-HK"/>
        </w:rPr>
        <w:t>:</w:t>
      </w:r>
    </w:p>
    <w:p w14:paraId="1DBE401A" w14:textId="77777777" w:rsidR="000503CD" w:rsidRPr="00291C19" w:rsidRDefault="000503CD" w:rsidP="00291C19">
      <w:pPr>
        <w:numPr>
          <w:ilvl w:val="1"/>
          <w:numId w:val="1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EU’s state aid rules, governed by Articles 107–109 TFEU, are stricter and more detailed. The TCA provides a looser framework, reflecting the UK’s preference for regulatory independence.</w:t>
      </w:r>
    </w:p>
    <w:p w14:paraId="26ADE91C" w14:textId="77777777" w:rsidR="000503CD" w:rsidRPr="00291C19" w:rsidRDefault="006A1244" w:rsidP="00291C19">
      <w:pPr>
        <w:spacing w:line="276" w:lineRule="auto"/>
        <w:rPr>
          <w:rFonts w:ascii="Times New Roman" w:hAnsi="Times New Roman"/>
          <w:lang w:val="en-HK"/>
        </w:rPr>
      </w:pPr>
      <w:r w:rsidRPr="006A1244">
        <w:rPr>
          <w:rFonts w:ascii="Times New Roman" w:hAnsi="Times New Roman"/>
          <w:noProof/>
          <w:lang w:val="en-HK"/>
          <w14:ligatures w14:val="standardContextual"/>
        </w:rPr>
        <w:pict w14:anchorId="6F1F5AEE">
          <v:rect id="_x0000_i1049" alt="" style="width:451.3pt;height:.05pt;mso-width-percent:0;mso-height-percent:0;mso-width-percent:0;mso-height-percent:0" o:hralign="center" o:hrstd="t" o:hr="t" fillcolor="#a0a0a0" stroked="f"/>
        </w:pict>
      </w:r>
    </w:p>
    <w:p w14:paraId="78D48B78"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3. Digital Trade</w:t>
      </w:r>
    </w:p>
    <w:p w14:paraId="0CF7728F" w14:textId="77777777" w:rsidR="000503CD" w:rsidRPr="00291C19" w:rsidRDefault="000503CD" w:rsidP="00291C19">
      <w:pPr>
        <w:numPr>
          <w:ilvl w:val="0"/>
          <w:numId w:val="16"/>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Data Transfers</w:t>
      </w:r>
    </w:p>
    <w:p w14:paraId="0BF28416" w14:textId="77777777" w:rsidR="000503CD" w:rsidRPr="00291C19" w:rsidRDefault="000503CD" w:rsidP="00291C19">
      <w:pPr>
        <w:numPr>
          <w:ilvl w:val="1"/>
          <w:numId w:val="1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ensures the free flow of data between the EU and UK while maintaining strong data protection standards (Article 210).</w:t>
      </w:r>
    </w:p>
    <w:p w14:paraId="71C1F2F1" w14:textId="77777777" w:rsidR="000503CD" w:rsidRPr="00291C19" w:rsidRDefault="000503CD" w:rsidP="00291C19">
      <w:pPr>
        <w:numPr>
          <w:ilvl w:val="1"/>
          <w:numId w:val="1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These provisions align with the EU’s General Data Protection Regulation (GDPR), ensuring compatibility.</w:t>
      </w:r>
    </w:p>
    <w:p w14:paraId="3891F52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527768EF" w14:textId="77777777" w:rsidR="000503CD" w:rsidRPr="00291C19" w:rsidRDefault="000503CD" w:rsidP="00291C19">
      <w:pPr>
        <w:numPr>
          <w:ilvl w:val="1"/>
          <w:numId w:val="1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digital trade provisions demonstrate the EU’s focus on maintaining high data protection standards while fostering economic connectivity."</w:t>
      </w:r>
    </w:p>
    <w:p w14:paraId="4A016B65" w14:textId="77777777" w:rsidR="000503CD" w:rsidRPr="00291C19" w:rsidRDefault="000503CD" w:rsidP="00291C19">
      <w:pPr>
        <w:numPr>
          <w:ilvl w:val="0"/>
          <w:numId w:val="16"/>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Prohibition of Data Localization</w:t>
      </w:r>
    </w:p>
    <w:p w14:paraId="3381E1FA" w14:textId="77777777" w:rsidR="000503CD" w:rsidRPr="00291C19" w:rsidRDefault="000503CD" w:rsidP="00291C19">
      <w:pPr>
        <w:numPr>
          <w:ilvl w:val="1"/>
          <w:numId w:val="1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prohibits mandatory data localization, allowing businesses to store data anywhere within the EU or UK (Article 211).</w:t>
      </w:r>
    </w:p>
    <w:p w14:paraId="18C6F6F5"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23FCE541" w14:textId="77777777" w:rsidR="000503CD" w:rsidRPr="00291C19" w:rsidRDefault="000503CD" w:rsidP="00291C19">
      <w:pPr>
        <w:numPr>
          <w:ilvl w:val="1"/>
          <w:numId w:val="1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211(1): "Neither Party shall require the use of computing facilities in its territory as a condition for conducting business."</w:t>
      </w:r>
    </w:p>
    <w:p w14:paraId="37F3B6B2" w14:textId="77777777" w:rsidR="000503CD" w:rsidRPr="00291C19" w:rsidRDefault="006A1244" w:rsidP="00291C19">
      <w:pPr>
        <w:spacing w:line="276" w:lineRule="auto"/>
        <w:rPr>
          <w:rFonts w:ascii="Times New Roman" w:hAnsi="Times New Roman"/>
          <w:lang w:val="en-HK"/>
        </w:rPr>
      </w:pPr>
      <w:r w:rsidRPr="006A1244">
        <w:rPr>
          <w:rFonts w:ascii="Times New Roman" w:hAnsi="Times New Roman"/>
          <w:noProof/>
          <w:lang w:val="en-HK"/>
          <w14:ligatures w14:val="standardContextual"/>
        </w:rPr>
        <w:pict w14:anchorId="20F04C55">
          <v:rect id="_x0000_i1048" alt="" style="width:451.3pt;height:.05pt;mso-width-percent:0;mso-height-percent:0;mso-width-percent:0;mso-height-percent:0" o:hralign="center" o:hrstd="t" o:hr="t" fillcolor="#a0a0a0" stroked="f"/>
        </w:pict>
      </w:r>
    </w:p>
    <w:p w14:paraId="1BB49A77"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4. Intellectual Property (IP)</w:t>
      </w:r>
    </w:p>
    <w:p w14:paraId="7A968BDD" w14:textId="77777777" w:rsidR="000503CD" w:rsidRPr="00291C19" w:rsidRDefault="000503CD" w:rsidP="00291C19">
      <w:pPr>
        <w:numPr>
          <w:ilvl w:val="0"/>
          <w:numId w:val="17"/>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Alignment with International Standards</w:t>
      </w:r>
    </w:p>
    <w:p w14:paraId="7C8085CF" w14:textId="77777777" w:rsidR="000503CD" w:rsidRPr="00291C19" w:rsidRDefault="000503CD" w:rsidP="00291C19">
      <w:pPr>
        <w:numPr>
          <w:ilvl w:val="1"/>
          <w:numId w:val="1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commits both parties to uphold international IP standards, such as those under the TRIPS Agreement.</w:t>
      </w:r>
    </w:p>
    <w:p w14:paraId="699A3F06"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5D70A783" w14:textId="77777777" w:rsidR="000503CD" w:rsidRPr="00291C19" w:rsidRDefault="000503CD" w:rsidP="00291C19">
      <w:pPr>
        <w:numPr>
          <w:ilvl w:val="1"/>
          <w:numId w:val="1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IP provisions reflect a pragmatic alignment with global standards, minimizing divergence while allowing for regulatory independence."</w:t>
      </w:r>
    </w:p>
    <w:p w14:paraId="45D740BB" w14:textId="77777777" w:rsidR="000503CD" w:rsidRPr="00291C19" w:rsidRDefault="000503CD" w:rsidP="00291C19">
      <w:pPr>
        <w:numPr>
          <w:ilvl w:val="0"/>
          <w:numId w:val="17"/>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Geographical Indications (GIs)</w:t>
      </w:r>
    </w:p>
    <w:p w14:paraId="6DDB0E3D" w14:textId="77777777" w:rsidR="000503CD" w:rsidRPr="00291C19" w:rsidRDefault="000503CD" w:rsidP="00291C19">
      <w:pPr>
        <w:numPr>
          <w:ilvl w:val="1"/>
          <w:numId w:val="1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does not include a dedicated mechanism for mutual recognition of GIs, reflecting a key divergence from EU membership.</w:t>
      </w:r>
    </w:p>
    <w:p w14:paraId="07BE1ED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Critique</w:t>
      </w:r>
      <w:r w:rsidRPr="00291C19">
        <w:rPr>
          <w:rFonts w:ascii="Times New Roman" w:hAnsi="Times New Roman"/>
          <w:lang w:val="en-HK"/>
        </w:rPr>
        <w:t>:</w:t>
      </w:r>
    </w:p>
    <w:p w14:paraId="23B2E2EC" w14:textId="77777777" w:rsidR="000503CD" w:rsidRPr="00291C19" w:rsidRDefault="000503CD" w:rsidP="00291C19">
      <w:pPr>
        <w:numPr>
          <w:ilvl w:val="1"/>
          <w:numId w:val="1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 absence of GI recognition highlights the limits of the TCA in replicating the benefits of EU membership for agricultural producers."</w:t>
      </w:r>
    </w:p>
    <w:p w14:paraId="20B83B06" w14:textId="77777777" w:rsidR="000503CD" w:rsidRPr="00291C19" w:rsidRDefault="006A1244" w:rsidP="00291C19">
      <w:pPr>
        <w:spacing w:line="276" w:lineRule="auto"/>
        <w:rPr>
          <w:rFonts w:ascii="Times New Roman" w:hAnsi="Times New Roman"/>
          <w:lang w:val="en-HK"/>
        </w:rPr>
      </w:pPr>
      <w:r>
        <w:pict w14:anchorId="0E21F5EE">
          <v:rect id="Horizontal Line 33"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BD0D00"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5. Public Procurement</w:t>
      </w:r>
    </w:p>
    <w:p w14:paraId="2DA89F34" w14:textId="77777777" w:rsidR="000503CD" w:rsidRPr="00291C19" w:rsidRDefault="000503CD" w:rsidP="00291C19">
      <w:pPr>
        <w:numPr>
          <w:ilvl w:val="0"/>
          <w:numId w:val="18"/>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WTO Alignment</w:t>
      </w:r>
    </w:p>
    <w:p w14:paraId="38F05E70" w14:textId="77777777" w:rsidR="000503CD" w:rsidRPr="00291C19" w:rsidRDefault="000503CD" w:rsidP="00291C19">
      <w:pPr>
        <w:numPr>
          <w:ilvl w:val="1"/>
          <w:numId w:val="1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aligns with the WTO Government Procurement Agreement (GPA), ensuring non-discriminatory access to public procurement markets.</w:t>
      </w:r>
    </w:p>
    <w:p w14:paraId="7863D2A4"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2894C342" w14:textId="77777777" w:rsidR="000503CD" w:rsidRPr="00291C19" w:rsidRDefault="000503CD" w:rsidP="00291C19">
      <w:pPr>
        <w:numPr>
          <w:ilvl w:val="1"/>
          <w:numId w:val="1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282: "Each Party shall ensure that its entities conduct covered procurement in a transparent and impartial manner."</w:t>
      </w:r>
    </w:p>
    <w:p w14:paraId="6E13812F" w14:textId="77777777" w:rsidR="000503CD" w:rsidRPr="00291C19" w:rsidRDefault="000503CD" w:rsidP="00291C19">
      <w:pPr>
        <w:numPr>
          <w:ilvl w:val="0"/>
          <w:numId w:val="18"/>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Limited Coverage</w:t>
      </w:r>
    </w:p>
    <w:p w14:paraId="7D4FC97A" w14:textId="77777777" w:rsidR="000503CD" w:rsidRPr="00291C19" w:rsidRDefault="000503CD" w:rsidP="00291C19">
      <w:pPr>
        <w:numPr>
          <w:ilvl w:val="1"/>
          <w:numId w:val="1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does not extend procurement benefits to sub-national levels, reducing its scope compared to EU membership.</w:t>
      </w:r>
    </w:p>
    <w:p w14:paraId="78F1529D"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lastRenderedPageBreak/>
        <w:t>Peers’ Commentary</w:t>
      </w:r>
      <w:r w:rsidRPr="00291C19">
        <w:rPr>
          <w:rFonts w:ascii="Times New Roman" w:hAnsi="Times New Roman"/>
          <w:lang w:val="en-HK"/>
        </w:rPr>
        <w:t>:</w:t>
      </w:r>
    </w:p>
    <w:p w14:paraId="5CFB56A2" w14:textId="77777777" w:rsidR="000503CD" w:rsidRPr="00291C19" w:rsidRDefault="000503CD" w:rsidP="00291C19">
      <w:pPr>
        <w:numPr>
          <w:ilvl w:val="1"/>
          <w:numId w:val="1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"Public procurement provisions demonstrate the TCA’s minimalist approach, ensuring basic alignment without deep integration."</w:t>
      </w:r>
    </w:p>
    <w:p w14:paraId="31375999" w14:textId="77777777" w:rsidR="000503CD" w:rsidRPr="00291C19" w:rsidRDefault="006A1244" w:rsidP="00291C19">
      <w:pPr>
        <w:spacing w:line="276" w:lineRule="auto"/>
        <w:rPr>
          <w:rFonts w:ascii="Times New Roman" w:hAnsi="Times New Roman"/>
          <w:lang w:val="en-HK"/>
        </w:rPr>
      </w:pPr>
      <w:r>
        <w:pict w14:anchorId="4B46660A">
          <v:rect id="Horizontal Line 34"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7506C5"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6. Comparison to EU Membership</w:t>
      </w:r>
    </w:p>
    <w:p w14:paraId="2B917248" w14:textId="77777777" w:rsidR="000503CD" w:rsidRPr="00291C19" w:rsidRDefault="000503CD" w:rsidP="00291C19">
      <w:pPr>
        <w:numPr>
          <w:ilvl w:val="0"/>
          <w:numId w:val="19"/>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Friction in Trade</w:t>
      </w:r>
    </w:p>
    <w:p w14:paraId="05DA0F46" w14:textId="77777777" w:rsidR="000503CD" w:rsidRPr="00291C19" w:rsidRDefault="000503CD" w:rsidP="00291C19">
      <w:pPr>
        <w:numPr>
          <w:ilvl w:val="1"/>
          <w:numId w:val="1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the TCA removes tariffs and quotas, non-tariff barriers such as customs checks, rules of origin, and regulatory divergence create friction in trade.</w:t>
      </w:r>
    </w:p>
    <w:p w14:paraId="19889F1D"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Insight</w:t>
      </w:r>
      <w:r w:rsidRPr="00291C19">
        <w:rPr>
          <w:rFonts w:ascii="Times New Roman" w:hAnsi="Times New Roman"/>
          <w:lang w:val="en-HK"/>
        </w:rPr>
        <w:t>:</w:t>
      </w:r>
    </w:p>
    <w:p w14:paraId="294CD53B" w14:textId="77777777" w:rsidR="000503CD" w:rsidRPr="00291C19" w:rsidRDefault="000503CD" w:rsidP="00291C19">
      <w:pPr>
        <w:numPr>
          <w:ilvl w:val="1"/>
          <w:numId w:val="1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 TCA’s economic provisions reflect a step back from the frictionless trade of EU membership, introducing new challenges for businesses."</w:t>
      </w:r>
    </w:p>
    <w:p w14:paraId="039D0D08" w14:textId="77777777" w:rsidR="000503CD" w:rsidRPr="00291C19" w:rsidRDefault="000503CD" w:rsidP="00291C19">
      <w:pPr>
        <w:numPr>
          <w:ilvl w:val="0"/>
          <w:numId w:val="19"/>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Regulatory Independence</w:t>
      </w:r>
    </w:p>
    <w:p w14:paraId="3B09A228" w14:textId="77777777" w:rsidR="000503CD" w:rsidRPr="00291C19" w:rsidRDefault="000503CD" w:rsidP="00291C19">
      <w:pPr>
        <w:numPr>
          <w:ilvl w:val="1"/>
          <w:numId w:val="1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UK gains flexibility to set its own regulations but at the cost of access to the EU single market.</w:t>
      </w:r>
    </w:p>
    <w:p w14:paraId="7B9E9F7C" w14:textId="77777777" w:rsidR="000503CD" w:rsidRPr="00291C19" w:rsidRDefault="006A1244" w:rsidP="00291C19">
      <w:pPr>
        <w:spacing w:line="276" w:lineRule="auto"/>
        <w:rPr>
          <w:rFonts w:ascii="Times New Roman" w:hAnsi="Times New Roman"/>
          <w:lang w:val="en-HK"/>
        </w:rPr>
      </w:pPr>
      <w:r>
        <w:pict w14:anchorId="427BD0EC">
          <v:rect id="Horizontal Line 35"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ABE554" w14:textId="77777777" w:rsidR="000503CD" w:rsidRPr="00291C19" w:rsidRDefault="000503CD" w:rsidP="00291C19">
      <w:pPr>
        <w:spacing w:before="100" w:beforeAutospacing="1" w:after="100" w:afterAutospacing="1" w:line="276" w:lineRule="auto"/>
        <w:outlineLvl w:val="2"/>
        <w:rPr>
          <w:rFonts w:ascii="Times New Roman" w:hAnsi="Times New Roman"/>
          <w:b/>
          <w:bCs/>
          <w:lang w:val="en-HK"/>
        </w:rPr>
      </w:pPr>
      <w:r w:rsidRPr="00291C19">
        <w:rPr>
          <w:rFonts w:ascii="Times New Roman" w:hAnsi="Times New Roman"/>
          <w:b/>
          <w:bCs/>
          <w:lang w:val="en-HK"/>
        </w:rPr>
        <w:t>Section 4: Criminal Law Cooperation Under the TCA</w:t>
      </w:r>
    </w:p>
    <w:p w14:paraId="1989AD6C" w14:textId="77777777" w:rsidR="000503CD" w:rsidRPr="00291C19" w:rsidRDefault="000503CD" w:rsidP="00291C19">
      <w:pPr>
        <w:spacing w:before="100" w:beforeAutospacing="1" w:after="100" w:afterAutospacing="1" w:line="276" w:lineRule="auto"/>
        <w:rPr>
          <w:rFonts w:ascii="Times New Roman" w:hAnsi="Times New Roman"/>
          <w:lang w:val="en-HK"/>
        </w:rPr>
      </w:pPr>
      <w:r w:rsidRPr="00291C19">
        <w:rPr>
          <w:rFonts w:ascii="Times New Roman" w:hAnsi="Times New Roman"/>
          <w:lang w:val="en-HK"/>
        </w:rPr>
        <w:t>Section 4 of the document delves into the provisions within the EU-UK Trade and Cooperation Agreement (TCA) that govern criminal law cooperation. It explores the areas in which the UK and the EU continue to collaborate post-Brexit, as well as the limitations and exclusions of this cooperation. This section also highlights the significant changes from EU membership, particularly with respect to the jurisdiction of the Court of Justice of the European Union (CJEU) and the implications of Brexit for law enforcement, extradition, and shared criminal records.</w:t>
      </w:r>
    </w:p>
    <w:p w14:paraId="51CEBCE9" w14:textId="77777777" w:rsidR="000503CD" w:rsidRPr="00291C19" w:rsidRDefault="006A1244" w:rsidP="00291C19">
      <w:pPr>
        <w:spacing w:line="276" w:lineRule="auto"/>
        <w:rPr>
          <w:rFonts w:ascii="Times New Roman" w:hAnsi="Times New Roman"/>
          <w:lang w:val="en-HK"/>
        </w:rPr>
      </w:pPr>
      <w:r>
        <w:pict w14:anchorId="0950FF39">
          <v:rect id="Horizontal Line 43"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3204B9"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1. Scope of Criminal Law Cooperation</w:t>
      </w:r>
    </w:p>
    <w:p w14:paraId="30EBEB06" w14:textId="77777777" w:rsidR="000503CD" w:rsidRPr="00291C19" w:rsidRDefault="000503CD" w:rsidP="00291C19">
      <w:pPr>
        <w:numPr>
          <w:ilvl w:val="0"/>
          <w:numId w:val="20"/>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General Framework</w:t>
      </w:r>
    </w:p>
    <w:p w14:paraId="65A41966" w14:textId="77777777" w:rsidR="000503CD" w:rsidRPr="00291C19" w:rsidRDefault="000503CD" w:rsidP="00291C19">
      <w:pPr>
        <w:numPr>
          <w:ilvl w:val="1"/>
          <w:numId w:val="2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includes provisions for ongoing cooperation in criminal law matters, covering areas such as extradition, mutual legal assistance (MLA), and the sharing of criminal records and data.</w:t>
      </w:r>
    </w:p>
    <w:p w14:paraId="636F5530" w14:textId="77777777" w:rsidR="000503CD" w:rsidRPr="00291C19" w:rsidRDefault="000503CD" w:rsidP="00291C19">
      <w:pPr>
        <w:numPr>
          <w:ilvl w:val="1"/>
          <w:numId w:val="2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Cooperation is primarily based on the principles of mutual recognition, similar to EU frameworks, but now underpinned by international law principles rather than EU law.</w:t>
      </w:r>
    </w:p>
    <w:p w14:paraId="41240B4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1ED23BED" w14:textId="77777777" w:rsidR="000503CD" w:rsidRPr="00291C19" w:rsidRDefault="000503CD" w:rsidP="00291C19">
      <w:pPr>
        <w:numPr>
          <w:ilvl w:val="1"/>
          <w:numId w:val="2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Article 522(1): "The Parties shall cooperate to facilitate mutual legal assistance in criminal matters, including extradition, exchange of criminal records, and other forms of cooperation."</w:t>
      </w:r>
    </w:p>
    <w:p w14:paraId="0251BA5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146704EF" w14:textId="77777777" w:rsidR="000503CD" w:rsidRPr="00291C19" w:rsidRDefault="000503CD" w:rsidP="00291C19">
      <w:pPr>
        <w:numPr>
          <w:ilvl w:val="1"/>
          <w:numId w:val="2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creates a cooperative framework for criminal law, but this is based on international norms rather than the more extensive, EU-specific arrangements.”</w:t>
      </w:r>
    </w:p>
    <w:p w14:paraId="4F35106E" w14:textId="77777777" w:rsidR="000503CD" w:rsidRPr="00291C19" w:rsidRDefault="006A1244" w:rsidP="00291C19">
      <w:pPr>
        <w:spacing w:line="276" w:lineRule="auto"/>
        <w:rPr>
          <w:rFonts w:ascii="Times New Roman" w:hAnsi="Times New Roman"/>
          <w:lang w:val="en-HK"/>
        </w:rPr>
      </w:pPr>
      <w:r>
        <w:pict w14:anchorId="2FD01202">
          <v:rect id="Horizontal Line 44"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C42101"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2. Extradition</w:t>
      </w:r>
    </w:p>
    <w:p w14:paraId="1C33036D" w14:textId="77777777" w:rsidR="000503CD" w:rsidRPr="00291C19" w:rsidRDefault="000503CD" w:rsidP="00291C19">
      <w:pPr>
        <w:numPr>
          <w:ilvl w:val="0"/>
          <w:numId w:val="21"/>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Extradition Framework</w:t>
      </w:r>
    </w:p>
    <w:p w14:paraId="6C171AD3" w14:textId="77777777" w:rsidR="000503CD" w:rsidRPr="00291C19" w:rsidRDefault="000503CD" w:rsidP="00291C19">
      <w:pPr>
        <w:numPr>
          <w:ilvl w:val="1"/>
          <w:numId w:val="2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establishes an extradition framework for the swift transfer of individuals wanted for prosecution or to serve sentences in either the EU or the UK.</w:t>
      </w:r>
    </w:p>
    <w:p w14:paraId="4D6D13A0" w14:textId="77777777" w:rsidR="000503CD" w:rsidRPr="00291C19" w:rsidRDefault="000503CD" w:rsidP="00291C19">
      <w:pPr>
        <w:numPr>
          <w:ilvl w:val="1"/>
          <w:numId w:val="2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agreement provides for fast-track extradition procedures, replacing the European Arrest Warrant (EAW), which previously governed extradition between EU Member States.</w:t>
      </w:r>
    </w:p>
    <w:p w14:paraId="6C96CE71"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707AC5C6" w14:textId="77777777" w:rsidR="000503CD" w:rsidRPr="00291C19" w:rsidRDefault="000503CD" w:rsidP="00291C19">
      <w:pPr>
        <w:numPr>
          <w:ilvl w:val="1"/>
          <w:numId w:val="2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599(1) states:</w:t>
      </w:r>
    </w:p>
    <w:p w14:paraId="31023F62"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"Extradition between the EU and the UK shall be governed by the terms of this Agreement, and in accordance with the relevant provisions on extradition set out in Chapter 5 of Part 3."</w:t>
      </w:r>
    </w:p>
    <w:p w14:paraId="3E464F38" w14:textId="77777777" w:rsidR="000503CD" w:rsidRPr="00291C19" w:rsidRDefault="000503CD" w:rsidP="00291C19">
      <w:pPr>
        <w:numPr>
          <w:ilvl w:val="1"/>
          <w:numId w:val="2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procedures are generally more streamlined than previous bilateral treaties but less efficient than the EU’s EAW system.</w:t>
      </w:r>
    </w:p>
    <w:p w14:paraId="2A59EF29"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Observation</w:t>
      </w:r>
      <w:r w:rsidRPr="00291C19">
        <w:rPr>
          <w:rFonts w:ascii="Times New Roman" w:hAnsi="Times New Roman"/>
          <w:lang w:val="en-HK"/>
        </w:rPr>
        <w:t>:</w:t>
      </w:r>
    </w:p>
    <w:p w14:paraId="5738CD3D" w14:textId="77777777" w:rsidR="000503CD" w:rsidRPr="00291C19" w:rsidRDefault="000503CD" w:rsidP="00291C19">
      <w:pPr>
        <w:numPr>
          <w:ilvl w:val="1"/>
          <w:numId w:val="2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TCA’s extradition provisions offer a swift process, but they are not as automated or integrated as the EU's former system.”</w:t>
      </w:r>
    </w:p>
    <w:p w14:paraId="392672BB" w14:textId="77777777" w:rsidR="000503CD" w:rsidRPr="00291C19" w:rsidRDefault="000503CD" w:rsidP="00291C19">
      <w:pPr>
        <w:numPr>
          <w:ilvl w:val="0"/>
          <w:numId w:val="21"/>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Exclusions from Extradition</w:t>
      </w:r>
    </w:p>
    <w:p w14:paraId="130C340C" w14:textId="77777777" w:rsidR="000503CD" w:rsidRPr="00291C19" w:rsidRDefault="000503CD" w:rsidP="00291C19">
      <w:pPr>
        <w:numPr>
          <w:ilvl w:val="1"/>
          <w:numId w:val="2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includes several exclusions from extradition, including for political offenses or in cases where the individual faces the death penalty or torture.</w:t>
      </w:r>
    </w:p>
    <w:p w14:paraId="5635681B"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59E7B30B" w14:textId="77777777" w:rsidR="000503CD" w:rsidRPr="00291C19" w:rsidRDefault="000503CD" w:rsidP="00291C19">
      <w:pPr>
        <w:numPr>
          <w:ilvl w:val="1"/>
          <w:numId w:val="2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602(3): "Extradition may be refused where the requested person faces the death penalty or torture."</w:t>
      </w:r>
    </w:p>
    <w:p w14:paraId="28CC81AB"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Critique</w:t>
      </w:r>
      <w:r w:rsidRPr="00291C19">
        <w:rPr>
          <w:rFonts w:ascii="Times New Roman" w:hAnsi="Times New Roman"/>
          <w:lang w:val="en-HK"/>
        </w:rPr>
        <w:t>:</w:t>
      </w:r>
    </w:p>
    <w:p w14:paraId="48973A56" w14:textId="77777777" w:rsidR="000503CD" w:rsidRPr="00291C19" w:rsidRDefault="000503CD" w:rsidP="00291C19">
      <w:pPr>
        <w:numPr>
          <w:ilvl w:val="1"/>
          <w:numId w:val="2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“While the TCA includes some important human rights safeguards, the exclusion of the EAW system limits the speed and ease of extradition.”</w:t>
      </w:r>
    </w:p>
    <w:p w14:paraId="6CA5DE70" w14:textId="77777777" w:rsidR="000503CD" w:rsidRPr="00291C19" w:rsidRDefault="006A1244" w:rsidP="00291C19">
      <w:pPr>
        <w:spacing w:line="276" w:lineRule="auto"/>
        <w:rPr>
          <w:rFonts w:ascii="Times New Roman" w:hAnsi="Times New Roman"/>
          <w:lang w:val="en-HK"/>
        </w:rPr>
      </w:pPr>
      <w:r>
        <w:pict w14:anchorId="6183C3AF">
          <v:rect id="Horizontal Line 45"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536FCA"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3. Judicial Cooperation and Mutual Legal Assistance (MLA)</w:t>
      </w:r>
    </w:p>
    <w:p w14:paraId="45F47106" w14:textId="77777777" w:rsidR="000503CD" w:rsidRPr="00291C19" w:rsidRDefault="000503CD" w:rsidP="00291C19">
      <w:pPr>
        <w:numPr>
          <w:ilvl w:val="0"/>
          <w:numId w:val="22"/>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Mutual Legal Assistance</w:t>
      </w:r>
    </w:p>
    <w:p w14:paraId="4DA0C873" w14:textId="77777777" w:rsidR="000503CD" w:rsidRPr="00291C19" w:rsidRDefault="000503CD" w:rsidP="00291C19">
      <w:pPr>
        <w:numPr>
          <w:ilvl w:val="1"/>
          <w:numId w:val="2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provides a framework for mutual legal assistance (MLA) to facilitate the exchange of evidence and information in criminal investigations.</w:t>
      </w:r>
    </w:p>
    <w:p w14:paraId="2C36B261" w14:textId="77777777" w:rsidR="000503CD" w:rsidRPr="00291C19" w:rsidRDefault="000503CD" w:rsidP="00291C19">
      <w:pPr>
        <w:numPr>
          <w:ilvl w:val="1"/>
          <w:numId w:val="2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framework replaces the EU’s broader system of mutual recognition under the European Arrest Warrant and European Investigation Order.</w:t>
      </w:r>
    </w:p>
    <w:p w14:paraId="4965FB78"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686D0854" w14:textId="77777777" w:rsidR="000503CD" w:rsidRPr="00291C19" w:rsidRDefault="000503CD" w:rsidP="00291C19">
      <w:pPr>
        <w:numPr>
          <w:ilvl w:val="1"/>
          <w:numId w:val="2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522(1): "The Parties shall cooperate in providing mutual legal assistance in criminal matters, including in relation to investigations, prosecutions, and the enforcement of judgments."</w:t>
      </w:r>
    </w:p>
    <w:p w14:paraId="39E56146" w14:textId="77777777" w:rsidR="000503CD" w:rsidRPr="00291C19" w:rsidRDefault="000503CD" w:rsidP="00291C19">
      <w:pPr>
        <w:numPr>
          <w:ilvl w:val="0"/>
          <w:numId w:val="22"/>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Limitations Compared to EU Membership</w:t>
      </w:r>
    </w:p>
    <w:p w14:paraId="2FD17D58" w14:textId="77777777" w:rsidR="000503CD" w:rsidRPr="00291C19" w:rsidRDefault="000503CD" w:rsidP="00291C19">
      <w:pPr>
        <w:numPr>
          <w:ilvl w:val="1"/>
          <w:numId w:val="2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the TCA enables MLA, it does not replicate the full range of legal tools available under EU law, such as the European Investigation Order (EIO), which facilitated the cross-border gathering of evidence.</w:t>
      </w:r>
    </w:p>
    <w:p w14:paraId="12C25451" w14:textId="77777777" w:rsidR="000503CD" w:rsidRPr="00291C19" w:rsidRDefault="000503CD" w:rsidP="00291C19">
      <w:pPr>
        <w:numPr>
          <w:ilvl w:val="1"/>
          <w:numId w:val="2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means that cooperation may require more time and effort, as the systems are less integrated than when the UK was a member of the EU.</w:t>
      </w:r>
    </w:p>
    <w:p w14:paraId="44295582"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Insight</w:t>
      </w:r>
      <w:r w:rsidRPr="00291C19">
        <w:rPr>
          <w:rFonts w:ascii="Times New Roman" w:hAnsi="Times New Roman"/>
          <w:lang w:val="en-HK"/>
        </w:rPr>
        <w:t>:</w:t>
      </w:r>
    </w:p>
    <w:p w14:paraId="00C22AE8" w14:textId="77777777" w:rsidR="000503CD" w:rsidRPr="00291C19" w:rsidRDefault="000503CD" w:rsidP="00291C19">
      <w:pPr>
        <w:numPr>
          <w:ilvl w:val="1"/>
          <w:numId w:val="2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introduces a less streamlined, more fragmented system for legal assistance than the EU’s previous arrangements.”</w:t>
      </w:r>
    </w:p>
    <w:p w14:paraId="33F4AF1E" w14:textId="77777777" w:rsidR="000503CD" w:rsidRPr="00291C19" w:rsidRDefault="006A1244" w:rsidP="00291C19">
      <w:pPr>
        <w:spacing w:line="276" w:lineRule="auto"/>
        <w:rPr>
          <w:rFonts w:ascii="Times New Roman" w:hAnsi="Times New Roman"/>
          <w:lang w:val="en-HK"/>
        </w:rPr>
      </w:pPr>
      <w:r>
        <w:pict w14:anchorId="027F4C87">
          <v:rect id="Horizontal Line 46"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EEEB83"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4. Criminal Records Sharing</w:t>
      </w:r>
    </w:p>
    <w:p w14:paraId="04CDEF3A" w14:textId="77777777" w:rsidR="000503CD" w:rsidRPr="00291C19" w:rsidRDefault="000503CD" w:rsidP="00291C19">
      <w:pPr>
        <w:numPr>
          <w:ilvl w:val="0"/>
          <w:numId w:val="23"/>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Exchange of Criminal Records</w:t>
      </w:r>
    </w:p>
    <w:p w14:paraId="6B5F2BC8" w14:textId="77777777" w:rsidR="000503CD" w:rsidRPr="00291C19" w:rsidRDefault="000503CD" w:rsidP="00291C19">
      <w:pPr>
        <w:numPr>
          <w:ilvl w:val="1"/>
          <w:numId w:val="2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provides for the continued sharing of criminal records between the UK and EU Member States, which is critical for cross-border criminal investigations, particularly regarding prior convictions.</w:t>
      </w:r>
    </w:p>
    <w:p w14:paraId="3D1F7BD6" w14:textId="77777777" w:rsidR="000503CD" w:rsidRPr="00291C19" w:rsidRDefault="000503CD" w:rsidP="00291C19">
      <w:pPr>
        <w:numPr>
          <w:ilvl w:val="1"/>
          <w:numId w:val="2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However, this exchange will not be as automatic or integrated as under EU membership.</w:t>
      </w:r>
    </w:p>
    <w:p w14:paraId="7BDE9508"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2508615F" w14:textId="77777777" w:rsidR="000503CD" w:rsidRPr="00291C19" w:rsidRDefault="000503CD" w:rsidP="00291C19">
      <w:pPr>
        <w:numPr>
          <w:ilvl w:val="1"/>
          <w:numId w:val="2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523(2): "The Parties shall exchange information on criminal records, subject to the rules and procedures established by this Agreement."</w:t>
      </w:r>
    </w:p>
    <w:p w14:paraId="4D8C50F4" w14:textId="77777777" w:rsidR="000503CD" w:rsidRPr="00291C19" w:rsidRDefault="000503CD" w:rsidP="00291C19">
      <w:pPr>
        <w:numPr>
          <w:ilvl w:val="0"/>
          <w:numId w:val="23"/>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Comparison to EU Law</w:t>
      </w:r>
    </w:p>
    <w:p w14:paraId="1B0A7982" w14:textId="77777777" w:rsidR="000503CD" w:rsidRPr="00291C19" w:rsidRDefault="000503CD" w:rsidP="00291C19">
      <w:pPr>
        <w:numPr>
          <w:ilvl w:val="1"/>
          <w:numId w:val="2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Under EU law, criminal records could be easily accessed through the EU-wide system for sharing criminal information, including the European Criminal Records Information System (ECRIS).</w:t>
      </w:r>
    </w:p>
    <w:p w14:paraId="7BE43409" w14:textId="77777777" w:rsidR="000503CD" w:rsidRPr="00291C19" w:rsidRDefault="000503CD" w:rsidP="00291C19">
      <w:pPr>
        <w:numPr>
          <w:ilvl w:val="1"/>
          <w:numId w:val="2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requires a more manual system, where authorities will have to request information from each other, which could lead to delays.</w:t>
      </w:r>
    </w:p>
    <w:p w14:paraId="7CAD25D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w:t>
      </w:r>
      <w:r w:rsidRPr="00291C19">
        <w:rPr>
          <w:rFonts w:ascii="Times New Roman" w:hAnsi="Times New Roman"/>
          <w:lang w:val="en-HK"/>
        </w:rPr>
        <w:t>:</w:t>
      </w:r>
    </w:p>
    <w:p w14:paraId="1992A55F" w14:textId="77777777" w:rsidR="000503CD" w:rsidRPr="00291C19" w:rsidRDefault="000503CD" w:rsidP="00291C19">
      <w:pPr>
        <w:numPr>
          <w:ilvl w:val="1"/>
          <w:numId w:val="2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"The TCA’s criminal record-sharing provisions reflect the broader shift from EU law to international law, making the process more cumbersome."</w:t>
      </w:r>
    </w:p>
    <w:p w14:paraId="29DEDA65" w14:textId="77777777" w:rsidR="000503CD" w:rsidRPr="00291C19" w:rsidRDefault="006A1244" w:rsidP="00291C19">
      <w:pPr>
        <w:spacing w:line="276" w:lineRule="auto"/>
        <w:rPr>
          <w:rFonts w:ascii="Times New Roman" w:hAnsi="Times New Roman"/>
          <w:lang w:val="en-HK"/>
        </w:rPr>
      </w:pPr>
      <w:r>
        <w:pict w14:anchorId="37F3BAE6">
          <v:rect id="Horizontal Line 47"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6D26F6"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5. Exclusions from Criminal Law Cooperation</w:t>
      </w:r>
    </w:p>
    <w:p w14:paraId="277C9624" w14:textId="77777777" w:rsidR="000503CD" w:rsidRPr="00291C19" w:rsidRDefault="000503CD" w:rsidP="00291C19">
      <w:pPr>
        <w:numPr>
          <w:ilvl w:val="0"/>
          <w:numId w:val="24"/>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Exclusions from Schengen Information System (SIS)</w:t>
      </w:r>
    </w:p>
    <w:p w14:paraId="7198B6B2" w14:textId="77777777" w:rsidR="000503CD" w:rsidRPr="00291C19" w:rsidRDefault="000503CD" w:rsidP="00291C19">
      <w:pPr>
        <w:numPr>
          <w:ilvl w:val="1"/>
          <w:numId w:val="2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One of the key differences between EU membership and post-Brexit arrangements is the UK's exclusion from the Schengen Information System (SIS), which previously allowed real-time access to information about wanted criminals, missing persons, and stolen property.</w:t>
      </w:r>
    </w:p>
    <w:p w14:paraId="0AA5BFC8"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13BB0B8A" w14:textId="77777777" w:rsidR="000503CD" w:rsidRPr="00291C19" w:rsidRDefault="000503CD" w:rsidP="00291C19">
      <w:pPr>
        <w:numPr>
          <w:ilvl w:val="1"/>
          <w:numId w:val="2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533(3) notes the UK's exclusion from certain EU databases, particularly SIS, in its post-Brexit relationship.</w:t>
      </w:r>
    </w:p>
    <w:p w14:paraId="09B6633C"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"The UK shall not have access to the Schengen Information System."</w:t>
      </w:r>
    </w:p>
    <w:p w14:paraId="3509ADD1"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4F5E0D88" w14:textId="77777777" w:rsidR="000503CD" w:rsidRPr="00291C19" w:rsidRDefault="000503CD" w:rsidP="00291C19">
      <w:pPr>
        <w:numPr>
          <w:ilvl w:val="1"/>
          <w:numId w:val="2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“Exclusion from SIS limits the UK’s ability to participate in real-time law enforcement cooperation and impacts its ability to respond to criminal activities in a timely manner.”</w:t>
      </w:r>
    </w:p>
    <w:p w14:paraId="6639F5BE" w14:textId="77777777" w:rsidR="000503CD" w:rsidRPr="00291C19" w:rsidRDefault="000503CD" w:rsidP="00291C19">
      <w:pPr>
        <w:numPr>
          <w:ilvl w:val="0"/>
          <w:numId w:val="24"/>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Other Exclusions</w:t>
      </w:r>
    </w:p>
    <w:p w14:paraId="589563F9" w14:textId="77777777" w:rsidR="000503CD" w:rsidRPr="00291C19" w:rsidRDefault="000503CD" w:rsidP="00291C19">
      <w:pPr>
        <w:numPr>
          <w:ilvl w:val="1"/>
          <w:numId w:val="2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does not grant the UK access to certain EU law enforcement tools, including the European Criminal Records Information System (ECRIS) and Europol's secure channels for real-time intelligence sharing.</w:t>
      </w:r>
    </w:p>
    <w:p w14:paraId="76291B26"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Insight</w:t>
      </w:r>
      <w:r w:rsidRPr="00291C19">
        <w:rPr>
          <w:rFonts w:ascii="Times New Roman" w:hAnsi="Times New Roman"/>
          <w:lang w:val="en-HK"/>
        </w:rPr>
        <w:t>:</w:t>
      </w:r>
    </w:p>
    <w:p w14:paraId="22037CE3" w14:textId="77777777" w:rsidR="000503CD" w:rsidRPr="00291C19" w:rsidRDefault="000503CD" w:rsidP="00291C19">
      <w:pPr>
        <w:numPr>
          <w:ilvl w:val="1"/>
          <w:numId w:val="2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"While the TCA ensures cooperation in certain areas, the UK's exclusion from critical EU law enforcement tools introduces significant gaps in security cooperation."</w:t>
      </w:r>
    </w:p>
    <w:p w14:paraId="7ADAE282" w14:textId="77777777" w:rsidR="000503CD" w:rsidRPr="00291C19" w:rsidRDefault="006A1244" w:rsidP="00291C19">
      <w:pPr>
        <w:spacing w:line="276" w:lineRule="auto"/>
        <w:rPr>
          <w:rFonts w:ascii="Times New Roman" w:hAnsi="Times New Roman"/>
          <w:lang w:val="en-HK"/>
        </w:rPr>
      </w:pPr>
      <w:r>
        <w:pict w14:anchorId="4FF33A7E">
          <v:rect id="Horizontal Line 48"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309175"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6. Human Rights and Safeguards</w:t>
      </w:r>
    </w:p>
    <w:p w14:paraId="7449157C" w14:textId="77777777" w:rsidR="000503CD" w:rsidRPr="00291C19" w:rsidRDefault="000503CD" w:rsidP="00291C19">
      <w:pPr>
        <w:numPr>
          <w:ilvl w:val="0"/>
          <w:numId w:val="25"/>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Human Rights Protections</w:t>
      </w:r>
    </w:p>
    <w:p w14:paraId="32CA2A09" w14:textId="77777777" w:rsidR="000503CD" w:rsidRPr="00291C19" w:rsidRDefault="000503CD" w:rsidP="00291C19">
      <w:pPr>
        <w:numPr>
          <w:ilvl w:val="1"/>
          <w:numId w:val="2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incorporates provisions ensuring compliance with human rights, including prohibiting the extradition of individuals who risk facing the death penalty, torture, or inhumane or degrading treatment (Article 602).</w:t>
      </w:r>
    </w:p>
    <w:p w14:paraId="10BB7C01"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0390F8F3" w14:textId="77777777" w:rsidR="000503CD" w:rsidRPr="00291C19" w:rsidRDefault="000503CD" w:rsidP="00291C19">
      <w:pPr>
        <w:numPr>
          <w:ilvl w:val="1"/>
          <w:numId w:val="2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602(3) (Extradition): “Extradition shall not be granted where the requested person may face the death penalty or inhumane treatment.”</w:t>
      </w:r>
    </w:p>
    <w:p w14:paraId="6BAB39CC" w14:textId="77777777" w:rsidR="000503CD" w:rsidRPr="00291C19" w:rsidRDefault="000503CD" w:rsidP="00291C19">
      <w:pPr>
        <w:numPr>
          <w:ilvl w:val="0"/>
          <w:numId w:val="25"/>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Proportionality and Safeguards</w:t>
      </w:r>
    </w:p>
    <w:p w14:paraId="22D537CE" w14:textId="77777777" w:rsidR="000503CD" w:rsidRPr="00291C19" w:rsidRDefault="000503CD" w:rsidP="00291C19">
      <w:pPr>
        <w:numPr>
          <w:ilvl w:val="1"/>
          <w:numId w:val="2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Both parties are required to ensure that all criminal law cooperation is carried out in a manner consistent with international human rights law, including the ECHR.</w:t>
      </w:r>
    </w:p>
    <w:p w14:paraId="68CA9481" w14:textId="77777777" w:rsidR="000503CD" w:rsidRPr="00291C19" w:rsidRDefault="000503CD" w:rsidP="00291C19">
      <w:pPr>
        <w:numPr>
          <w:ilvl w:val="1"/>
          <w:numId w:val="2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Proportionality must be observed, particularly in the context of surveillance or intelligence-sharing measures.</w:t>
      </w:r>
    </w:p>
    <w:p w14:paraId="3EAFFB52"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00494632" w14:textId="77777777" w:rsidR="000503CD" w:rsidRPr="00291C19" w:rsidRDefault="000503CD" w:rsidP="00291C19">
      <w:pPr>
        <w:numPr>
          <w:ilvl w:val="1"/>
          <w:numId w:val="2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safeguards regarding human rights are vital for maintaining trust in cross-border cooperation, though the lack of judicial oversight (as in EU membership) makes enforcement of these principles more difficult.”</w:t>
      </w:r>
    </w:p>
    <w:p w14:paraId="161691A2" w14:textId="77777777" w:rsidR="000503CD" w:rsidRPr="00291C19" w:rsidRDefault="006A1244" w:rsidP="00291C19">
      <w:pPr>
        <w:spacing w:line="276" w:lineRule="auto"/>
        <w:rPr>
          <w:rFonts w:ascii="Times New Roman" w:hAnsi="Times New Roman"/>
          <w:lang w:val="en-HK"/>
        </w:rPr>
      </w:pPr>
      <w:r>
        <w:pict w14:anchorId="49008F2A">
          <v:rect id="Horizontal Line 49"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2C9F15" w14:textId="77777777" w:rsidR="000503CD" w:rsidRPr="00291C19" w:rsidRDefault="000503CD" w:rsidP="00291C19">
      <w:pPr>
        <w:spacing w:before="100" w:beforeAutospacing="1" w:after="100" w:afterAutospacing="1" w:line="276" w:lineRule="auto"/>
        <w:outlineLvl w:val="2"/>
        <w:rPr>
          <w:rFonts w:ascii="Times New Roman" w:hAnsi="Times New Roman"/>
          <w:b/>
          <w:bCs/>
          <w:lang w:val="en-HK"/>
        </w:rPr>
      </w:pPr>
      <w:r w:rsidRPr="00291C19">
        <w:rPr>
          <w:rFonts w:ascii="Times New Roman" w:hAnsi="Times New Roman"/>
          <w:b/>
          <w:bCs/>
          <w:lang w:val="en-HK"/>
        </w:rPr>
        <w:t>Section 5: Dispute Settlement Mechanism in the TCA</w:t>
      </w:r>
    </w:p>
    <w:p w14:paraId="2ADFCBC3" w14:textId="77777777" w:rsidR="000503CD" w:rsidRPr="00291C19" w:rsidRDefault="000503CD" w:rsidP="00291C19">
      <w:pPr>
        <w:spacing w:before="100" w:beforeAutospacing="1" w:after="100" w:afterAutospacing="1" w:line="276" w:lineRule="auto"/>
        <w:rPr>
          <w:rFonts w:ascii="Times New Roman" w:hAnsi="Times New Roman"/>
          <w:lang w:val="en-HK"/>
        </w:rPr>
      </w:pPr>
      <w:r w:rsidRPr="00291C19">
        <w:rPr>
          <w:rFonts w:ascii="Times New Roman" w:hAnsi="Times New Roman"/>
          <w:lang w:val="en-HK"/>
        </w:rPr>
        <w:t>Section 5 of the document delves into the dispute settlement framework established by the EU-UK Trade and Cooperation Agreement (TCA). This framework outlines how disagreements between the EU and the UK regarding the interpretation and application of the agreement will be resolved. The section highlights the absence of the Court of Justice of the European Union (CJEU) as a dispute resolution mechanism, in contrast to the previous arrangements under EU membership, and examines the arbitration process and the political implications of this shift.</w:t>
      </w:r>
    </w:p>
    <w:p w14:paraId="6698B73A" w14:textId="77777777" w:rsidR="000503CD" w:rsidRPr="00291C19" w:rsidRDefault="006A1244" w:rsidP="00291C19">
      <w:pPr>
        <w:spacing w:line="276" w:lineRule="auto"/>
        <w:rPr>
          <w:rFonts w:ascii="Times New Roman" w:hAnsi="Times New Roman"/>
          <w:lang w:val="en-HK"/>
        </w:rPr>
      </w:pPr>
      <w:r>
        <w:pict w14:anchorId="4D965C32">
          <v:rect id="Horizontal Line 57"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BA1F8A"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1. Overview of the Dispute Settlement Mechanism</w:t>
      </w:r>
    </w:p>
    <w:p w14:paraId="7E58A115" w14:textId="77777777" w:rsidR="000503CD" w:rsidRPr="00291C19" w:rsidRDefault="000503CD" w:rsidP="00291C19">
      <w:pPr>
        <w:numPr>
          <w:ilvl w:val="0"/>
          <w:numId w:val="26"/>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Arbitration-Based System</w:t>
      </w:r>
    </w:p>
    <w:p w14:paraId="2928AC6C" w14:textId="77777777" w:rsidR="000503CD" w:rsidRPr="00291C19" w:rsidRDefault="000503CD" w:rsidP="00291C19">
      <w:pPr>
        <w:numPr>
          <w:ilvl w:val="1"/>
          <w:numId w:val="2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establishes a dispute settlement mechanism based on arbitration rather than judicial oversight by the CJEU. This reflects the UK's desire to regain sovereignty and avoid the jurisdiction of the EU’s highest court.</w:t>
      </w:r>
    </w:p>
    <w:p w14:paraId="186B8693" w14:textId="77777777" w:rsidR="000503CD" w:rsidRPr="00291C19" w:rsidRDefault="000503CD" w:rsidP="00291C19">
      <w:pPr>
        <w:numPr>
          <w:ilvl w:val="1"/>
          <w:numId w:val="2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arbitration process is designed to provide a binding resolution to disputes between the EU and the UK without recourse to political or judicial systems that were previously part of EU law.</w:t>
      </w:r>
    </w:p>
    <w:p w14:paraId="701678F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292C559B" w14:textId="77777777" w:rsidR="000503CD" w:rsidRPr="00291C19" w:rsidRDefault="000503CD" w:rsidP="00291C19">
      <w:pPr>
        <w:numPr>
          <w:ilvl w:val="1"/>
          <w:numId w:val="2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734(1) states:</w:t>
      </w:r>
    </w:p>
    <w:p w14:paraId="24DCF11A"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"Disputes arising from the interpretation or application of this Agreement shall be settled through arbitration, subject to the terms and conditions specified in this Chapter."</w:t>
      </w:r>
    </w:p>
    <w:p w14:paraId="4B1A4B76"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4ACDBF9D" w14:textId="77777777" w:rsidR="000503CD" w:rsidRPr="00291C19" w:rsidRDefault="000503CD" w:rsidP="00291C19">
      <w:pPr>
        <w:numPr>
          <w:ilvl w:val="1"/>
          <w:numId w:val="2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shift from the CJEU to arbitration reflects the UK's insistence on sovereignty while simultaneously seeking a practical way to address disputes. However, it removes the harmonized legal framework provided by the EU's judicial system."</w:t>
      </w:r>
    </w:p>
    <w:p w14:paraId="523CCA64" w14:textId="77777777" w:rsidR="000503CD" w:rsidRPr="00291C19" w:rsidRDefault="000503CD" w:rsidP="00291C19">
      <w:pPr>
        <w:numPr>
          <w:ilvl w:val="0"/>
          <w:numId w:val="26"/>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lastRenderedPageBreak/>
        <w:t>Arbitration Panel</w:t>
      </w:r>
    </w:p>
    <w:p w14:paraId="012D4ECD" w14:textId="77777777" w:rsidR="000503CD" w:rsidRPr="00291C19" w:rsidRDefault="000503CD" w:rsidP="00291C19">
      <w:pPr>
        <w:numPr>
          <w:ilvl w:val="1"/>
          <w:numId w:val="2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Disputes are to be resolved by an arbitration panel composed of three members. Each party appoints one member, and the third is selected by the first two or, if necessary, appointed by an independent authority.</w:t>
      </w:r>
    </w:p>
    <w:p w14:paraId="4234B43D" w14:textId="77777777" w:rsidR="000503CD" w:rsidRPr="00291C19" w:rsidRDefault="000503CD" w:rsidP="00291C19">
      <w:pPr>
        <w:numPr>
          <w:ilvl w:val="1"/>
          <w:numId w:val="2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method ensures that both parties have an equal say in the process and that an impartial third party is responsible for rendering the final decision.</w:t>
      </w:r>
    </w:p>
    <w:p w14:paraId="7AF3509D"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63689523" w14:textId="77777777" w:rsidR="000503CD" w:rsidRPr="00291C19" w:rsidRDefault="000503CD" w:rsidP="00291C19">
      <w:pPr>
        <w:numPr>
          <w:ilvl w:val="1"/>
          <w:numId w:val="2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735(3) elaborates:</w:t>
      </w:r>
    </w:p>
    <w:p w14:paraId="3E2E5487"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"The arbitration panel shall consist of three arbitrators, one appointed by each Party and the third selected by mutual agreement or appointed by a neutral authority."</w:t>
      </w:r>
    </w:p>
    <w:p w14:paraId="126D9FB4" w14:textId="77777777" w:rsidR="000503CD" w:rsidRPr="00291C19" w:rsidRDefault="006A1244" w:rsidP="00291C19">
      <w:pPr>
        <w:spacing w:line="276" w:lineRule="auto"/>
        <w:rPr>
          <w:rFonts w:ascii="Times New Roman" w:hAnsi="Times New Roman"/>
          <w:lang w:val="en-HK"/>
        </w:rPr>
      </w:pPr>
      <w:r>
        <w:pict w14:anchorId="1E09F12A">
          <v:rect id="Horizontal Line 58"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947C02"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2. Proportionality of Remedies</w:t>
      </w:r>
    </w:p>
    <w:p w14:paraId="6566145E" w14:textId="77777777" w:rsidR="000503CD" w:rsidRPr="00291C19" w:rsidRDefault="000503CD" w:rsidP="00291C19">
      <w:pPr>
        <w:numPr>
          <w:ilvl w:val="0"/>
          <w:numId w:val="27"/>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Enforcement of Decisions</w:t>
      </w:r>
    </w:p>
    <w:p w14:paraId="18284A78" w14:textId="77777777" w:rsidR="000503CD" w:rsidRPr="00291C19" w:rsidRDefault="000503CD" w:rsidP="00291C19">
      <w:pPr>
        <w:numPr>
          <w:ilvl w:val="1"/>
          <w:numId w:val="2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arbitration mechanism is designed to ensure that decisions are binding. If one party fails to comply with a ruling, the other party can seek compensation or retaliation, including the suspension of benefits under the agreement, such as tariff-free access.</w:t>
      </w:r>
    </w:p>
    <w:p w14:paraId="5CBD9BC8"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710E3EB7" w14:textId="77777777" w:rsidR="000503CD" w:rsidRPr="00291C19" w:rsidRDefault="000503CD" w:rsidP="00291C19">
      <w:pPr>
        <w:numPr>
          <w:ilvl w:val="1"/>
          <w:numId w:val="2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736(1) provides:</w:t>
      </w:r>
    </w:p>
    <w:p w14:paraId="4A88E45F"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"The arbitration panel may authorize a Party to suspend the application of benefits equivalent to the level of harm caused by the violation of the Agreement."</w:t>
      </w:r>
    </w:p>
    <w:p w14:paraId="00ADEDF4"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Observation</w:t>
      </w:r>
      <w:r w:rsidRPr="00291C19">
        <w:rPr>
          <w:rFonts w:ascii="Times New Roman" w:hAnsi="Times New Roman"/>
          <w:lang w:val="en-HK"/>
        </w:rPr>
        <w:t>:</w:t>
      </w:r>
    </w:p>
    <w:p w14:paraId="2B8E4A29" w14:textId="77777777" w:rsidR="000503CD" w:rsidRPr="00291C19" w:rsidRDefault="000503CD" w:rsidP="00291C19">
      <w:pPr>
        <w:numPr>
          <w:ilvl w:val="1"/>
          <w:numId w:val="2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arbitration system emphasizes proportionality in resolving disputes, ensuring that remedies are commensurate with the nature and scope of the violation. However, the absence of a supreme court like the CJEU means that the process lacks the deeper legal integration seen in EU law."</w:t>
      </w:r>
    </w:p>
    <w:p w14:paraId="0CBFDA4B" w14:textId="77777777" w:rsidR="000503CD" w:rsidRPr="00291C19" w:rsidRDefault="000503CD" w:rsidP="00291C19">
      <w:pPr>
        <w:numPr>
          <w:ilvl w:val="0"/>
          <w:numId w:val="27"/>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Comparison to CJEU's Role Under EU Law</w:t>
      </w:r>
    </w:p>
    <w:p w14:paraId="37263498" w14:textId="77777777" w:rsidR="000503CD" w:rsidRPr="00291C19" w:rsidRDefault="000503CD" w:rsidP="00291C19">
      <w:pPr>
        <w:numPr>
          <w:ilvl w:val="1"/>
          <w:numId w:val="2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Under the EU legal system, the CJEU was the ultimate authority for dispute resolution, ensuring that its decisions were consistent and enforceable across Member States. The TCA's arbitration-based system lacks the uniformity and clarity that the CJEU’s jurisdiction provided.</w:t>
      </w:r>
    </w:p>
    <w:p w14:paraId="4FBC7609"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Insight</w:t>
      </w:r>
      <w:r w:rsidRPr="00291C19">
        <w:rPr>
          <w:rFonts w:ascii="Times New Roman" w:hAnsi="Times New Roman"/>
          <w:lang w:val="en-HK"/>
        </w:rPr>
        <w:t>:</w:t>
      </w:r>
    </w:p>
    <w:p w14:paraId="0C090C18" w14:textId="77777777" w:rsidR="000503CD" w:rsidRPr="00291C19" w:rsidRDefault="000503CD" w:rsidP="00291C19">
      <w:pPr>
        <w:numPr>
          <w:ilvl w:val="1"/>
          <w:numId w:val="27"/>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 absence of the CJEU is a significant shift. While arbitration introduces flexibility, it also reduces the certainty and predictability that was previously guaranteed under EU law."</w:t>
      </w:r>
    </w:p>
    <w:p w14:paraId="52219982" w14:textId="77777777" w:rsidR="000503CD" w:rsidRPr="00291C19" w:rsidRDefault="006A1244" w:rsidP="00291C19">
      <w:pPr>
        <w:spacing w:line="276" w:lineRule="auto"/>
        <w:rPr>
          <w:rFonts w:ascii="Times New Roman" w:hAnsi="Times New Roman"/>
          <w:lang w:val="en-HK"/>
        </w:rPr>
      </w:pPr>
      <w:r>
        <w:pict w14:anchorId="2884DC4B">
          <v:rect id="Horizontal Line 59"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0AF12E"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3. The Role of Political Influence</w:t>
      </w:r>
    </w:p>
    <w:p w14:paraId="34D37390" w14:textId="77777777" w:rsidR="000503CD" w:rsidRPr="00291C19" w:rsidRDefault="000503CD" w:rsidP="00291C19">
      <w:pPr>
        <w:numPr>
          <w:ilvl w:val="0"/>
          <w:numId w:val="28"/>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Political Oversight of Dispute Settlement</w:t>
      </w:r>
    </w:p>
    <w:p w14:paraId="2F052CE9" w14:textId="77777777" w:rsidR="000503CD" w:rsidRPr="00291C19" w:rsidRDefault="000503CD" w:rsidP="00291C19">
      <w:pPr>
        <w:numPr>
          <w:ilvl w:val="1"/>
          <w:numId w:val="2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In addition to the arbitration process, the TCA establishes a framework for political oversight, allowing the EU and the UK to resolve issues through direct negotiations before arbitration is invoked.</w:t>
      </w:r>
    </w:p>
    <w:p w14:paraId="7498B910" w14:textId="77777777" w:rsidR="000503CD" w:rsidRPr="00291C19" w:rsidRDefault="000503CD" w:rsidP="00291C19">
      <w:pPr>
        <w:numPr>
          <w:ilvl w:val="1"/>
          <w:numId w:val="2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process reflects a compromise between legal dispute resolution and political diplomacy, which was a key concern for both parties in the negotiations.</w:t>
      </w:r>
    </w:p>
    <w:p w14:paraId="22009386"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0B284723" w14:textId="77777777" w:rsidR="000503CD" w:rsidRPr="00291C19" w:rsidRDefault="000503CD" w:rsidP="00291C19">
      <w:pPr>
        <w:numPr>
          <w:ilvl w:val="1"/>
          <w:numId w:val="2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737 allows for direct consultations before arbitration:</w:t>
      </w:r>
    </w:p>
    <w:p w14:paraId="233DB9D2"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"Before seeking arbitration, the Parties shall enter into consultations and attempt to resolve the dispute by mutual agreement."</w:t>
      </w:r>
    </w:p>
    <w:p w14:paraId="120E784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5029A844" w14:textId="77777777" w:rsidR="000503CD" w:rsidRPr="00291C19" w:rsidRDefault="000503CD" w:rsidP="00291C19">
      <w:pPr>
        <w:numPr>
          <w:ilvl w:val="1"/>
          <w:numId w:val="2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the arbitration process is intended to be neutral, the political dimension ensures that both parties retain a degree of control over the final resolution. This reduces the likelihood of protracted litigation but also means that resolution may be more susceptible to political pressures."</w:t>
      </w:r>
    </w:p>
    <w:p w14:paraId="69291C6E" w14:textId="77777777" w:rsidR="000503CD" w:rsidRPr="00291C19" w:rsidRDefault="000503CD" w:rsidP="00291C19">
      <w:pPr>
        <w:numPr>
          <w:ilvl w:val="0"/>
          <w:numId w:val="28"/>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Flexibility in Dispute Resolution</w:t>
      </w:r>
    </w:p>
    <w:p w14:paraId="69349F18" w14:textId="77777777" w:rsidR="000503CD" w:rsidRPr="00291C19" w:rsidRDefault="000503CD" w:rsidP="00291C19">
      <w:pPr>
        <w:numPr>
          <w:ilvl w:val="1"/>
          <w:numId w:val="2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political consultations before arbitration create a more flexible and less formalized process compared to the rigid judicial system of the EU. This could be seen as a positive feature for both parties, allowing them to avoid lengthy legal battles.</w:t>
      </w:r>
    </w:p>
    <w:p w14:paraId="22C85495"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Scholarly Perspective</w:t>
      </w:r>
      <w:r w:rsidRPr="00291C19">
        <w:rPr>
          <w:rFonts w:ascii="Times New Roman" w:hAnsi="Times New Roman"/>
          <w:lang w:val="en-HK"/>
        </w:rPr>
        <w:t>:</w:t>
      </w:r>
    </w:p>
    <w:p w14:paraId="7A618B14" w14:textId="77777777" w:rsidR="000503CD" w:rsidRPr="00291C19" w:rsidRDefault="000503CD" w:rsidP="00291C19">
      <w:pPr>
        <w:numPr>
          <w:ilvl w:val="1"/>
          <w:numId w:val="28"/>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"The political oversight in the dispute resolution process could lead to quicker resolutions, but it risks introducing bias or uneven application of the agreement’s terms."</w:t>
      </w:r>
    </w:p>
    <w:p w14:paraId="0B216BE4" w14:textId="77777777" w:rsidR="000503CD" w:rsidRPr="00291C19" w:rsidRDefault="006A1244" w:rsidP="00291C19">
      <w:pPr>
        <w:spacing w:line="276" w:lineRule="auto"/>
        <w:rPr>
          <w:rFonts w:ascii="Times New Roman" w:hAnsi="Times New Roman"/>
          <w:lang w:val="en-HK"/>
        </w:rPr>
      </w:pPr>
      <w:r>
        <w:pict w14:anchorId="3C74304B">
          <v:rect id="Horizontal Line 60"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34B36A"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4. Exclusions from the Arbitration Mechanism</w:t>
      </w:r>
    </w:p>
    <w:p w14:paraId="2CD3BC15" w14:textId="77777777" w:rsidR="000503CD" w:rsidRPr="00291C19" w:rsidRDefault="000503CD" w:rsidP="00291C19">
      <w:pPr>
        <w:numPr>
          <w:ilvl w:val="0"/>
          <w:numId w:val="29"/>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Certain Areas Excluded from Arbitration</w:t>
      </w:r>
    </w:p>
    <w:p w14:paraId="51E32B8C" w14:textId="77777777" w:rsidR="000503CD" w:rsidRPr="00291C19" w:rsidRDefault="000503CD" w:rsidP="00291C19">
      <w:pPr>
        <w:numPr>
          <w:ilvl w:val="1"/>
          <w:numId w:val="2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Not all provisions of the TCA are subject to the dispute settlement mechanism. Areas such as public policy, security, and defense are excluded from arbitration, meaning that the parties must resolve these issues through diplomatic means or other political channels.</w:t>
      </w:r>
    </w:p>
    <w:p w14:paraId="130A835D" w14:textId="77777777" w:rsidR="000503CD" w:rsidRPr="00291C19" w:rsidRDefault="000503CD" w:rsidP="00291C19">
      <w:pPr>
        <w:numPr>
          <w:ilvl w:val="1"/>
          <w:numId w:val="2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exclusion of sensitive areas from the arbitration process emphasizes the political dimensions of the agreement and limits the scope of judicial involvement in potentially contentious matters.</w:t>
      </w:r>
    </w:p>
    <w:p w14:paraId="155E30A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lastRenderedPageBreak/>
        <w:t>Statutory Provision</w:t>
      </w:r>
      <w:r w:rsidRPr="00291C19">
        <w:rPr>
          <w:rFonts w:ascii="Times New Roman" w:hAnsi="Times New Roman"/>
          <w:lang w:val="en-HK"/>
        </w:rPr>
        <w:t>:</w:t>
      </w:r>
    </w:p>
    <w:p w14:paraId="597DFE90" w14:textId="77777777" w:rsidR="000503CD" w:rsidRPr="00291C19" w:rsidRDefault="000503CD" w:rsidP="00291C19">
      <w:pPr>
        <w:numPr>
          <w:ilvl w:val="1"/>
          <w:numId w:val="2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738(2) clarifies the exclusions:</w:t>
      </w:r>
    </w:p>
    <w:p w14:paraId="519BD079"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"Disputes relating to security, defense, public order, and other sensitive national interests shall not be subject to arbitration under this Chapter."</w:t>
      </w:r>
    </w:p>
    <w:p w14:paraId="61999CF4"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5D27252A" w14:textId="77777777" w:rsidR="000503CD" w:rsidRPr="00291C19" w:rsidRDefault="000503CD" w:rsidP="00291C19">
      <w:pPr>
        <w:numPr>
          <w:ilvl w:val="1"/>
          <w:numId w:val="2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exclusion of security and defense from the arbitration system highlights the political sensitivity of these areas. This is a reflection of the broader political reality of post-Brexit relations, where certain issues will remain outside the purview of legal arbitration."</w:t>
      </w:r>
    </w:p>
    <w:p w14:paraId="41C9A502" w14:textId="77777777" w:rsidR="000503CD" w:rsidRPr="00291C19" w:rsidRDefault="000503CD" w:rsidP="00291C19">
      <w:pPr>
        <w:numPr>
          <w:ilvl w:val="0"/>
          <w:numId w:val="29"/>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Implications for Future Cooperation</w:t>
      </w:r>
    </w:p>
    <w:p w14:paraId="6FCC1504" w14:textId="77777777" w:rsidR="000503CD" w:rsidRPr="00291C19" w:rsidRDefault="000503CD" w:rsidP="00291C19">
      <w:pPr>
        <w:numPr>
          <w:ilvl w:val="1"/>
          <w:numId w:val="2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exclusion of sensitive areas suggests that the TCA is built on a foundation of political trust, with certain issues left to be managed outside the formal dispute resolution framework.</w:t>
      </w:r>
    </w:p>
    <w:p w14:paraId="034F2BC0"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0F4E0A71" w14:textId="77777777" w:rsidR="000503CD" w:rsidRPr="00291C19" w:rsidRDefault="000503CD" w:rsidP="00291C19">
      <w:pPr>
        <w:numPr>
          <w:ilvl w:val="1"/>
          <w:numId w:val="29"/>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exclusion demonstrates the limits of legal integration and underscores the need for ongoing political dialogue between the EU and the UK on matters of mutual interest.”</w:t>
      </w:r>
    </w:p>
    <w:p w14:paraId="3FF3528A" w14:textId="77777777" w:rsidR="000503CD" w:rsidRPr="00291C19" w:rsidRDefault="006A1244" w:rsidP="00291C19">
      <w:pPr>
        <w:spacing w:line="276" w:lineRule="auto"/>
        <w:rPr>
          <w:rFonts w:ascii="Times New Roman" w:hAnsi="Times New Roman"/>
          <w:lang w:val="en-HK"/>
        </w:rPr>
      </w:pPr>
      <w:r>
        <w:pict w14:anchorId="7CAB9176">
          <v:rect id="Horizontal Line 61"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B25F88"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5. The Future of the Dispute Settlement Mechanism</w:t>
      </w:r>
    </w:p>
    <w:p w14:paraId="7A07D7B8" w14:textId="77777777" w:rsidR="000503CD" w:rsidRPr="00291C19" w:rsidRDefault="000503CD" w:rsidP="00291C19">
      <w:pPr>
        <w:numPr>
          <w:ilvl w:val="0"/>
          <w:numId w:val="30"/>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Potential for Revisions</w:t>
      </w:r>
    </w:p>
    <w:p w14:paraId="19EB9CAA" w14:textId="77777777" w:rsidR="000503CD" w:rsidRPr="00291C19" w:rsidRDefault="000503CD" w:rsidP="00291C19">
      <w:pPr>
        <w:numPr>
          <w:ilvl w:val="1"/>
          <w:numId w:val="3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contains provisions for reviewing the dispute settlement mechanism, allowing both the EU and the UK to modify the process over time.</w:t>
      </w:r>
    </w:p>
    <w:p w14:paraId="7EE5F21B" w14:textId="77777777" w:rsidR="000503CD" w:rsidRPr="00291C19" w:rsidRDefault="000503CD" w:rsidP="00291C19">
      <w:pPr>
        <w:numPr>
          <w:ilvl w:val="1"/>
          <w:numId w:val="3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As both sides adjust to the new relationship, the dispute resolution system could evolve based on practical experience and emerging challenges.</w:t>
      </w:r>
    </w:p>
    <w:p w14:paraId="5685F988"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6CC2BCAE" w14:textId="77777777" w:rsidR="000503CD" w:rsidRPr="00291C19" w:rsidRDefault="000503CD" w:rsidP="00291C19">
      <w:pPr>
        <w:numPr>
          <w:ilvl w:val="1"/>
          <w:numId w:val="3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740 states:</w:t>
      </w:r>
    </w:p>
    <w:p w14:paraId="05CD5D18"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"The dispute settlement provisions shall be subject to periodic review by the Joint Committee, which may propose changes or updates to the system."</w:t>
      </w:r>
    </w:p>
    <w:p w14:paraId="32791B31"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Conclusion</w:t>
      </w:r>
      <w:r w:rsidRPr="00291C19">
        <w:rPr>
          <w:rFonts w:ascii="Times New Roman" w:hAnsi="Times New Roman"/>
          <w:lang w:val="en-HK"/>
        </w:rPr>
        <w:t>:</w:t>
      </w:r>
    </w:p>
    <w:p w14:paraId="6B14E67D" w14:textId="77777777" w:rsidR="000503CD" w:rsidRPr="00291C19" w:rsidRDefault="000503CD" w:rsidP="00291C19">
      <w:pPr>
        <w:numPr>
          <w:ilvl w:val="1"/>
          <w:numId w:val="3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review mechanisms in the TCA ensure that the dispute settlement system remains adaptable, though this flexibility comes with the risk of instability or inconsistent application."</w:t>
      </w:r>
    </w:p>
    <w:p w14:paraId="1BDB3263" w14:textId="77777777" w:rsidR="000503CD" w:rsidRPr="00291C19" w:rsidRDefault="000503CD" w:rsidP="00291C19">
      <w:pPr>
        <w:numPr>
          <w:ilvl w:val="0"/>
          <w:numId w:val="30"/>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Impact on Long-Term Relations</w:t>
      </w:r>
    </w:p>
    <w:p w14:paraId="4328C5E0" w14:textId="77777777" w:rsidR="000503CD" w:rsidRPr="00291C19" w:rsidRDefault="000503CD" w:rsidP="00291C19">
      <w:pPr>
        <w:numPr>
          <w:ilvl w:val="1"/>
          <w:numId w:val="3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The success of the dispute settlement system will largely depend on the political will of both parties to uphold the terms of the agreement and resolve issues amicably.</w:t>
      </w:r>
    </w:p>
    <w:p w14:paraId="0E3BE7E9" w14:textId="77777777" w:rsidR="000503CD" w:rsidRPr="00291C19" w:rsidRDefault="000503CD" w:rsidP="00291C19">
      <w:pPr>
        <w:numPr>
          <w:ilvl w:val="1"/>
          <w:numId w:val="30"/>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absence of a direct, supranational court could result in a less predictable, more politically driven relationship between the UK and the EU.</w:t>
      </w:r>
    </w:p>
    <w:p w14:paraId="2B3C9EB4" w14:textId="77777777" w:rsidR="000503CD" w:rsidRPr="00291C19" w:rsidRDefault="006A1244" w:rsidP="00291C19">
      <w:pPr>
        <w:spacing w:line="276" w:lineRule="auto"/>
        <w:rPr>
          <w:rFonts w:ascii="Times New Roman" w:hAnsi="Times New Roman"/>
          <w:lang w:val="en-HK"/>
        </w:rPr>
      </w:pPr>
      <w:r>
        <w:pict w14:anchorId="64FD5573">
          <v:rect id="Horizontal Line 62"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9848EE" w14:textId="77777777" w:rsidR="000503CD" w:rsidRPr="00291C19" w:rsidRDefault="000503CD" w:rsidP="00291C19">
      <w:pPr>
        <w:spacing w:before="100" w:beforeAutospacing="1" w:after="100" w:afterAutospacing="1" w:line="276" w:lineRule="auto"/>
        <w:outlineLvl w:val="2"/>
        <w:rPr>
          <w:rFonts w:ascii="Times New Roman" w:hAnsi="Times New Roman"/>
          <w:b/>
          <w:bCs/>
          <w:lang w:val="en-HK"/>
        </w:rPr>
      </w:pPr>
      <w:r w:rsidRPr="00291C19">
        <w:rPr>
          <w:rFonts w:ascii="Times New Roman" w:hAnsi="Times New Roman"/>
          <w:b/>
          <w:bCs/>
          <w:lang w:val="en-HK"/>
        </w:rPr>
        <w:t>Conclusion of the Document</w:t>
      </w:r>
    </w:p>
    <w:p w14:paraId="5732BB96" w14:textId="77777777" w:rsidR="000503CD" w:rsidRPr="00291C19" w:rsidRDefault="000503CD" w:rsidP="00291C19">
      <w:pPr>
        <w:spacing w:before="100" w:beforeAutospacing="1" w:after="100" w:afterAutospacing="1" w:line="276" w:lineRule="auto"/>
        <w:rPr>
          <w:rFonts w:ascii="Times New Roman" w:hAnsi="Times New Roman"/>
          <w:lang w:val="en-HK"/>
        </w:rPr>
      </w:pPr>
      <w:r w:rsidRPr="00291C19">
        <w:rPr>
          <w:rFonts w:ascii="Times New Roman" w:hAnsi="Times New Roman"/>
          <w:lang w:val="en-HK"/>
        </w:rPr>
        <w:t xml:space="preserve">The conclusion of </w:t>
      </w:r>
      <w:r w:rsidRPr="00291C19">
        <w:rPr>
          <w:rFonts w:ascii="Times New Roman" w:hAnsi="Times New Roman"/>
          <w:i/>
          <w:iCs/>
          <w:lang w:val="en-HK"/>
        </w:rPr>
        <w:t>"So Close, Yet So Far: The EU/UK Trade and Cooperation Agreement"</w:t>
      </w:r>
      <w:r w:rsidRPr="00291C19">
        <w:rPr>
          <w:rFonts w:ascii="Times New Roman" w:hAnsi="Times New Roman"/>
          <w:lang w:val="en-HK"/>
        </w:rPr>
        <w:t xml:space="preserve"> by Steve Peers offers a reflective analysis on the TCA's long-term impact, assessing both its strengths and weaknesses in the context of EU-UK relations post-Brexit. It contextualizes the agreement within the political, legal, and economic realities of the post-Brexit world and the challenges the UK and EU face moving forward. This section synthesizes the arguments presented in the document and highlights key issues related to sovereignty, legal governance, and the future trajectory of UK-EU cooperation.</w:t>
      </w:r>
    </w:p>
    <w:p w14:paraId="50533D56" w14:textId="77777777" w:rsidR="000503CD" w:rsidRPr="00291C19" w:rsidRDefault="006A1244" w:rsidP="00291C19">
      <w:pPr>
        <w:spacing w:line="276" w:lineRule="auto"/>
        <w:rPr>
          <w:rFonts w:ascii="Times New Roman" w:hAnsi="Times New Roman"/>
          <w:lang w:val="en-HK"/>
        </w:rPr>
      </w:pPr>
      <w:r>
        <w:pict w14:anchorId="6761F6BD">
          <v:rect id="Horizontal Line 69"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64EFE6"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1. Reflection on the Nature of the TCA</w:t>
      </w:r>
    </w:p>
    <w:p w14:paraId="4F54145C" w14:textId="77777777" w:rsidR="000503CD" w:rsidRPr="00291C19" w:rsidRDefault="000503CD" w:rsidP="00291C19">
      <w:pPr>
        <w:numPr>
          <w:ilvl w:val="0"/>
          <w:numId w:val="31"/>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Balancing Proximity and Separation</w:t>
      </w:r>
    </w:p>
    <w:p w14:paraId="679DE409" w14:textId="77777777" w:rsidR="000503CD" w:rsidRPr="00291C19" w:rsidRDefault="000503CD" w:rsidP="00291C19">
      <w:pPr>
        <w:numPr>
          <w:ilvl w:val="1"/>
          <w:numId w:val="3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is recognized as an agreement that balances the EU's need to protect the integrity of the single market with the UK’s desire to regain sovereignty.</w:t>
      </w:r>
    </w:p>
    <w:p w14:paraId="2F422C93" w14:textId="77777777" w:rsidR="000503CD" w:rsidRPr="00291C19" w:rsidRDefault="000503CD" w:rsidP="00291C19">
      <w:pPr>
        <w:numPr>
          <w:ilvl w:val="1"/>
          <w:numId w:val="3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emphasizes that while the TCA facilitates close cooperation in many areas, it inevitably reflects the political reality of Brexit and the desire for separation.</w:t>
      </w:r>
    </w:p>
    <w:p w14:paraId="18B4CE2F" w14:textId="77777777" w:rsidR="000503CD" w:rsidRPr="00291C19" w:rsidRDefault="000503CD" w:rsidP="00291C19">
      <w:pPr>
        <w:numPr>
          <w:ilvl w:val="1"/>
          <w:numId w:val="3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is thus "neither fully integrated nor fully separate," reflecting the pragmatic compromises made by both sides.</w:t>
      </w:r>
    </w:p>
    <w:p w14:paraId="6B569F30"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7525E487" w14:textId="77777777" w:rsidR="000503CD" w:rsidRPr="00291C19" w:rsidRDefault="000503CD" w:rsidP="00291C19">
      <w:pPr>
        <w:numPr>
          <w:ilvl w:val="1"/>
          <w:numId w:val="3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is a testament to the EU and UK’s desire to maintain a close relationship, yet it inevitably reflects a world of separate sovereignties.”</w:t>
      </w:r>
    </w:p>
    <w:p w14:paraId="49BD050E" w14:textId="77777777" w:rsidR="000503CD" w:rsidRPr="00291C19" w:rsidRDefault="000503CD" w:rsidP="00291C19">
      <w:pPr>
        <w:numPr>
          <w:ilvl w:val="0"/>
          <w:numId w:val="31"/>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International Law Framework</w:t>
      </w:r>
    </w:p>
    <w:p w14:paraId="7377C738" w14:textId="77777777" w:rsidR="000503CD" w:rsidRPr="00291C19" w:rsidRDefault="000503CD" w:rsidP="00291C19">
      <w:pPr>
        <w:numPr>
          <w:ilvl w:val="1"/>
          <w:numId w:val="3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agreement is firmly rooted in international law rather than the EU’s internal legal framework, which marks a departure from the legal structures that governed UK-EU relations prior to Brexit.</w:t>
      </w:r>
    </w:p>
    <w:p w14:paraId="5522A714" w14:textId="77777777" w:rsidR="000503CD" w:rsidRPr="00291C19" w:rsidRDefault="000503CD" w:rsidP="00291C19">
      <w:pPr>
        <w:numPr>
          <w:ilvl w:val="1"/>
          <w:numId w:val="3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the TCA ensures extensive cooperation, it does so within the constraints of international law, which is less flexible and integrated than EU law.</w:t>
      </w:r>
    </w:p>
    <w:p w14:paraId="2D708E26"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520A0026" w14:textId="77777777" w:rsidR="000503CD" w:rsidRPr="00291C19" w:rsidRDefault="000503CD" w:rsidP="00291C19">
      <w:pPr>
        <w:numPr>
          <w:ilvl w:val="1"/>
          <w:numId w:val="3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217 TFEU provides the legal framework for the EU to form agreements with third countries:</w:t>
      </w:r>
    </w:p>
    <w:p w14:paraId="64B4A26C"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i/>
          <w:iCs/>
          <w:lang w:val="en-HK"/>
        </w:rPr>
        <w:t>TFEU Article 217</w:t>
      </w:r>
      <w:r w:rsidRPr="00291C19">
        <w:rPr>
          <w:rFonts w:ascii="Times New Roman" w:hAnsi="Times New Roman"/>
          <w:lang w:val="en-HK"/>
        </w:rPr>
        <w:t>: “The Union may conclude agreements establishing an association involving reciprocal rights and obligations, common action, and special procedure.”</w:t>
      </w:r>
    </w:p>
    <w:p w14:paraId="00C7E34D"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lastRenderedPageBreak/>
        <w:t>Peers’ Conclusion</w:t>
      </w:r>
      <w:r w:rsidRPr="00291C19">
        <w:rPr>
          <w:rFonts w:ascii="Times New Roman" w:hAnsi="Times New Roman"/>
          <w:lang w:val="en-HK"/>
        </w:rPr>
        <w:t>:</w:t>
      </w:r>
    </w:p>
    <w:p w14:paraId="0F67C131" w14:textId="77777777" w:rsidR="000503CD" w:rsidRPr="00291C19" w:rsidRDefault="000503CD" w:rsidP="00291C19">
      <w:pPr>
        <w:numPr>
          <w:ilvl w:val="1"/>
          <w:numId w:val="31"/>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TCA’s legal nature reflects a shift from the EU’s constitutionalized governance model to one based on traditional international agreements."</w:t>
      </w:r>
    </w:p>
    <w:p w14:paraId="1A6B1B78" w14:textId="77777777" w:rsidR="000503CD" w:rsidRPr="00291C19" w:rsidRDefault="006A1244" w:rsidP="00291C19">
      <w:pPr>
        <w:spacing w:line="276" w:lineRule="auto"/>
        <w:rPr>
          <w:rFonts w:ascii="Times New Roman" w:hAnsi="Times New Roman"/>
          <w:lang w:val="en-HK"/>
        </w:rPr>
      </w:pPr>
      <w:r>
        <w:pict w14:anchorId="63F22789">
          <v:rect id="Horizontal Line 70"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097F15"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2. Sovereignty and Regulatory Independence</w:t>
      </w:r>
    </w:p>
    <w:p w14:paraId="795D1876" w14:textId="77777777" w:rsidR="000503CD" w:rsidRPr="00291C19" w:rsidRDefault="000503CD" w:rsidP="00291C19">
      <w:pPr>
        <w:numPr>
          <w:ilvl w:val="0"/>
          <w:numId w:val="32"/>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Sovereignty vs. Economic Ties</w:t>
      </w:r>
    </w:p>
    <w:p w14:paraId="03806889" w14:textId="77777777" w:rsidR="000503CD" w:rsidRPr="00291C19" w:rsidRDefault="000503CD" w:rsidP="00291C19">
      <w:pPr>
        <w:numPr>
          <w:ilvl w:val="1"/>
          <w:numId w:val="3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 key theme of the TCA is the trade-off between sovereignty and economic interdependence. The UK sought to regain control over its laws, borders, and trade agreements, while still maintaining vital economic relations with the EU.</w:t>
      </w:r>
    </w:p>
    <w:p w14:paraId="7036FCA6" w14:textId="77777777" w:rsidR="000503CD" w:rsidRPr="00291C19" w:rsidRDefault="000503CD" w:rsidP="00291C19">
      <w:pPr>
        <w:numPr>
          <w:ilvl w:val="1"/>
          <w:numId w:val="3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offers some autonomy to the UK, particularly in its ability to set its own laws, but this comes at the cost of access to the EU's internal market, requiring concessions in areas like state aid and regulatory alignment.</w:t>
      </w:r>
    </w:p>
    <w:p w14:paraId="088764F1"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Argument</w:t>
      </w:r>
      <w:r w:rsidRPr="00291C19">
        <w:rPr>
          <w:rFonts w:ascii="Times New Roman" w:hAnsi="Times New Roman"/>
          <w:lang w:val="en-HK"/>
        </w:rPr>
        <w:t>:</w:t>
      </w:r>
    </w:p>
    <w:p w14:paraId="4D3835F6" w14:textId="77777777" w:rsidR="000503CD" w:rsidRPr="00291C19" w:rsidRDefault="000503CD" w:rsidP="00291C19">
      <w:pPr>
        <w:numPr>
          <w:ilvl w:val="1"/>
          <w:numId w:val="3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the TCA allows the UK to reclaim sovereignty, it simultaneously ties the UK to EU regulations in many areas, demonstrating the limits of post-Brexit independence."</w:t>
      </w:r>
    </w:p>
    <w:p w14:paraId="007AF1FE" w14:textId="77777777" w:rsidR="000503CD" w:rsidRPr="00291C19" w:rsidRDefault="000503CD" w:rsidP="00291C19">
      <w:pPr>
        <w:numPr>
          <w:ilvl w:val="0"/>
          <w:numId w:val="32"/>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Level Playing Field (LPF) and Regulatory Divergence</w:t>
      </w:r>
    </w:p>
    <w:p w14:paraId="07A245AA" w14:textId="77777777" w:rsidR="000503CD" w:rsidRPr="00291C19" w:rsidRDefault="000503CD" w:rsidP="00291C19">
      <w:pPr>
        <w:numPr>
          <w:ilvl w:val="1"/>
          <w:numId w:val="3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TCA’s LPF provisions reflect the EU’s desire to ensure fair competition, particularly in relation to environmental standards, labor rights, and state aid. However, these provisions limit the UK’s regulatory freedom, especially if divergence in standards threatens trade.</w:t>
      </w:r>
    </w:p>
    <w:p w14:paraId="77573A8F"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686E874E" w14:textId="77777777" w:rsidR="000503CD" w:rsidRPr="00291C19" w:rsidRDefault="000503CD" w:rsidP="00291C19">
      <w:pPr>
        <w:numPr>
          <w:ilvl w:val="1"/>
          <w:numId w:val="3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386 of the TCA obliges both parties to maintain high standards in labor and environmental regulations:</w:t>
      </w:r>
    </w:p>
    <w:p w14:paraId="7349AD73"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"Neither Party shall weaken or reduce its levels of environmental or labor protection in a manner affecting trade or investment."</w:t>
      </w:r>
    </w:p>
    <w:p w14:paraId="6C90071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6C6DEAC7" w14:textId="77777777" w:rsidR="000503CD" w:rsidRPr="00291C19" w:rsidRDefault="000503CD" w:rsidP="00291C19">
      <w:pPr>
        <w:numPr>
          <w:ilvl w:val="1"/>
          <w:numId w:val="32"/>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LPF mechanisms attempt to balance economic independence with regulatory conformity, but they also serve as a constraint on the UK’s autonomy."</w:t>
      </w:r>
    </w:p>
    <w:p w14:paraId="4FD4CF40" w14:textId="77777777" w:rsidR="000503CD" w:rsidRPr="00291C19" w:rsidRDefault="006A1244" w:rsidP="00291C19">
      <w:pPr>
        <w:spacing w:line="276" w:lineRule="auto"/>
        <w:rPr>
          <w:rFonts w:ascii="Times New Roman" w:hAnsi="Times New Roman"/>
          <w:lang w:val="en-HK"/>
        </w:rPr>
      </w:pPr>
      <w:r>
        <w:pict w14:anchorId="6405EE20">
          <v:rect id="Horizontal Line 71"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1FA6F0"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3. Friction in Trade</w:t>
      </w:r>
    </w:p>
    <w:p w14:paraId="0354131E" w14:textId="77777777" w:rsidR="000503CD" w:rsidRPr="00291C19" w:rsidRDefault="000503CD" w:rsidP="00291C19">
      <w:pPr>
        <w:numPr>
          <w:ilvl w:val="0"/>
          <w:numId w:val="33"/>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Non-Tariff Barriers and Rules of Origin</w:t>
      </w:r>
    </w:p>
    <w:p w14:paraId="4B6E15C7" w14:textId="77777777" w:rsidR="000503CD" w:rsidRPr="00291C19" w:rsidRDefault="000503CD" w:rsidP="00291C19">
      <w:pPr>
        <w:numPr>
          <w:ilvl w:val="1"/>
          <w:numId w:val="3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 xml:space="preserve">The TCA establishes a free trade area but does not eliminate non-tariff barriers, such as customs checks, rules of origin, and regulatory divergence. </w:t>
      </w:r>
      <w:r w:rsidRPr="00291C19">
        <w:rPr>
          <w:rFonts w:ascii="Times New Roman" w:hAnsi="Times New Roman"/>
          <w:lang w:val="en-HK"/>
        </w:rPr>
        <w:lastRenderedPageBreak/>
        <w:t>This creates friction in trade, which was not present under the seamless EU internal market.</w:t>
      </w:r>
    </w:p>
    <w:p w14:paraId="59464FC1"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Basis</w:t>
      </w:r>
      <w:r w:rsidRPr="00291C19">
        <w:rPr>
          <w:rFonts w:ascii="Times New Roman" w:hAnsi="Times New Roman"/>
          <w:lang w:val="en-HK"/>
        </w:rPr>
        <w:t>:</w:t>
      </w:r>
    </w:p>
    <w:p w14:paraId="796E957F" w14:textId="77777777" w:rsidR="000503CD" w:rsidRPr="00291C19" w:rsidRDefault="000503CD" w:rsidP="00291C19">
      <w:pPr>
        <w:numPr>
          <w:ilvl w:val="1"/>
          <w:numId w:val="3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5(1) of the TCA states:</w:t>
      </w:r>
    </w:p>
    <w:p w14:paraId="226A290B"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"No customs duties shall be imposed on goods originating in the other Party," but the rules of origin impose significant administrative burdens on businesses.</w:t>
      </w:r>
    </w:p>
    <w:p w14:paraId="5DB540D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Insight</w:t>
      </w:r>
      <w:r w:rsidRPr="00291C19">
        <w:rPr>
          <w:rFonts w:ascii="Times New Roman" w:hAnsi="Times New Roman"/>
          <w:lang w:val="en-HK"/>
        </w:rPr>
        <w:t>:</w:t>
      </w:r>
    </w:p>
    <w:p w14:paraId="0D86757E" w14:textId="77777777" w:rsidR="000503CD" w:rsidRPr="00291C19" w:rsidRDefault="000503CD" w:rsidP="00291C19">
      <w:pPr>
        <w:numPr>
          <w:ilvl w:val="1"/>
          <w:numId w:val="3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trade provisions of the TCA represent a mixed outcome—while tariffs are removed, non-tariff barriers introduce new barriers that limit the flow of goods between the UK and EU."</w:t>
      </w:r>
    </w:p>
    <w:p w14:paraId="7A562B60" w14:textId="77777777" w:rsidR="000503CD" w:rsidRPr="00291C19" w:rsidRDefault="000503CD" w:rsidP="00291C19">
      <w:pPr>
        <w:numPr>
          <w:ilvl w:val="0"/>
          <w:numId w:val="33"/>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Impact on Small and Medium-Sized Enterprises (SMEs)</w:t>
      </w:r>
    </w:p>
    <w:p w14:paraId="56CB0273" w14:textId="77777777" w:rsidR="000503CD" w:rsidRPr="00291C19" w:rsidRDefault="000503CD" w:rsidP="00291C19">
      <w:pPr>
        <w:numPr>
          <w:ilvl w:val="1"/>
          <w:numId w:val="3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rules of origin and customs checks disproportionately impact SMEs, which face higher costs and complexities in complying with the TCA's requirements.</w:t>
      </w:r>
    </w:p>
    <w:p w14:paraId="4529EA4A"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Analysis</w:t>
      </w:r>
      <w:r w:rsidRPr="00291C19">
        <w:rPr>
          <w:rFonts w:ascii="Times New Roman" w:hAnsi="Times New Roman"/>
          <w:lang w:val="en-HK"/>
        </w:rPr>
        <w:t>:</w:t>
      </w:r>
    </w:p>
    <w:p w14:paraId="740E0407" w14:textId="77777777" w:rsidR="000503CD" w:rsidRPr="00291C19" w:rsidRDefault="000503CD" w:rsidP="00291C19">
      <w:pPr>
        <w:numPr>
          <w:ilvl w:val="1"/>
          <w:numId w:val="33"/>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"SMEs are particularly vulnerable to the increased administrative burden created by the TCA, which could undermine their competitiveness in the EU market."</w:t>
      </w:r>
    </w:p>
    <w:p w14:paraId="58BD7701" w14:textId="77777777" w:rsidR="000503CD" w:rsidRPr="00291C19" w:rsidRDefault="006A1244" w:rsidP="00291C19">
      <w:pPr>
        <w:spacing w:line="276" w:lineRule="auto"/>
        <w:rPr>
          <w:rFonts w:ascii="Times New Roman" w:hAnsi="Times New Roman"/>
          <w:lang w:val="en-HK"/>
        </w:rPr>
      </w:pPr>
      <w:r>
        <w:pict w14:anchorId="0022F551">
          <v:rect id="Horizontal Line 72"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8B41F1"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4. Legal Governance and Enforcement</w:t>
      </w:r>
    </w:p>
    <w:p w14:paraId="346DBFED" w14:textId="77777777" w:rsidR="000503CD" w:rsidRPr="00291C19" w:rsidRDefault="000503CD" w:rsidP="00291C19">
      <w:pPr>
        <w:numPr>
          <w:ilvl w:val="0"/>
          <w:numId w:val="34"/>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Dispute Resolution Mechanisms</w:t>
      </w:r>
    </w:p>
    <w:p w14:paraId="7168A6DC" w14:textId="77777777" w:rsidR="000503CD" w:rsidRPr="00291C19" w:rsidRDefault="000503CD" w:rsidP="00291C19">
      <w:pPr>
        <w:numPr>
          <w:ilvl w:val="1"/>
          <w:numId w:val="3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One of the key differences between EU membership and the TCA is the dispute resolution framework. The TCA adopts an international law-based arbitration system rather than relying on the CJEU for legal interpretation and enforcement.</w:t>
      </w:r>
    </w:p>
    <w:p w14:paraId="56D635DD" w14:textId="77777777" w:rsidR="000503CD" w:rsidRPr="00291C19" w:rsidRDefault="000503CD" w:rsidP="00291C19">
      <w:pPr>
        <w:numPr>
          <w:ilvl w:val="1"/>
          <w:numId w:val="3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This limits the capacity for judicial oversight and complicates the enforcement of obligations under the agreement.</w:t>
      </w:r>
    </w:p>
    <w:p w14:paraId="72DD475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2E0779BA" w14:textId="77777777" w:rsidR="000503CD" w:rsidRPr="00291C19" w:rsidRDefault="000503CD" w:rsidP="00291C19">
      <w:pPr>
        <w:numPr>
          <w:ilvl w:val="1"/>
          <w:numId w:val="3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734 sets out the arbitration mechanism:</w:t>
      </w:r>
    </w:p>
    <w:p w14:paraId="6FD59E39" w14:textId="77777777" w:rsidR="000503CD" w:rsidRPr="00291C19" w:rsidRDefault="000503CD" w:rsidP="00291C19">
      <w:pPr>
        <w:spacing w:beforeAutospacing="1" w:afterAutospacing="1" w:line="276" w:lineRule="auto"/>
        <w:ind w:left="2160"/>
        <w:rPr>
          <w:rFonts w:ascii="Times New Roman" w:hAnsi="Times New Roman"/>
          <w:lang w:val="en-HK"/>
        </w:rPr>
      </w:pPr>
      <w:r w:rsidRPr="00291C19">
        <w:rPr>
          <w:rFonts w:ascii="Times New Roman" w:hAnsi="Times New Roman"/>
          <w:lang w:val="en-HK"/>
        </w:rPr>
        <w:t>"Disputes between the EU and the UK regarding the interpretation or application of this Agreement shall be settled through arbitration."</w:t>
      </w:r>
    </w:p>
    <w:p w14:paraId="7123DFC0"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Evaluation</w:t>
      </w:r>
      <w:r w:rsidRPr="00291C19">
        <w:rPr>
          <w:rFonts w:ascii="Times New Roman" w:hAnsi="Times New Roman"/>
          <w:lang w:val="en-HK"/>
        </w:rPr>
        <w:t>:</w:t>
      </w:r>
    </w:p>
    <w:p w14:paraId="084BA9F0" w14:textId="77777777" w:rsidR="000503CD" w:rsidRPr="00291C19" w:rsidRDefault="000503CD" w:rsidP="00291C19">
      <w:pPr>
        <w:numPr>
          <w:ilvl w:val="1"/>
          <w:numId w:val="3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"The arbitration mechanism under the TCA reflects the UK’s desire to avoid the jurisdiction of the CJEU but introduces challenges in enforcing rights and obligations."</w:t>
      </w:r>
    </w:p>
    <w:p w14:paraId="59C2FFED" w14:textId="77777777" w:rsidR="000503CD" w:rsidRPr="00291C19" w:rsidRDefault="000503CD" w:rsidP="00291C19">
      <w:pPr>
        <w:numPr>
          <w:ilvl w:val="0"/>
          <w:numId w:val="34"/>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The Role of the CJEU</w:t>
      </w:r>
    </w:p>
    <w:p w14:paraId="28E11997" w14:textId="77777777" w:rsidR="000503CD" w:rsidRPr="00291C19" w:rsidRDefault="000503CD" w:rsidP="00291C19">
      <w:pPr>
        <w:numPr>
          <w:ilvl w:val="1"/>
          <w:numId w:val="3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exclusion of the CJEU from the enforcement of the TCA means that the EU cannot rely on its judicial system for resolving issues related to the internal market, labor rights, or environmental standards.</w:t>
      </w:r>
    </w:p>
    <w:p w14:paraId="5E9F7E4F"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Commentary</w:t>
      </w:r>
      <w:r w:rsidRPr="00291C19">
        <w:rPr>
          <w:rFonts w:ascii="Times New Roman" w:hAnsi="Times New Roman"/>
          <w:lang w:val="en-HK"/>
        </w:rPr>
        <w:t>:</w:t>
      </w:r>
    </w:p>
    <w:p w14:paraId="27BD8F57" w14:textId="77777777" w:rsidR="000503CD" w:rsidRPr="00291C19" w:rsidRDefault="000503CD" w:rsidP="00291C19">
      <w:pPr>
        <w:numPr>
          <w:ilvl w:val="1"/>
          <w:numId w:val="34"/>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the CJEU provided a robust mechanism for legal enforcement during EU membership, its absence from the TCA raises concerns about consistency and the protection of rights.”</w:t>
      </w:r>
    </w:p>
    <w:p w14:paraId="2E30D300" w14:textId="77777777" w:rsidR="000503CD" w:rsidRPr="00291C19" w:rsidRDefault="006A1244" w:rsidP="00291C19">
      <w:pPr>
        <w:spacing w:line="276" w:lineRule="auto"/>
        <w:rPr>
          <w:rFonts w:ascii="Times New Roman" w:hAnsi="Times New Roman"/>
          <w:lang w:val="en-HK"/>
        </w:rPr>
      </w:pPr>
      <w:r>
        <w:pict w14:anchorId="25F6F757">
          <v:rect id="Horizontal Line 73"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1B6B09"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5. Human Rights and Standards</w:t>
      </w:r>
    </w:p>
    <w:p w14:paraId="10E60F6A" w14:textId="77777777" w:rsidR="000503CD" w:rsidRPr="00291C19" w:rsidRDefault="000503CD" w:rsidP="00291C19">
      <w:pPr>
        <w:numPr>
          <w:ilvl w:val="0"/>
          <w:numId w:val="35"/>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Human Rights Safeguards</w:t>
      </w:r>
    </w:p>
    <w:p w14:paraId="64EA127F" w14:textId="77777777" w:rsidR="000503CD" w:rsidRPr="00291C19" w:rsidRDefault="000503CD" w:rsidP="00291C19">
      <w:pPr>
        <w:numPr>
          <w:ilvl w:val="1"/>
          <w:numId w:val="3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includes provisions on human rights, particularly ensuring that extradition or legal cooperation does not lead to breaches of human rights principles, such as torture or the death penalty.</w:t>
      </w:r>
    </w:p>
    <w:p w14:paraId="02D48CCC" w14:textId="77777777" w:rsidR="000503CD" w:rsidRPr="00291C19" w:rsidRDefault="000503CD" w:rsidP="00291C19">
      <w:pPr>
        <w:numPr>
          <w:ilvl w:val="1"/>
          <w:numId w:val="3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However, these provisions are weaker than those found under EU membership, where the CJEU actively enforced compliance with fundamental rights.</w:t>
      </w:r>
    </w:p>
    <w:p w14:paraId="2F2A2ED9"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Statutory Provision</w:t>
      </w:r>
      <w:r w:rsidRPr="00291C19">
        <w:rPr>
          <w:rFonts w:ascii="Times New Roman" w:hAnsi="Times New Roman"/>
          <w:lang w:val="en-HK"/>
        </w:rPr>
        <w:t>:</w:t>
      </w:r>
    </w:p>
    <w:p w14:paraId="00541248" w14:textId="77777777" w:rsidR="000503CD" w:rsidRPr="00291C19" w:rsidRDefault="000503CD" w:rsidP="00291C19">
      <w:pPr>
        <w:numPr>
          <w:ilvl w:val="1"/>
          <w:numId w:val="3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Article 602(3): “Extradition shall not be granted where the requested person may face the death penalty or inhumane treatment.”</w:t>
      </w:r>
    </w:p>
    <w:p w14:paraId="344DF74C"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Conclusion</w:t>
      </w:r>
      <w:r w:rsidRPr="00291C19">
        <w:rPr>
          <w:rFonts w:ascii="Times New Roman" w:hAnsi="Times New Roman"/>
          <w:lang w:val="en-HK"/>
        </w:rPr>
        <w:t>:</w:t>
      </w:r>
    </w:p>
    <w:p w14:paraId="2E14FFB8" w14:textId="77777777" w:rsidR="000503CD" w:rsidRPr="00291C19" w:rsidRDefault="000503CD" w:rsidP="00291C19">
      <w:pPr>
        <w:numPr>
          <w:ilvl w:val="1"/>
          <w:numId w:val="35"/>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human rights safeguards remain a part of the TCA, the lack of a direct judicial enforcement mechanism weakens their practical application."</w:t>
      </w:r>
    </w:p>
    <w:p w14:paraId="76A3074A" w14:textId="77777777" w:rsidR="000503CD" w:rsidRPr="00291C19" w:rsidRDefault="006A1244" w:rsidP="00291C19">
      <w:pPr>
        <w:spacing w:line="276" w:lineRule="auto"/>
        <w:rPr>
          <w:rFonts w:ascii="Times New Roman" w:hAnsi="Times New Roman"/>
          <w:lang w:val="en-HK"/>
        </w:rPr>
      </w:pPr>
      <w:r>
        <w:pict w14:anchorId="0E3DCBCB">
          <v:rect id="Horizontal Line 74"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5B8CBA" w14:textId="77777777" w:rsidR="000503CD" w:rsidRPr="00291C19" w:rsidRDefault="000503CD" w:rsidP="00291C19">
      <w:pPr>
        <w:spacing w:before="100" w:beforeAutospacing="1" w:after="100" w:afterAutospacing="1" w:line="276" w:lineRule="auto"/>
        <w:outlineLvl w:val="3"/>
        <w:rPr>
          <w:rFonts w:ascii="Times New Roman" w:hAnsi="Times New Roman"/>
          <w:b/>
          <w:bCs/>
          <w:lang w:val="en-HK"/>
        </w:rPr>
      </w:pPr>
      <w:r w:rsidRPr="00291C19">
        <w:rPr>
          <w:rFonts w:ascii="Times New Roman" w:hAnsi="Times New Roman"/>
          <w:b/>
          <w:bCs/>
          <w:lang w:val="en-HK"/>
        </w:rPr>
        <w:t>6. Future Outlook and Political Considerations</w:t>
      </w:r>
    </w:p>
    <w:p w14:paraId="3E32BC86" w14:textId="77777777" w:rsidR="000503CD" w:rsidRPr="00291C19" w:rsidRDefault="000503CD" w:rsidP="00291C19">
      <w:pPr>
        <w:numPr>
          <w:ilvl w:val="0"/>
          <w:numId w:val="36"/>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Uncertainty and Future Revisions</w:t>
      </w:r>
    </w:p>
    <w:p w14:paraId="3B772B4F" w14:textId="77777777" w:rsidR="000503CD" w:rsidRPr="00291C19" w:rsidRDefault="000503CD" w:rsidP="00291C19">
      <w:pPr>
        <w:numPr>
          <w:ilvl w:val="1"/>
          <w:numId w:val="3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is not a static agreement; it contains mechanisms for suspension and modification, and future changes are likely as both the UK and the EU adapt to post-Brexit realities.</w:t>
      </w:r>
    </w:p>
    <w:p w14:paraId="65C54C3D" w14:textId="77777777" w:rsidR="000503CD" w:rsidRPr="00291C19" w:rsidRDefault="000503CD" w:rsidP="00291C19">
      <w:pPr>
        <w:numPr>
          <w:ilvl w:val="1"/>
          <w:numId w:val="3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Peers highlights that future political and economic challenges, such as disagreements over the "level playing field" or trade disruptions, could prompt revisions to the agreement.</w:t>
      </w:r>
    </w:p>
    <w:p w14:paraId="5D0AB87E"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Insight</w:t>
      </w:r>
      <w:r w:rsidRPr="00291C19">
        <w:rPr>
          <w:rFonts w:ascii="Times New Roman" w:hAnsi="Times New Roman"/>
          <w:lang w:val="en-HK"/>
        </w:rPr>
        <w:t>:</w:t>
      </w:r>
    </w:p>
    <w:p w14:paraId="7F54AF08" w14:textId="77777777" w:rsidR="000503CD" w:rsidRPr="00291C19" w:rsidRDefault="000503CD" w:rsidP="00291C19">
      <w:pPr>
        <w:numPr>
          <w:ilvl w:val="1"/>
          <w:numId w:val="3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lastRenderedPageBreak/>
        <w:t>"The TCA's future is marked by political uncertainty, and both parties may face pressure to revise certain provisions in response to evolving economic or political pressures."</w:t>
      </w:r>
    </w:p>
    <w:p w14:paraId="6ECBD05F" w14:textId="77777777" w:rsidR="000503CD" w:rsidRPr="00291C19" w:rsidRDefault="000503CD" w:rsidP="00291C19">
      <w:pPr>
        <w:numPr>
          <w:ilvl w:val="0"/>
          <w:numId w:val="36"/>
        </w:numPr>
        <w:spacing w:before="100" w:beforeAutospacing="1" w:after="100" w:afterAutospacing="1" w:line="276" w:lineRule="auto"/>
        <w:rPr>
          <w:rFonts w:ascii="Times New Roman" w:hAnsi="Times New Roman"/>
          <w:lang w:val="en-HK"/>
        </w:rPr>
      </w:pPr>
      <w:r w:rsidRPr="00291C19">
        <w:rPr>
          <w:rFonts w:ascii="Times New Roman" w:hAnsi="Times New Roman"/>
          <w:b/>
          <w:bCs/>
          <w:lang w:val="en-HK"/>
        </w:rPr>
        <w:t>The Long-Term Relationship</w:t>
      </w:r>
    </w:p>
    <w:p w14:paraId="1C05C021" w14:textId="77777777" w:rsidR="000503CD" w:rsidRPr="00291C19" w:rsidRDefault="000503CD" w:rsidP="00291C19">
      <w:pPr>
        <w:numPr>
          <w:ilvl w:val="1"/>
          <w:numId w:val="3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While the TCA lays the groundwork for future UK-EU relations, it reflects the tensions inherent in a relationship between a third country and the EU, where the UK's interests will no longer be automatically aligned with the EU’s regulatory framework.</w:t>
      </w:r>
    </w:p>
    <w:p w14:paraId="23A86FF5" w14:textId="77777777" w:rsidR="000503CD" w:rsidRPr="00291C19" w:rsidRDefault="000503CD" w:rsidP="00291C19">
      <w:pPr>
        <w:numPr>
          <w:ilvl w:val="1"/>
          <w:numId w:val="3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future will depend on how the UK and EU manage their economic interdependence without the close integration that came with EU membership.</w:t>
      </w:r>
    </w:p>
    <w:p w14:paraId="0FDBC5CD" w14:textId="77777777" w:rsidR="000503CD" w:rsidRPr="00291C19" w:rsidRDefault="000503CD" w:rsidP="00291C19">
      <w:pPr>
        <w:spacing w:before="100" w:beforeAutospacing="1" w:after="100" w:afterAutospacing="1" w:line="276" w:lineRule="auto"/>
        <w:ind w:left="720"/>
        <w:rPr>
          <w:rFonts w:ascii="Times New Roman" w:hAnsi="Times New Roman"/>
          <w:lang w:val="en-HK"/>
        </w:rPr>
      </w:pPr>
      <w:r w:rsidRPr="00291C19">
        <w:rPr>
          <w:rFonts w:ascii="Times New Roman" w:hAnsi="Times New Roman"/>
          <w:b/>
          <w:bCs/>
          <w:lang w:val="en-HK"/>
        </w:rPr>
        <w:t>Peers' Reflection</w:t>
      </w:r>
      <w:r w:rsidRPr="00291C19">
        <w:rPr>
          <w:rFonts w:ascii="Times New Roman" w:hAnsi="Times New Roman"/>
          <w:lang w:val="en-HK"/>
        </w:rPr>
        <w:t>:</w:t>
      </w:r>
    </w:p>
    <w:p w14:paraId="7D3FFAFF" w14:textId="77777777" w:rsidR="000503CD" w:rsidRPr="00291C19" w:rsidRDefault="000503CD" w:rsidP="00291C19">
      <w:pPr>
        <w:numPr>
          <w:ilvl w:val="1"/>
          <w:numId w:val="36"/>
        </w:num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sets the stage for a unique and complex future relationship, where cooperation will continue, but the legal and political distance will create ongoing friction and challenges."</w:t>
      </w:r>
    </w:p>
    <w:p w14:paraId="1A8D0B50" w14:textId="77777777" w:rsidR="000503CD" w:rsidRPr="00291C19" w:rsidRDefault="006A1244" w:rsidP="00291C19">
      <w:pPr>
        <w:spacing w:line="276" w:lineRule="auto"/>
        <w:rPr>
          <w:rFonts w:ascii="Times New Roman" w:hAnsi="Times New Roman"/>
          <w:lang w:val="en-HK"/>
        </w:rPr>
      </w:pPr>
      <w:r>
        <w:pict w14:anchorId="5D49C4F1">
          <v:rect id="Horizontal Line 75"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F7CD83" w14:textId="77777777" w:rsidR="000503CD" w:rsidRPr="00291C19" w:rsidRDefault="000503CD" w:rsidP="00291C19">
      <w:pPr>
        <w:spacing w:before="100" w:beforeAutospacing="1" w:after="100" w:afterAutospacing="1" w:line="276" w:lineRule="auto"/>
        <w:outlineLvl w:val="2"/>
        <w:rPr>
          <w:rFonts w:ascii="Times New Roman" w:hAnsi="Times New Roman"/>
          <w:b/>
          <w:bCs/>
          <w:lang w:val="en-HK"/>
        </w:rPr>
      </w:pPr>
      <w:r w:rsidRPr="00291C19">
        <w:rPr>
          <w:rFonts w:ascii="Times New Roman" w:hAnsi="Times New Roman"/>
          <w:b/>
          <w:bCs/>
          <w:lang w:val="en-HK"/>
        </w:rPr>
        <w:t>Conclusion</w:t>
      </w:r>
    </w:p>
    <w:p w14:paraId="5093DF13" w14:textId="77777777" w:rsidR="000503CD" w:rsidRPr="00291C19" w:rsidRDefault="000503CD" w:rsidP="00291C19">
      <w:pPr>
        <w:spacing w:before="100" w:beforeAutospacing="1" w:after="100" w:afterAutospacing="1" w:line="276" w:lineRule="auto"/>
        <w:rPr>
          <w:rFonts w:ascii="Times New Roman" w:hAnsi="Times New Roman"/>
          <w:lang w:val="en-HK"/>
        </w:rPr>
      </w:pPr>
      <w:r w:rsidRPr="00291C19">
        <w:rPr>
          <w:rFonts w:ascii="Times New Roman" w:hAnsi="Times New Roman"/>
          <w:lang w:val="en-HK"/>
        </w:rPr>
        <w:t>The TCA represents a pragmatic and complex compromise between the EU’s desire for continued cooperation and the UK’s quest for sovereignty. While it enables significant cooperation in trade, security, and legal matters, the agreement inevitably introduces friction, particularly in trade and legal governance. The exclusion of the CJEU, the introduction of non-tariff barriers, and the limited enforcement mechanisms all contribute to a relationship marked by both interdependence and separation. The future of the TCA will depend on how both the UK and the EU manage these inherent tensions and adapt to the changing political and economic landscape.</w:t>
      </w:r>
    </w:p>
    <w:p w14:paraId="165A974D" w14:textId="77777777" w:rsidR="000503CD" w:rsidRPr="00291C19" w:rsidRDefault="000503CD" w:rsidP="00291C19">
      <w:pPr>
        <w:spacing w:line="276" w:lineRule="auto"/>
        <w:rPr>
          <w:rFonts w:ascii="Times New Roman" w:hAnsi="Times New Roman"/>
          <w:lang w:val="en-HK"/>
        </w:rPr>
      </w:pPr>
    </w:p>
    <w:p w14:paraId="34F55D9C" w14:textId="77777777" w:rsidR="00CD39F1" w:rsidRPr="00291C19" w:rsidRDefault="00CD39F1" w:rsidP="00291C19">
      <w:pPr>
        <w:spacing w:line="276" w:lineRule="auto"/>
      </w:pPr>
    </w:p>
    <w:sectPr w:rsidR="00CD39F1" w:rsidRPr="00291C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C07A9"/>
    <w:multiLevelType w:val="multilevel"/>
    <w:tmpl w:val="3AB6D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34B05"/>
    <w:multiLevelType w:val="multilevel"/>
    <w:tmpl w:val="64684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02A54"/>
    <w:multiLevelType w:val="multilevel"/>
    <w:tmpl w:val="22162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C377C9"/>
    <w:multiLevelType w:val="multilevel"/>
    <w:tmpl w:val="4ED22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F173D"/>
    <w:multiLevelType w:val="multilevel"/>
    <w:tmpl w:val="4FD4D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83E79"/>
    <w:multiLevelType w:val="multilevel"/>
    <w:tmpl w:val="F45E4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606DB"/>
    <w:multiLevelType w:val="multilevel"/>
    <w:tmpl w:val="463CD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057D8"/>
    <w:multiLevelType w:val="multilevel"/>
    <w:tmpl w:val="63C27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C852B0"/>
    <w:multiLevelType w:val="multilevel"/>
    <w:tmpl w:val="C47C7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D5F61"/>
    <w:multiLevelType w:val="multilevel"/>
    <w:tmpl w:val="898EB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6A4177"/>
    <w:multiLevelType w:val="multilevel"/>
    <w:tmpl w:val="51744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35509"/>
    <w:multiLevelType w:val="multilevel"/>
    <w:tmpl w:val="1DF23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83D95"/>
    <w:multiLevelType w:val="multilevel"/>
    <w:tmpl w:val="982EA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330C7"/>
    <w:multiLevelType w:val="multilevel"/>
    <w:tmpl w:val="04E2B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F9709E"/>
    <w:multiLevelType w:val="multilevel"/>
    <w:tmpl w:val="61F21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3E2773"/>
    <w:multiLevelType w:val="multilevel"/>
    <w:tmpl w:val="51467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97795F"/>
    <w:multiLevelType w:val="multilevel"/>
    <w:tmpl w:val="10280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E83852"/>
    <w:multiLevelType w:val="multilevel"/>
    <w:tmpl w:val="E76CB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DF33AB"/>
    <w:multiLevelType w:val="multilevel"/>
    <w:tmpl w:val="B95ED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9D0211"/>
    <w:multiLevelType w:val="multilevel"/>
    <w:tmpl w:val="FA760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C848AE"/>
    <w:multiLevelType w:val="multilevel"/>
    <w:tmpl w:val="E056F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EE7527"/>
    <w:multiLevelType w:val="multilevel"/>
    <w:tmpl w:val="35788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91005B"/>
    <w:multiLevelType w:val="multilevel"/>
    <w:tmpl w:val="841A4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703167"/>
    <w:multiLevelType w:val="multilevel"/>
    <w:tmpl w:val="055CE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3F139B"/>
    <w:multiLevelType w:val="multilevel"/>
    <w:tmpl w:val="C30AD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2617F6"/>
    <w:multiLevelType w:val="multilevel"/>
    <w:tmpl w:val="C1568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C5693A"/>
    <w:multiLevelType w:val="multilevel"/>
    <w:tmpl w:val="38962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80867"/>
    <w:multiLevelType w:val="multilevel"/>
    <w:tmpl w:val="1CE01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F61C3D"/>
    <w:multiLevelType w:val="multilevel"/>
    <w:tmpl w:val="1EF85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31699F"/>
    <w:multiLevelType w:val="multilevel"/>
    <w:tmpl w:val="702CE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7C191E"/>
    <w:multiLevelType w:val="multilevel"/>
    <w:tmpl w:val="B972F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D004E0"/>
    <w:multiLevelType w:val="multilevel"/>
    <w:tmpl w:val="6DD89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A14D8A"/>
    <w:multiLevelType w:val="multilevel"/>
    <w:tmpl w:val="D9345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D55157"/>
    <w:multiLevelType w:val="multilevel"/>
    <w:tmpl w:val="9F20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BF2297"/>
    <w:multiLevelType w:val="multilevel"/>
    <w:tmpl w:val="5030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B2135C"/>
    <w:multiLevelType w:val="multilevel"/>
    <w:tmpl w:val="AA4CC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140294">
    <w:abstractNumId w:val="34"/>
  </w:num>
  <w:num w:numId="2" w16cid:durableId="1605457666">
    <w:abstractNumId w:val="4"/>
  </w:num>
  <w:num w:numId="3" w16cid:durableId="579297019">
    <w:abstractNumId w:val="12"/>
  </w:num>
  <w:num w:numId="4" w16cid:durableId="733115515">
    <w:abstractNumId w:val="15"/>
  </w:num>
  <w:num w:numId="5" w16cid:durableId="19472040">
    <w:abstractNumId w:val="26"/>
  </w:num>
  <w:num w:numId="6" w16cid:durableId="2008558123">
    <w:abstractNumId w:val="22"/>
  </w:num>
  <w:num w:numId="7" w16cid:durableId="1959336071">
    <w:abstractNumId w:val="33"/>
  </w:num>
  <w:num w:numId="8" w16cid:durableId="1687705263">
    <w:abstractNumId w:val="25"/>
  </w:num>
  <w:num w:numId="9" w16cid:durableId="1675297274">
    <w:abstractNumId w:val="19"/>
  </w:num>
  <w:num w:numId="10" w16cid:durableId="504168626">
    <w:abstractNumId w:val="16"/>
  </w:num>
  <w:num w:numId="11" w16cid:durableId="348217755">
    <w:abstractNumId w:val="6"/>
  </w:num>
  <w:num w:numId="12" w16cid:durableId="1460221660">
    <w:abstractNumId w:val="10"/>
  </w:num>
  <w:num w:numId="13" w16cid:durableId="2093431138">
    <w:abstractNumId w:val="18"/>
  </w:num>
  <w:num w:numId="14" w16cid:durableId="1666712234">
    <w:abstractNumId w:val="24"/>
  </w:num>
  <w:num w:numId="15" w16cid:durableId="763111384">
    <w:abstractNumId w:val="31"/>
  </w:num>
  <w:num w:numId="16" w16cid:durableId="2046631725">
    <w:abstractNumId w:val="17"/>
  </w:num>
  <w:num w:numId="17" w16cid:durableId="1460682235">
    <w:abstractNumId w:val="9"/>
  </w:num>
  <w:num w:numId="18" w16cid:durableId="1580365944">
    <w:abstractNumId w:val="35"/>
  </w:num>
  <w:num w:numId="19" w16cid:durableId="786697075">
    <w:abstractNumId w:val="28"/>
  </w:num>
  <w:num w:numId="20" w16cid:durableId="1005401415">
    <w:abstractNumId w:val="29"/>
  </w:num>
  <w:num w:numId="21" w16cid:durableId="1018779659">
    <w:abstractNumId w:val="8"/>
  </w:num>
  <w:num w:numId="22" w16cid:durableId="1461150344">
    <w:abstractNumId w:val="27"/>
  </w:num>
  <w:num w:numId="23" w16cid:durableId="584265719">
    <w:abstractNumId w:val="21"/>
  </w:num>
  <w:num w:numId="24" w16cid:durableId="1859076125">
    <w:abstractNumId w:val="30"/>
  </w:num>
  <w:num w:numId="25" w16cid:durableId="418330532">
    <w:abstractNumId w:val="32"/>
  </w:num>
  <w:num w:numId="26" w16cid:durableId="2103792740">
    <w:abstractNumId w:val="1"/>
  </w:num>
  <w:num w:numId="27" w16cid:durableId="1301954397">
    <w:abstractNumId w:val="7"/>
  </w:num>
  <w:num w:numId="28" w16cid:durableId="8482849">
    <w:abstractNumId w:val="5"/>
  </w:num>
  <w:num w:numId="29" w16cid:durableId="986014816">
    <w:abstractNumId w:val="11"/>
  </w:num>
  <w:num w:numId="30" w16cid:durableId="346761343">
    <w:abstractNumId w:val="14"/>
  </w:num>
  <w:num w:numId="31" w16cid:durableId="1512917621">
    <w:abstractNumId w:val="13"/>
  </w:num>
  <w:num w:numId="32" w16cid:durableId="494300289">
    <w:abstractNumId w:val="20"/>
  </w:num>
  <w:num w:numId="33" w16cid:durableId="208424402">
    <w:abstractNumId w:val="23"/>
  </w:num>
  <w:num w:numId="34" w16cid:durableId="1022239928">
    <w:abstractNumId w:val="0"/>
  </w:num>
  <w:num w:numId="35" w16cid:durableId="526800354">
    <w:abstractNumId w:val="2"/>
  </w:num>
  <w:num w:numId="36" w16cid:durableId="100997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6C"/>
    <w:rsid w:val="00012117"/>
    <w:rsid w:val="000147A9"/>
    <w:rsid w:val="00042755"/>
    <w:rsid w:val="000503CD"/>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C19"/>
    <w:rsid w:val="00291F37"/>
    <w:rsid w:val="00297C6E"/>
    <w:rsid w:val="002B3377"/>
    <w:rsid w:val="002D715D"/>
    <w:rsid w:val="002E3864"/>
    <w:rsid w:val="002E46F2"/>
    <w:rsid w:val="002F1DB1"/>
    <w:rsid w:val="002F20B2"/>
    <w:rsid w:val="002F53C9"/>
    <w:rsid w:val="003048A0"/>
    <w:rsid w:val="0031138E"/>
    <w:rsid w:val="0031474F"/>
    <w:rsid w:val="00315815"/>
    <w:rsid w:val="003278F5"/>
    <w:rsid w:val="00330665"/>
    <w:rsid w:val="00342A18"/>
    <w:rsid w:val="0036177C"/>
    <w:rsid w:val="00361975"/>
    <w:rsid w:val="00376E23"/>
    <w:rsid w:val="0039416B"/>
    <w:rsid w:val="003A1271"/>
    <w:rsid w:val="003A5DF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82896"/>
    <w:rsid w:val="006A1244"/>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231D"/>
    <w:rsid w:val="007D68F0"/>
    <w:rsid w:val="007E1559"/>
    <w:rsid w:val="007E4AE6"/>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AF00DA"/>
    <w:rsid w:val="00B03D5A"/>
    <w:rsid w:val="00B200EB"/>
    <w:rsid w:val="00B23297"/>
    <w:rsid w:val="00B360EE"/>
    <w:rsid w:val="00B5196C"/>
    <w:rsid w:val="00B53B6F"/>
    <w:rsid w:val="00B651D9"/>
    <w:rsid w:val="00B67231"/>
    <w:rsid w:val="00B70E17"/>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1E71"/>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66A"/>
    <w:rsid w:val="00E438AC"/>
    <w:rsid w:val="00E5689E"/>
    <w:rsid w:val="00E60DF5"/>
    <w:rsid w:val="00E64DD3"/>
    <w:rsid w:val="00E80D33"/>
    <w:rsid w:val="00E95D8D"/>
    <w:rsid w:val="00EA6ED5"/>
    <w:rsid w:val="00EB7051"/>
    <w:rsid w:val="00EC2B49"/>
    <w:rsid w:val="00EC68EB"/>
    <w:rsid w:val="00EC7C43"/>
    <w:rsid w:val="00EE4F6A"/>
    <w:rsid w:val="00EF3EF4"/>
    <w:rsid w:val="00F012E4"/>
    <w:rsid w:val="00F0631B"/>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54681162"/>
  <w15:chartTrackingRefBased/>
  <w15:docId w15:val="{7673E3D2-91C2-B449-9BD9-C6AF4A9B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519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9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196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519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19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196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196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196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196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96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5196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5196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5196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B5196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5196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5196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5196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5196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519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96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5196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96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519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196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5196C"/>
    <w:pPr>
      <w:ind w:left="720"/>
      <w:contextualSpacing/>
    </w:pPr>
  </w:style>
  <w:style w:type="character" w:styleId="IntenseEmphasis">
    <w:name w:val="Intense Emphasis"/>
    <w:basedOn w:val="DefaultParagraphFont"/>
    <w:uiPriority w:val="21"/>
    <w:qFormat/>
    <w:rsid w:val="00B5196C"/>
    <w:rPr>
      <w:i/>
      <w:iCs/>
      <w:color w:val="2F5496" w:themeColor="accent1" w:themeShade="BF"/>
    </w:rPr>
  </w:style>
  <w:style w:type="paragraph" w:styleId="IntenseQuote">
    <w:name w:val="Intense Quote"/>
    <w:basedOn w:val="Normal"/>
    <w:next w:val="Normal"/>
    <w:link w:val="IntenseQuoteChar"/>
    <w:uiPriority w:val="30"/>
    <w:qFormat/>
    <w:rsid w:val="00B519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96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5196C"/>
    <w:rPr>
      <w:b/>
      <w:bCs/>
      <w:smallCaps/>
      <w:color w:val="2F5496" w:themeColor="accent1" w:themeShade="BF"/>
      <w:spacing w:val="5"/>
    </w:rPr>
  </w:style>
  <w:style w:type="character" w:styleId="Strong">
    <w:name w:val="Strong"/>
    <w:basedOn w:val="DefaultParagraphFont"/>
    <w:uiPriority w:val="22"/>
    <w:qFormat/>
    <w:rsid w:val="000503CD"/>
    <w:rPr>
      <w:b/>
      <w:bCs/>
    </w:rPr>
  </w:style>
  <w:style w:type="paragraph" w:styleId="NormalWeb">
    <w:name w:val="Normal (Web)"/>
    <w:basedOn w:val="Normal"/>
    <w:uiPriority w:val="99"/>
    <w:semiHidden/>
    <w:unhideWhenUsed/>
    <w:rsid w:val="000503CD"/>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0503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365274">
      <w:bodyDiv w:val="1"/>
      <w:marLeft w:val="0"/>
      <w:marRight w:val="0"/>
      <w:marTop w:val="0"/>
      <w:marBottom w:val="0"/>
      <w:divBdr>
        <w:top w:val="none" w:sz="0" w:space="0" w:color="auto"/>
        <w:left w:val="none" w:sz="0" w:space="0" w:color="auto"/>
        <w:bottom w:val="none" w:sz="0" w:space="0" w:color="auto"/>
        <w:right w:val="none" w:sz="0" w:space="0" w:color="auto"/>
      </w:divBdr>
      <w:divsChild>
        <w:div w:id="919022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406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254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273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098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6454091">
      <w:bodyDiv w:val="1"/>
      <w:marLeft w:val="0"/>
      <w:marRight w:val="0"/>
      <w:marTop w:val="0"/>
      <w:marBottom w:val="0"/>
      <w:divBdr>
        <w:top w:val="none" w:sz="0" w:space="0" w:color="auto"/>
        <w:left w:val="none" w:sz="0" w:space="0" w:color="auto"/>
        <w:bottom w:val="none" w:sz="0" w:space="0" w:color="auto"/>
        <w:right w:val="none" w:sz="0" w:space="0" w:color="auto"/>
      </w:divBdr>
      <w:divsChild>
        <w:div w:id="189608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350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991192">
      <w:bodyDiv w:val="1"/>
      <w:marLeft w:val="0"/>
      <w:marRight w:val="0"/>
      <w:marTop w:val="0"/>
      <w:marBottom w:val="0"/>
      <w:divBdr>
        <w:top w:val="none" w:sz="0" w:space="0" w:color="auto"/>
        <w:left w:val="none" w:sz="0" w:space="0" w:color="auto"/>
        <w:bottom w:val="none" w:sz="0" w:space="0" w:color="auto"/>
        <w:right w:val="none" w:sz="0" w:space="0" w:color="auto"/>
      </w:divBdr>
      <w:divsChild>
        <w:div w:id="1910071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00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289677">
      <w:bodyDiv w:val="1"/>
      <w:marLeft w:val="0"/>
      <w:marRight w:val="0"/>
      <w:marTop w:val="0"/>
      <w:marBottom w:val="0"/>
      <w:divBdr>
        <w:top w:val="none" w:sz="0" w:space="0" w:color="auto"/>
        <w:left w:val="none" w:sz="0" w:space="0" w:color="auto"/>
        <w:bottom w:val="none" w:sz="0" w:space="0" w:color="auto"/>
        <w:right w:val="none" w:sz="0" w:space="0" w:color="auto"/>
      </w:divBdr>
      <w:divsChild>
        <w:div w:id="1144463853">
          <w:blockQuote w:val="1"/>
          <w:marLeft w:val="720"/>
          <w:marRight w:val="720"/>
          <w:marTop w:val="100"/>
          <w:marBottom w:val="100"/>
          <w:divBdr>
            <w:top w:val="none" w:sz="0" w:space="0" w:color="auto"/>
            <w:left w:val="none" w:sz="0" w:space="0" w:color="auto"/>
            <w:bottom w:val="none" w:sz="0" w:space="0" w:color="auto"/>
            <w:right w:val="none" w:sz="0" w:space="0" w:color="auto"/>
          </w:divBdr>
        </w:div>
        <w:div w:id="65417837">
          <w:blockQuote w:val="1"/>
          <w:marLeft w:val="720"/>
          <w:marRight w:val="720"/>
          <w:marTop w:val="100"/>
          <w:marBottom w:val="100"/>
          <w:divBdr>
            <w:top w:val="none" w:sz="0" w:space="0" w:color="auto"/>
            <w:left w:val="none" w:sz="0" w:space="0" w:color="auto"/>
            <w:bottom w:val="none" w:sz="0" w:space="0" w:color="auto"/>
            <w:right w:val="none" w:sz="0" w:space="0" w:color="auto"/>
          </w:divBdr>
        </w:div>
        <w:div w:id="75830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9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48915">
          <w:blockQuote w:val="1"/>
          <w:marLeft w:val="720"/>
          <w:marRight w:val="720"/>
          <w:marTop w:val="100"/>
          <w:marBottom w:val="100"/>
          <w:divBdr>
            <w:top w:val="none" w:sz="0" w:space="0" w:color="auto"/>
            <w:left w:val="none" w:sz="0" w:space="0" w:color="auto"/>
            <w:bottom w:val="none" w:sz="0" w:space="0" w:color="auto"/>
            <w:right w:val="none" w:sz="0" w:space="0" w:color="auto"/>
          </w:divBdr>
        </w:div>
        <w:div w:id="972365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243690">
      <w:bodyDiv w:val="1"/>
      <w:marLeft w:val="0"/>
      <w:marRight w:val="0"/>
      <w:marTop w:val="0"/>
      <w:marBottom w:val="0"/>
      <w:divBdr>
        <w:top w:val="none" w:sz="0" w:space="0" w:color="auto"/>
        <w:left w:val="none" w:sz="0" w:space="0" w:color="auto"/>
        <w:bottom w:val="none" w:sz="0" w:space="0" w:color="auto"/>
        <w:right w:val="none" w:sz="0" w:space="0" w:color="auto"/>
      </w:divBdr>
      <w:divsChild>
        <w:div w:id="937299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136875">
          <w:blockQuote w:val="1"/>
          <w:marLeft w:val="720"/>
          <w:marRight w:val="720"/>
          <w:marTop w:val="100"/>
          <w:marBottom w:val="100"/>
          <w:divBdr>
            <w:top w:val="none" w:sz="0" w:space="0" w:color="auto"/>
            <w:left w:val="none" w:sz="0" w:space="0" w:color="auto"/>
            <w:bottom w:val="none" w:sz="0" w:space="0" w:color="auto"/>
            <w:right w:val="none" w:sz="0" w:space="0" w:color="auto"/>
          </w:divBdr>
        </w:div>
        <w:div w:id="644160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708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86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5919</Words>
  <Characters>33742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2025-01-24T14:31:00Z</dcterms:created>
  <dcterms:modified xsi:type="dcterms:W3CDTF">2025-01-24T14:50:00Z</dcterms:modified>
</cp:coreProperties>
</file>