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5BF21D" w14:textId="77777777" w:rsidR="009613AC" w:rsidRPr="009613AC" w:rsidRDefault="009613AC" w:rsidP="006533FF">
      <w:pPr>
        <w:spacing w:before="100" w:beforeAutospacing="1" w:after="100" w:afterAutospacing="1" w:line="360" w:lineRule="auto"/>
        <w:outlineLvl w:val="2"/>
        <w:rPr>
          <w:rFonts w:ascii="Times New Roman" w:hAnsi="Times New Roman"/>
          <w:b/>
          <w:bCs/>
          <w:lang w:val="en-HK"/>
        </w:rPr>
      </w:pPr>
      <w:r w:rsidRPr="009613AC">
        <w:rPr>
          <w:rFonts w:ascii="Times New Roman" w:hAnsi="Times New Roman"/>
          <w:b/>
          <w:bCs/>
          <w:lang w:val="en-HK"/>
        </w:rPr>
        <w:t>Section A: Introduction</w:t>
      </w:r>
    </w:p>
    <w:p w14:paraId="08642D89" w14:textId="77777777" w:rsidR="009613AC" w:rsidRPr="009613AC" w:rsidRDefault="009613AC" w:rsidP="006533FF">
      <w:pPr>
        <w:spacing w:before="100" w:beforeAutospacing="1" w:after="100" w:afterAutospacing="1" w:line="360" w:lineRule="auto"/>
        <w:rPr>
          <w:rFonts w:ascii="Times New Roman" w:hAnsi="Times New Roman"/>
          <w:lang w:val="en-HK"/>
        </w:rPr>
      </w:pPr>
      <w:r w:rsidRPr="009613AC">
        <w:rPr>
          <w:rFonts w:ascii="Times New Roman" w:hAnsi="Times New Roman"/>
          <w:lang w:val="en-HK"/>
        </w:rPr>
        <w:t>The introduction highlights the foundational role of the free movement of persons within the EU, tracing its origins and the challenges faced in its implementation. Below is a detailed breakdown of this section, including arguments, statutes, cases, and judicial opinions.</w:t>
      </w:r>
    </w:p>
    <w:p w14:paraId="0633A2EF" w14:textId="77777777" w:rsidR="009613AC" w:rsidRPr="009613AC" w:rsidRDefault="00DE4581" w:rsidP="006533FF">
      <w:pPr>
        <w:spacing w:line="360" w:lineRule="auto"/>
        <w:rPr>
          <w:rFonts w:ascii="Times New Roman" w:hAnsi="Times New Roman"/>
          <w:lang w:val="en-HK"/>
        </w:rPr>
      </w:pPr>
      <w:r w:rsidRPr="00DE4581">
        <w:rPr>
          <w:rFonts w:ascii="Times New Roman" w:hAnsi="Times New Roman"/>
          <w:noProof/>
          <w:lang w:val="en-HK"/>
          <w14:ligatures w14:val="standardContextual"/>
        </w:rPr>
        <w:pict w14:anchorId="20E59C2E">
          <v:rect id="_x0000_i1069" alt="" style="width:451.3pt;height:.05pt;mso-width-percent:0;mso-height-percent:0;mso-width-percent:0;mso-height-percent:0" o:hralign="center" o:hrstd="t" o:hr="t" fillcolor="#a0a0a0" stroked="f"/>
        </w:pict>
      </w:r>
    </w:p>
    <w:p w14:paraId="05FE6D37" w14:textId="77777777" w:rsidR="009613AC" w:rsidRPr="009613AC" w:rsidRDefault="009613AC" w:rsidP="006533FF">
      <w:pPr>
        <w:spacing w:before="100" w:beforeAutospacing="1" w:after="100" w:afterAutospacing="1" w:line="360" w:lineRule="auto"/>
        <w:outlineLvl w:val="3"/>
        <w:rPr>
          <w:rFonts w:ascii="Times New Roman" w:hAnsi="Times New Roman"/>
          <w:b/>
          <w:bCs/>
          <w:lang w:val="en-HK"/>
        </w:rPr>
      </w:pPr>
      <w:r w:rsidRPr="009613AC">
        <w:rPr>
          <w:rFonts w:ascii="Times New Roman" w:hAnsi="Times New Roman"/>
          <w:b/>
          <w:bCs/>
          <w:lang w:val="en-HK"/>
        </w:rPr>
        <w:t>1. Historical Context and Legislative Foundations</w:t>
      </w:r>
    </w:p>
    <w:p w14:paraId="0CB087E9" w14:textId="77777777" w:rsidR="009613AC" w:rsidRPr="009613AC" w:rsidRDefault="009613AC" w:rsidP="006533FF">
      <w:pPr>
        <w:numPr>
          <w:ilvl w:val="0"/>
          <w:numId w:val="1"/>
        </w:numPr>
        <w:spacing w:before="100" w:beforeAutospacing="1" w:after="100" w:afterAutospacing="1" w:line="360" w:lineRule="auto"/>
        <w:rPr>
          <w:rFonts w:ascii="Times New Roman" w:hAnsi="Times New Roman"/>
          <w:lang w:val="en-HK"/>
        </w:rPr>
      </w:pPr>
      <w:r w:rsidRPr="009613AC">
        <w:rPr>
          <w:rFonts w:ascii="Times New Roman" w:hAnsi="Times New Roman"/>
          <w:b/>
          <w:bCs/>
          <w:lang w:val="en-HK"/>
        </w:rPr>
        <w:t>Article 3(1)(c) EEC (now repealed)</w:t>
      </w:r>
      <w:r w:rsidRPr="009613AC">
        <w:rPr>
          <w:rFonts w:ascii="Times New Roman" w:hAnsi="Times New Roman"/>
          <w:lang w:val="en-HK"/>
        </w:rPr>
        <w:t>: This article originally mandated the abolition of obstacles to the free movement of persons between Member States. However, as Catherine Barnard notes, the substantive provisions of the Treaty of Rome did not immediately grant a general right to free movement. Instead, these rights were tied to economic activity and limited to nationals of Member States.</w:t>
      </w:r>
    </w:p>
    <w:p w14:paraId="6B5AC092" w14:textId="77777777" w:rsidR="009613AC" w:rsidRPr="009613AC" w:rsidRDefault="009613AC" w:rsidP="006533FF">
      <w:pPr>
        <w:numPr>
          <w:ilvl w:val="0"/>
          <w:numId w:val="1"/>
        </w:numPr>
        <w:spacing w:before="100" w:beforeAutospacing="1" w:after="100" w:afterAutospacing="1" w:line="360" w:lineRule="auto"/>
        <w:rPr>
          <w:rFonts w:ascii="Times New Roman" w:hAnsi="Times New Roman"/>
          <w:lang w:val="en-HK"/>
        </w:rPr>
      </w:pPr>
      <w:r w:rsidRPr="009613AC">
        <w:rPr>
          <w:rFonts w:ascii="Times New Roman" w:hAnsi="Times New Roman"/>
          <w:b/>
          <w:bCs/>
          <w:lang w:val="en-HK"/>
        </w:rPr>
        <w:t>Scope of Initial Free Movement Rights</w:t>
      </w:r>
      <w:r w:rsidRPr="009613AC">
        <w:rPr>
          <w:rFonts w:ascii="Times New Roman" w:hAnsi="Times New Roman"/>
          <w:lang w:val="en-HK"/>
        </w:rPr>
        <w:t>:</w:t>
      </w:r>
    </w:p>
    <w:p w14:paraId="139A9375" w14:textId="77777777" w:rsidR="009613AC" w:rsidRPr="009613AC" w:rsidRDefault="009613AC" w:rsidP="006533FF">
      <w:pPr>
        <w:spacing w:before="100" w:beforeAutospacing="1" w:after="100" w:afterAutospacing="1" w:line="360" w:lineRule="auto"/>
        <w:rPr>
          <w:rFonts w:ascii="Times New Roman" w:hAnsi="Times New Roman"/>
          <w:lang w:val="en-HK"/>
        </w:rPr>
      </w:pPr>
      <w:r w:rsidRPr="009613AC">
        <w:rPr>
          <w:rFonts w:ascii="Times New Roman" w:hAnsi="Times New Roman"/>
          <w:lang w:val="en-HK"/>
        </w:rPr>
        <w:t>Individuals could only invoke free movement rights under specific Treaty provisions, including:</w:t>
      </w:r>
    </w:p>
    <w:p w14:paraId="2C17B111" w14:textId="77777777" w:rsidR="009613AC" w:rsidRPr="009613AC" w:rsidRDefault="009613AC" w:rsidP="006533FF">
      <w:pPr>
        <w:numPr>
          <w:ilvl w:val="2"/>
          <w:numId w:val="1"/>
        </w:numPr>
        <w:spacing w:before="100" w:beforeAutospacing="1" w:after="100" w:afterAutospacing="1" w:line="360" w:lineRule="auto"/>
        <w:rPr>
          <w:rFonts w:ascii="Times New Roman" w:hAnsi="Times New Roman"/>
          <w:lang w:val="en-HK"/>
        </w:rPr>
      </w:pPr>
      <w:r w:rsidRPr="009613AC">
        <w:rPr>
          <w:rFonts w:ascii="Times New Roman" w:hAnsi="Times New Roman"/>
          <w:b/>
          <w:bCs/>
          <w:lang w:val="en-HK"/>
        </w:rPr>
        <w:t>Articles 45–48 TFEU</w:t>
      </w:r>
      <w:r w:rsidRPr="009613AC">
        <w:rPr>
          <w:rFonts w:ascii="Times New Roman" w:hAnsi="Times New Roman"/>
          <w:lang w:val="en-HK"/>
        </w:rPr>
        <w:t>: Focused on workers.</w:t>
      </w:r>
    </w:p>
    <w:p w14:paraId="23F0B08B" w14:textId="77777777" w:rsidR="009613AC" w:rsidRPr="009613AC" w:rsidRDefault="009613AC" w:rsidP="006533FF">
      <w:pPr>
        <w:numPr>
          <w:ilvl w:val="2"/>
          <w:numId w:val="1"/>
        </w:numPr>
        <w:spacing w:before="100" w:beforeAutospacing="1" w:after="100" w:afterAutospacing="1" w:line="360" w:lineRule="auto"/>
        <w:rPr>
          <w:rFonts w:ascii="Times New Roman" w:hAnsi="Times New Roman"/>
          <w:lang w:val="en-HK"/>
        </w:rPr>
      </w:pPr>
      <w:r w:rsidRPr="009613AC">
        <w:rPr>
          <w:rFonts w:ascii="Times New Roman" w:hAnsi="Times New Roman"/>
          <w:b/>
          <w:bCs/>
          <w:lang w:val="en-HK"/>
        </w:rPr>
        <w:t>Articles 49–55 TFEU</w:t>
      </w:r>
      <w:r w:rsidRPr="009613AC">
        <w:rPr>
          <w:rFonts w:ascii="Times New Roman" w:hAnsi="Times New Roman"/>
          <w:lang w:val="en-HK"/>
        </w:rPr>
        <w:t>: Pertaining to self-employed individuals, companies, and agencies.</w:t>
      </w:r>
    </w:p>
    <w:p w14:paraId="63B19664" w14:textId="77777777" w:rsidR="009613AC" w:rsidRPr="009613AC" w:rsidRDefault="009613AC" w:rsidP="006533FF">
      <w:pPr>
        <w:numPr>
          <w:ilvl w:val="2"/>
          <w:numId w:val="1"/>
        </w:numPr>
        <w:spacing w:before="100" w:beforeAutospacing="1" w:after="100" w:afterAutospacing="1" w:line="360" w:lineRule="auto"/>
        <w:rPr>
          <w:rFonts w:ascii="Times New Roman" w:hAnsi="Times New Roman"/>
          <w:lang w:val="en-HK"/>
        </w:rPr>
      </w:pPr>
      <w:r w:rsidRPr="009613AC">
        <w:rPr>
          <w:rFonts w:ascii="Times New Roman" w:hAnsi="Times New Roman"/>
          <w:b/>
          <w:bCs/>
          <w:lang w:val="en-HK"/>
        </w:rPr>
        <w:t>Articles 56–62 TFEU</w:t>
      </w:r>
      <w:r w:rsidRPr="009613AC">
        <w:rPr>
          <w:rFonts w:ascii="Times New Roman" w:hAnsi="Times New Roman"/>
          <w:lang w:val="en-HK"/>
        </w:rPr>
        <w:t>: Governing service providers and recipients.</w:t>
      </w:r>
    </w:p>
    <w:p w14:paraId="2EE368A0" w14:textId="77777777" w:rsidR="009613AC" w:rsidRPr="009613AC" w:rsidRDefault="009613AC" w:rsidP="006533FF">
      <w:pPr>
        <w:spacing w:before="100" w:beforeAutospacing="1" w:after="100" w:afterAutospacing="1" w:line="360" w:lineRule="auto"/>
        <w:rPr>
          <w:rFonts w:ascii="Times New Roman" w:hAnsi="Times New Roman"/>
          <w:lang w:val="en-HK"/>
        </w:rPr>
      </w:pPr>
      <w:r w:rsidRPr="009613AC">
        <w:rPr>
          <w:rFonts w:ascii="Times New Roman" w:hAnsi="Times New Roman"/>
          <w:lang w:val="en-HK"/>
        </w:rPr>
        <w:t>These rights were not universal but contingent upon economic activity. As the Court emphasized, these rights were coupled with derogations on grounds of public policy, security, and health. Additionally, there were tailored exceptions for public service employment.</w:t>
      </w:r>
    </w:p>
    <w:p w14:paraId="653183FC" w14:textId="77777777" w:rsidR="009613AC" w:rsidRPr="009613AC" w:rsidRDefault="009613AC" w:rsidP="006533FF">
      <w:pPr>
        <w:numPr>
          <w:ilvl w:val="0"/>
          <w:numId w:val="1"/>
        </w:numPr>
        <w:spacing w:before="100" w:beforeAutospacing="1" w:after="100" w:afterAutospacing="1" w:line="360" w:lineRule="auto"/>
        <w:rPr>
          <w:rFonts w:ascii="Times New Roman" w:hAnsi="Times New Roman"/>
          <w:lang w:val="en-HK"/>
        </w:rPr>
      </w:pPr>
      <w:r w:rsidRPr="009613AC">
        <w:rPr>
          <w:rFonts w:ascii="Times New Roman" w:hAnsi="Times New Roman"/>
          <w:b/>
          <w:bCs/>
          <w:lang w:val="en-HK"/>
        </w:rPr>
        <w:t>Non-Discrimination as a Foundational Principle</w:t>
      </w:r>
      <w:r w:rsidRPr="009613AC">
        <w:rPr>
          <w:rFonts w:ascii="Times New Roman" w:hAnsi="Times New Roman"/>
          <w:lang w:val="en-HK"/>
        </w:rPr>
        <w:t>:</w:t>
      </w:r>
    </w:p>
    <w:p w14:paraId="37A14DCA" w14:textId="77777777" w:rsidR="009613AC" w:rsidRPr="009613AC" w:rsidRDefault="009613AC" w:rsidP="006533FF">
      <w:pPr>
        <w:spacing w:before="100" w:beforeAutospacing="1" w:after="100" w:afterAutospacing="1" w:line="360" w:lineRule="auto"/>
        <w:rPr>
          <w:rFonts w:ascii="Times New Roman" w:hAnsi="Times New Roman"/>
          <w:lang w:val="en-HK"/>
        </w:rPr>
      </w:pPr>
      <w:r w:rsidRPr="009613AC">
        <w:rPr>
          <w:rFonts w:ascii="Times New Roman" w:hAnsi="Times New Roman"/>
          <w:lang w:val="en-HK"/>
        </w:rPr>
        <w:t xml:space="preserve">The </w:t>
      </w:r>
      <w:r w:rsidRPr="009613AC">
        <w:rPr>
          <w:rFonts w:ascii="Times New Roman" w:hAnsi="Times New Roman"/>
          <w:b/>
          <w:bCs/>
          <w:lang w:val="en-HK"/>
        </w:rPr>
        <w:t>principle of equal treatment</w:t>
      </w:r>
      <w:r w:rsidRPr="009613AC">
        <w:rPr>
          <w:rFonts w:ascii="Times New Roman" w:hAnsi="Times New Roman"/>
          <w:lang w:val="en-HK"/>
        </w:rPr>
        <w:t xml:space="preserve"> underpinned Articles 45, 49, and 56 TFEU. Member States retained legislative autonomy provided their rules did not directly or indirectly discriminate against EU migrants. The </w:t>
      </w:r>
      <w:r w:rsidRPr="009613AC">
        <w:rPr>
          <w:rFonts w:ascii="Times New Roman" w:hAnsi="Times New Roman"/>
          <w:b/>
          <w:bCs/>
          <w:lang w:val="en-HK"/>
        </w:rPr>
        <w:t xml:space="preserve">case of </w:t>
      </w:r>
      <w:r w:rsidRPr="009613AC">
        <w:rPr>
          <w:rFonts w:ascii="Times New Roman" w:hAnsi="Times New Roman"/>
          <w:b/>
          <w:bCs/>
          <w:i/>
          <w:iCs/>
          <w:lang w:val="en-HK"/>
        </w:rPr>
        <w:t>Royer</w:t>
      </w:r>
      <w:r w:rsidRPr="009613AC">
        <w:rPr>
          <w:rFonts w:ascii="Times New Roman" w:hAnsi="Times New Roman"/>
          <w:lang w:val="en-HK"/>
        </w:rPr>
        <w:t xml:space="preserve"> exemplifies this principle, as the Court stressed equal treatment as a cornerstone of the Treaty.</w:t>
      </w:r>
    </w:p>
    <w:p w14:paraId="4231FFCC" w14:textId="77777777" w:rsidR="009613AC" w:rsidRPr="009613AC" w:rsidRDefault="00DE4581" w:rsidP="006533FF">
      <w:pPr>
        <w:spacing w:line="360" w:lineRule="auto"/>
        <w:rPr>
          <w:rFonts w:ascii="Times New Roman" w:hAnsi="Times New Roman"/>
          <w:lang w:val="en-HK"/>
        </w:rPr>
      </w:pPr>
      <w:r w:rsidRPr="00DE4581">
        <w:rPr>
          <w:rFonts w:ascii="Times New Roman" w:hAnsi="Times New Roman"/>
          <w:noProof/>
          <w:lang w:val="en-HK"/>
          <w14:ligatures w14:val="standardContextual"/>
        </w:rPr>
        <w:pict w14:anchorId="23A55220">
          <v:rect id="_x0000_i1068" alt="" style="width:451.3pt;height:.05pt;mso-width-percent:0;mso-height-percent:0;mso-width-percent:0;mso-height-percent:0" o:hralign="center" o:hrstd="t" o:hr="t" fillcolor="#a0a0a0" stroked="f"/>
        </w:pict>
      </w:r>
    </w:p>
    <w:p w14:paraId="132EFE8B" w14:textId="77777777" w:rsidR="009613AC" w:rsidRPr="009613AC" w:rsidRDefault="009613AC" w:rsidP="006533FF">
      <w:pPr>
        <w:spacing w:before="100" w:beforeAutospacing="1" w:after="100" w:afterAutospacing="1" w:line="360" w:lineRule="auto"/>
        <w:outlineLvl w:val="3"/>
        <w:rPr>
          <w:rFonts w:ascii="Times New Roman" w:hAnsi="Times New Roman"/>
          <w:b/>
          <w:bCs/>
          <w:lang w:val="en-HK"/>
        </w:rPr>
      </w:pPr>
      <w:r w:rsidRPr="009613AC">
        <w:rPr>
          <w:rFonts w:ascii="Times New Roman" w:hAnsi="Times New Roman"/>
          <w:b/>
          <w:bCs/>
          <w:lang w:val="en-HK"/>
        </w:rPr>
        <w:lastRenderedPageBreak/>
        <w:t>2. Evolution of the Court’s Interpretation: From Non-Discrimination to Market Access</w:t>
      </w:r>
    </w:p>
    <w:p w14:paraId="0CE7CE46" w14:textId="77777777" w:rsidR="009613AC" w:rsidRPr="009613AC" w:rsidRDefault="009613AC" w:rsidP="006533FF">
      <w:pPr>
        <w:numPr>
          <w:ilvl w:val="0"/>
          <w:numId w:val="2"/>
        </w:numPr>
        <w:spacing w:before="100" w:beforeAutospacing="1" w:after="100" w:afterAutospacing="1" w:line="360" w:lineRule="auto"/>
        <w:rPr>
          <w:rFonts w:ascii="Times New Roman" w:hAnsi="Times New Roman"/>
          <w:lang w:val="en-HK"/>
        </w:rPr>
      </w:pPr>
      <w:r w:rsidRPr="009613AC">
        <w:rPr>
          <w:rFonts w:ascii="Times New Roman" w:hAnsi="Times New Roman"/>
          <w:b/>
          <w:bCs/>
          <w:lang w:val="en-HK"/>
        </w:rPr>
        <w:t>Initial Non-Discrimination Model</w:t>
      </w:r>
      <w:r w:rsidRPr="009613AC">
        <w:rPr>
          <w:rFonts w:ascii="Times New Roman" w:hAnsi="Times New Roman"/>
          <w:lang w:val="en-HK"/>
        </w:rPr>
        <w:t>:</w:t>
      </w:r>
    </w:p>
    <w:p w14:paraId="33E11A9D" w14:textId="77777777" w:rsidR="009613AC" w:rsidRPr="009613AC" w:rsidRDefault="009613AC" w:rsidP="006533FF">
      <w:pPr>
        <w:spacing w:before="100" w:beforeAutospacing="1" w:after="100" w:afterAutospacing="1" w:line="360" w:lineRule="auto"/>
        <w:rPr>
          <w:rFonts w:ascii="Times New Roman" w:hAnsi="Times New Roman"/>
          <w:lang w:val="en-HK"/>
        </w:rPr>
      </w:pPr>
      <w:r w:rsidRPr="009613AC">
        <w:rPr>
          <w:rFonts w:ascii="Times New Roman" w:hAnsi="Times New Roman"/>
          <w:lang w:val="en-HK"/>
        </w:rPr>
        <w:t xml:space="preserve">The principle of non-discrimination prohibited Member States from treating nationals of other Member States less </w:t>
      </w:r>
      <w:proofErr w:type="spellStart"/>
      <w:r w:rsidRPr="009613AC">
        <w:rPr>
          <w:rFonts w:ascii="Times New Roman" w:hAnsi="Times New Roman"/>
          <w:lang w:val="en-HK"/>
        </w:rPr>
        <w:t>favorably</w:t>
      </w:r>
      <w:proofErr w:type="spellEnd"/>
      <w:r w:rsidRPr="009613AC">
        <w:rPr>
          <w:rFonts w:ascii="Times New Roman" w:hAnsi="Times New Roman"/>
          <w:lang w:val="en-HK"/>
        </w:rPr>
        <w:t xml:space="preserve"> than their own citizens in comparable situations. This standard was critical in cases like:</w:t>
      </w:r>
    </w:p>
    <w:p w14:paraId="5DC6C1F0" w14:textId="77777777" w:rsidR="009613AC" w:rsidRPr="009613AC" w:rsidRDefault="009613AC" w:rsidP="006533FF">
      <w:pPr>
        <w:numPr>
          <w:ilvl w:val="2"/>
          <w:numId w:val="2"/>
        </w:numPr>
        <w:spacing w:before="100" w:beforeAutospacing="1" w:after="100" w:afterAutospacing="1" w:line="360" w:lineRule="auto"/>
        <w:rPr>
          <w:rFonts w:ascii="Times New Roman" w:hAnsi="Times New Roman"/>
          <w:lang w:val="en-HK"/>
        </w:rPr>
      </w:pPr>
      <w:proofErr w:type="spellStart"/>
      <w:r w:rsidRPr="009613AC">
        <w:rPr>
          <w:rFonts w:ascii="Times New Roman" w:hAnsi="Times New Roman"/>
          <w:b/>
          <w:bCs/>
          <w:lang w:val="en-HK"/>
        </w:rPr>
        <w:t>Reyners</w:t>
      </w:r>
      <w:proofErr w:type="spellEnd"/>
      <w:r w:rsidRPr="009613AC">
        <w:rPr>
          <w:rFonts w:ascii="Times New Roman" w:hAnsi="Times New Roman"/>
          <w:b/>
          <w:bCs/>
          <w:lang w:val="en-HK"/>
        </w:rPr>
        <w:t xml:space="preserve"> v Belgium (Case 2/74)</w:t>
      </w:r>
      <w:r w:rsidRPr="009613AC">
        <w:rPr>
          <w:rFonts w:ascii="Times New Roman" w:hAnsi="Times New Roman"/>
          <w:lang w:val="en-HK"/>
        </w:rPr>
        <w:t>: The Belgian nationality requirement for practicing law was deemed discriminatory and a breach of Article 49 TFEU.</w:t>
      </w:r>
    </w:p>
    <w:p w14:paraId="2D0B0A47" w14:textId="77777777" w:rsidR="009613AC" w:rsidRPr="009613AC" w:rsidRDefault="009613AC" w:rsidP="006533FF">
      <w:pPr>
        <w:numPr>
          <w:ilvl w:val="2"/>
          <w:numId w:val="2"/>
        </w:numPr>
        <w:spacing w:before="100" w:beforeAutospacing="1" w:after="100" w:afterAutospacing="1" w:line="360" w:lineRule="auto"/>
        <w:rPr>
          <w:rFonts w:ascii="Times New Roman" w:hAnsi="Times New Roman"/>
          <w:lang w:val="en-HK"/>
        </w:rPr>
      </w:pPr>
      <w:proofErr w:type="spellStart"/>
      <w:r w:rsidRPr="009613AC">
        <w:rPr>
          <w:rFonts w:ascii="Times New Roman" w:hAnsi="Times New Roman"/>
          <w:b/>
          <w:bCs/>
          <w:lang w:val="en-HK"/>
        </w:rPr>
        <w:t>Sotgiu</w:t>
      </w:r>
      <w:proofErr w:type="spellEnd"/>
      <w:r w:rsidRPr="009613AC">
        <w:rPr>
          <w:rFonts w:ascii="Times New Roman" w:hAnsi="Times New Roman"/>
          <w:b/>
          <w:bCs/>
          <w:lang w:val="en-HK"/>
        </w:rPr>
        <w:t xml:space="preserve"> v Deutsche </w:t>
      </w:r>
      <w:proofErr w:type="spellStart"/>
      <w:r w:rsidRPr="009613AC">
        <w:rPr>
          <w:rFonts w:ascii="Times New Roman" w:hAnsi="Times New Roman"/>
          <w:b/>
          <w:bCs/>
          <w:lang w:val="en-HK"/>
        </w:rPr>
        <w:t>Bundespost</w:t>
      </w:r>
      <w:proofErr w:type="spellEnd"/>
      <w:r w:rsidRPr="009613AC">
        <w:rPr>
          <w:rFonts w:ascii="Times New Roman" w:hAnsi="Times New Roman"/>
          <w:b/>
          <w:bCs/>
          <w:lang w:val="en-HK"/>
        </w:rPr>
        <w:t xml:space="preserve"> (Case 152/73)</w:t>
      </w:r>
      <w:r w:rsidRPr="009613AC">
        <w:rPr>
          <w:rFonts w:ascii="Times New Roman" w:hAnsi="Times New Roman"/>
          <w:lang w:val="en-HK"/>
        </w:rPr>
        <w:t>: The Court held that indirect forms of discrimination, such as criteria that disproportionately affect non-nationals, also violated the Treaty.</w:t>
      </w:r>
    </w:p>
    <w:p w14:paraId="1B960376" w14:textId="77777777" w:rsidR="009613AC" w:rsidRPr="009613AC" w:rsidRDefault="009613AC" w:rsidP="006533FF">
      <w:pPr>
        <w:numPr>
          <w:ilvl w:val="0"/>
          <w:numId w:val="2"/>
        </w:numPr>
        <w:spacing w:before="100" w:beforeAutospacing="1" w:after="100" w:afterAutospacing="1" w:line="360" w:lineRule="auto"/>
        <w:rPr>
          <w:rFonts w:ascii="Times New Roman" w:hAnsi="Times New Roman"/>
          <w:lang w:val="en-HK"/>
        </w:rPr>
      </w:pPr>
      <w:r w:rsidRPr="009613AC">
        <w:rPr>
          <w:rFonts w:ascii="Times New Roman" w:hAnsi="Times New Roman"/>
          <w:b/>
          <w:bCs/>
          <w:lang w:val="en-HK"/>
        </w:rPr>
        <w:t>Shift Towards Market Access</w:t>
      </w:r>
      <w:r w:rsidRPr="009613AC">
        <w:rPr>
          <w:rFonts w:ascii="Times New Roman" w:hAnsi="Times New Roman"/>
          <w:lang w:val="en-HK"/>
        </w:rPr>
        <w:t>:</w:t>
      </w:r>
    </w:p>
    <w:p w14:paraId="650F8C26" w14:textId="77777777" w:rsidR="009613AC" w:rsidRPr="009613AC" w:rsidRDefault="009613AC" w:rsidP="006533FF">
      <w:pPr>
        <w:spacing w:before="100" w:beforeAutospacing="1" w:after="100" w:afterAutospacing="1" w:line="360" w:lineRule="auto"/>
        <w:rPr>
          <w:rFonts w:ascii="Times New Roman" w:hAnsi="Times New Roman"/>
          <w:lang w:val="en-HK"/>
        </w:rPr>
      </w:pPr>
      <w:r w:rsidRPr="009613AC">
        <w:rPr>
          <w:rFonts w:ascii="Times New Roman" w:hAnsi="Times New Roman"/>
          <w:lang w:val="en-HK"/>
        </w:rPr>
        <w:t xml:space="preserve">The Court’s jurisprudence evolved to encompass </w:t>
      </w:r>
      <w:r w:rsidRPr="009613AC">
        <w:rPr>
          <w:rFonts w:ascii="Times New Roman" w:hAnsi="Times New Roman"/>
          <w:b/>
          <w:bCs/>
          <w:lang w:val="en-HK"/>
        </w:rPr>
        <w:t>non-discriminatory measures</w:t>
      </w:r>
      <w:r w:rsidRPr="009613AC">
        <w:rPr>
          <w:rFonts w:ascii="Times New Roman" w:hAnsi="Times New Roman"/>
          <w:lang w:val="en-HK"/>
        </w:rPr>
        <w:t xml:space="preserve"> that hinder market access. Returning to the language of </w:t>
      </w:r>
      <w:r w:rsidRPr="009613AC">
        <w:rPr>
          <w:rFonts w:ascii="Times New Roman" w:hAnsi="Times New Roman"/>
          <w:b/>
          <w:bCs/>
          <w:lang w:val="en-HK"/>
        </w:rPr>
        <w:t>Article 3(1)(c) EEC</w:t>
      </w:r>
      <w:r w:rsidRPr="009613AC">
        <w:rPr>
          <w:rFonts w:ascii="Times New Roman" w:hAnsi="Times New Roman"/>
          <w:lang w:val="en-HK"/>
        </w:rPr>
        <w:t>, the Court began to focus on removing “obstacles” to free movement. This broader interpretation threatened Member State autonomy but was seen as essential for the creation of a single market.</w:t>
      </w:r>
    </w:p>
    <w:p w14:paraId="2080762F" w14:textId="77777777" w:rsidR="009613AC" w:rsidRPr="009613AC" w:rsidRDefault="009613AC" w:rsidP="006533FF">
      <w:pPr>
        <w:spacing w:before="100" w:beforeAutospacing="1" w:after="100" w:afterAutospacing="1" w:line="360" w:lineRule="auto"/>
        <w:rPr>
          <w:rFonts w:ascii="Times New Roman" w:hAnsi="Times New Roman"/>
          <w:lang w:val="en-HK"/>
        </w:rPr>
      </w:pPr>
      <w:r w:rsidRPr="009613AC">
        <w:rPr>
          <w:rFonts w:ascii="Times New Roman" w:hAnsi="Times New Roman"/>
          <w:lang w:val="en-HK"/>
        </w:rPr>
        <w:t xml:space="preserve">In </w:t>
      </w:r>
      <w:proofErr w:type="spellStart"/>
      <w:r w:rsidRPr="009613AC">
        <w:rPr>
          <w:rFonts w:ascii="Times New Roman" w:hAnsi="Times New Roman"/>
          <w:b/>
          <w:bCs/>
          <w:lang w:val="en-HK"/>
        </w:rPr>
        <w:t>Säger</w:t>
      </w:r>
      <w:proofErr w:type="spellEnd"/>
      <w:r w:rsidRPr="009613AC">
        <w:rPr>
          <w:rFonts w:ascii="Times New Roman" w:hAnsi="Times New Roman"/>
          <w:b/>
          <w:bCs/>
          <w:lang w:val="en-HK"/>
        </w:rPr>
        <w:t xml:space="preserve"> v </w:t>
      </w:r>
      <w:proofErr w:type="spellStart"/>
      <w:r w:rsidRPr="009613AC">
        <w:rPr>
          <w:rFonts w:ascii="Times New Roman" w:hAnsi="Times New Roman"/>
          <w:b/>
          <w:bCs/>
          <w:lang w:val="en-HK"/>
        </w:rPr>
        <w:t>Dennemeyer</w:t>
      </w:r>
      <w:proofErr w:type="spellEnd"/>
      <w:r w:rsidRPr="009613AC">
        <w:rPr>
          <w:rFonts w:ascii="Times New Roman" w:hAnsi="Times New Roman"/>
          <w:b/>
          <w:bCs/>
          <w:lang w:val="en-HK"/>
        </w:rPr>
        <w:t xml:space="preserve"> (Case C-76/90)</w:t>
      </w:r>
      <w:r w:rsidRPr="009613AC">
        <w:rPr>
          <w:rFonts w:ascii="Times New Roman" w:hAnsi="Times New Roman"/>
          <w:lang w:val="en-HK"/>
        </w:rPr>
        <w:t>, the Court held that Article 56 TFEU prohibited not only discriminatory measures but also restrictions liable to impede or render the exercise of free movement less attractive.</w:t>
      </w:r>
    </w:p>
    <w:p w14:paraId="7B429D85" w14:textId="77777777" w:rsidR="009613AC" w:rsidRPr="009613AC" w:rsidRDefault="00DE4581" w:rsidP="006533FF">
      <w:pPr>
        <w:spacing w:line="360" w:lineRule="auto"/>
        <w:rPr>
          <w:rFonts w:ascii="Times New Roman" w:hAnsi="Times New Roman"/>
          <w:lang w:val="en-HK"/>
        </w:rPr>
      </w:pPr>
      <w:r w:rsidRPr="00DE4581">
        <w:rPr>
          <w:rFonts w:ascii="Times New Roman" w:hAnsi="Times New Roman"/>
          <w:noProof/>
          <w:lang w:val="en-HK"/>
          <w14:ligatures w14:val="standardContextual"/>
        </w:rPr>
        <w:pict w14:anchorId="184C5F0F">
          <v:rect id="_x0000_i1067" alt="" style="width:451.3pt;height:.05pt;mso-width-percent:0;mso-height-percent:0;mso-width-percent:0;mso-height-percent:0" o:hralign="center" o:hrstd="t" o:hr="t" fillcolor="#a0a0a0" stroked="f"/>
        </w:pict>
      </w:r>
    </w:p>
    <w:p w14:paraId="45A1FD37" w14:textId="77777777" w:rsidR="009613AC" w:rsidRPr="009613AC" w:rsidRDefault="009613AC" w:rsidP="006533FF">
      <w:pPr>
        <w:spacing w:before="100" w:beforeAutospacing="1" w:after="100" w:afterAutospacing="1" w:line="360" w:lineRule="auto"/>
        <w:outlineLvl w:val="3"/>
        <w:rPr>
          <w:rFonts w:ascii="Times New Roman" w:hAnsi="Times New Roman"/>
          <w:b/>
          <w:bCs/>
          <w:lang w:val="en-HK"/>
        </w:rPr>
      </w:pPr>
      <w:r w:rsidRPr="009613AC">
        <w:rPr>
          <w:rFonts w:ascii="Times New Roman" w:hAnsi="Times New Roman"/>
          <w:b/>
          <w:bCs/>
          <w:lang w:val="en-HK"/>
        </w:rPr>
        <w:t>3. The Role of Public Policy, Security, and Health Derogations</w:t>
      </w:r>
    </w:p>
    <w:p w14:paraId="727BF13B" w14:textId="77777777" w:rsidR="009613AC" w:rsidRPr="009613AC" w:rsidRDefault="009613AC" w:rsidP="006533FF">
      <w:pPr>
        <w:numPr>
          <w:ilvl w:val="0"/>
          <w:numId w:val="3"/>
        </w:numPr>
        <w:spacing w:before="100" w:beforeAutospacing="1" w:after="100" w:afterAutospacing="1" w:line="360" w:lineRule="auto"/>
        <w:rPr>
          <w:rFonts w:ascii="Times New Roman" w:hAnsi="Times New Roman"/>
          <w:lang w:val="en-HK"/>
        </w:rPr>
      </w:pPr>
      <w:r w:rsidRPr="009613AC">
        <w:rPr>
          <w:rFonts w:ascii="Times New Roman" w:hAnsi="Times New Roman"/>
          <w:b/>
          <w:bCs/>
          <w:lang w:val="en-HK"/>
        </w:rPr>
        <w:t>Public Policy Exception</w:t>
      </w:r>
      <w:r w:rsidRPr="009613AC">
        <w:rPr>
          <w:rFonts w:ascii="Times New Roman" w:hAnsi="Times New Roman"/>
          <w:lang w:val="en-HK"/>
        </w:rPr>
        <w:t>:</w:t>
      </w:r>
    </w:p>
    <w:p w14:paraId="17E264DD" w14:textId="77777777" w:rsidR="009613AC" w:rsidRPr="009613AC" w:rsidRDefault="009613AC" w:rsidP="006533FF">
      <w:pPr>
        <w:spacing w:before="100" w:beforeAutospacing="1" w:after="100" w:afterAutospacing="1" w:line="360" w:lineRule="auto"/>
        <w:rPr>
          <w:rFonts w:ascii="Times New Roman" w:hAnsi="Times New Roman"/>
          <w:lang w:val="en-HK"/>
        </w:rPr>
      </w:pPr>
      <w:r w:rsidRPr="009613AC">
        <w:rPr>
          <w:rFonts w:ascii="Times New Roman" w:hAnsi="Times New Roman"/>
          <w:lang w:val="en-HK"/>
        </w:rPr>
        <w:t xml:space="preserve">Member States retained the right to impose restrictions on free movement under derogations such as public policy, security, and health. However, these derogations were subject to </w:t>
      </w:r>
      <w:r w:rsidRPr="009613AC">
        <w:rPr>
          <w:rFonts w:ascii="Times New Roman" w:hAnsi="Times New Roman"/>
          <w:b/>
          <w:bCs/>
          <w:lang w:val="en-HK"/>
        </w:rPr>
        <w:t>proportionality tests</w:t>
      </w:r>
      <w:r w:rsidRPr="009613AC">
        <w:rPr>
          <w:rFonts w:ascii="Times New Roman" w:hAnsi="Times New Roman"/>
          <w:lang w:val="en-HK"/>
        </w:rPr>
        <w:t>.</w:t>
      </w:r>
    </w:p>
    <w:p w14:paraId="6344327F" w14:textId="77777777" w:rsidR="009613AC" w:rsidRPr="009613AC" w:rsidRDefault="009613AC" w:rsidP="006533FF">
      <w:pPr>
        <w:spacing w:before="100" w:beforeAutospacing="1" w:after="100" w:afterAutospacing="1" w:line="360" w:lineRule="auto"/>
        <w:rPr>
          <w:rFonts w:ascii="Times New Roman" w:hAnsi="Times New Roman"/>
          <w:lang w:val="en-HK"/>
        </w:rPr>
      </w:pPr>
      <w:r w:rsidRPr="009613AC">
        <w:rPr>
          <w:rFonts w:ascii="Times New Roman" w:hAnsi="Times New Roman"/>
          <w:b/>
          <w:bCs/>
          <w:lang w:val="en-HK"/>
        </w:rPr>
        <w:t xml:space="preserve">Van </w:t>
      </w:r>
      <w:proofErr w:type="spellStart"/>
      <w:r w:rsidRPr="009613AC">
        <w:rPr>
          <w:rFonts w:ascii="Times New Roman" w:hAnsi="Times New Roman"/>
          <w:b/>
          <w:bCs/>
          <w:lang w:val="en-HK"/>
        </w:rPr>
        <w:t>Duyn</w:t>
      </w:r>
      <w:proofErr w:type="spellEnd"/>
      <w:r w:rsidRPr="009613AC">
        <w:rPr>
          <w:rFonts w:ascii="Times New Roman" w:hAnsi="Times New Roman"/>
          <w:b/>
          <w:bCs/>
          <w:lang w:val="en-HK"/>
        </w:rPr>
        <w:t xml:space="preserve"> v Home Office (Case 41/74)</w:t>
      </w:r>
      <w:r w:rsidRPr="009613AC">
        <w:rPr>
          <w:rFonts w:ascii="Times New Roman" w:hAnsi="Times New Roman"/>
          <w:lang w:val="en-HK"/>
        </w:rPr>
        <w:t>:</w:t>
      </w:r>
    </w:p>
    <w:p w14:paraId="4A522587" w14:textId="77777777" w:rsidR="009613AC" w:rsidRPr="009613AC" w:rsidRDefault="009613AC" w:rsidP="006533FF">
      <w:pPr>
        <w:numPr>
          <w:ilvl w:val="2"/>
          <w:numId w:val="3"/>
        </w:numPr>
        <w:spacing w:before="100" w:beforeAutospacing="1" w:after="100" w:afterAutospacing="1" w:line="360" w:lineRule="auto"/>
        <w:rPr>
          <w:rFonts w:ascii="Times New Roman" w:hAnsi="Times New Roman"/>
          <w:lang w:val="en-HK"/>
        </w:rPr>
      </w:pPr>
      <w:r w:rsidRPr="009613AC">
        <w:rPr>
          <w:rFonts w:ascii="Times New Roman" w:hAnsi="Times New Roman"/>
          <w:lang w:val="en-HK"/>
        </w:rPr>
        <w:lastRenderedPageBreak/>
        <w:t>Facts: A Dutch national was denied entry to the UK due to her association with the Church of Scientology.</w:t>
      </w:r>
    </w:p>
    <w:p w14:paraId="4C767B64" w14:textId="77777777" w:rsidR="009613AC" w:rsidRPr="009613AC" w:rsidRDefault="009613AC" w:rsidP="006533FF">
      <w:pPr>
        <w:numPr>
          <w:ilvl w:val="2"/>
          <w:numId w:val="3"/>
        </w:numPr>
        <w:spacing w:before="100" w:beforeAutospacing="1" w:after="100" w:afterAutospacing="1" w:line="360" w:lineRule="auto"/>
        <w:rPr>
          <w:rFonts w:ascii="Times New Roman" w:hAnsi="Times New Roman"/>
          <w:lang w:val="en-HK"/>
        </w:rPr>
      </w:pPr>
      <w:r w:rsidRPr="009613AC">
        <w:rPr>
          <w:rFonts w:ascii="Times New Roman" w:hAnsi="Times New Roman"/>
          <w:lang w:val="en-HK"/>
        </w:rPr>
        <w:t>Decision: The Court allowed the UK to restrict free movement on public policy grounds but emphasized that such measures must comply with proportionality principles.</w:t>
      </w:r>
    </w:p>
    <w:p w14:paraId="786892E0" w14:textId="77777777" w:rsidR="009613AC" w:rsidRPr="009613AC" w:rsidRDefault="009613AC" w:rsidP="006533FF">
      <w:pPr>
        <w:numPr>
          <w:ilvl w:val="0"/>
          <w:numId w:val="3"/>
        </w:numPr>
        <w:spacing w:before="100" w:beforeAutospacing="1" w:after="100" w:afterAutospacing="1" w:line="360" w:lineRule="auto"/>
        <w:rPr>
          <w:rFonts w:ascii="Times New Roman" w:hAnsi="Times New Roman"/>
          <w:lang w:val="en-HK"/>
        </w:rPr>
      </w:pPr>
      <w:r w:rsidRPr="009613AC">
        <w:rPr>
          <w:rFonts w:ascii="Times New Roman" w:hAnsi="Times New Roman"/>
          <w:b/>
          <w:bCs/>
          <w:lang w:val="en-HK"/>
        </w:rPr>
        <w:t>Fundamental Rights Limitations</w:t>
      </w:r>
      <w:r w:rsidRPr="009613AC">
        <w:rPr>
          <w:rFonts w:ascii="Times New Roman" w:hAnsi="Times New Roman"/>
          <w:lang w:val="en-HK"/>
        </w:rPr>
        <w:t>:</w:t>
      </w:r>
    </w:p>
    <w:p w14:paraId="5ED79CA0" w14:textId="77777777" w:rsidR="009613AC" w:rsidRPr="009613AC" w:rsidRDefault="009613AC" w:rsidP="006533FF">
      <w:pPr>
        <w:spacing w:before="100" w:beforeAutospacing="1" w:after="100" w:afterAutospacing="1" w:line="360" w:lineRule="auto"/>
        <w:rPr>
          <w:rFonts w:ascii="Times New Roman" w:hAnsi="Times New Roman"/>
          <w:lang w:val="en-HK"/>
        </w:rPr>
      </w:pPr>
      <w:r w:rsidRPr="009613AC">
        <w:rPr>
          <w:rFonts w:ascii="Times New Roman" w:hAnsi="Times New Roman"/>
          <w:lang w:val="en-HK"/>
        </w:rPr>
        <w:t>Public policy derogations must align with fundamental human rights. This limitation ensures that Member States do not exploit derogations to unjustifiably restrict free movement.</w:t>
      </w:r>
    </w:p>
    <w:p w14:paraId="10A08CB4" w14:textId="77777777" w:rsidR="009613AC" w:rsidRPr="009613AC" w:rsidRDefault="00DE4581" w:rsidP="006533FF">
      <w:pPr>
        <w:spacing w:line="360" w:lineRule="auto"/>
        <w:rPr>
          <w:rFonts w:ascii="Times New Roman" w:hAnsi="Times New Roman"/>
          <w:lang w:val="en-HK"/>
        </w:rPr>
      </w:pPr>
      <w:r w:rsidRPr="00DE4581">
        <w:rPr>
          <w:rFonts w:ascii="Times New Roman" w:hAnsi="Times New Roman"/>
          <w:noProof/>
          <w:lang w:val="en-HK"/>
          <w14:ligatures w14:val="standardContextual"/>
        </w:rPr>
        <w:pict w14:anchorId="44E7763A">
          <v:rect id="_x0000_i1066" alt="" style="width:451.3pt;height:.05pt;mso-width-percent:0;mso-height-percent:0;mso-width-percent:0;mso-height-percent:0" o:hralign="center" o:hrstd="t" o:hr="t" fillcolor="#a0a0a0" stroked="f"/>
        </w:pict>
      </w:r>
    </w:p>
    <w:p w14:paraId="7A42A26A" w14:textId="77777777" w:rsidR="009613AC" w:rsidRPr="009613AC" w:rsidRDefault="009613AC" w:rsidP="006533FF">
      <w:pPr>
        <w:spacing w:before="100" w:beforeAutospacing="1" w:after="100" w:afterAutospacing="1" w:line="360" w:lineRule="auto"/>
        <w:outlineLvl w:val="3"/>
        <w:rPr>
          <w:rFonts w:ascii="Times New Roman" w:hAnsi="Times New Roman"/>
          <w:b/>
          <w:bCs/>
          <w:lang w:val="en-HK"/>
        </w:rPr>
      </w:pPr>
      <w:r w:rsidRPr="009613AC">
        <w:rPr>
          <w:rFonts w:ascii="Times New Roman" w:hAnsi="Times New Roman"/>
          <w:b/>
          <w:bCs/>
          <w:lang w:val="en-HK"/>
        </w:rPr>
        <w:t>4. Challenges and Threats to Legislative Autonomy</w:t>
      </w:r>
    </w:p>
    <w:p w14:paraId="695DB238" w14:textId="77777777" w:rsidR="009613AC" w:rsidRPr="009613AC" w:rsidRDefault="009613AC" w:rsidP="006533FF">
      <w:pPr>
        <w:numPr>
          <w:ilvl w:val="0"/>
          <w:numId w:val="4"/>
        </w:numPr>
        <w:spacing w:before="100" w:beforeAutospacing="1" w:after="100" w:afterAutospacing="1" w:line="360" w:lineRule="auto"/>
        <w:rPr>
          <w:rFonts w:ascii="Times New Roman" w:hAnsi="Times New Roman"/>
          <w:lang w:val="en-HK"/>
        </w:rPr>
      </w:pPr>
      <w:r w:rsidRPr="009613AC">
        <w:rPr>
          <w:rFonts w:ascii="Times New Roman" w:hAnsi="Times New Roman"/>
          <w:b/>
          <w:bCs/>
          <w:lang w:val="en-HK"/>
        </w:rPr>
        <w:t>Increased Threats to Member State Autonomy</w:t>
      </w:r>
      <w:r w:rsidRPr="009613AC">
        <w:rPr>
          <w:rFonts w:ascii="Times New Roman" w:hAnsi="Times New Roman"/>
          <w:lang w:val="en-HK"/>
        </w:rPr>
        <w:t>:</w:t>
      </w:r>
    </w:p>
    <w:p w14:paraId="4A8AF5F8" w14:textId="77777777" w:rsidR="009613AC" w:rsidRPr="009613AC" w:rsidRDefault="009613AC" w:rsidP="006533FF">
      <w:pPr>
        <w:spacing w:before="100" w:beforeAutospacing="1" w:after="100" w:afterAutospacing="1" w:line="360" w:lineRule="auto"/>
        <w:rPr>
          <w:rFonts w:ascii="Times New Roman" w:hAnsi="Times New Roman"/>
          <w:lang w:val="en-HK"/>
        </w:rPr>
      </w:pPr>
      <w:r w:rsidRPr="009613AC">
        <w:rPr>
          <w:rFonts w:ascii="Times New Roman" w:hAnsi="Times New Roman"/>
          <w:lang w:val="en-HK"/>
        </w:rPr>
        <w:t>The Court’s shift from non-discrimination to market access posed significant challenges for Member States. While the non-discrimination model respected domestic legislative autonomy, the market access approach significantly limited the regulatory discretion of Member States.</w:t>
      </w:r>
    </w:p>
    <w:p w14:paraId="500B0CF3" w14:textId="77777777" w:rsidR="009613AC" w:rsidRPr="009613AC" w:rsidRDefault="009613AC" w:rsidP="006533FF">
      <w:pPr>
        <w:numPr>
          <w:ilvl w:val="0"/>
          <w:numId w:val="4"/>
        </w:numPr>
        <w:spacing w:before="100" w:beforeAutospacing="1" w:after="100" w:afterAutospacing="1" w:line="360" w:lineRule="auto"/>
        <w:rPr>
          <w:rFonts w:ascii="Times New Roman" w:hAnsi="Times New Roman"/>
          <w:lang w:val="en-HK"/>
        </w:rPr>
      </w:pPr>
      <w:r w:rsidRPr="009613AC">
        <w:rPr>
          <w:rFonts w:ascii="Times New Roman" w:hAnsi="Times New Roman"/>
          <w:b/>
          <w:bCs/>
          <w:lang w:val="en-HK"/>
        </w:rPr>
        <w:t>Balancing Free Movement with Domestic Interests</w:t>
      </w:r>
      <w:r w:rsidRPr="009613AC">
        <w:rPr>
          <w:rFonts w:ascii="Times New Roman" w:hAnsi="Times New Roman"/>
          <w:lang w:val="en-HK"/>
        </w:rPr>
        <w:t>:</w:t>
      </w:r>
    </w:p>
    <w:p w14:paraId="52FCA8A8" w14:textId="77777777" w:rsidR="009613AC" w:rsidRPr="009613AC" w:rsidRDefault="009613AC" w:rsidP="006533FF">
      <w:pPr>
        <w:spacing w:before="100" w:beforeAutospacing="1" w:after="100" w:afterAutospacing="1" w:line="360" w:lineRule="auto"/>
        <w:rPr>
          <w:rFonts w:ascii="Times New Roman" w:hAnsi="Times New Roman"/>
          <w:lang w:val="en-HK"/>
        </w:rPr>
      </w:pPr>
      <w:r w:rsidRPr="009613AC">
        <w:rPr>
          <w:rFonts w:ascii="Times New Roman" w:hAnsi="Times New Roman"/>
          <w:lang w:val="en-HK"/>
        </w:rPr>
        <w:t>As Barnard notes, the Court’s interpretation of “obstacles” has broader implications for the legislative sovereignty of Member States. Non-discriminatory laws that inadvertently restrict market access may still fall afoul of Treaty provisions, highlighting the tension between EU integration and national autonomy.</w:t>
      </w:r>
    </w:p>
    <w:p w14:paraId="41DF21D4" w14:textId="77777777" w:rsidR="009613AC" w:rsidRPr="009613AC" w:rsidRDefault="00DE4581" w:rsidP="006533FF">
      <w:pPr>
        <w:spacing w:line="360" w:lineRule="auto"/>
        <w:rPr>
          <w:rFonts w:ascii="Times New Roman" w:hAnsi="Times New Roman"/>
          <w:lang w:val="en-HK"/>
        </w:rPr>
      </w:pPr>
      <w:r w:rsidRPr="00DE4581">
        <w:rPr>
          <w:rFonts w:ascii="Times New Roman" w:hAnsi="Times New Roman"/>
          <w:noProof/>
          <w:lang w:val="en-HK"/>
          <w14:ligatures w14:val="standardContextual"/>
        </w:rPr>
        <w:pict w14:anchorId="7EAF5640">
          <v:rect id="_x0000_i1065" alt="" style="width:451.3pt;height:.05pt;mso-width-percent:0;mso-height-percent:0;mso-width-percent:0;mso-height-percent:0" o:hralign="center" o:hrstd="t" o:hr="t" fillcolor="#a0a0a0" stroked="f"/>
        </w:pict>
      </w:r>
    </w:p>
    <w:p w14:paraId="282191F7" w14:textId="77777777" w:rsidR="009613AC" w:rsidRPr="009613AC" w:rsidRDefault="009613AC" w:rsidP="006533FF">
      <w:pPr>
        <w:spacing w:before="100" w:beforeAutospacing="1" w:after="100" w:afterAutospacing="1" w:line="360" w:lineRule="auto"/>
        <w:outlineLvl w:val="3"/>
        <w:rPr>
          <w:rFonts w:ascii="Times New Roman" w:hAnsi="Times New Roman"/>
          <w:b/>
          <w:bCs/>
          <w:lang w:val="en-HK"/>
        </w:rPr>
      </w:pPr>
      <w:r w:rsidRPr="009613AC">
        <w:rPr>
          <w:rFonts w:ascii="Times New Roman" w:hAnsi="Times New Roman"/>
          <w:b/>
          <w:bCs/>
          <w:lang w:val="en-HK"/>
        </w:rPr>
        <w:t>5. Scholarly and Judicial Commentary</w:t>
      </w:r>
    </w:p>
    <w:p w14:paraId="2AE9834E" w14:textId="77777777" w:rsidR="009613AC" w:rsidRPr="009613AC" w:rsidRDefault="009613AC" w:rsidP="006533FF">
      <w:pPr>
        <w:numPr>
          <w:ilvl w:val="0"/>
          <w:numId w:val="5"/>
        </w:numPr>
        <w:spacing w:before="100" w:beforeAutospacing="1" w:after="100" w:afterAutospacing="1" w:line="360" w:lineRule="auto"/>
        <w:rPr>
          <w:rFonts w:ascii="Times New Roman" w:hAnsi="Times New Roman"/>
          <w:lang w:val="en-HK"/>
        </w:rPr>
      </w:pPr>
      <w:r w:rsidRPr="009613AC">
        <w:rPr>
          <w:rFonts w:ascii="Times New Roman" w:hAnsi="Times New Roman"/>
          <w:b/>
          <w:bCs/>
          <w:lang w:val="en-HK"/>
        </w:rPr>
        <w:t>Barnard’s Analysis</w:t>
      </w:r>
      <w:r w:rsidRPr="009613AC">
        <w:rPr>
          <w:rFonts w:ascii="Times New Roman" w:hAnsi="Times New Roman"/>
          <w:lang w:val="en-HK"/>
        </w:rPr>
        <w:t>:</w:t>
      </w:r>
    </w:p>
    <w:p w14:paraId="5B5F0141" w14:textId="77777777" w:rsidR="009613AC" w:rsidRPr="009613AC" w:rsidRDefault="009613AC" w:rsidP="006533FF">
      <w:pPr>
        <w:spacing w:before="100" w:beforeAutospacing="1" w:after="100" w:afterAutospacing="1" w:line="360" w:lineRule="auto"/>
        <w:rPr>
          <w:rFonts w:ascii="Times New Roman" w:hAnsi="Times New Roman"/>
          <w:lang w:val="en-HK"/>
        </w:rPr>
      </w:pPr>
      <w:r w:rsidRPr="009613AC">
        <w:rPr>
          <w:rFonts w:ascii="Times New Roman" w:hAnsi="Times New Roman"/>
          <w:lang w:val="en-HK"/>
        </w:rPr>
        <w:t>Catherine Barnard critiques the Court’s expansive interpretation of free movement rights, particularly its move beyond non-discrimination to encompass all “obstacles” to market access. She underscores the resulting regulatory tension and the potential for overreach.</w:t>
      </w:r>
    </w:p>
    <w:p w14:paraId="66C0041C" w14:textId="77777777" w:rsidR="009613AC" w:rsidRPr="009613AC" w:rsidRDefault="009613AC" w:rsidP="006533FF">
      <w:pPr>
        <w:numPr>
          <w:ilvl w:val="0"/>
          <w:numId w:val="5"/>
        </w:numPr>
        <w:spacing w:before="100" w:beforeAutospacing="1" w:after="100" w:afterAutospacing="1" w:line="360" w:lineRule="auto"/>
        <w:rPr>
          <w:rFonts w:ascii="Times New Roman" w:hAnsi="Times New Roman"/>
          <w:lang w:val="en-HK"/>
        </w:rPr>
      </w:pPr>
      <w:r w:rsidRPr="009613AC">
        <w:rPr>
          <w:rFonts w:ascii="Times New Roman" w:hAnsi="Times New Roman"/>
          <w:b/>
          <w:bCs/>
          <w:lang w:val="en-HK"/>
        </w:rPr>
        <w:lastRenderedPageBreak/>
        <w:t>Case Commentary</w:t>
      </w:r>
      <w:r w:rsidRPr="009613AC">
        <w:rPr>
          <w:rFonts w:ascii="Times New Roman" w:hAnsi="Times New Roman"/>
          <w:lang w:val="en-HK"/>
        </w:rPr>
        <w:t>:</w:t>
      </w:r>
    </w:p>
    <w:p w14:paraId="6F6A9CC8" w14:textId="77777777" w:rsidR="009613AC" w:rsidRPr="009613AC" w:rsidRDefault="009613AC" w:rsidP="006533FF">
      <w:pPr>
        <w:spacing w:before="100" w:beforeAutospacing="1" w:after="100" w:afterAutospacing="1" w:line="360" w:lineRule="auto"/>
        <w:rPr>
          <w:rFonts w:ascii="Times New Roman" w:hAnsi="Times New Roman"/>
          <w:lang w:val="en-HK"/>
        </w:rPr>
      </w:pPr>
      <w:proofErr w:type="spellStart"/>
      <w:r w:rsidRPr="009613AC">
        <w:rPr>
          <w:rFonts w:ascii="Times New Roman" w:hAnsi="Times New Roman"/>
          <w:b/>
          <w:bCs/>
          <w:lang w:val="en-HK"/>
        </w:rPr>
        <w:t>Grzelczyk</w:t>
      </w:r>
      <w:proofErr w:type="spellEnd"/>
      <w:r w:rsidRPr="009613AC">
        <w:rPr>
          <w:rFonts w:ascii="Times New Roman" w:hAnsi="Times New Roman"/>
          <w:b/>
          <w:bCs/>
          <w:lang w:val="en-HK"/>
        </w:rPr>
        <w:t xml:space="preserve"> (Case C-184/99)</w:t>
      </w:r>
      <w:r w:rsidRPr="009613AC">
        <w:rPr>
          <w:rFonts w:ascii="Times New Roman" w:hAnsi="Times New Roman"/>
          <w:lang w:val="en-HK"/>
        </w:rPr>
        <w:t>:</w:t>
      </w:r>
    </w:p>
    <w:p w14:paraId="680D9319" w14:textId="77777777" w:rsidR="009613AC" w:rsidRPr="009613AC" w:rsidRDefault="009613AC" w:rsidP="006533FF">
      <w:pPr>
        <w:spacing w:before="100" w:beforeAutospacing="1" w:after="100" w:afterAutospacing="1" w:line="360" w:lineRule="auto"/>
        <w:rPr>
          <w:rFonts w:ascii="Times New Roman" w:hAnsi="Times New Roman"/>
          <w:lang w:val="en-HK"/>
        </w:rPr>
      </w:pPr>
      <w:r w:rsidRPr="009613AC">
        <w:rPr>
          <w:rFonts w:ascii="Times New Roman" w:hAnsi="Times New Roman"/>
          <w:lang w:val="en-HK"/>
        </w:rPr>
        <w:t>The Court described Union citizenship as the “fundamental status” of Member State nationals, reinforcing the idea that equal treatment must be the norm unless expressly limited by the Treaty.</w:t>
      </w:r>
    </w:p>
    <w:p w14:paraId="6BD11C3E" w14:textId="77777777" w:rsidR="009613AC" w:rsidRPr="009613AC" w:rsidRDefault="009613AC" w:rsidP="006533FF">
      <w:pPr>
        <w:spacing w:before="100" w:beforeAutospacing="1" w:after="100" w:afterAutospacing="1" w:line="360" w:lineRule="auto"/>
        <w:rPr>
          <w:rFonts w:ascii="Times New Roman" w:hAnsi="Times New Roman"/>
          <w:lang w:val="en-HK"/>
        </w:rPr>
      </w:pPr>
      <w:proofErr w:type="spellStart"/>
      <w:r w:rsidRPr="009613AC">
        <w:rPr>
          <w:rFonts w:ascii="Times New Roman" w:hAnsi="Times New Roman"/>
          <w:b/>
          <w:bCs/>
          <w:lang w:val="en-HK"/>
        </w:rPr>
        <w:t>Dassonville</w:t>
      </w:r>
      <w:proofErr w:type="spellEnd"/>
      <w:r w:rsidRPr="009613AC">
        <w:rPr>
          <w:rFonts w:ascii="Times New Roman" w:hAnsi="Times New Roman"/>
          <w:b/>
          <w:bCs/>
          <w:lang w:val="en-HK"/>
        </w:rPr>
        <w:t xml:space="preserve"> (Case 8/74)</w:t>
      </w:r>
      <w:r w:rsidRPr="009613AC">
        <w:rPr>
          <w:rFonts w:ascii="Times New Roman" w:hAnsi="Times New Roman"/>
          <w:lang w:val="en-HK"/>
        </w:rPr>
        <w:t>:</w:t>
      </w:r>
    </w:p>
    <w:p w14:paraId="50356185" w14:textId="77777777" w:rsidR="009613AC" w:rsidRPr="009613AC" w:rsidRDefault="009613AC" w:rsidP="006533FF">
      <w:pPr>
        <w:spacing w:before="100" w:beforeAutospacing="1" w:after="100" w:afterAutospacing="1" w:line="360" w:lineRule="auto"/>
        <w:rPr>
          <w:rFonts w:ascii="Times New Roman" w:hAnsi="Times New Roman"/>
          <w:lang w:val="en-HK"/>
        </w:rPr>
      </w:pPr>
      <w:r w:rsidRPr="009613AC">
        <w:rPr>
          <w:rFonts w:ascii="Times New Roman" w:hAnsi="Times New Roman"/>
          <w:lang w:val="en-HK"/>
        </w:rPr>
        <w:t>Although focused on goods, the Court’s “measure equivalent to a quantitative restriction” doctrine influenced the broader interpretation of free movement.</w:t>
      </w:r>
    </w:p>
    <w:p w14:paraId="2AEB13D8" w14:textId="77777777" w:rsidR="009613AC" w:rsidRPr="009613AC" w:rsidRDefault="00DE4581" w:rsidP="006533FF">
      <w:pPr>
        <w:spacing w:line="360" w:lineRule="auto"/>
        <w:rPr>
          <w:rFonts w:ascii="Times New Roman" w:hAnsi="Times New Roman"/>
          <w:lang w:val="en-HK"/>
        </w:rPr>
      </w:pPr>
      <w:r w:rsidRPr="00DE4581">
        <w:rPr>
          <w:rFonts w:ascii="Times New Roman" w:hAnsi="Times New Roman"/>
          <w:noProof/>
          <w:lang w:val="en-HK"/>
          <w14:ligatures w14:val="standardContextual"/>
        </w:rPr>
        <w:pict w14:anchorId="278CC485">
          <v:rect id="_x0000_i1064" alt="" style="width:451.3pt;height:.05pt;mso-width-percent:0;mso-height-percent:0;mso-width-percent:0;mso-height-percent:0" o:hralign="center" o:hrstd="t" o:hr="t" fillcolor="#a0a0a0" stroked="f"/>
        </w:pict>
      </w:r>
    </w:p>
    <w:p w14:paraId="176507DC" w14:textId="77777777" w:rsidR="009613AC" w:rsidRPr="009613AC" w:rsidRDefault="009613AC" w:rsidP="006533FF">
      <w:pPr>
        <w:spacing w:before="100" w:beforeAutospacing="1" w:after="100" w:afterAutospacing="1" w:line="360" w:lineRule="auto"/>
        <w:outlineLvl w:val="2"/>
        <w:rPr>
          <w:rFonts w:ascii="Times New Roman" w:hAnsi="Times New Roman"/>
          <w:b/>
          <w:bCs/>
          <w:lang w:val="en-HK"/>
        </w:rPr>
      </w:pPr>
      <w:r w:rsidRPr="009613AC">
        <w:rPr>
          <w:rFonts w:ascii="Times New Roman" w:hAnsi="Times New Roman"/>
          <w:b/>
          <w:bCs/>
          <w:lang w:val="en-HK"/>
        </w:rPr>
        <w:t>Conclusion</w:t>
      </w:r>
    </w:p>
    <w:p w14:paraId="19EB33DA" w14:textId="77777777" w:rsidR="009613AC" w:rsidRPr="009613AC" w:rsidRDefault="009613AC" w:rsidP="006533FF">
      <w:pPr>
        <w:spacing w:before="100" w:beforeAutospacing="1" w:after="100" w:afterAutospacing="1" w:line="360" w:lineRule="auto"/>
        <w:rPr>
          <w:rFonts w:ascii="Times New Roman" w:hAnsi="Times New Roman"/>
          <w:lang w:val="en-HK"/>
        </w:rPr>
      </w:pPr>
      <w:r w:rsidRPr="009613AC">
        <w:rPr>
          <w:rFonts w:ascii="Times New Roman" w:hAnsi="Times New Roman"/>
          <w:lang w:val="en-HK"/>
        </w:rPr>
        <w:t xml:space="preserve">The introduction frames the free movement of persons as a dynamic and evolving area of EU law, grounded in principles of equality but increasingly oriented toward market integration. The tension between respecting Member State autonomy and achieving a unified internal market remains central. Through a progressive judicial approach, the Court has significantly shaped the practical application of these principles, as seen in cases like </w:t>
      </w:r>
      <w:r w:rsidRPr="009613AC">
        <w:rPr>
          <w:rFonts w:ascii="Times New Roman" w:hAnsi="Times New Roman"/>
          <w:i/>
          <w:iCs/>
          <w:lang w:val="en-HK"/>
        </w:rPr>
        <w:t xml:space="preserve">Van </w:t>
      </w:r>
      <w:proofErr w:type="spellStart"/>
      <w:r w:rsidRPr="009613AC">
        <w:rPr>
          <w:rFonts w:ascii="Times New Roman" w:hAnsi="Times New Roman"/>
          <w:i/>
          <w:iCs/>
          <w:lang w:val="en-HK"/>
        </w:rPr>
        <w:t>Duyn</w:t>
      </w:r>
      <w:proofErr w:type="spellEnd"/>
      <w:r w:rsidRPr="009613AC">
        <w:rPr>
          <w:rFonts w:ascii="Times New Roman" w:hAnsi="Times New Roman"/>
          <w:lang w:val="en-HK"/>
        </w:rPr>
        <w:t xml:space="preserve">, </w:t>
      </w:r>
      <w:proofErr w:type="spellStart"/>
      <w:r w:rsidRPr="009613AC">
        <w:rPr>
          <w:rFonts w:ascii="Times New Roman" w:hAnsi="Times New Roman"/>
          <w:i/>
          <w:iCs/>
          <w:lang w:val="en-HK"/>
        </w:rPr>
        <w:t>Reyners</w:t>
      </w:r>
      <w:proofErr w:type="spellEnd"/>
      <w:r w:rsidRPr="009613AC">
        <w:rPr>
          <w:rFonts w:ascii="Times New Roman" w:hAnsi="Times New Roman"/>
          <w:lang w:val="en-HK"/>
        </w:rPr>
        <w:t xml:space="preserve">, and </w:t>
      </w:r>
      <w:proofErr w:type="spellStart"/>
      <w:r w:rsidRPr="009613AC">
        <w:rPr>
          <w:rFonts w:ascii="Times New Roman" w:hAnsi="Times New Roman"/>
          <w:i/>
          <w:iCs/>
          <w:lang w:val="en-HK"/>
        </w:rPr>
        <w:t>Säger</w:t>
      </w:r>
      <w:proofErr w:type="spellEnd"/>
      <w:r w:rsidRPr="009613AC">
        <w:rPr>
          <w:rFonts w:ascii="Times New Roman" w:hAnsi="Times New Roman"/>
          <w:lang w:val="en-HK"/>
        </w:rPr>
        <w:t>.</w:t>
      </w:r>
    </w:p>
    <w:p w14:paraId="01F946BC" w14:textId="3743C895" w:rsidR="009613AC" w:rsidRPr="009613AC" w:rsidRDefault="00DE4581" w:rsidP="006533FF">
      <w:pPr>
        <w:spacing w:before="100" w:beforeAutospacing="1" w:after="100" w:afterAutospacing="1" w:line="360" w:lineRule="auto"/>
        <w:outlineLvl w:val="2"/>
        <w:rPr>
          <w:rFonts w:ascii="Times New Roman" w:hAnsi="Times New Roman"/>
          <w:b/>
          <w:bCs/>
          <w:lang w:val="en-HK"/>
        </w:rPr>
      </w:pPr>
      <w:r w:rsidRPr="00DE4581">
        <w:rPr>
          <w:rFonts w:ascii="Times New Roman" w:hAnsi="Times New Roman"/>
          <w:noProof/>
          <w:lang w:val="en-HK"/>
          <w14:ligatures w14:val="standardContextual"/>
        </w:rPr>
        <w:pict w14:anchorId="3E72BBF8">
          <v:rect id="_x0000_i1063" alt="" style="width:451.3pt;height:.05pt;mso-width-percent:0;mso-height-percent:0;mso-width-percent:0;mso-height-percent:0" o:hralign="center" o:hrstd="t" o:hr="t" fillcolor="#a0a0a0" stroked="f"/>
        </w:pict>
      </w:r>
      <w:r w:rsidR="009613AC" w:rsidRPr="009613AC">
        <w:rPr>
          <w:rFonts w:ascii="Times New Roman" w:hAnsi="Times New Roman"/>
          <w:b/>
          <w:bCs/>
          <w:lang w:val="en-HK"/>
        </w:rPr>
        <w:t>Section B: The Evolution of the Rights to Free Movement</w:t>
      </w:r>
    </w:p>
    <w:p w14:paraId="5758AF90" w14:textId="31979DAA" w:rsidR="009613AC" w:rsidRPr="009613AC" w:rsidRDefault="009613AC" w:rsidP="006533FF">
      <w:pPr>
        <w:spacing w:before="100" w:beforeAutospacing="1" w:after="100" w:afterAutospacing="1" w:line="360" w:lineRule="auto"/>
        <w:rPr>
          <w:rFonts w:ascii="Times New Roman" w:hAnsi="Times New Roman"/>
          <w:lang w:val="en-HK"/>
        </w:rPr>
      </w:pPr>
      <w:r w:rsidRPr="009613AC">
        <w:rPr>
          <w:rFonts w:ascii="Times New Roman" w:hAnsi="Times New Roman"/>
          <w:lang w:val="en-HK"/>
        </w:rPr>
        <w:t>This section examines how the rights to free movement in the EU evolved from being limited to economically active individuals to encompassing a broader spectrum of citizens. Below is a comprehensive analysis, supported by statutes, case law, and academic commentary.</w:t>
      </w:r>
    </w:p>
    <w:p w14:paraId="00540D72" w14:textId="77777777" w:rsidR="009613AC" w:rsidRPr="009613AC" w:rsidRDefault="009613AC" w:rsidP="006533FF">
      <w:pPr>
        <w:spacing w:before="100" w:beforeAutospacing="1" w:after="100" w:afterAutospacing="1" w:line="360" w:lineRule="auto"/>
        <w:outlineLvl w:val="3"/>
        <w:rPr>
          <w:rFonts w:ascii="Times New Roman" w:hAnsi="Times New Roman"/>
          <w:b/>
          <w:bCs/>
          <w:lang w:val="en-HK"/>
        </w:rPr>
      </w:pPr>
      <w:r w:rsidRPr="009613AC">
        <w:rPr>
          <w:rFonts w:ascii="Times New Roman" w:hAnsi="Times New Roman"/>
          <w:b/>
          <w:bCs/>
          <w:lang w:val="en-HK"/>
        </w:rPr>
        <w:t>1. Foundational Objectives of Free Movement</w:t>
      </w:r>
    </w:p>
    <w:p w14:paraId="339471A2" w14:textId="77777777" w:rsidR="009613AC" w:rsidRPr="009613AC" w:rsidRDefault="009613AC" w:rsidP="006533FF">
      <w:pPr>
        <w:numPr>
          <w:ilvl w:val="0"/>
          <w:numId w:val="6"/>
        </w:numPr>
        <w:spacing w:before="100" w:beforeAutospacing="1" w:after="100" w:afterAutospacing="1" w:line="360" w:lineRule="auto"/>
        <w:rPr>
          <w:rFonts w:ascii="Times New Roman" w:hAnsi="Times New Roman"/>
          <w:lang w:val="en-HK"/>
        </w:rPr>
      </w:pPr>
      <w:r w:rsidRPr="009613AC">
        <w:rPr>
          <w:rFonts w:ascii="Times New Roman" w:hAnsi="Times New Roman"/>
          <w:b/>
          <w:bCs/>
          <w:lang w:val="en-HK"/>
        </w:rPr>
        <w:t>Original Economic Aims</w:t>
      </w:r>
      <w:r w:rsidRPr="009613AC">
        <w:rPr>
          <w:rFonts w:ascii="Times New Roman" w:hAnsi="Times New Roman"/>
          <w:lang w:val="en-HK"/>
        </w:rPr>
        <w:t>:</w:t>
      </w:r>
    </w:p>
    <w:p w14:paraId="60D81590" w14:textId="77777777" w:rsidR="009613AC" w:rsidRPr="009613AC" w:rsidRDefault="009613AC" w:rsidP="006533FF">
      <w:pPr>
        <w:spacing w:before="100" w:beforeAutospacing="1" w:after="100" w:afterAutospacing="1" w:line="360" w:lineRule="auto"/>
        <w:rPr>
          <w:rFonts w:ascii="Times New Roman" w:hAnsi="Times New Roman"/>
          <w:lang w:val="en-HK"/>
        </w:rPr>
      </w:pPr>
      <w:r w:rsidRPr="009613AC">
        <w:rPr>
          <w:rFonts w:ascii="Times New Roman" w:hAnsi="Times New Roman"/>
          <w:lang w:val="en-HK"/>
        </w:rPr>
        <w:t xml:space="preserve">The foundational goal of Articles 45–62 TFEU was to facilitate the movement of </w:t>
      </w:r>
      <w:r w:rsidRPr="009613AC">
        <w:rPr>
          <w:rFonts w:ascii="Times New Roman" w:hAnsi="Times New Roman"/>
          <w:b/>
          <w:bCs/>
          <w:lang w:val="en-HK"/>
        </w:rPr>
        <w:t>"factors of production"</w:t>
      </w:r>
      <w:r w:rsidRPr="009613AC">
        <w:rPr>
          <w:rFonts w:ascii="Times New Roman" w:hAnsi="Times New Roman"/>
          <w:lang w:val="en-HK"/>
        </w:rPr>
        <w:t xml:space="preserve">—workers, self-employed individuals, and service providers—across Member </w:t>
      </w:r>
      <w:r w:rsidRPr="009613AC">
        <w:rPr>
          <w:rFonts w:ascii="Times New Roman" w:hAnsi="Times New Roman"/>
          <w:lang w:val="en-HK"/>
        </w:rPr>
        <w:lastRenderedPageBreak/>
        <w:t xml:space="preserve">States. This mobility aimed to equalize </w:t>
      </w:r>
      <w:proofErr w:type="spellStart"/>
      <w:r w:rsidRPr="009613AC">
        <w:rPr>
          <w:rFonts w:ascii="Times New Roman" w:hAnsi="Times New Roman"/>
          <w:lang w:val="en-HK"/>
        </w:rPr>
        <w:t>labor</w:t>
      </w:r>
      <w:proofErr w:type="spellEnd"/>
      <w:r w:rsidRPr="009613AC">
        <w:rPr>
          <w:rFonts w:ascii="Times New Roman" w:hAnsi="Times New Roman"/>
          <w:lang w:val="en-HK"/>
        </w:rPr>
        <w:t xml:space="preserve"> costs, address unemployment disparities, and promote economic prosperity.</w:t>
      </w:r>
    </w:p>
    <w:p w14:paraId="5CC02900" w14:textId="77777777" w:rsidR="009613AC" w:rsidRPr="009613AC" w:rsidRDefault="009613AC" w:rsidP="006533FF">
      <w:pPr>
        <w:spacing w:before="100" w:beforeAutospacing="1" w:after="100" w:afterAutospacing="1" w:line="360" w:lineRule="auto"/>
        <w:rPr>
          <w:rFonts w:ascii="Times New Roman" w:hAnsi="Times New Roman"/>
          <w:lang w:val="en-HK"/>
        </w:rPr>
      </w:pPr>
      <w:r w:rsidRPr="009613AC">
        <w:rPr>
          <w:rFonts w:ascii="Times New Roman" w:hAnsi="Times New Roman"/>
          <w:lang w:val="en-HK"/>
        </w:rPr>
        <w:t>Example: The Italian government, during the 1950s, was a strong advocate for these measures, seeing free movement as a way to alleviate domestic unemployment through migration to higher-paying EU Member States.</w:t>
      </w:r>
    </w:p>
    <w:p w14:paraId="52F1D039" w14:textId="77777777" w:rsidR="009613AC" w:rsidRPr="009613AC" w:rsidRDefault="009613AC" w:rsidP="006533FF">
      <w:pPr>
        <w:numPr>
          <w:ilvl w:val="0"/>
          <w:numId w:val="6"/>
        </w:numPr>
        <w:spacing w:before="100" w:beforeAutospacing="1" w:after="100" w:afterAutospacing="1" w:line="360" w:lineRule="auto"/>
        <w:rPr>
          <w:rFonts w:ascii="Times New Roman" w:hAnsi="Times New Roman"/>
          <w:lang w:val="en-HK"/>
        </w:rPr>
      </w:pPr>
      <w:r w:rsidRPr="009613AC">
        <w:rPr>
          <w:rFonts w:ascii="Times New Roman" w:hAnsi="Times New Roman"/>
          <w:b/>
          <w:bCs/>
          <w:lang w:val="en-HK"/>
        </w:rPr>
        <w:t>Barriers to Movement</w:t>
      </w:r>
      <w:r w:rsidRPr="009613AC">
        <w:rPr>
          <w:rFonts w:ascii="Times New Roman" w:hAnsi="Times New Roman"/>
          <w:lang w:val="en-HK"/>
        </w:rPr>
        <w:t>:</w:t>
      </w:r>
    </w:p>
    <w:p w14:paraId="21CDF1C7" w14:textId="77777777" w:rsidR="009613AC" w:rsidRPr="009613AC" w:rsidRDefault="009613AC" w:rsidP="006533FF">
      <w:pPr>
        <w:spacing w:before="100" w:beforeAutospacing="1" w:after="100" w:afterAutospacing="1" w:line="360" w:lineRule="auto"/>
        <w:rPr>
          <w:rFonts w:ascii="Times New Roman" w:hAnsi="Times New Roman"/>
          <w:lang w:val="en-HK"/>
        </w:rPr>
      </w:pPr>
      <w:r w:rsidRPr="009613AC">
        <w:rPr>
          <w:rFonts w:ascii="Times New Roman" w:hAnsi="Times New Roman"/>
          <w:lang w:val="en-HK"/>
        </w:rPr>
        <w:t>Despite these objectives, early adoption of free movement rights was hindered by:</w:t>
      </w:r>
    </w:p>
    <w:p w14:paraId="74C11550" w14:textId="77777777" w:rsidR="009613AC" w:rsidRPr="009613AC" w:rsidRDefault="009613AC" w:rsidP="006533FF">
      <w:pPr>
        <w:numPr>
          <w:ilvl w:val="2"/>
          <w:numId w:val="6"/>
        </w:numPr>
        <w:spacing w:before="100" w:beforeAutospacing="1" w:after="100" w:afterAutospacing="1" w:line="360" w:lineRule="auto"/>
        <w:rPr>
          <w:rFonts w:ascii="Times New Roman" w:hAnsi="Times New Roman"/>
          <w:lang w:val="en-HK"/>
        </w:rPr>
      </w:pPr>
      <w:r w:rsidRPr="009613AC">
        <w:rPr>
          <w:rFonts w:ascii="Times New Roman" w:hAnsi="Times New Roman"/>
          <w:b/>
          <w:bCs/>
          <w:lang w:val="en-HK"/>
        </w:rPr>
        <w:t>Social Factors</w:t>
      </w:r>
      <w:r w:rsidRPr="009613AC">
        <w:rPr>
          <w:rFonts w:ascii="Times New Roman" w:hAnsi="Times New Roman"/>
          <w:lang w:val="en-HK"/>
        </w:rPr>
        <w:t>: Workers hesitated to move without their families.</w:t>
      </w:r>
    </w:p>
    <w:p w14:paraId="2E5B9CD8" w14:textId="77777777" w:rsidR="009613AC" w:rsidRPr="009613AC" w:rsidRDefault="009613AC" w:rsidP="006533FF">
      <w:pPr>
        <w:numPr>
          <w:ilvl w:val="2"/>
          <w:numId w:val="6"/>
        </w:numPr>
        <w:spacing w:before="100" w:beforeAutospacing="1" w:after="100" w:afterAutospacing="1" w:line="360" w:lineRule="auto"/>
        <w:rPr>
          <w:rFonts w:ascii="Times New Roman" w:hAnsi="Times New Roman"/>
          <w:lang w:val="en-HK"/>
        </w:rPr>
      </w:pPr>
      <w:r w:rsidRPr="009613AC">
        <w:rPr>
          <w:rFonts w:ascii="Times New Roman" w:hAnsi="Times New Roman"/>
          <w:b/>
          <w:bCs/>
          <w:lang w:val="en-HK"/>
        </w:rPr>
        <w:t>Economic Concerns</w:t>
      </w:r>
      <w:r w:rsidRPr="009613AC">
        <w:rPr>
          <w:rFonts w:ascii="Times New Roman" w:hAnsi="Times New Roman"/>
          <w:lang w:val="en-HK"/>
        </w:rPr>
        <w:t>: Fear of losing social benefits or pension entitlements.</w:t>
      </w:r>
    </w:p>
    <w:p w14:paraId="0B9CCAD6" w14:textId="77777777" w:rsidR="009613AC" w:rsidRPr="009613AC" w:rsidRDefault="009613AC" w:rsidP="006533FF">
      <w:pPr>
        <w:numPr>
          <w:ilvl w:val="2"/>
          <w:numId w:val="6"/>
        </w:numPr>
        <w:spacing w:before="100" w:beforeAutospacing="1" w:after="100" w:afterAutospacing="1" w:line="360" w:lineRule="auto"/>
        <w:rPr>
          <w:rFonts w:ascii="Times New Roman" w:hAnsi="Times New Roman"/>
          <w:lang w:val="en-HK"/>
        </w:rPr>
      </w:pPr>
      <w:r w:rsidRPr="009613AC">
        <w:rPr>
          <w:rFonts w:ascii="Times New Roman" w:hAnsi="Times New Roman"/>
          <w:b/>
          <w:bCs/>
          <w:lang w:val="en-HK"/>
        </w:rPr>
        <w:t>Cultural and Linguistic Barriers</w:t>
      </w:r>
      <w:r w:rsidRPr="009613AC">
        <w:rPr>
          <w:rFonts w:ascii="Times New Roman" w:hAnsi="Times New Roman"/>
          <w:lang w:val="en-HK"/>
        </w:rPr>
        <w:t>: Unfamiliarity with other Member States' languages and cultures.</w:t>
      </w:r>
    </w:p>
    <w:p w14:paraId="191E2858" w14:textId="77777777" w:rsidR="009613AC" w:rsidRPr="009613AC" w:rsidRDefault="009613AC" w:rsidP="006533FF">
      <w:pPr>
        <w:spacing w:before="100" w:beforeAutospacing="1" w:after="100" w:afterAutospacing="1" w:line="360" w:lineRule="auto"/>
        <w:rPr>
          <w:rFonts w:ascii="Times New Roman" w:hAnsi="Times New Roman"/>
          <w:lang w:val="en-HK"/>
        </w:rPr>
      </w:pPr>
      <w:r w:rsidRPr="009613AC">
        <w:rPr>
          <w:rFonts w:ascii="Times New Roman" w:hAnsi="Times New Roman"/>
          <w:b/>
          <w:bCs/>
          <w:lang w:val="en-HK"/>
        </w:rPr>
        <w:t>Regulation 1612/68 (now Regulation 492/2011)</w:t>
      </w:r>
      <w:r w:rsidRPr="009613AC">
        <w:rPr>
          <w:rFonts w:ascii="Times New Roman" w:hAnsi="Times New Roman"/>
          <w:lang w:val="en-HK"/>
        </w:rPr>
        <w:t>:</w:t>
      </w:r>
    </w:p>
    <w:p w14:paraId="34FE7F14" w14:textId="77777777" w:rsidR="009613AC" w:rsidRPr="009613AC" w:rsidRDefault="009613AC" w:rsidP="006533FF">
      <w:pPr>
        <w:spacing w:before="100" w:beforeAutospacing="1" w:after="100" w:afterAutospacing="1" w:line="360" w:lineRule="auto"/>
        <w:rPr>
          <w:rFonts w:ascii="Times New Roman" w:hAnsi="Times New Roman"/>
          <w:lang w:val="en-HK"/>
        </w:rPr>
      </w:pPr>
      <w:r w:rsidRPr="009613AC">
        <w:rPr>
          <w:rFonts w:ascii="Times New Roman" w:hAnsi="Times New Roman"/>
          <w:lang w:val="en-HK"/>
        </w:rPr>
        <w:t>This regulation was introduced to eliminate these obstacles, ensuring better access to jobs and social benefits for migrant workers within the EU.</w:t>
      </w:r>
    </w:p>
    <w:p w14:paraId="225DE434" w14:textId="77777777" w:rsidR="009613AC" w:rsidRPr="009613AC" w:rsidRDefault="00DE4581" w:rsidP="006533FF">
      <w:pPr>
        <w:spacing w:line="360" w:lineRule="auto"/>
        <w:rPr>
          <w:rFonts w:ascii="Times New Roman" w:hAnsi="Times New Roman"/>
          <w:lang w:val="en-HK"/>
        </w:rPr>
      </w:pPr>
      <w:r w:rsidRPr="00DE4581">
        <w:rPr>
          <w:rFonts w:ascii="Times New Roman" w:hAnsi="Times New Roman"/>
          <w:noProof/>
          <w:lang w:val="en-HK"/>
          <w14:ligatures w14:val="standardContextual"/>
        </w:rPr>
        <w:pict w14:anchorId="75696D63">
          <v:rect id="_x0000_i1062" alt="" style="width:451.3pt;height:.05pt;mso-width-percent:0;mso-height-percent:0;mso-width-percent:0;mso-height-percent:0" o:hralign="center" o:hrstd="t" o:hr="t" fillcolor="#a0a0a0" stroked="f"/>
        </w:pict>
      </w:r>
    </w:p>
    <w:p w14:paraId="070872BD" w14:textId="77777777" w:rsidR="009613AC" w:rsidRPr="009613AC" w:rsidRDefault="009613AC" w:rsidP="006533FF">
      <w:pPr>
        <w:spacing w:before="100" w:beforeAutospacing="1" w:after="100" w:afterAutospacing="1" w:line="360" w:lineRule="auto"/>
        <w:outlineLvl w:val="3"/>
        <w:rPr>
          <w:rFonts w:ascii="Times New Roman" w:hAnsi="Times New Roman"/>
          <w:b/>
          <w:bCs/>
          <w:lang w:val="en-HK"/>
        </w:rPr>
      </w:pPr>
      <w:r w:rsidRPr="009613AC">
        <w:rPr>
          <w:rFonts w:ascii="Times New Roman" w:hAnsi="Times New Roman"/>
          <w:b/>
          <w:bCs/>
          <w:lang w:val="en-HK"/>
        </w:rPr>
        <w:t>2. Expansion Beyond Economic Activity</w:t>
      </w:r>
    </w:p>
    <w:p w14:paraId="6A2679F3" w14:textId="77777777" w:rsidR="009613AC" w:rsidRPr="009613AC" w:rsidRDefault="009613AC" w:rsidP="006533FF">
      <w:pPr>
        <w:numPr>
          <w:ilvl w:val="0"/>
          <w:numId w:val="7"/>
        </w:numPr>
        <w:spacing w:before="100" w:beforeAutospacing="1" w:after="100" w:afterAutospacing="1" w:line="360" w:lineRule="auto"/>
        <w:rPr>
          <w:rFonts w:ascii="Times New Roman" w:hAnsi="Times New Roman"/>
          <w:lang w:val="en-HK"/>
        </w:rPr>
      </w:pPr>
      <w:r w:rsidRPr="009613AC">
        <w:rPr>
          <w:rFonts w:ascii="Times New Roman" w:hAnsi="Times New Roman"/>
          <w:b/>
          <w:bCs/>
          <w:lang w:val="en-HK"/>
        </w:rPr>
        <w:t>Directives of the 1990s</w:t>
      </w:r>
      <w:r w:rsidRPr="009613AC">
        <w:rPr>
          <w:rFonts w:ascii="Times New Roman" w:hAnsi="Times New Roman"/>
          <w:lang w:val="en-HK"/>
        </w:rPr>
        <w:t>:</w:t>
      </w:r>
    </w:p>
    <w:p w14:paraId="61214F71" w14:textId="77777777" w:rsidR="009613AC" w:rsidRPr="009613AC" w:rsidRDefault="009613AC" w:rsidP="006533FF">
      <w:pPr>
        <w:spacing w:before="100" w:beforeAutospacing="1" w:after="100" w:afterAutospacing="1" w:line="360" w:lineRule="auto"/>
        <w:rPr>
          <w:rFonts w:ascii="Times New Roman" w:hAnsi="Times New Roman"/>
          <w:lang w:val="en-HK"/>
        </w:rPr>
      </w:pPr>
      <w:r w:rsidRPr="009613AC">
        <w:rPr>
          <w:rFonts w:ascii="Times New Roman" w:hAnsi="Times New Roman"/>
          <w:lang w:val="en-HK"/>
        </w:rPr>
        <w:t xml:space="preserve">In 1990, three specific directives extended free movement rights to </w:t>
      </w:r>
      <w:r w:rsidRPr="009613AC">
        <w:rPr>
          <w:rFonts w:ascii="Times New Roman" w:hAnsi="Times New Roman"/>
          <w:b/>
          <w:bCs/>
          <w:lang w:val="en-HK"/>
        </w:rPr>
        <w:t>economically inactive groups</w:t>
      </w:r>
      <w:r w:rsidRPr="009613AC">
        <w:rPr>
          <w:rFonts w:ascii="Times New Roman" w:hAnsi="Times New Roman"/>
          <w:lang w:val="en-HK"/>
        </w:rPr>
        <w:t>, such as retirees, students, and persons with independent means (PIMs). These rights were conditional upon sufficient resources and health insurance:</w:t>
      </w:r>
    </w:p>
    <w:p w14:paraId="55F19F08" w14:textId="77777777" w:rsidR="009613AC" w:rsidRPr="009613AC" w:rsidRDefault="009613AC" w:rsidP="006533FF">
      <w:pPr>
        <w:numPr>
          <w:ilvl w:val="2"/>
          <w:numId w:val="7"/>
        </w:numPr>
        <w:spacing w:before="100" w:beforeAutospacing="1" w:after="100" w:afterAutospacing="1" w:line="360" w:lineRule="auto"/>
        <w:rPr>
          <w:rFonts w:ascii="Times New Roman" w:hAnsi="Times New Roman"/>
          <w:lang w:val="en-HK"/>
        </w:rPr>
      </w:pPr>
      <w:r w:rsidRPr="009613AC">
        <w:rPr>
          <w:rFonts w:ascii="Times New Roman" w:hAnsi="Times New Roman"/>
          <w:b/>
          <w:bCs/>
          <w:lang w:val="en-HK"/>
        </w:rPr>
        <w:t>Directive 90/364/EEC</w:t>
      </w:r>
      <w:r w:rsidRPr="009613AC">
        <w:rPr>
          <w:rFonts w:ascii="Times New Roman" w:hAnsi="Times New Roman"/>
          <w:lang w:val="en-HK"/>
        </w:rPr>
        <w:t>: Addressed residence rights for individuals with sufficient means.</w:t>
      </w:r>
    </w:p>
    <w:p w14:paraId="316ECED9" w14:textId="77777777" w:rsidR="009613AC" w:rsidRPr="009613AC" w:rsidRDefault="009613AC" w:rsidP="006533FF">
      <w:pPr>
        <w:numPr>
          <w:ilvl w:val="2"/>
          <w:numId w:val="7"/>
        </w:numPr>
        <w:spacing w:before="100" w:beforeAutospacing="1" w:after="100" w:afterAutospacing="1" w:line="360" w:lineRule="auto"/>
        <w:rPr>
          <w:rFonts w:ascii="Times New Roman" w:hAnsi="Times New Roman"/>
          <w:lang w:val="en-HK"/>
        </w:rPr>
      </w:pPr>
      <w:r w:rsidRPr="009613AC">
        <w:rPr>
          <w:rFonts w:ascii="Times New Roman" w:hAnsi="Times New Roman"/>
          <w:b/>
          <w:bCs/>
          <w:lang w:val="en-HK"/>
        </w:rPr>
        <w:t>Directive 90/365/EEC</w:t>
      </w:r>
      <w:r w:rsidRPr="009613AC">
        <w:rPr>
          <w:rFonts w:ascii="Times New Roman" w:hAnsi="Times New Roman"/>
          <w:lang w:val="en-HK"/>
        </w:rPr>
        <w:t>: Focused on retirees and self-employed individuals who had ceased occupational activity.</w:t>
      </w:r>
    </w:p>
    <w:p w14:paraId="0302259D" w14:textId="77777777" w:rsidR="009613AC" w:rsidRPr="009613AC" w:rsidRDefault="009613AC" w:rsidP="006533FF">
      <w:pPr>
        <w:numPr>
          <w:ilvl w:val="2"/>
          <w:numId w:val="7"/>
        </w:numPr>
        <w:spacing w:before="100" w:beforeAutospacing="1" w:after="100" w:afterAutospacing="1" w:line="360" w:lineRule="auto"/>
        <w:rPr>
          <w:rFonts w:ascii="Times New Roman" w:hAnsi="Times New Roman"/>
          <w:lang w:val="en-HK"/>
        </w:rPr>
      </w:pPr>
      <w:r w:rsidRPr="009613AC">
        <w:rPr>
          <w:rFonts w:ascii="Times New Roman" w:hAnsi="Times New Roman"/>
          <w:b/>
          <w:bCs/>
          <w:lang w:val="en-HK"/>
        </w:rPr>
        <w:t>Directive 90/366/EEC</w:t>
      </w:r>
      <w:r w:rsidRPr="009613AC">
        <w:rPr>
          <w:rFonts w:ascii="Times New Roman" w:hAnsi="Times New Roman"/>
          <w:lang w:val="en-HK"/>
        </w:rPr>
        <w:t>: Extended residence rights to students.</w:t>
      </w:r>
    </w:p>
    <w:p w14:paraId="0469B628" w14:textId="77777777" w:rsidR="009613AC" w:rsidRPr="009613AC" w:rsidRDefault="009613AC" w:rsidP="006533FF">
      <w:pPr>
        <w:spacing w:before="100" w:beforeAutospacing="1" w:after="100" w:afterAutospacing="1" w:line="360" w:lineRule="auto"/>
        <w:rPr>
          <w:rFonts w:ascii="Times New Roman" w:hAnsi="Times New Roman"/>
          <w:lang w:val="en-HK"/>
        </w:rPr>
      </w:pPr>
      <w:r w:rsidRPr="009613AC">
        <w:rPr>
          <w:rFonts w:ascii="Times New Roman" w:hAnsi="Times New Roman"/>
          <w:lang w:val="en-HK"/>
        </w:rPr>
        <w:lastRenderedPageBreak/>
        <w:t>These directives marked a shift in perception, recognizing migrants as individuals with enforceable rights rather than merely "factors of production."</w:t>
      </w:r>
    </w:p>
    <w:p w14:paraId="667DBFE6" w14:textId="77777777" w:rsidR="009613AC" w:rsidRPr="009613AC" w:rsidRDefault="009613AC" w:rsidP="006533FF">
      <w:pPr>
        <w:numPr>
          <w:ilvl w:val="0"/>
          <w:numId w:val="7"/>
        </w:numPr>
        <w:spacing w:before="100" w:beforeAutospacing="1" w:after="100" w:afterAutospacing="1" w:line="360" w:lineRule="auto"/>
        <w:rPr>
          <w:rFonts w:ascii="Times New Roman" w:hAnsi="Times New Roman"/>
          <w:lang w:val="en-HK"/>
        </w:rPr>
      </w:pPr>
      <w:r w:rsidRPr="009613AC">
        <w:rPr>
          <w:rFonts w:ascii="Times New Roman" w:hAnsi="Times New Roman"/>
          <w:b/>
          <w:bCs/>
          <w:lang w:val="en-HK"/>
        </w:rPr>
        <w:t>Union Citizenship and Article 21 TFEU</w:t>
      </w:r>
      <w:r w:rsidRPr="009613AC">
        <w:rPr>
          <w:rFonts w:ascii="Times New Roman" w:hAnsi="Times New Roman"/>
          <w:lang w:val="en-HK"/>
        </w:rPr>
        <w:t>:</w:t>
      </w:r>
    </w:p>
    <w:p w14:paraId="0137C135" w14:textId="77777777" w:rsidR="009613AC" w:rsidRPr="009613AC" w:rsidRDefault="009613AC" w:rsidP="006533FF">
      <w:pPr>
        <w:spacing w:before="100" w:beforeAutospacing="1" w:after="100" w:afterAutospacing="1" w:line="360" w:lineRule="auto"/>
        <w:rPr>
          <w:rFonts w:ascii="Times New Roman" w:hAnsi="Times New Roman"/>
          <w:b/>
          <w:bCs/>
          <w:lang w:val="en-HK"/>
        </w:rPr>
      </w:pPr>
      <w:r w:rsidRPr="009613AC">
        <w:rPr>
          <w:rFonts w:ascii="Times New Roman" w:hAnsi="Times New Roman"/>
          <w:lang w:val="en-HK"/>
        </w:rPr>
        <w:t xml:space="preserve">The Maastricht Treaty codified Union citizenship in Articles 20–25 TFEU, </w:t>
      </w:r>
      <w:r w:rsidRPr="009613AC">
        <w:rPr>
          <w:rFonts w:ascii="Times New Roman" w:hAnsi="Times New Roman"/>
          <w:b/>
          <w:bCs/>
          <w:lang w:val="en-HK"/>
        </w:rPr>
        <w:t>granting all nationals of Member States the status of Union citizens.</w:t>
      </w:r>
    </w:p>
    <w:p w14:paraId="52FBB43E" w14:textId="77777777" w:rsidR="009613AC" w:rsidRPr="009613AC" w:rsidRDefault="009613AC" w:rsidP="006533FF">
      <w:pPr>
        <w:spacing w:before="100" w:beforeAutospacing="1" w:after="100" w:afterAutospacing="1" w:line="360" w:lineRule="auto"/>
        <w:rPr>
          <w:rFonts w:ascii="Times New Roman" w:hAnsi="Times New Roman"/>
          <w:lang w:val="en-HK"/>
        </w:rPr>
      </w:pPr>
      <w:proofErr w:type="spellStart"/>
      <w:r w:rsidRPr="009613AC">
        <w:rPr>
          <w:rFonts w:ascii="Times New Roman" w:hAnsi="Times New Roman"/>
          <w:b/>
          <w:bCs/>
          <w:lang w:val="en-HK"/>
        </w:rPr>
        <w:t>Grzelczyk</w:t>
      </w:r>
      <w:proofErr w:type="spellEnd"/>
      <w:r w:rsidRPr="009613AC">
        <w:rPr>
          <w:rFonts w:ascii="Times New Roman" w:hAnsi="Times New Roman"/>
          <w:b/>
          <w:bCs/>
          <w:lang w:val="en-HK"/>
        </w:rPr>
        <w:t xml:space="preserve"> (Case C-184/99)</w:t>
      </w:r>
      <w:r w:rsidRPr="009613AC">
        <w:rPr>
          <w:rFonts w:ascii="Times New Roman" w:hAnsi="Times New Roman"/>
          <w:lang w:val="en-HK"/>
        </w:rPr>
        <w:t>:</w:t>
      </w:r>
    </w:p>
    <w:p w14:paraId="1D3E8BE3" w14:textId="77777777" w:rsidR="009613AC" w:rsidRPr="009613AC" w:rsidRDefault="009613AC" w:rsidP="006533FF">
      <w:pPr>
        <w:spacing w:before="100" w:beforeAutospacing="1" w:after="100" w:afterAutospacing="1" w:line="360" w:lineRule="auto"/>
        <w:rPr>
          <w:rFonts w:ascii="Times New Roman" w:hAnsi="Times New Roman"/>
          <w:lang w:val="en-HK"/>
        </w:rPr>
      </w:pPr>
      <w:r w:rsidRPr="009613AC">
        <w:rPr>
          <w:rFonts w:ascii="Times New Roman" w:hAnsi="Times New Roman"/>
          <w:lang w:val="en-HK"/>
        </w:rPr>
        <w:t xml:space="preserve">The Court famously described Union citizenship as the </w:t>
      </w:r>
      <w:r w:rsidRPr="009613AC">
        <w:rPr>
          <w:rFonts w:ascii="Times New Roman" w:hAnsi="Times New Roman"/>
          <w:b/>
          <w:bCs/>
          <w:lang w:val="en-HK"/>
        </w:rPr>
        <w:t>"fundamental status"</w:t>
      </w:r>
      <w:r w:rsidRPr="009613AC">
        <w:rPr>
          <w:rFonts w:ascii="Times New Roman" w:hAnsi="Times New Roman"/>
          <w:lang w:val="en-HK"/>
        </w:rPr>
        <w:t xml:space="preserve"> of Member State nationals, enabling them to claim equal treatment regardless of nationality, subject to Treaty limitations. This case signified the transformative potential of citizenship rights for individuals.</w:t>
      </w:r>
    </w:p>
    <w:p w14:paraId="03894ED9" w14:textId="77777777" w:rsidR="009613AC" w:rsidRPr="009613AC" w:rsidRDefault="00DE4581" w:rsidP="006533FF">
      <w:pPr>
        <w:spacing w:line="360" w:lineRule="auto"/>
        <w:rPr>
          <w:rFonts w:ascii="Times New Roman" w:hAnsi="Times New Roman"/>
          <w:lang w:val="en-HK"/>
        </w:rPr>
      </w:pPr>
      <w:r w:rsidRPr="00DE4581">
        <w:rPr>
          <w:rFonts w:ascii="Times New Roman" w:hAnsi="Times New Roman"/>
          <w:noProof/>
          <w:lang w:val="en-HK"/>
          <w14:ligatures w14:val="standardContextual"/>
        </w:rPr>
        <w:pict w14:anchorId="68967561">
          <v:rect id="_x0000_i1061" alt="" style="width:451.3pt;height:.05pt;mso-width-percent:0;mso-height-percent:0;mso-width-percent:0;mso-height-percent:0" o:hralign="center" o:hrstd="t" o:hr="t" fillcolor="#a0a0a0" stroked="f"/>
        </w:pict>
      </w:r>
    </w:p>
    <w:p w14:paraId="45A283F8" w14:textId="77777777" w:rsidR="009613AC" w:rsidRPr="009613AC" w:rsidRDefault="009613AC" w:rsidP="006533FF">
      <w:pPr>
        <w:spacing w:before="100" w:beforeAutospacing="1" w:after="100" w:afterAutospacing="1" w:line="360" w:lineRule="auto"/>
        <w:outlineLvl w:val="3"/>
        <w:rPr>
          <w:rFonts w:ascii="Times New Roman" w:hAnsi="Times New Roman"/>
          <w:b/>
          <w:bCs/>
          <w:lang w:val="en-HK"/>
        </w:rPr>
      </w:pPr>
      <w:r w:rsidRPr="009613AC">
        <w:rPr>
          <w:rFonts w:ascii="Times New Roman" w:hAnsi="Times New Roman"/>
          <w:b/>
          <w:bCs/>
          <w:lang w:val="en-HK"/>
        </w:rPr>
        <w:t>3. Directive 2004/38 (Citizens’ Rights Directive)</w:t>
      </w:r>
    </w:p>
    <w:p w14:paraId="06AD9039" w14:textId="77777777" w:rsidR="009613AC" w:rsidRPr="009613AC" w:rsidRDefault="009613AC" w:rsidP="006533FF">
      <w:pPr>
        <w:numPr>
          <w:ilvl w:val="0"/>
          <w:numId w:val="8"/>
        </w:numPr>
        <w:spacing w:before="100" w:beforeAutospacing="1" w:after="100" w:afterAutospacing="1" w:line="360" w:lineRule="auto"/>
        <w:rPr>
          <w:rFonts w:ascii="Times New Roman" w:hAnsi="Times New Roman"/>
          <w:lang w:val="en-HK"/>
        </w:rPr>
      </w:pPr>
      <w:r w:rsidRPr="009613AC">
        <w:rPr>
          <w:rFonts w:ascii="Times New Roman" w:hAnsi="Times New Roman"/>
          <w:b/>
          <w:bCs/>
          <w:lang w:val="en-HK"/>
        </w:rPr>
        <w:t>Radical Improvements</w:t>
      </w:r>
      <w:r w:rsidRPr="009613AC">
        <w:rPr>
          <w:rFonts w:ascii="Times New Roman" w:hAnsi="Times New Roman"/>
          <w:lang w:val="en-HK"/>
        </w:rPr>
        <w:t>:</w:t>
      </w:r>
    </w:p>
    <w:p w14:paraId="4B8286FD" w14:textId="77777777" w:rsidR="009613AC" w:rsidRPr="009613AC" w:rsidRDefault="009613AC" w:rsidP="006533FF">
      <w:pPr>
        <w:spacing w:before="100" w:beforeAutospacing="1" w:after="100" w:afterAutospacing="1" w:line="360" w:lineRule="auto"/>
        <w:rPr>
          <w:rFonts w:ascii="Times New Roman" w:hAnsi="Times New Roman"/>
          <w:lang w:val="en-HK"/>
        </w:rPr>
      </w:pPr>
      <w:r w:rsidRPr="009613AC">
        <w:rPr>
          <w:rFonts w:ascii="Times New Roman" w:hAnsi="Times New Roman"/>
          <w:lang w:val="en-HK"/>
        </w:rPr>
        <w:t>Directive 2004/38 consolidated and extended the rights of Union citizens and their family members, simplifying the legal framework for free movement.</w:t>
      </w:r>
    </w:p>
    <w:p w14:paraId="69817F29" w14:textId="77777777" w:rsidR="009613AC" w:rsidRPr="009613AC" w:rsidRDefault="009613AC" w:rsidP="006533FF">
      <w:pPr>
        <w:spacing w:before="100" w:beforeAutospacing="1" w:after="100" w:afterAutospacing="1" w:line="360" w:lineRule="auto"/>
        <w:rPr>
          <w:rFonts w:ascii="Times New Roman" w:hAnsi="Times New Roman"/>
          <w:lang w:val="en-HK"/>
        </w:rPr>
      </w:pPr>
      <w:r w:rsidRPr="009613AC">
        <w:rPr>
          <w:rFonts w:ascii="Times New Roman" w:hAnsi="Times New Roman"/>
          <w:lang w:val="en-HK"/>
        </w:rPr>
        <w:t>Key Provisions:</w:t>
      </w:r>
    </w:p>
    <w:p w14:paraId="27F82D46" w14:textId="77777777" w:rsidR="009613AC" w:rsidRPr="009613AC" w:rsidRDefault="009613AC" w:rsidP="006533FF">
      <w:pPr>
        <w:numPr>
          <w:ilvl w:val="2"/>
          <w:numId w:val="8"/>
        </w:numPr>
        <w:spacing w:before="100" w:beforeAutospacing="1" w:after="100" w:afterAutospacing="1" w:line="360" w:lineRule="auto"/>
        <w:rPr>
          <w:rFonts w:ascii="Times New Roman" w:hAnsi="Times New Roman"/>
          <w:lang w:val="en-HK"/>
        </w:rPr>
      </w:pPr>
      <w:r w:rsidRPr="009613AC">
        <w:rPr>
          <w:rFonts w:ascii="Times New Roman" w:hAnsi="Times New Roman"/>
          <w:b/>
          <w:bCs/>
          <w:lang w:val="en-HK"/>
        </w:rPr>
        <w:t>Article 6(1)</w:t>
      </w:r>
      <w:r w:rsidRPr="009613AC">
        <w:rPr>
          <w:rFonts w:ascii="Times New Roman" w:hAnsi="Times New Roman"/>
          <w:lang w:val="en-HK"/>
        </w:rPr>
        <w:t xml:space="preserve">: Granted an </w:t>
      </w:r>
      <w:r w:rsidRPr="009613AC">
        <w:rPr>
          <w:rFonts w:ascii="Times New Roman" w:hAnsi="Times New Roman"/>
          <w:b/>
          <w:bCs/>
          <w:lang w:val="en-HK"/>
        </w:rPr>
        <w:t>unconditional right of residence for up to three months</w:t>
      </w:r>
      <w:r w:rsidRPr="009613AC">
        <w:rPr>
          <w:rFonts w:ascii="Times New Roman" w:hAnsi="Times New Roman"/>
          <w:lang w:val="en-HK"/>
        </w:rPr>
        <w:t>.</w:t>
      </w:r>
    </w:p>
    <w:p w14:paraId="76EDA70D" w14:textId="77777777" w:rsidR="009613AC" w:rsidRPr="009613AC" w:rsidRDefault="009613AC" w:rsidP="006533FF">
      <w:pPr>
        <w:numPr>
          <w:ilvl w:val="2"/>
          <w:numId w:val="8"/>
        </w:numPr>
        <w:spacing w:before="100" w:beforeAutospacing="1" w:after="100" w:afterAutospacing="1" w:line="360" w:lineRule="auto"/>
        <w:rPr>
          <w:rFonts w:ascii="Times New Roman" w:hAnsi="Times New Roman"/>
          <w:lang w:val="en-HK"/>
        </w:rPr>
      </w:pPr>
      <w:r w:rsidRPr="009613AC">
        <w:rPr>
          <w:rFonts w:ascii="Times New Roman" w:hAnsi="Times New Roman"/>
          <w:b/>
          <w:bCs/>
          <w:lang w:val="en-HK"/>
        </w:rPr>
        <w:t>Article 7</w:t>
      </w:r>
      <w:r w:rsidRPr="009613AC">
        <w:rPr>
          <w:rFonts w:ascii="Times New Roman" w:hAnsi="Times New Roman"/>
          <w:lang w:val="en-HK"/>
        </w:rPr>
        <w:t>: Required economic activity or sufficient resources and health insurance for residence between three months and five years.</w:t>
      </w:r>
    </w:p>
    <w:p w14:paraId="162E88A6" w14:textId="77777777" w:rsidR="009613AC" w:rsidRPr="009613AC" w:rsidRDefault="009613AC" w:rsidP="006533FF">
      <w:pPr>
        <w:numPr>
          <w:ilvl w:val="2"/>
          <w:numId w:val="8"/>
        </w:numPr>
        <w:spacing w:before="100" w:beforeAutospacing="1" w:after="100" w:afterAutospacing="1" w:line="360" w:lineRule="auto"/>
        <w:rPr>
          <w:rFonts w:ascii="Times New Roman" w:hAnsi="Times New Roman"/>
          <w:lang w:val="en-HK"/>
        </w:rPr>
      </w:pPr>
      <w:r w:rsidRPr="009613AC">
        <w:rPr>
          <w:rFonts w:ascii="Times New Roman" w:hAnsi="Times New Roman"/>
          <w:b/>
          <w:bCs/>
          <w:lang w:val="en-HK"/>
        </w:rPr>
        <w:t>Article 16</w:t>
      </w:r>
      <w:r w:rsidRPr="009613AC">
        <w:rPr>
          <w:rFonts w:ascii="Times New Roman" w:hAnsi="Times New Roman"/>
          <w:lang w:val="en-HK"/>
        </w:rPr>
        <w:t>: Established a right to permanent residence after five years, removing economic conditions.</w:t>
      </w:r>
    </w:p>
    <w:p w14:paraId="123D0393" w14:textId="77777777" w:rsidR="009613AC" w:rsidRPr="009613AC" w:rsidRDefault="009613AC" w:rsidP="006533FF">
      <w:pPr>
        <w:numPr>
          <w:ilvl w:val="0"/>
          <w:numId w:val="8"/>
        </w:numPr>
        <w:spacing w:before="100" w:beforeAutospacing="1" w:after="100" w:afterAutospacing="1" w:line="360" w:lineRule="auto"/>
        <w:rPr>
          <w:rFonts w:ascii="Times New Roman" w:hAnsi="Times New Roman"/>
          <w:lang w:val="en-HK"/>
        </w:rPr>
      </w:pPr>
      <w:r w:rsidRPr="009613AC">
        <w:rPr>
          <w:rFonts w:ascii="Times New Roman" w:hAnsi="Times New Roman"/>
          <w:b/>
          <w:bCs/>
          <w:lang w:val="en-HK"/>
        </w:rPr>
        <w:t>Severance of Economic Activity from Residency Rights</w:t>
      </w:r>
      <w:r w:rsidRPr="009613AC">
        <w:rPr>
          <w:rFonts w:ascii="Times New Roman" w:hAnsi="Times New Roman"/>
          <w:lang w:val="en-HK"/>
        </w:rPr>
        <w:t>:</w:t>
      </w:r>
    </w:p>
    <w:p w14:paraId="49BEEBE1" w14:textId="77777777" w:rsidR="009613AC" w:rsidRPr="009613AC" w:rsidRDefault="009613AC" w:rsidP="006533FF">
      <w:pPr>
        <w:spacing w:before="100" w:beforeAutospacing="1" w:after="100" w:afterAutospacing="1" w:line="360" w:lineRule="auto"/>
        <w:rPr>
          <w:rFonts w:ascii="Times New Roman" w:hAnsi="Times New Roman"/>
          <w:lang w:val="en-HK"/>
        </w:rPr>
      </w:pPr>
      <w:r w:rsidRPr="009613AC">
        <w:rPr>
          <w:rFonts w:ascii="Times New Roman" w:hAnsi="Times New Roman"/>
          <w:lang w:val="en-HK"/>
        </w:rPr>
        <w:t>The directive further detached residency rights from economic activity, reflecting the evolving nature of free movement. For instance:</w:t>
      </w:r>
    </w:p>
    <w:p w14:paraId="3C6BE989" w14:textId="77777777" w:rsidR="009613AC" w:rsidRPr="009613AC" w:rsidRDefault="009613AC" w:rsidP="006533FF">
      <w:pPr>
        <w:numPr>
          <w:ilvl w:val="2"/>
          <w:numId w:val="8"/>
        </w:numPr>
        <w:spacing w:before="100" w:beforeAutospacing="1" w:after="100" w:afterAutospacing="1" w:line="360" w:lineRule="auto"/>
        <w:rPr>
          <w:rFonts w:ascii="Times New Roman" w:hAnsi="Times New Roman"/>
          <w:lang w:val="en-HK"/>
        </w:rPr>
      </w:pPr>
      <w:r w:rsidRPr="009613AC">
        <w:rPr>
          <w:rFonts w:ascii="Times New Roman" w:hAnsi="Times New Roman"/>
          <w:lang w:val="en-HK"/>
        </w:rPr>
        <w:t>During the first three months, there were no conditions related to economic activity.</w:t>
      </w:r>
    </w:p>
    <w:p w14:paraId="12EAFB99" w14:textId="77777777" w:rsidR="009613AC" w:rsidRPr="009613AC" w:rsidRDefault="009613AC" w:rsidP="006533FF">
      <w:pPr>
        <w:numPr>
          <w:ilvl w:val="2"/>
          <w:numId w:val="8"/>
        </w:numPr>
        <w:spacing w:before="100" w:beforeAutospacing="1" w:after="100" w:afterAutospacing="1" w:line="360" w:lineRule="auto"/>
        <w:rPr>
          <w:rFonts w:ascii="Times New Roman" w:hAnsi="Times New Roman"/>
          <w:lang w:val="en-HK"/>
        </w:rPr>
      </w:pPr>
      <w:r w:rsidRPr="009613AC">
        <w:rPr>
          <w:rFonts w:ascii="Times New Roman" w:hAnsi="Times New Roman"/>
          <w:lang w:val="en-HK"/>
        </w:rPr>
        <w:lastRenderedPageBreak/>
        <w:t>After five years, permanent residence was granted unconditionally, emphasizing long-term integration.</w:t>
      </w:r>
    </w:p>
    <w:p w14:paraId="5BC2D35A" w14:textId="77777777" w:rsidR="009613AC" w:rsidRPr="009613AC" w:rsidRDefault="009613AC" w:rsidP="006533FF">
      <w:pPr>
        <w:numPr>
          <w:ilvl w:val="0"/>
          <w:numId w:val="8"/>
        </w:numPr>
        <w:spacing w:before="100" w:beforeAutospacing="1" w:after="100" w:afterAutospacing="1" w:line="360" w:lineRule="auto"/>
        <w:rPr>
          <w:rFonts w:ascii="Times New Roman" w:hAnsi="Times New Roman"/>
          <w:lang w:val="en-HK"/>
        </w:rPr>
      </w:pPr>
      <w:r w:rsidRPr="009613AC">
        <w:rPr>
          <w:rFonts w:ascii="Times New Roman" w:hAnsi="Times New Roman"/>
          <w:b/>
          <w:bCs/>
          <w:lang w:val="en-HK"/>
        </w:rPr>
        <w:t>Challenges in Application</w:t>
      </w:r>
      <w:r w:rsidRPr="009613AC">
        <w:rPr>
          <w:rFonts w:ascii="Times New Roman" w:hAnsi="Times New Roman"/>
          <w:lang w:val="en-HK"/>
        </w:rPr>
        <w:t>:</w:t>
      </w:r>
    </w:p>
    <w:p w14:paraId="5C331B6E" w14:textId="77777777" w:rsidR="009613AC" w:rsidRPr="009613AC" w:rsidRDefault="009613AC" w:rsidP="006533FF">
      <w:pPr>
        <w:spacing w:before="100" w:beforeAutospacing="1" w:after="100" w:afterAutospacing="1" w:line="360" w:lineRule="auto"/>
        <w:rPr>
          <w:rFonts w:ascii="Times New Roman" w:hAnsi="Times New Roman"/>
          <w:lang w:val="en-HK"/>
        </w:rPr>
      </w:pPr>
      <w:r w:rsidRPr="009613AC">
        <w:rPr>
          <w:rFonts w:ascii="Times New Roman" w:hAnsi="Times New Roman"/>
          <w:lang w:val="en-HK"/>
        </w:rPr>
        <w:t>While the directive expanded rights, it also highlighted challenges, such as the divergence in rights between natural persons (Union citizens) and legal persons (companies). For example, the rights of companies remain tied to their economic functions and "seat" within a Member State.</w:t>
      </w:r>
    </w:p>
    <w:p w14:paraId="2FB02ED7" w14:textId="77777777" w:rsidR="009613AC" w:rsidRPr="009613AC" w:rsidRDefault="00DE4581" w:rsidP="006533FF">
      <w:pPr>
        <w:spacing w:line="360" w:lineRule="auto"/>
        <w:rPr>
          <w:rFonts w:ascii="Times New Roman" w:hAnsi="Times New Roman"/>
          <w:lang w:val="en-HK"/>
        </w:rPr>
      </w:pPr>
      <w:r w:rsidRPr="00DE4581">
        <w:rPr>
          <w:rFonts w:ascii="Times New Roman" w:hAnsi="Times New Roman"/>
          <w:noProof/>
          <w:lang w:val="en-HK"/>
          <w14:ligatures w14:val="standardContextual"/>
        </w:rPr>
        <w:pict w14:anchorId="6F21F442">
          <v:rect id="_x0000_i1060" alt="" style="width:451.3pt;height:.05pt;mso-width-percent:0;mso-height-percent:0;mso-width-percent:0;mso-height-percent:0" o:hralign="center" o:hrstd="t" o:hr="t" fillcolor="#a0a0a0" stroked="f"/>
        </w:pict>
      </w:r>
    </w:p>
    <w:p w14:paraId="1501CCD1" w14:textId="77777777" w:rsidR="009613AC" w:rsidRPr="009613AC" w:rsidRDefault="009613AC" w:rsidP="006533FF">
      <w:pPr>
        <w:spacing w:before="100" w:beforeAutospacing="1" w:after="100" w:afterAutospacing="1" w:line="360" w:lineRule="auto"/>
        <w:outlineLvl w:val="3"/>
        <w:rPr>
          <w:rFonts w:ascii="Times New Roman" w:hAnsi="Times New Roman"/>
          <w:b/>
          <w:bCs/>
          <w:lang w:val="en-HK"/>
        </w:rPr>
      </w:pPr>
      <w:r w:rsidRPr="009613AC">
        <w:rPr>
          <w:rFonts w:ascii="Times New Roman" w:hAnsi="Times New Roman"/>
          <w:b/>
          <w:bCs/>
          <w:lang w:val="en-HK"/>
        </w:rPr>
        <w:t>4. Case Law and Practical Implications</w:t>
      </w:r>
    </w:p>
    <w:p w14:paraId="011B382F" w14:textId="77777777" w:rsidR="009613AC" w:rsidRPr="009613AC" w:rsidRDefault="009613AC" w:rsidP="006533FF">
      <w:pPr>
        <w:numPr>
          <w:ilvl w:val="0"/>
          <w:numId w:val="9"/>
        </w:numPr>
        <w:spacing w:before="100" w:beforeAutospacing="1" w:after="100" w:afterAutospacing="1" w:line="360" w:lineRule="auto"/>
        <w:rPr>
          <w:rFonts w:ascii="Times New Roman" w:hAnsi="Times New Roman"/>
          <w:lang w:val="en-HK"/>
        </w:rPr>
      </w:pPr>
      <w:proofErr w:type="spellStart"/>
      <w:r w:rsidRPr="009613AC">
        <w:rPr>
          <w:rFonts w:ascii="Times New Roman" w:hAnsi="Times New Roman"/>
          <w:b/>
          <w:bCs/>
          <w:lang w:val="en-HK"/>
        </w:rPr>
        <w:t>Grzelczyk’s</w:t>
      </w:r>
      <w:proofErr w:type="spellEnd"/>
      <w:r w:rsidRPr="009613AC">
        <w:rPr>
          <w:rFonts w:ascii="Times New Roman" w:hAnsi="Times New Roman"/>
          <w:b/>
          <w:bCs/>
          <w:lang w:val="en-HK"/>
        </w:rPr>
        <w:t xml:space="preserve"> Legacy</w:t>
      </w:r>
      <w:r w:rsidRPr="009613AC">
        <w:rPr>
          <w:rFonts w:ascii="Times New Roman" w:hAnsi="Times New Roman"/>
          <w:lang w:val="en-HK"/>
        </w:rPr>
        <w:t>:</w:t>
      </w:r>
    </w:p>
    <w:p w14:paraId="0C4716C7" w14:textId="77777777" w:rsidR="009613AC" w:rsidRPr="009613AC" w:rsidRDefault="009613AC" w:rsidP="006533FF">
      <w:pPr>
        <w:spacing w:before="100" w:beforeAutospacing="1" w:after="100" w:afterAutospacing="1" w:line="360" w:lineRule="auto"/>
        <w:rPr>
          <w:rFonts w:ascii="Times New Roman" w:hAnsi="Times New Roman"/>
          <w:lang w:val="en-HK"/>
        </w:rPr>
      </w:pPr>
      <w:r w:rsidRPr="009613AC">
        <w:rPr>
          <w:rFonts w:ascii="Times New Roman" w:hAnsi="Times New Roman"/>
          <w:lang w:val="en-HK"/>
        </w:rPr>
        <w:t xml:space="preserve">The case </w:t>
      </w:r>
      <w:proofErr w:type="spellStart"/>
      <w:r w:rsidRPr="009613AC">
        <w:rPr>
          <w:rFonts w:ascii="Times New Roman" w:hAnsi="Times New Roman"/>
          <w:lang w:val="en-HK"/>
        </w:rPr>
        <w:t>signaled</w:t>
      </w:r>
      <w:proofErr w:type="spellEnd"/>
      <w:r w:rsidRPr="009613AC">
        <w:rPr>
          <w:rFonts w:ascii="Times New Roman" w:hAnsi="Times New Roman"/>
          <w:lang w:val="en-HK"/>
        </w:rPr>
        <w:t xml:space="preserve"> the Court’s willingness to interpret citizenship provisions broadly. By doing so, it set the stage for future cases addressing equality and access to benefits.</w:t>
      </w:r>
    </w:p>
    <w:p w14:paraId="1E419083" w14:textId="77777777" w:rsidR="009613AC" w:rsidRPr="009613AC" w:rsidRDefault="009613AC" w:rsidP="006533FF">
      <w:pPr>
        <w:numPr>
          <w:ilvl w:val="0"/>
          <w:numId w:val="9"/>
        </w:numPr>
        <w:spacing w:before="100" w:beforeAutospacing="1" w:after="100" w:afterAutospacing="1" w:line="360" w:lineRule="auto"/>
        <w:rPr>
          <w:rFonts w:ascii="Times New Roman" w:hAnsi="Times New Roman"/>
          <w:lang w:val="en-HK"/>
        </w:rPr>
      </w:pPr>
      <w:r w:rsidRPr="009613AC">
        <w:rPr>
          <w:rFonts w:ascii="Times New Roman" w:hAnsi="Times New Roman"/>
          <w:b/>
          <w:bCs/>
          <w:lang w:val="en-HK"/>
        </w:rPr>
        <w:t>Historical Sensitivity of Free Movement</w:t>
      </w:r>
      <w:r w:rsidRPr="009613AC">
        <w:rPr>
          <w:rFonts w:ascii="Times New Roman" w:hAnsi="Times New Roman"/>
          <w:lang w:val="en-HK"/>
        </w:rPr>
        <w:t>:</w:t>
      </w:r>
    </w:p>
    <w:p w14:paraId="5451A3C1" w14:textId="77777777" w:rsidR="009613AC" w:rsidRPr="009613AC" w:rsidRDefault="009613AC" w:rsidP="006533FF">
      <w:pPr>
        <w:spacing w:before="100" w:beforeAutospacing="1" w:after="100" w:afterAutospacing="1" w:line="360" w:lineRule="auto"/>
        <w:rPr>
          <w:rFonts w:ascii="Times New Roman" w:hAnsi="Times New Roman"/>
          <w:lang w:val="en-HK"/>
        </w:rPr>
      </w:pPr>
      <w:r w:rsidRPr="009613AC">
        <w:rPr>
          <w:rFonts w:ascii="Times New Roman" w:hAnsi="Times New Roman"/>
          <w:lang w:val="en-HK"/>
        </w:rPr>
        <w:t>Unlike the free movement of goods, the free movement of persons raised concerns about:</w:t>
      </w:r>
    </w:p>
    <w:p w14:paraId="5B04011C" w14:textId="77777777" w:rsidR="009613AC" w:rsidRPr="009613AC" w:rsidRDefault="009613AC" w:rsidP="006533FF">
      <w:pPr>
        <w:numPr>
          <w:ilvl w:val="2"/>
          <w:numId w:val="9"/>
        </w:numPr>
        <w:spacing w:before="100" w:beforeAutospacing="1" w:after="100" w:afterAutospacing="1" w:line="360" w:lineRule="auto"/>
        <w:rPr>
          <w:rFonts w:ascii="Times New Roman" w:hAnsi="Times New Roman"/>
          <w:lang w:val="en-HK"/>
        </w:rPr>
      </w:pPr>
      <w:r w:rsidRPr="009613AC">
        <w:rPr>
          <w:rFonts w:ascii="Times New Roman" w:hAnsi="Times New Roman"/>
          <w:b/>
          <w:bCs/>
          <w:lang w:val="en-HK"/>
        </w:rPr>
        <w:t>Welfare Implications</w:t>
      </w:r>
      <w:r w:rsidRPr="009613AC">
        <w:rPr>
          <w:rFonts w:ascii="Times New Roman" w:hAnsi="Times New Roman"/>
          <w:lang w:val="en-HK"/>
        </w:rPr>
        <w:t>: Fear of "benefit tourism."</w:t>
      </w:r>
    </w:p>
    <w:p w14:paraId="43AB772C" w14:textId="77777777" w:rsidR="009613AC" w:rsidRPr="009613AC" w:rsidRDefault="009613AC" w:rsidP="006533FF">
      <w:pPr>
        <w:numPr>
          <w:ilvl w:val="2"/>
          <w:numId w:val="9"/>
        </w:numPr>
        <w:spacing w:before="100" w:beforeAutospacing="1" w:after="100" w:afterAutospacing="1" w:line="360" w:lineRule="auto"/>
        <w:rPr>
          <w:rFonts w:ascii="Times New Roman" w:hAnsi="Times New Roman"/>
          <w:lang w:val="en-HK"/>
        </w:rPr>
      </w:pPr>
      <w:r w:rsidRPr="009613AC">
        <w:rPr>
          <w:rFonts w:ascii="Times New Roman" w:hAnsi="Times New Roman"/>
          <w:b/>
          <w:bCs/>
          <w:lang w:val="en-HK"/>
        </w:rPr>
        <w:t>Security Concerns</w:t>
      </w:r>
      <w:r w:rsidRPr="009613AC">
        <w:rPr>
          <w:rFonts w:ascii="Times New Roman" w:hAnsi="Times New Roman"/>
          <w:lang w:val="en-HK"/>
        </w:rPr>
        <w:t>: Issues of immigration control and public safety.</w:t>
      </w:r>
    </w:p>
    <w:p w14:paraId="2407B152" w14:textId="77777777" w:rsidR="009613AC" w:rsidRPr="009613AC" w:rsidRDefault="009613AC" w:rsidP="006533FF">
      <w:pPr>
        <w:spacing w:before="100" w:beforeAutospacing="1" w:after="100" w:afterAutospacing="1" w:line="360" w:lineRule="auto"/>
        <w:rPr>
          <w:rFonts w:ascii="Times New Roman" w:hAnsi="Times New Roman"/>
          <w:lang w:val="en-HK"/>
        </w:rPr>
      </w:pPr>
      <w:r w:rsidRPr="009613AC">
        <w:rPr>
          <w:rFonts w:ascii="Times New Roman" w:hAnsi="Times New Roman"/>
          <w:lang w:val="en-HK"/>
        </w:rPr>
        <w:t>These sensitivities explain why the Treaty initially limited free movement to economically active individuals who contributed to the host state’s economy.</w:t>
      </w:r>
    </w:p>
    <w:p w14:paraId="562A6490" w14:textId="77777777" w:rsidR="009613AC" w:rsidRPr="009613AC" w:rsidRDefault="00DE4581" w:rsidP="006533FF">
      <w:pPr>
        <w:spacing w:line="360" w:lineRule="auto"/>
        <w:rPr>
          <w:rFonts w:ascii="Times New Roman" w:hAnsi="Times New Roman"/>
          <w:lang w:val="en-HK"/>
        </w:rPr>
      </w:pPr>
      <w:r w:rsidRPr="00DE4581">
        <w:rPr>
          <w:rFonts w:ascii="Times New Roman" w:hAnsi="Times New Roman"/>
          <w:noProof/>
          <w:lang w:val="en-HK"/>
          <w14:ligatures w14:val="standardContextual"/>
        </w:rPr>
        <w:pict w14:anchorId="04A48902">
          <v:rect id="_x0000_i1059" alt="" style="width:451.3pt;height:.05pt;mso-width-percent:0;mso-height-percent:0;mso-width-percent:0;mso-height-percent:0" o:hralign="center" o:hrstd="t" o:hr="t" fillcolor="#a0a0a0" stroked="f"/>
        </w:pict>
      </w:r>
    </w:p>
    <w:p w14:paraId="3360D6FC" w14:textId="77777777" w:rsidR="009613AC" w:rsidRPr="009613AC" w:rsidRDefault="009613AC" w:rsidP="006533FF">
      <w:pPr>
        <w:spacing w:before="100" w:beforeAutospacing="1" w:after="100" w:afterAutospacing="1" w:line="360" w:lineRule="auto"/>
        <w:outlineLvl w:val="3"/>
        <w:rPr>
          <w:rFonts w:ascii="Times New Roman" w:hAnsi="Times New Roman"/>
          <w:b/>
          <w:bCs/>
          <w:lang w:val="en-HK"/>
        </w:rPr>
      </w:pPr>
      <w:r w:rsidRPr="009613AC">
        <w:rPr>
          <w:rFonts w:ascii="Times New Roman" w:hAnsi="Times New Roman"/>
          <w:b/>
          <w:bCs/>
          <w:lang w:val="en-HK"/>
        </w:rPr>
        <w:t>5. Divergence in Member State Policies</w:t>
      </w:r>
    </w:p>
    <w:p w14:paraId="25243FE4" w14:textId="77777777" w:rsidR="009613AC" w:rsidRPr="009613AC" w:rsidRDefault="009613AC" w:rsidP="006533FF">
      <w:pPr>
        <w:numPr>
          <w:ilvl w:val="0"/>
          <w:numId w:val="10"/>
        </w:numPr>
        <w:spacing w:before="100" w:beforeAutospacing="1" w:after="100" w:afterAutospacing="1" w:line="360" w:lineRule="auto"/>
        <w:rPr>
          <w:rFonts w:ascii="Times New Roman" w:hAnsi="Times New Roman"/>
          <w:lang w:val="en-HK"/>
        </w:rPr>
      </w:pPr>
      <w:r w:rsidRPr="009613AC">
        <w:rPr>
          <w:rFonts w:ascii="Times New Roman" w:hAnsi="Times New Roman"/>
          <w:b/>
          <w:bCs/>
          <w:lang w:val="en-HK"/>
        </w:rPr>
        <w:t>Transitional Arrangements</w:t>
      </w:r>
      <w:r w:rsidRPr="009613AC">
        <w:rPr>
          <w:rFonts w:ascii="Times New Roman" w:hAnsi="Times New Roman"/>
          <w:lang w:val="en-HK"/>
        </w:rPr>
        <w:t>:</w:t>
      </w:r>
    </w:p>
    <w:p w14:paraId="7AB3C619" w14:textId="77777777" w:rsidR="009613AC" w:rsidRPr="009613AC" w:rsidRDefault="009613AC" w:rsidP="006533FF">
      <w:pPr>
        <w:spacing w:before="100" w:beforeAutospacing="1" w:after="100" w:afterAutospacing="1" w:line="360" w:lineRule="auto"/>
        <w:rPr>
          <w:rFonts w:ascii="Times New Roman" w:hAnsi="Times New Roman"/>
          <w:lang w:val="en-HK"/>
        </w:rPr>
      </w:pPr>
      <w:r w:rsidRPr="009613AC">
        <w:rPr>
          <w:rFonts w:ascii="Times New Roman" w:hAnsi="Times New Roman"/>
          <w:lang w:val="en-HK"/>
        </w:rPr>
        <w:t xml:space="preserve">The 2004 enlargement (EU-8 accession states) led to transitional arrangements under the "2+3+2" formula, allowing existing Member States to gradually open their </w:t>
      </w:r>
      <w:proofErr w:type="spellStart"/>
      <w:r w:rsidRPr="009613AC">
        <w:rPr>
          <w:rFonts w:ascii="Times New Roman" w:hAnsi="Times New Roman"/>
          <w:lang w:val="en-HK"/>
        </w:rPr>
        <w:t>labor</w:t>
      </w:r>
      <w:proofErr w:type="spellEnd"/>
      <w:r w:rsidRPr="009613AC">
        <w:rPr>
          <w:rFonts w:ascii="Times New Roman" w:hAnsi="Times New Roman"/>
          <w:lang w:val="en-HK"/>
        </w:rPr>
        <w:t xml:space="preserve"> markets. For example:</w:t>
      </w:r>
    </w:p>
    <w:p w14:paraId="5DC396BB" w14:textId="77777777" w:rsidR="009613AC" w:rsidRPr="009613AC" w:rsidRDefault="009613AC" w:rsidP="006533FF">
      <w:pPr>
        <w:numPr>
          <w:ilvl w:val="2"/>
          <w:numId w:val="10"/>
        </w:numPr>
        <w:spacing w:before="100" w:beforeAutospacing="1" w:after="100" w:afterAutospacing="1" w:line="360" w:lineRule="auto"/>
        <w:rPr>
          <w:rFonts w:ascii="Times New Roman" w:hAnsi="Times New Roman"/>
          <w:lang w:val="en-HK"/>
        </w:rPr>
      </w:pPr>
      <w:r w:rsidRPr="009613AC">
        <w:rPr>
          <w:rFonts w:ascii="Times New Roman" w:hAnsi="Times New Roman"/>
          <w:lang w:val="en-HK"/>
        </w:rPr>
        <w:lastRenderedPageBreak/>
        <w:t>Ireland, Sweden, and the UK allowed immediate access.</w:t>
      </w:r>
    </w:p>
    <w:p w14:paraId="337A621F" w14:textId="77777777" w:rsidR="009613AC" w:rsidRPr="009613AC" w:rsidRDefault="009613AC" w:rsidP="006533FF">
      <w:pPr>
        <w:numPr>
          <w:ilvl w:val="2"/>
          <w:numId w:val="10"/>
        </w:numPr>
        <w:spacing w:before="100" w:beforeAutospacing="1" w:after="100" w:afterAutospacing="1" w:line="360" w:lineRule="auto"/>
        <w:rPr>
          <w:rFonts w:ascii="Times New Roman" w:hAnsi="Times New Roman"/>
          <w:lang w:val="en-HK"/>
        </w:rPr>
      </w:pPr>
      <w:r w:rsidRPr="009613AC">
        <w:rPr>
          <w:rFonts w:ascii="Times New Roman" w:hAnsi="Times New Roman"/>
          <w:lang w:val="en-HK"/>
        </w:rPr>
        <w:t xml:space="preserve">Other Member States imposed restrictions, fearing wage suppression and </w:t>
      </w:r>
      <w:proofErr w:type="spellStart"/>
      <w:r w:rsidRPr="009613AC">
        <w:rPr>
          <w:rFonts w:ascii="Times New Roman" w:hAnsi="Times New Roman"/>
          <w:lang w:val="en-HK"/>
        </w:rPr>
        <w:t>labor</w:t>
      </w:r>
      <w:proofErr w:type="spellEnd"/>
      <w:r w:rsidRPr="009613AC">
        <w:rPr>
          <w:rFonts w:ascii="Times New Roman" w:hAnsi="Times New Roman"/>
          <w:lang w:val="en-HK"/>
        </w:rPr>
        <w:t xml:space="preserve"> displacement.</w:t>
      </w:r>
    </w:p>
    <w:p w14:paraId="7912FF19" w14:textId="77777777" w:rsidR="009613AC" w:rsidRPr="009613AC" w:rsidRDefault="009613AC" w:rsidP="006533FF">
      <w:pPr>
        <w:numPr>
          <w:ilvl w:val="0"/>
          <w:numId w:val="10"/>
        </w:numPr>
        <w:spacing w:before="100" w:beforeAutospacing="1" w:after="100" w:afterAutospacing="1" w:line="360" w:lineRule="auto"/>
        <w:rPr>
          <w:rFonts w:ascii="Times New Roman" w:hAnsi="Times New Roman"/>
          <w:lang w:val="en-HK"/>
        </w:rPr>
      </w:pPr>
      <w:r w:rsidRPr="009613AC">
        <w:rPr>
          <w:rFonts w:ascii="Times New Roman" w:hAnsi="Times New Roman"/>
          <w:b/>
          <w:bCs/>
          <w:lang w:val="en-HK"/>
        </w:rPr>
        <w:t>UK’s Open Labor Market</w:t>
      </w:r>
      <w:r w:rsidRPr="009613AC">
        <w:rPr>
          <w:rFonts w:ascii="Times New Roman" w:hAnsi="Times New Roman"/>
          <w:lang w:val="en-HK"/>
        </w:rPr>
        <w:t>:</w:t>
      </w:r>
    </w:p>
    <w:p w14:paraId="68D158FE" w14:textId="77777777" w:rsidR="009613AC" w:rsidRPr="009613AC" w:rsidRDefault="009613AC" w:rsidP="006533FF">
      <w:pPr>
        <w:spacing w:before="100" w:beforeAutospacing="1" w:after="100" w:afterAutospacing="1" w:line="360" w:lineRule="auto"/>
        <w:rPr>
          <w:rFonts w:ascii="Times New Roman" w:hAnsi="Times New Roman"/>
          <w:lang w:val="en-HK"/>
        </w:rPr>
      </w:pPr>
      <w:r w:rsidRPr="009613AC">
        <w:rPr>
          <w:rFonts w:ascii="Times New Roman" w:hAnsi="Times New Roman"/>
          <w:lang w:val="en-HK"/>
        </w:rPr>
        <w:t>The UK's decision not to impose transitional measures led to significant migration from EU-8 countries, particularly Poland. By 2021, over six million applications for the UK’s settled status scheme had been made, highlighting the long-term impact of this policy.</w:t>
      </w:r>
    </w:p>
    <w:p w14:paraId="424FEC4E" w14:textId="77777777" w:rsidR="009613AC" w:rsidRPr="009613AC" w:rsidRDefault="009613AC" w:rsidP="006533FF">
      <w:pPr>
        <w:numPr>
          <w:ilvl w:val="0"/>
          <w:numId w:val="10"/>
        </w:numPr>
        <w:spacing w:before="100" w:beforeAutospacing="1" w:after="100" w:afterAutospacing="1" w:line="360" w:lineRule="auto"/>
        <w:rPr>
          <w:rFonts w:ascii="Times New Roman" w:hAnsi="Times New Roman"/>
          <w:lang w:val="en-HK"/>
        </w:rPr>
      </w:pPr>
      <w:r w:rsidRPr="009613AC">
        <w:rPr>
          <w:rFonts w:ascii="Times New Roman" w:hAnsi="Times New Roman"/>
          <w:b/>
          <w:bCs/>
          <w:lang w:val="en-HK"/>
        </w:rPr>
        <w:t>Brexit’s Impact</w:t>
      </w:r>
      <w:r w:rsidRPr="009613AC">
        <w:rPr>
          <w:rFonts w:ascii="Times New Roman" w:hAnsi="Times New Roman"/>
          <w:lang w:val="en-HK"/>
        </w:rPr>
        <w:t>:</w:t>
      </w:r>
    </w:p>
    <w:p w14:paraId="0F29329F" w14:textId="77777777" w:rsidR="009613AC" w:rsidRPr="009613AC" w:rsidRDefault="009613AC" w:rsidP="006533FF">
      <w:pPr>
        <w:spacing w:before="100" w:beforeAutospacing="1" w:after="100" w:afterAutospacing="1" w:line="360" w:lineRule="auto"/>
        <w:rPr>
          <w:rFonts w:ascii="Times New Roman" w:hAnsi="Times New Roman"/>
          <w:lang w:val="en-HK"/>
        </w:rPr>
      </w:pPr>
      <w:r w:rsidRPr="009613AC">
        <w:rPr>
          <w:rFonts w:ascii="Times New Roman" w:hAnsi="Times New Roman"/>
          <w:lang w:val="en-HK"/>
        </w:rPr>
        <w:t>Post-Brexit, UK nationals lost their free movement rights, while EU nationals in the UK and vice versa retained rights under the Withdrawal Agreement if they had settled or pre-settled status.</w:t>
      </w:r>
    </w:p>
    <w:p w14:paraId="3A87BFC6" w14:textId="77777777" w:rsidR="009613AC" w:rsidRPr="009613AC" w:rsidRDefault="00DE4581" w:rsidP="006533FF">
      <w:pPr>
        <w:spacing w:line="360" w:lineRule="auto"/>
        <w:rPr>
          <w:rFonts w:ascii="Times New Roman" w:hAnsi="Times New Roman"/>
          <w:lang w:val="en-HK"/>
        </w:rPr>
      </w:pPr>
      <w:r w:rsidRPr="00DE4581">
        <w:rPr>
          <w:rFonts w:ascii="Times New Roman" w:hAnsi="Times New Roman"/>
          <w:noProof/>
          <w:lang w:val="en-HK"/>
          <w14:ligatures w14:val="standardContextual"/>
        </w:rPr>
        <w:pict w14:anchorId="3728BCF6">
          <v:rect id="_x0000_i1058" alt="" style="width:451.3pt;height:.05pt;mso-width-percent:0;mso-height-percent:0;mso-width-percent:0;mso-height-percent:0" o:hralign="center" o:hrstd="t" o:hr="t" fillcolor="#a0a0a0" stroked="f"/>
        </w:pict>
      </w:r>
    </w:p>
    <w:p w14:paraId="04D4E9BF" w14:textId="77777777" w:rsidR="009613AC" w:rsidRPr="009613AC" w:rsidRDefault="009613AC" w:rsidP="006533FF">
      <w:pPr>
        <w:spacing w:before="100" w:beforeAutospacing="1" w:after="100" w:afterAutospacing="1" w:line="360" w:lineRule="auto"/>
        <w:outlineLvl w:val="3"/>
        <w:rPr>
          <w:rFonts w:ascii="Times New Roman" w:hAnsi="Times New Roman"/>
          <w:b/>
          <w:bCs/>
          <w:lang w:val="en-HK"/>
        </w:rPr>
      </w:pPr>
      <w:r w:rsidRPr="009613AC">
        <w:rPr>
          <w:rFonts w:ascii="Times New Roman" w:hAnsi="Times New Roman"/>
          <w:b/>
          <w:bCs/>
          <w:lang w:val="en-HK"/>
        </w:rPr>
        <w:t>6. Scholarly and Judicial Commentary</w:t>
      </w:r>
    </w:p>
    <w:p w14:paraId="7717FD8E" w14:textId="77777777" w:rsidR="009613AC" w:rsidRPr="009613AC" w:rsidRDefault="009613AC" w:rsidP="006533FF">
      <w:pPr>
        <w:numPr>
          <w:ilvl w:val="0"/>
          <w:numId w:val="11"/>
        </w:numPr>
        <w:spacing w:before="100" w:beforeAutospacing="1" w:after="100" w:afterAutospacing="1" w:line="360" w:lineRule="auto"/>
        <w:rPr>
          <w:rFonts w:ascii="Times New Roman" w:hAnsi="Times New Roman"/>
          <w:lang w:val="en-HK"/>
        </w:rPr>
      </w:pPr>
      <w:r w:rsidRPr="009613AC">
        <w:rPr>
          <w:rFonts w:ascii="Times New Roman" w:hAnsi="Times New Roman"/>
          <w:b/>
          <w:bCs/>
          <w:lang w:val="en-HK"/>
        </w:rPr>
        <w:t>Catherine Barnard</w:t>
      </w:r>
      <w:r w:rsidRPr="009613AC">
        <w:rPr>
          <w:rFonts w:ascii="Times New Roman" w:hAnsi="Times New Roman"/>
          <w:lang w:val="en-HK"/>
        </w:rPr>
        <w:t>:</w:t>
      </w:r>
    </w:p>
    <w:p w14:paraId="6E672120" w14:textId="77777777" w:rsidR="009613AC" w:rsidRPr="009613AC" w:rsidRDefault="009613AC" w:rsidP="006533FF">
      <w:pPr>
        <w:spacing w:before="100" w:beforeAutospacing="1" w:after="100" w:afterAutospacing="1" w:line="360" w:lineRule="auto"/>
        <w:rPr>
          <w:rFonts w:ascii="Times New Roman" w:hAnsi="Times New Roman"/>
          <w:lang w:val="en-HK"/>
        </w:rPr>
      </w:pPr>
      <w:r w:rsidRPr="009613AC">
        <w:rPr>
          <w:rFonts w:ascii="Times New Roman" w:hAnsi="Times New Roman"/>
          <w:lang w:val="en-HK"/>
        </w:rPr>
        <w:t>Barnard emphasizes the transformative nature of free movement rights, particularly the shift from economic activity to broader citizenship rights. She argues that the Citizens’ Rights Directive represents a culmination of this evolution, fostering deeper integration within the EU.</w:t>
      </w:r>
    </w:p>
    <w:p w14:paraId="056EC216" w14:textId="77777777" w:rsidR="009613AC" w:rsidRPr="009613AC" w:rsidRDefault="009613AC" w:rsidP="006533FF">
      <w:pPr>
        <w:numPr>
          <w:ilvl w:val="0"/>
          <w:numId w:val="11"/>
        </w:numPr>
        <w:spacing w:before="100" w:beforeAutospacing="1" w:after="100" w:afterAutospacing="1" w:line="360" w:lineRule="auto"/>
        <w:rPr>
          <w:rFonts w:ascii="Times New Roman" w:hAnsi="Times New Roman"/>
          <w:lang w:val="en-HK"/>
        </w:rPr>
      </w:pPr>
      <w:r w:rsidRPr="009613AC">
        <w:rPr>
          <w:rFonts w:ascii="Times New Roman" w:hAnsi="Times New Roman"/>
          <w:b/>
          <w:bCs/>
          <w:lang w:val="en-HK"/>
        </w:rPr>
        <w:t>Advocate General Opinions</w:t>
      </w:r>
      <w:r w:rsidRPr="009613AC">
        <w:rPr>
          <w:rFonts w:ascii="Times New Roman" w:hAnsi="Times New Roman"/>
          <w:lang w:val="en-HK"/>
        </w:rPr>
        <w:t>:</w:t>
      </w:r>
    </w:p>
    <w:p w14:paraId="05188A68" w14:textId="77777777" w:rsidR="009613AC" w:rsidRPr="009613AC" w:rsidRDefault="009613AC" w:rsidP="006533FF">
      <w:pPr>
        <w:spacing w:before="100" w:beforeAutospacing="1" w:after="100" w:afterAutospacing="1" w:line="360" w:lineRule="auto"/>
        <w:rPr>
          <w:rFonts w:ascii="Times New Roman" w:hAnsi="Times New Roman"/>
          <w:lang w:val="en-HK"/>
        </w:rPr>
      </w:pPr>
      <w:r w:rsidRPr="009613AC">
        <w:rPr>
          <w:rFonts w:ascii="Times New Roman" w:hAnsi="Times New Roman"/>
          <w:lang w:val="en-HK"/>
        </w:rPr>
        <w:t xml:space="preserve">In cases like </w:t>
      </w:r>
      <w:proofErr w:type="spellStart"/>
      <w:r w:rsidRPr="009613AC">
        <w:rPr>
          <w:rFonts w:ascii="Times New Roman" w:hAnsi="Times New Roman"/>
          <w:i/>
          <w:iCs/>
          <w:lang w:val="en-HK"/>
        </w:rPr>
        <w:t>Metock</w:t>
      </w:r>
      <w:proofErr w:type="spellEnd"/>
      <w:r w:rsidRPr="009613AC">
        <w:rPr>
          <w:rFonts w:ascii="Times New Roman" w:hAnsi="Times New Roman"/>
          <w:i/>
          <w:iCs/>
          <w:lang w:val="en-HK"/>
        </w:rPr>
        <w:t xml:space="preserve"> (Case C-127/08)</w:t>
      </w:r>
      <w:r w:rsidRPr="009613AC">
        <w:rPr>
          <w:rFonts w:ascii="Times New Roman" w:hAnsi="Times New Roman"/>
          <w:lang w:val="en-HK"/>
        </w:rPr>
        <w:t xml:space="preserve">, AG opinions have stressed the importance of </w:t>
      </w:r>
      <w:r w:rsidRPr="009613AC">
        <w:rPr>
          <w:rFonts w:ascii="Times New Roman" w:hAnsi="Times New Roman"/>
          <w:b/>
          <w:bCs/>
          <w:lang w:val="en-HK"/>
        </w:rPr>
        <w:t>protecting family unity and individual rights within the framework of free movement</w:t>
      </w:r>
      <w:r w:rsidRPr="009613AC">
        <w:rPr>
          <w:rFonts w:ascii="Times New Roman" w:hAnsi="Times New Roman"/>
          <w:lang w:val="en-HK"/>
        </w:rPr>
        <w:t>. These rulings reinforce the principle that free movement must adapt to societal and political changes.</w:t>
      </w:r>
    </w:p>
    <w:p w14:paraId="1982650A" w14:textId="77777777" w:rsidR="009613AC" w:rsidRPr="009613AC" w:rsidRDefault="009613AC" w:rsidP="006533FF">
      <w:pPr>
        <w:numPr>
          <w:ilvl w:val="0"/>
          <w:numId w:val="11"/>
        </w:numPr>
        <w:spacing w:before="100" w:beforeAutospacing="1" w:after="100" w:afterAutospacing="1" w:line="360" w:lineRule="auto"/>
        <w:rPr>
          <w:rFonts w:ascii="Times New Roman" w:hAnsi="Times New Roman"/>
          <w:lang w:val="en-HK"/>
        </w:rPr>
      </w:pPr>
      <w:r w:rsidRPr="009613AC">
        <w:rPr>
          <w:rFonts w:ascii="Times New Roman" w:hAnsi="Times New Roman"/>
          <w:b/>
          <w:bCs/>
          <w:lang w:val="en-HK"/>
        </w:rPr>
        <w:t>Political and Economic Considerations</w:t>
      </w:r>
      <w:r w:rsidRPr="009613AC">
        <w:rPr>
          <w:rFonts w:ascii="Times New Roman" w:hAnsi="Times New Roman"/>
          <w:lang w:val="en-HK"/>
        </w:rPr>
        <w:t>:</w:t>
      </w:r>
    </w:p>
    <w:p w14:paraId="3A6AFF62" w14:textId="77777777" w:rsidR="009613AC" w:rsidRPr="009613AC" w:rsidRDefault="009613AC" w:rsidP="006533FF">
      <w:pPr>
        <w:spacing w:before="100" w:beforeAutospacing="1" w:after="100" w:afterAutospacing="1" w:line="360" w:lineRule="auto"/>
        <w:rPr>
          <w:rFonts w:ascii="Times New Roman" w:hAnsi="Times New Roman"/>
          <w:lang w:val="en-HK"/>
        </w:rPr>
      </w:pPr>
      <w:r w:rsidRPr="009613AC">
        <w:rPr>
          <w:rFonts w:ascii="Times New Roman" w:hAnsi="Times New Roman"/>
          <w:lang w:val="en-HK"/>
        </w:rPr>
        <w:lastRenderedPageBreak/>
        <w:t>Barnard highlights the political resistance to unrestricted free movement, particularly in light of the EU-8 enlargement and Brexit. She argues that the Court’s broad interpretation of free movement reflects the tension between economic integration and national sovereignty.</w:t>
      </w:r>
    </w:p>
    <w:p w14:paraId="35D428C5" w14:textId="77777777" w:rsidR="009613AC" w:rsidRPr="009613AC" w:rsidRDefault="00DE4581" w:rsidP="006533FF">
      <w:pPr>
        <w:spacing w:line="360" w:lineRule="auto"/>
        <w:rPr>
          <w:rFonts w:ascii="Times New Roman" w:hAnsi="Times New Roman"/>
          <w:lang w:val="en-HK"/>
        </w:rPr>
      </w:pPr>
      <w:r w:rsidRPr="00DE4581">
        <w:rPr>
          <w:rFonts w:ascii="Times New Roman" w:hAnsi="Times New Roman"/>
          <w:noProof/>
          <w:lang w:val="en-HK"/>
          <w14:ligatures w14:val="standardContextual"/>
        </w:rPr>
        <w:pict w14:anchorId="30E5FBCA">
          <v:rect id="_x0000_i1057" alt="" style="width:451.3pt;height:.05pt;mso-width-percent:0;mso-height-percent:0;mso-width-percent:0;mso-height-percent:0" o:hralign="center" o:hrstd="t" o:hr="t" fillcolor="#a0a0a0" stroked="f"/>
        </w:pict>
      </w:r>
    </w:p>
    <w:p w14:paraId="272CE310" w14:textId="77777777" w:rsidR="009613AC" w:rsidRPr="009613AC" w:rsidRDefault="009613AC" w:rsidP="006533FF">
      <w:pPr>
        <w:spacing w:before="100" w:beforeAutospacing="1" w:after="100" w:afterAutospacing="1" w:line="360" w:lineRule="auto"/>
        <w:outlineLvl w:val="2"/>
        <w:rPr>
          <w:rFonts w:ascii="Times New Roman" w:hAnsi="Times New Roman"/>
          <w:b/>
          <w:bCs/>
          <w:lang w:val="en-HK"/>
        </w:rPr>
      </w:pPr>
      <w:r w:rsidRPr="009613AC">
        <w:rPr>
          <w:rFonts w:ascii="Times New Roman" w:hAnsi="Times New Roman"/>
          <w:b/>
          <w:bCs/>
          <w:lang w:val="en-HK"/>
        </w:rPr>
        <w:t>Conclusion</w:t>
      </w:r>
    </w:p>
    <w:p w14:paraId="000F99F5" w14:textId="77777777" w:rsidR="009613AC" w:rsidRPr="009613AC" w:rsidRDefault="009613AC" w:rsidP="006533FF">
      <w:pPr>
        <w:spacing w:before="100" w:beforeAutospacing="1" w:after="100" w:afterAutospacing="1" w:line="360" w:lineRule="auto"/>
        <w:rPr>
          <w:rFonts w:ascii="Times New Roman" w:hAnsi="Times New Roman"/>
          <w:lang w:val="en-HK"/>
        </w:rPr>
      </w:pPr>
      <w:r w:rsidRPr="009613AC">
        <w:rPr>
          <w:rFonts w:ascii="Times New Roman" w:hAnsi="Times New Roman"/>
          <w:lang w:val="en-HK"/>
        </w:rPr>
        <w:t xml:space="preserve">The evolution of free movement rights demonstrates the EU’s progressive expansion from economically motivated policies to broader citizenship rights. The introduction of Directive 2004/38 and key rulings like </w:t>
      </w:r>
      <w:proofErr w:type="spellStart"/>
      <w:r w:rsidRPr="009613AC">
        <w:rPr>
          <w:rFonts w:ascii="Times New Roman" w:hAnsi="Times New Roman"/>
          <w:i/>
          <w:iCs/>
          <w:lang w:val="en-HK"/>
        </w:rPr>
        <w:t>Grzelczyk</w:t>
      </w:r>
      <w:proofErr w:type="spellEnd"/>
      <w:r w:rsidRPr="009613AC">
        <w:rPr>
          <w:rFonts w:ascii="Times New Roman" w:hAnsi="Times New Roman"/>
          <w:lang w:val="en-HK"/>
        </w:rPr>
        <w:t xml:space="preserve"> and </w:t>
      </w:r>
      <w:proofErr w:type="spellStart"/>
      <w:r w:rsidRPr="009613AC">
        <w:rPr>
          <w:rFonts w:ascii="Times New Roman" w:hAnsi="Times New Roman"/>
          <w:i/>
          <w:iCs/>
          <w:lang w:val="en-HK"/>
        </w:rPr>
        <w:t>Metock</w:t>
      </w:r>
      <w:proofErr w:type="spellEnd"/>
      <w:r w:rsidRPr="009613AC">
        <w:rPr>
          <w:rFonts w:ascii="Times New Roman" w:hAnsi="Times New Roman"/>
          <w:lang w:val="en-HK"/>
        </w:rPr>
        <w:t xml:space="preserve"> underscore the Court’s commitment to ensuring free movement as a cornerstone of EU integration. However, this evolution also raises challenges related to Member State autonomy, economic disparities, and the limits of citizenship rights.</w:t>
      </w:r>
    </w:p>
    <w:p w14:paraId="5BDFD365" w14:textId="6A4325BC" w:rsidR="006533FF" w:rsidRPr="006533FF" w:rsidRDefault="00DE4581" w:rsidP="006533FF">
      <w:pPr>
        <w:spacing w:before="100" w:beforeAutospacing="1" w:after="100" w:afterAutospacing="1" w:line="360" w:lineRule="auto"/>
        <w:outlineLvl w:val="2"/>
        <w:rPr>
          <w:rFonts w:ascii="Times New Roman" w:hAnsi="Times New Roman"/>
          <w:b/>
          <w:bCs/>
          <w:lang w:val="en-HK"/>
        </w:rPr>
      </w:pPr>
      <w:r w:rsidRPr="00DE4581">
        <w:rPr>
          <w:rFonts w:ascii="Times New Roman" w:hAnsi="Times New Roman"/>
          <w:noProof/>
          <w:lang w:val="en-HK"/>
          <w14:ligatures w14:val="standardContextual"/>
        </w:rPr>
        <w:pict w14:anchorId="2D0B7E7B">
          <v:rect id="_x0000_i1056" alt="" style="width:451.3pt;height:.05pt;mso-width-percent:0;mso-height-percent:0;mso-width-percent:0;mso-height-percent:0" o:hralign="center" o:hrstd="t" o:hr="t" fillcolor="#a0a0a0" stroked="f"/>
        </w:pict>
      </w:r>
      <w:r w:rsidR="006533FF" w:rsidRPr="006533FF">
        <w:rPr>
          <w:rFonts w:ascii="Times New Roman" w:hAnsi="Times New Roman"/>
          <w:b/>
          <w:bCs/>
          <w:lang w:val="en-HK"/>
        </w:rPr>
        <w:t>Section C.1: Personal Scope</w:t>
      </w:r>
    </w:p>
    <w:p w14:paraId="6B0940A3" w14:textId="7E24F2BD"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This section examines the personal scope of free movement rules, focusing on who qualifies to benefit from these rights under the Treaty. It addresses three key elements: nationality, engagement in economic activity, and classification as a worker, self-employed individual, service provider, or citizen.</w:t>
      </w:r>
    </w:p>
    <w:p w14:paraId="5D018CAC" w14:textId="77777777" w:rsidR="006533FF" w:rsidRPr="006533FF" w:rsidRDefault="006533FF" w:rsidP="006533FF">
      <w:pPr>
        <w:spacing w:before="100" w:beforeAutospacing="1" w:after="100" w:afterAutospacing="1" w:line="360" w:lineRule="auto"/>
        <w:outlineLvl w:val="3"/>
        <w:rPr>
          <w:rFonts w:ascii="Times New Roman" w:hAnsi="Times New Roman"/>
          <w:b/>
          <w:bCs/>
          <w:lang w:val="en-HK"/>
        </w:rPr>
      </w:pPr>
      <w:r w:rsidRPr="006533FF">
        <w:rPr>
          <w:rFonts w:ascii="Times New Roman" w:hAnsi="Times New Roman"/>
          <w:b/>
          <w:bCs/>
          <w:lang w:val="en-HK"/>
        </w:rPr>
        <w:t>1. Nationality</w:t>
      </w:r>
    </w:p>
    <w:p w14:paraId="1F7E8C10"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Article 20(1) TFEU</w:t>
      </w:r>
      <w:r w:rsidRPr="006533FF">
        <w:rPr>
          <w:rFonts w:ascii="Times New Roman" w:hAnsi="Times New Roman"/>
          <w:lang w:val="en-HK"/>
        </w:rPr>
        <w:t>:</w:t>
      </w:r>
    </w:p>
    <w:p w14:paraId="54CFF2AA" w14:textId="77777777" w:rsidR="006533FF" w:rsidRPr="006533FF" w:rsidRDefault="006533FF" w:rsidP="006533FF">
      <w:pPr>
        <w:numPr>
          <w:ilvl w:val="1"/>
          <w:numId w:val="12"/>
        </w:numPr>
        <w:spacing w:before="100" w:beforeAutospacing="1" w:after="100" w:afterAutospacing="1" w:line="360" w:lineRule="auto"/>
        <w:rPr>
          <w:rFonts w:ascii="Times New Roman" w:hAnsi="Times New Roman"/>
          <w:lang w:val="en-HK"/>
        </w:rPr>
      </w:pPr>
      <w:r w:rsidRPr="006533FF">
        <w:rPr>
          <w:rFonts w:ascii="Times New Roman" w:hAnsi="Times New Roman"/>
          <w:lang w:val="en-HK"/>
        </w:rPr>
        <w:t>This article defines Union citizenship, stating: “Every person holding the nationality of a Member State shall be a citizen of the Union.”</w:t>
      </w:r>
    </w:p>
    <w:p w14:paraId="489D4E15" w14:textId="77777777" w:rsidR="006533FF" w:rsidRPr="006533FF" w:rsidRDefault="006533FF" w:rsidP="006533FF">
      <w:pPr>
        <w:numPr>
          <w:ilvl w:val="1"/>
          <w:numId w:val="12"/>
        </w:numPr>
        <w:spacing w:before="100" w:beforeAutospacing="1" w:after="100" w:afterAutospacing="1" w:line="360" w:lineRule="auto"/>
        <w:rPr>
          <w:rFonts w:ascii="Times New Roman" w:hAnsi="Times New Roman"/>
          <w:lang w:val="en-HK"/>
        </w:rPr>
      </w:pPr>
      <w:r w:rsidRPr="006533FF">
        <w:rPr>
          <w:rFonts w:ascii="Times New Roman" w:hAnsi="Times New Roman"/>
          <w:lang w:val="en-HK"/>
        </w:rPr>
        <w:t>The determination of nationality, however, remains a matter for the individual Member States, provided their rules comply with Union law.</w:t>
      </w:r>
    </w:p>
    <w:p w14:paraId="55C94BCD"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Member States as Gatekeepers of Union Citizenship</w:t>
      </w:r>
      <w:r w:rsidRPr="006533FF">
        <w:rPr>
          <w:rFonts w:ascii="Times New Roman" w:hAnsi="Times New Roman"/>
          <w:lang w:val="en-HK"/>
        </w:rPr>
        <w:t>:</w:t>
      </w:r>
    </w:p>
    <w:p w14:paraId="266DDEF3" w14:textId="77777777" w:rsidR="006533FF" w:rsidRPr="006533FF" w:rsidRDefault="006533FF" w:rsidP="006533FF">
      <w:pPr>
        <w:numPr>
          <w:ilvl w:val="1"/>
          <w:numId w:val="12"/>
        </w:numPr>
        <w:spacing w:before="100" w:beforeAutospacing="1" w:after="100" w:afterAutospacing="1" w:line="360" w:lineRule="auto"/>
        <w:rPr>
          <w:rFonts w:ascii="Times New Roman" w:hAnsi="Times New Roman"/>
          <w:lang w:val="en-HK"/>
        </w:rPr>
      </w:pPr>
      <w:r w:rsidRPr="006533FF">
        <w:rPr>
          <w:rFonts w:ascii="Times New Roman" w:hAnsi="Times New Roman"/>
          <w:lang w:val="en-HK"/>
        </w:rPr>
        <w:t xml:space="preserve">In </w:t>
      </w:r>
      <w:r w:rsidRPr="006533FF">
        <w:rPr>
          <w:rFonts w:ascii="Times New Roman" w:hAnsi="Times New Roman"/>
          <w:i/>
          <w:iCs/>
          <w:lang w:val="en-HK"/>
        </w:rPr>
        <w:t>Kaur (Case C-192/99)</w:t>
      </w:r>
      <w:r w:rsidRPr="006533FF">
        <w:rPr>
          <w:rFonts w:ascii="Times New Roman" w:hAnsi="Times New Roman"/>
          <w:lang w:val="en-HK"/>
        </w:rPr>
        <w:t xml:space="preserve">, the Court held that under international law, each Member State has the autonomy to lay down conditions for the acquisition and loss of nationality, subject to Union law constraints. The Court emphasized that one Member State cannot </w:t>
      </w:r>
      <w:r w:rsidRPr="006533FF">
        <w:rPr>
          <w:rFonts w:ascii="Times New Roman" w:hAnsi="Times New Roman"/>
          <w:lang w:val="en-HK"/>
        </w:rPr>
        <w:lastRenderedPageBreak/>
        <w:t>criticize another’s attribution of nationality, safeguarding national sovereignty in this domain.</w:t>
      </w:r>
    </w:p>
    <w:p w14:paraId="600EE432" w14:textId="77777777" w:rsidR="006533FF" w:rsidRPr="006533FF" w:rsidRDefault="006533FF" w:rsidP="006533FF">
      <w:pPr>
        <w:numPr>
          <w:ilvl w:val="1"/>
          <w:numId w:val="12"/>
        </w:numPr>
        <w:spacing w:before="100" w:beforeAutospacing="1" w:after="100" w:afterAutospacing="1" w:line="360" w:lineRule="auto"/>
        <w:rPr>
          <w:rFonts w:ascii="Times New Roman" w:hAnsi="Times New Roman"/>
          <w:lang w:val="en-HK"/>
        </w:rPr>
      </w:pPr>
      <w:proofErr w:type="spellStart"/>
      <w:r w:rsidRPr="006533FF">
        <w:rPr>
          <w:rFonts w:ascii="Times New Roman" w:hAnsi="Times New Roman"/>
          <w:b/>
          <w:bCs/>
          <w:lang w:val="en-HK"/>
        </w:rPr>
        <w:t>Rottman</w:t>
      </w:r>
      <w:proofErr w:type="spellEnd"/>
      <w:r w:rsidRPr="006533FF">
        <w:rPr>
          <w:rFonts w:ascii="Times New Roman" w:hAnsi="Times New Roman"/>
          <w:b/>
          <w:bCs/>
          <w:lang w:val="en-HK"/>
        </w:rPr>
        <w:t xml:space="preserve"> (Case C-135/08)</w:t>
      </w:r>
      <w:r w:rsidRPr="006533FF">
        <w:rPr>
          <w:rFonts w:ascii="Times New Roman" w:hAnsi="Times New Roman"/>
          <w:lang w:val="en-HK"/>
        </w:rPr>
        <w:t>:</w:t>
      </w:r>
    </w:p>
    <w:p w14:paraId="36553CCA" w14:textId="77777777" w:rsidR="006533FF" w:rsidRPr="006533FF" w:rsidRDefault="006533FF" w:rsidP="006533FF">
      <w:pPr>
        <w:numPr>
          <w:ilvl w:val="2"/>
          <w:numId w:val="12"/>
        </w:numPr>
        <w:spacing w:before="100" w:beforeAutospacing="1" w:after="100" w:afterAutospacing="1" w:line="360" w:lineRule="auto"/>
        <w:rPr>
          <w:rFonts w:ascii="Times New Roman" w:hAnsi="Times New Roman"/>
          <w:lang w:val="en-HK"/>
        </w:rPr>
      </w:pPr>
      <w:r w:rsidRPr="006533FF">
        <w:rPr>
          <w:rFonts w:ascii="Times New Roman" w:hAnsi="Times New Roman"/>
          <w:lang w:val="en-HK"/>
        </w:rPr>
        <w:t xml:space="preserve">Facts: Mr. </w:t>
      </w:r>
      <w:proofErr w:type="spellStart"/>
      <w:r w:rsidRPr="006533FF">
        <w:rPr>
          <w:rFonts w:ascii="Times New Roman" w:hAnsi="Times New Roman"/>
          <w:lang w:val="en-HK"/>
        </w:rPr>
        <w:t>Rottman</w:t>
      </w:r>
      <w:proofErr w:type="spellEnd"/>
      <w:r w:rsidRPr="006533FF">
        <w:rPr>
          <w:rFonts w:ascii="Times New Roman" w:hAnsi="Times New Roman"/>
          <w:lang w:val="en-HK"/>
        </w:rPr>
        <w:t>, a German national who acquired Austrian nationality, faced the withdrawal of naturalization due to fraud, which would render him stateless and strip him of Union citizenship.</w:t>
      </w:r>
    </w:p>
    <w:p w14:paraId="7F09D710" w14:textId="77777777" w:rsidR="006533FF" w:rsidRPr="006533FF" w:rsidRDefault="006533FF" w:rsidP="006533FF">
      <w:pPr>
        <w:numPr>
          <w:ilvl w:val="2"/>
          <w:numId w:val="12"/>
        </w:numPr>
        <w:spacing w:before="100" w:beforeAutospacing="1" w:after="100" w:afterAutospacing="1" w:line="360" w:lineRule="auto"/>
        <w:rPr>
          <w:rFonts w:ascii="Times New Roman" w:hAnsi="Times New Roman"/>
          <w:lang w:val="en-HK"/>
        </w:rPr>
      </w:pPr>
      <w:r w:rsidRPr="006533FF">
        <w:rPr>
          <w:rFonts w:ascii="Times New Roman" w:hAnsi="Times New Roman"/>
          <w:lang w:val="en-HK"/>
        </w:rPr>
        <w:t>Judgment: The Court ruled that EU law applied to decisions revoking nationality if it resulted in the loss of Union citizenship. Member States must consider proportionality in such decisions, reflecting the importance of Union citizenship.</w:t>
      </w:r>
    </w:p>
    <w:p w14:paraId="378C7E2B"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Nationality for Corporations</w:t>
      </w:r>
      <w:r w:rsidRPr="006533FF">
        <w:rPr>
          <w:rFonts w:ascii="Times New Roman" w:hAnsi="Times New Roman"/>
          <w:lang w:val="en-HK"/>
        </w:rPr>
        <w:t>:</w:t>
      </w:r>
    </w:p>
    <w:p w14:paraId="23D10D1E"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 xml:space="preserve">For companies, nationality is linked to their "seat." Under </w:t>
      </w:r>
      <w:r w:rsidRPr="006533FF">
        <w:rPr>
          <w:rFonts w:ascii="Times New Roman" w:hAnsi="Times New Roman"/>
          <w:b/>
          <w:bCs/>
          <w:lang w:val="en-HK"/>
        </w:rPr>
        <w:t>Article 54 TFEU</w:t>
      </w:r>
      <w:r w:rsidRPr="006533FF">
        <w:rPr>
          <w:rFonts w:ascii="Times New Roman" w:hAnsi="Times New Roman"/>
          <w:lang w:val="en-HK"/>
        </w:rPr>
        <w:t>, a company’s seat includes:</w:t>
      </w:r>
    </w:p>
    <w:p w14:paraId="25F0F50B" w14:textId="77777777" w:rsidR="006533FF" w:rsidRPr="006533FF" w:rsidRDefault="006533FF" w:rsidP="006533FF">
      <w:pPr>
        <w:numPr>
          <w:ilvl w:val="2"/>
          <w:numId w:val="12"/>
        </w:numPr>
        <w:spacing w:before="100" w:beforeAutospacing="1" w:after="100" w:afterAutospacing="1" w:line="360" w:lineRule="auto"/>
        <w:rPr>
          <w:rFonts w:ascii="Times New Roman" w:hAnsi="Times New Roman"/>
          <w:lang w:val="en-HK"/>
        </w:rPr>
      </w:pPr>
      <w:r w:rsidRPr="006533FF">
        <w:rPr>
          <w:rFonts w:ascii="Times New Roman" w:hAnsi="Times New Roman"/>
          <w:lang w:val="en-HK"/>
        </w:rPr>
        <w:t>Its registered office,</w:t>
      </w:r>
    </w:p>
    <w:p w14:paraId="27F562DE" w14:textId="77777777" w:rsidR="006533FF" w:rsidRPr="006533FF" w:rsidRDefault="006533FF" w:rsidP="006533FF">
      <w:pPr>
        <w:numPr>
          <w:ilvl w:val="2"/>
          <w:numId w:val="12"/>
        </w:numPr>
        <w:spacing w:before="100" w:beforeAutospacing="1" w:after="100" w:afterAutospacing="1" w:line="360" w:lineRule="auto"/>
        <w:rPr>
          <w:rFonts w:ascii="Times New Roman" w:hAnsi="Times New Roman"/>
          <w:lang w:val="en-HK"/>
        </w:rPr>
      </w:pPr>
      <w:r w:rsidRPr="006533FF">
        <w:rPr>
          <w:rFonts w:ascii="Times New Roman" w:hAnsi="Times New Roman"/>
          <w:lang w:val="en-HK"/>
        </w:rPr>
        <w:t>Central administration,</w:t>
      </w:r>
    </w:p>
    <w:p w14:paraId="0BDE9726" w14:textId="77777777" w:rsidR="006533FF" w:rsidRPr="006533FF" w:rsidRDefault="006533FF" w:rsidP="006533FF">
      <w:pPr>
        <w:numPr>
          <w:ilvl w:val="2"/>
          <w:numId w:val="12"/>
        </w:numPr>
        <w:spacing w:before="100" w:beforeAutospacing="1" w:after="100" w:afterAutospacing="1" w:line="360" w:lineRule="auto"/>
        <w:rPr>
          <w:rFonts w:ascii="Times New Roman" w:hAnsi="Times New Roman"/>
          <w:lang w:val="en-HK"/>
        </w:rPr>
      </w:pPr>
      <w:r w:rsidRPr="006533FF">
        <w:rPr>
          <w:rFonts w:ascii="Times New Roman" w:hAnsi="Times New Roman"/>
          <w:lang w:val="en-HK"/>
        </w:rPr>
        <w:t>Or principal place of business within a Member State.</w:t>
      </w:r>
    </w:p>
    <w:p w14:paraId="75593EA1"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 xml:space="preserve">In </w:t>
      </w:r>
      <w:proofErr w:type="spellStart"/>
      <w:r w:rsidRPr="006533FF">
        <w:rPr>
          <w:rFonts w:ascii="Times New Roman" w:hAnsi="Times New Roman"/>
          <w:i/>
          <w:iCs/>
          <w:lang w:val="en-HK"/>
        </w:rPr>
        <w:t>Centros</w:t>
      </w:r>
      <w:proofErr w:type="spellEnd"/>
      <w:r w:rsidRPr="006533FF">
        <w:rPr>
          <w:rFonts w:ascii="Times New Roman" w:hAnsi="Times New Roman"/>
          <w:i/>
          <w:iCs/>
          <w:lang w:val="en-HK"/>
        </w:rPr>
        <w:t xml:space="preserve"> (Case C-212/97)</w:t>
      </w:r>
      <w:r w:rsidRPr="006533FF">
        <w:rPr>
          <w:rFonts w:ascii="Times New Roman" w:hAnsi="Times New Roman"/>
          <w:lang w:val="en-HK"/>
        </w:rPr>
        <w:t>, the Court confirmed that companies could invoke free movement rights, provided they complied with the laws of their home Member State.</w:t>
      </w:r>
    </w:p>
    <w:p w14:paraId="7BC49EAC" w14:textId="77777777" w:rsidR="006533FF" w:rsidRPr="006533FF" w:rsidRDefault="00DE4581" w:rsidP="006533FF">
      <w:pPr>
        <w:spacing w:line="360" w:lineRule="auto"/>
        <w:rPr>
          <w:rFonts w:ascii="Times New Roman" w:hAnsi="Times New Roman"/>
          <w:lang w:val="en-HK"/>
        </w:rPr>
      </w:pPr>
      <w:r w:rsidRPr="00DE4581">
        <w:rPr>
          <w:rFonts w:ascii="Times New Roman" w:hAnsi="Times New Roman"/>
          <w:noProof/>
          <w:lang w:val="en-HK"/>
          <w14:ligatures w14:val="standardContextual"/>
        </w:rPr>
        <w:pict w14:anchorId="4667469E">
          <v:rect id="_x0000_i1055" alt="" style="width:451.3pt;height:.05pt;mso-width-percent:0;mso-height-percent:0;mso-width-percent:0;mso-height-percent:0" o:hralign="center" o:hrstd="t" o:hr="t" fillcolor="#a0a0a0" stroked="f"/>
        </w:pict>
      </w:r>
    </w:p>
    <w:p w14:paraId="410813D0" w14:textId="77777777" w:rsidR="006533FF" w:rsidRPr="006533FF" w:rsidRDefault="006533FF" w:rsidP="006533FF">
      <w:pPr>
        <w:spacing w:before="100" w:beforeAutospacing="1" w:after="100" w:afterAutospacing="1" w:line="360" w:lineRule="auto"/>
        <w:outlineLvl w:val="3"/>
        <w:rPr>
          <w:rFonts w:ascii="Times New Roman" w:hAnsi="Times New Roman"/>
          <w:b/>
          <w:bCs/>
          <w:lang w:val="en-HK"/>
        </w:rPr>
      </w:pPr>
      <w:r w:rsidRPr="006533FF">
        <w:rPr>
          <w:rFonts w:ascii="Times New Roman" w:hAnsi="Times New Roman"/>
          <w:b/>
          <w:bCs/>
          <w:lang w:val="en-HK"/>
        </w:rPr>
        <w:t>2. Engagement in Economic Activity</w:t>
      </w:r>
    </w:p>
    <w:p w14:paraId="6DECD89E" w14:textId="77777777" w:rsidR="006533FF" w:rsidRPr="006533FF" w:rsidRDefault="006533FF" w:rsidP="006533FF">
      <w:pPr>
        <w:numPr>
          <w:ilvl w:val="0"/>
          <w:numId w:val="13"/>
        </w:num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Economic Activity as a Decisive Factor</w:t>
      </w:r>
      <w:r w:rsidRPr="006533FF">
        <w:rPr>
          <w:rFonts w:ascii="Times New Roman" w:hAnsi="Times New Roman"/>
          <w:lang w:val="en-HK"/>
        </w:rPr>
        <w:t>:</w:t>
      </w:r>
    </w:p>
    <w:p w14:paraId="323F1F3C"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 xml:space="preserve">Articles 45, 49, and 56 TFEU require that individuals or entities engage in an “economic activity” to invoke free movement rights. In </w:t>
      </w:r>
      <w:proofErr w:type="spellStart"/>
      <w:r w:rsidRPr="006533FF">
        <w:rPr>
          <w:rFonts w:ascii="Times New Roman" w:hAnsi="Times New Roman"/>
          <w:i/>
          <w:iCs/>
          <w:lang w:val="en-HK"/>
        </w:rPr>
        <w:t>Jundt</w:t>
      </w:r>
      <w:proofErr w:type="spellEnd"/>
      <w:r w:rsidRPr="006533FF">
        <w:rPr>
          <w:rFonts w:ascii="Times New Roman" w:hAnsi="Times New Roman"/>
          <w:i/>
          <w:iCs/>
          <w:lang w:val="en-HK"/>
        </w:rPr>
        <w:t xml:space="preserve"> (Case C-281/06)</w:t>
      </w:r>
      <w:r w:rsidRPr="006533FF">
        <w:rPr>
          <w:rFonts w:ascii="Times New Roman" w:hAnsi="Times New Roman"/>
          <w:lang w:val="en-HK"/>
        </w:rPr>
        <w:t>, the Court clarified that economic activity must involve remuneration but need not aim for profit.</w:t>
      </w:r>
    </w:p>
    <w:p w14:paraId="3A9E019C" w14:textId="77777777" w:rsidR="006533FF" w:rsidRPr="006533FF" w:rsidRDefault="006533FF" w:rsidP="006533FF">
      <w:pPr>
        <w:numPr>
          <w:ilvl w:val="0"/>
          <w:numId w:val="13"/>
        </w:num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Volunteer and Semi-Voluntary Activities</w:t>
      </w:r>
      <w:r w:rsidRPr="006533FF">
        <w:rPr>
          <w:rFonts w:ascii="Times New Roman" w:hAnsi="Times New Roman"/>
          <w:lang w:val="en-HK"/>
        </w:rPr>
        <w:t>:</w:t>
      </w:r>
    </w:p>
    <w:p w14:paraId="5AB09C15"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 xml:space="preserve">Economic activity may become ambiguous in cases involving voluntary or semi-voluntary work. For instance, in </w:t>
      </w:r>
      <w:proofErr w:type="spellStart"/>
      <w:r w:rsidRPr="006533FF">
        <w:rPr>
          <w:rFonts w:ascii="Times New Roman" w:hAnsi="Times New Roman"/>
          <w:i/>
          <w:iCs/>
          <w:lang w:val="en-HK"/>
        </w:rPr>
        <w:t>Bettray</w:t>
      </w:r>
      <w:proofErr w:type="spellEnd"/>
      <w:r w:rsidRPr="006533FF">
        <w:rPr>
          <w:rFonts w:ascii="Times New Roman" w:hAnsi="Times New Roman"/>
          <w:i/>
          <w:iCs/>
          <w:lang w:val="en-HK"/>
        </w:rPr>
        <w:t xml:space="preserve"> (Case 344/87)</w:t>
      </w:r>
      <w:r w:rsidRPr="006533FF">
        <w:rPr>
          <w:rFonts w:ascii="Times New Roman" w:hAnsi="Times New Roman"/>
          <w:lang w:val="en-HK"/>
        </w:rPr>
        <w:t xml:space="preserve">, the Court ruled that participation in a </w:t>
      </w:r>
      <w:r w:rsidRPr="006533FF">
        <w:rPr>
          <w:rFonts w:ascii="Times New Roman" w:hAnsi="Times New Roman"/>
          <w:lang w:val="en-HK"/>
        </w:rPr>
        <w:lastRenderedPageBreak/>
        <w:t>rehabilitation program did not qualify as economic activity under Article 45 TFEU because the primary aim was therapeutic, not economic.</w:t>
      </w:r>
    </w:p>
    <w:p w14:paraId="4460A65F" w14:textId="77777777" w:rsidR="006533FF" w:rsidRPr="006533FF" w:rsidRDefault="006533FF" w:rsidP="006533FF">
      <w:pPr>
        <w:numPr>
          <w:ilvl w:val="0"/>
          <w:numId w:val="13"/>
        </w:num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Distinction for Article 21 TFEU</w:t>
      </w:r>
      <w:r w:rsidRPr="006533FF">
        <w:rPr>
          <w:rFonts w:ascii="Times New Roman" w:hAnsi="Times New Roman"/>
          <w:lang w:val="en-HK"/>
        </w:rPr>
        <w:t>:</w:t>
      </w:r>
    </w:p>
    <w:p w14:paraId="4ADB750F"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 xml:space="preserve">Article 21 TFEU expands free movement rights to non-economically active individuals, such as students and retirees, subject to conditions. The Court in </w:t>
      </w:r>
      <w:proofErr w:type="spellStart"/>
      <w:r w:rsidRPr="006533FF">
        <w:rPr>
          <w:rFonts w:ascii="Times New Roman" w:hAnsi="Times New Roman"/>
          <w:i/>
          <w:iCs/>
          <w:lang w:val="en-HK"/>
        </w:rPr>
        <w:t>Baumbast</w:t>
      </w:r>
      <w:proofErr w:type="spellEnd"/>
      <w:r w:rsidRPr="006533FF">
        <w:rPr>
          <w:rFonts w:ascii="Times New Roman" w:hAnsi="Times New Roman"/>
          <w:i/>
          <w:iCs/>
          <w:lang w:val="en-HK"/>
        </w:rPr>
        <w:t xml:space="preserve"> (Case C-413/99)</w:t>
      </w:r>
      <w:r w:rsidRPr="006533FF">
        <w:rPr>
          <w:rFonts w:ascii="Times New Roman" w:hAnsi="Times New Roman"/>
          <w:lang w:val="en-HK"/>
        </w:rPr>
        <w:t xml:space="preserve"> emphasized that the Treaty does not require Union citizens to pursue economic activity to enjoy free movement rights.</w:t>
      </w:r>
    </w:p>
    <w:p w14:paraId="6026A587" w14:textId="77777777" w:rsidR="006533FF" w:rsidRPr="006533FF" w:rsidRDefault="006533FF" w:rsidP="006533FF">
      <w:pPr>
        <w:spacing w:before="100" w:beforeAutospacing="1" w:after="100" w:afterAutospacing="1" w:line="360" w:lineRule="auto"/>
        <w:rPr>
          <w:rFonts w:ascii="Times New Roman" w:hAnsi="Times New Roman"/>
          <w:lang w:val="en-HK"/>
        </w:rPr>
      </w:pPr>
      <w:proofErr w:type="spellStart"/>
      <w:r w:rsidRPr="006533FF">
        <w:rPr>
          <w:rFonts w:ascii="Times New Roman" w:hAnsi="Times New Roman"/>
          <w:b/>
          <w:bCs/>
          <w:lang w:val="en-HK"/>
        </w:rPr>
        <w:t>Baumbast</w:t>
      </w:r>
      <w:proofErr w:type="spellEnd"/>
      <w:r w:rsidRPr="006533FF">
        <w:rPr>
          <w:rFonts w:ascii="Times New Roman" w:hAnsi="Times New Roman"/>
          <w:b/>
          <w:bCs/>
          <w:lang w:val="en-HK"/>
        </w:rPr>
        <w:t xml:space="preserve"> Judgment</w:t>
      </w:r>
      <w:r w:rsidRPr="006533FF">
        <w:rPr>
          <w:rFonts w:ascii="Times New Roman" w:hAnsi="Times New Roman"/>
          <w:lang w:val="en-HK"/>
        </w:rPr>
        <w:t>:</w:t>
      </w:r>
    </w:p>
    <w:p w14:paraId="45A90728"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 xml:space="preserve">The Court held that denying residence rights to Mr. </w:t>
      </w:r>
      <w:proofErr w:type="spellStart"/>
      <w:r w:rsidRPr="006533FF">
        <w:rPr>
          <w:rFonts w:ascii="Times New Roman" w:hAnsi="Times New Roman"/>
          <w:lang w:val="en-HK"/>
        </w:rPr>
        <w:t>Baumbast</w:t>
      </w:r>
      <w:proofErr w:type="spellEnd"/>
      <w:r w:rsidRPr="006533FF">
        <w:rPr>
          <w:rFonts w:ascii="Times New Roman" w:hAnsi="Times New Roman"/>
          <w:lang w:val="en-HK"/>
        </w:rPr>
        <w:t xml:space="preserve"> and his family due to technical deficiencies in health insurance coverage breached Article 21 TFEU. The ruling highlighted that minor administrative barriers should not impede fundamental rights.</w:t>
      </w:r>
    </w:p>
    <w:p w14:paraId="00845E94" w14:textId="77777777" w:rsidR="006533FF" w:rsidRPr="006533FF" w:rsidRDefault="00DE4581" w:rsidP="006533FF">
      <w:pPr>
        <w:spacing w:line="360" w:lineRule="auto"/>
        <w:rPr>
          <w:rFonts w:ascii="Times New Roman" w:hAnsi="Times New Roman"/>
          <w:lang w:val="en-HK"/>
        </w:rPr>
      </w:pPr>
      <w:r w:rsidRPr="00DE4581">
        <w:rPr>
          <w:rFonts w:ascii="Times New Roman" w:hAnsi="Times New Roman"/>
          <w:noProof/>
          <w:lang w:val="en-HK"/>
          <w14:ligatures w14:val="standardContextual"/>
        </w:rPr>
        <w:pict w14:anchorId="030CEAD4">
          <v:rect id="_x0000_i1054" alt="" style="width:451.3pt;height:.05pt;mso-width-percent:0;mso-height-percent:0;mso-width-percent:0;mso-height-percent:0" o:hralign="center" o:hrstd="t" o:hr="t" fillcolor="#a0a0a0" stroked="f"/>
        </w:pict>
      </w:r>
    </w:p>
    <w:p w14:paraId="712D0D75" w14:textId="77777777" w:rsidR="006533FF" w:rsidRPr="006533FF" w:rsidRDefault="006533FF" w:rsidP="006533FF">
      <w:pPr>
        <w:spacing w:before="100" w:beforeAutospacing="1" w:after="100" w:afterAutospacing="1" w:line="360" w:lineRule="auto"/>
        <w:outlineLvl w:val="3"/>
        <w:rPr>
          <w:rFonts w:ascii="Times New Roman" w:hAnsi="Times New Roman"/>
          <w:b/>
          <w:bCs/>
          <w:lang w:val="en-HK"/>
        </w:rPr>
      </w:pPr>
      <w:r w:rsidRPr="006533FF">
        <w:rPr>
          <w:rFonts w:ascii="Times New Roman" w:hAnsi="Times New Roman"/>
          <w:b/>
          <w:bCs/>
          <w:lang w:val="en-HK"/>
        </w:rPr>
        <w:t>3. Classification of Beneficiaries</w:t>
      </w:r>
    </w:p>
    <w:p w14:paraId="686A3C76" w14:textId="77777777" w:rsidR="006533FF" w:rsidRPr="006533FF" w:rsidRDefault="006533FF" w:rsidP="006533FF">
      <w:pPr>
        <w:numPr>
          <w:ilvl w:val="0"/>
          <w:numId w:val="14"/>
        </w:num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Categories under Free Movement Rules</w:t>
      </w:r>
      <w:r w:rsidRPr="006533FF">
        <w:rPr>
          <w:rFonts w:ascii="Times New Roman" w:hAnsi="Times New Roman"/>
          <w:lang w:val="en-HK"/>
        </w:rPr>
        <w:t>:</w:t>
      </w:r>
    </w:p>
    <w:p w14:paraId="4E9E62F1"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To invoke free movement rights, individuals must qualify as:</w:t>
      </w:r>
    </w:p>
    <w:p w14:paraId="2D469CDB" w14:textId="77777777" w:rsidR="006533FF" w:rsidRPr="006533FF" w:rsidRDefault="006533FF" w:rsidP="006533FF">
      <w:pPr>
        <w:numPr>
          <w:ilvl w:val="2"/>
          <w:numId w:val="14"/>
        </w:num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Workers</w:t>
      </w:r>
      <w:r w:rsidRPr="006533FF">
        <w:rPr>
          <w:rFonts w:ascii="Times New Roman" w:hAnsi="Times New Roman"/>
          <w:lang w:val="en-HK"/>
        </w:rPr>
        <w:t xml:space="preserve"> (Article 45 TFEU),</w:t>
      </w:r>
    </w:p>
    <w:p w14:paraId="08FC4737" w14:textId="77777777" w:rsidR="006533FF" w:rsidRPr="006533FF" w:rsidRDefault="006533FF" w:rsidP="006533FF">
      <w:pPr>
        <w:numPr>
          <w:ilvl w:val="2"/>
          <w:numId w:val="14"/>
        </w:num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Self-employed persons or companies</w:t>
      </w:r>
      <w:r w:rsidRPr="006533FF">
        <w:rPr>
          <w:rFonts w:ascii="Times New Roman" w:hAnsi="Times New Roman"/>
          <w:lang w:val="en-HK"/>
        </w:rPr>
        <w:t xml:space="preserve"> (Article 49 TFEU),</w:t>
      </w:r>
    </w:p>
    <w:p w14:paraId="5144D1A9" w14:textId="77777777" w:rsidR="006533FF" w:rsidRPr="006533FF" w:rsidRDefault="006533FF" w:rsidP="006533FF">
      <w:pPr>
        <w:numPr>
          <w:ilvl w:val="2"/>
          <w:numId w:val="14"/>
        </w:num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Service providers or recipients</w:t>
      </w:r>
      <w:r w:rsidRPr="006533FF">
        <w:rPr>
          <w:rFonts w:ascii="Times New Roman" w:hAnsi="Times New Roman"/>
          <w:lang w:val="en-HK"/>
        </w:rPr>
        <w:t xml:space="preserve"> (Article 56 TFEU),</w:t>
      </w:r>
    </w:p>
    <w:p w14:paraId="582C2193" w14:textId="77777777" w:rsidR="006533FF" w:rsidRPr="006533FF" w:rsidRDefault="006533FF" w:rsidP="006533FF">
      <w:pPr>
        <w:numPr>
          <w:ilvl w:val="2"/>
          <w:numId w:val="14"/>
        </w:numPr>
        <w:spacing w:before="100" w:beforeAutospacing="1" w:after="100" w:afterAutospacing="1" w:line="360" w:lineRule="auto"/>
        <w:rPr>
          <w:rFonts w:ascii="Times New Roman" w:hAnsi="Times New Roman"/>
          <w:lang w:val="en-HK"/>
        </w:rPr>
      </w:pPr>
      <w:r w:rsidRPr="006533FF">
        <w:rPr>
          <w:rFonts w:ascii="Times New Roman" w:hAnsi="Times New Roman"/>
          <w:lang w:val="en-HK"/>
        </w:rPr>
        <w:t xml:space="preserve">Or </w:t>
      </w:r>
      <w:r w:rsidRPr="006533FF">
        <w:rPr>
          <w:rFonts w:ascii="Times New Roman" w:hAnsi="Times New Roman"/>
          <w:b/>
          <w:bCs/>
          <w:lang w:val="en-HK"/>
        </w:rPr>
        <w:t>Union citizens</w:t>
      </w:r>
      <w:r w:rsidRPr="006533FF">
        <w:rPr>
          <w:rFonts w:ascii="Times New Roman" w:hAnsi="Times New Roman"/>
          <w:lang w:val="en-HK"/>
        </w:rPr>
        <w:t xml:space="preserve"> (Article 21 TFEU).</w:t>
      </w:r>
    </w:p>
    <w:p w14:paraId="3010F4CC" w14:textId="77777777" w:rsidR="006533FF" w:rsidRPr="006533FF" w:rsidRDefault="006533FF" w:rsidP="006533FF">
      <w:pPr>
        <w:numPr>
          <w:ilvl w:val="0"/>
          <w:numId w:val="14"/>
        </w:num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Workers</w:t>
      </w:r>
      <w:r w:rsidRPr="006533FF">
        <w:rPr>
          <w:rFonts w:ascii="Times New Roman" w:hAnsi="Times New Roman"/>
          <w:lang w:val="en-HK"/>
        </w:rPr>
        <w:t>:</w:t>
      </w:r>
    </w:p>
    <w:p w14:paraId="158BFB45"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Defined broadly to include those engaged in genuine and effective employment under the direction of another for remuneration.</w:t>
      </w:r>
    </w:p>
    <w:p w14:paraId="363352A5"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 xml:space="preserve">In </w:t>
      </w:r>
      <w:r w:rsidRPr="006533FF">
        <w:rPr>
          <w:rFonts w:ascii="Times New Roman" w:hAnsi="Times New Roman"/>
          <w:i/>
          <w:iCs/>
          <w:lang w:val="en-HK"/>
        </w:rPr>
        <w:t>Levin (Case 53/81)</w:t>
      </w:r>
      <w:r w:rsidRPr="006533FF">
        <w:rPr>
          <w:rFonts w:ascii="Times New Roman" w:hAnsi="Times New Roman"/>
          <w:lang w:val="en-HK"/>
        </w:rPr>
        <w:t>, the Court ruled that part-time work qualifies as economic activity if it is genuine and not marginal or ancillary.</w:t>
      </w:r>
    </w:p>
    <w:p w14:paraId="69F64FD7" w14:textId="77777777" w:rsidR="006533FF" w:rsidRPr="006533FF" w:rsidRDefault="006533FF" w:rsidP="006533FF">
      <w:pPr>
        <w:numPr>
          <w:ilvl w:val="0"/>
          <w:numId w:val="14"/>
        </w:num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Self-Employed Persons and Companies</w:t>
      </w:r>
      <w:r w:rsidRPr="006533FF">
        <w:rPr>
          <w:rFonts w:ascii="Times New Roman" w:hAnsi="Times New Roman"/>
          <w:lang w:val="en-HK"/>
        </w:rPr>
        <w:t>:</w:t>
      </w:r>
    </w:p>
    <w:p w14:paraId="2961EB62"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lastRenderedPageBreak/>
        <w:t xml:space="preserve">Self-employed individuals and companies must comply with the legal requirements of their home Member State. In </w:t>
      </w:r>
      <w:proofErr w:type="spellStart"/>
      <w:r w:rsidRPr="006533FF">
        <w:rPr>
          <w:rFonts w:ascii="Times New Roman" w:hAnsi="Times New Roman"/>
          <w:i/>
          <w:iCs/>
          <w:lang w:val="en-HK"/>
        </w:rPr>
        <w:t>Gebhard</w:t>
      </w:r>
      <w:proofErr w:type="spellEnd"/>
      <w:r w:rsidRPr="006533FF">
        <w:rPr>
          <w:rFonts w:ascii="Times New Roman" w:hAnsi="Times New Roman"/>
          <w:i/>
          <w:iCs/>
          <w:lang w:val="en-HK"/>
        </w:rPr>
        <w:t xml:space="preserve"> (Case C-55/94)</w:t>
      </w:r>
      <w:r w:rsidRPr="006533FF">
        <w:rPr>
          <w:rFonts w:ascii="Times New Roman" w:hAnsi="Times New Roman"/>
          <w:lang w:val="en-HK"/>
        </w:rPr>
        <w:t>, the Court emphasized that host states could only impose proportionate and non-discriminatory measures to regulate self-employment.</w:t>
      </w:r>
    </w:p>
    <w:p w14:paraId="2C8FE73E" w14:textId="77777777" w:rsidR="006533FF" w:rsidRPr="006533FF" w:rsidRDefault="006533FF" w:rsidP="006533FF">
      <w:pPr>
        <w:numPr>
          <w:ilvl w:val="0"/>
          <w:numId w:val="14"/>
        </w:num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Service Providers and Recipients</w:t>
      </w:r>
      <w:r w:rsidRPr="006533FF">
        <w:rPr>
          <w:rFonts w:ascii="Times New Roman" w:hAnsi="Times New Roman"/>
          <w:lang w:val="en-HK"/>
        </w:rPr>
        <w:t>:</w:t>
      </w:r>
    </w:p>
    <w:p w14:paraId="27A70ACB"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 xml:space="preserve">Service providers under Article 56 TFEU include individuals or entities offering cross-border services. For example, in </w:t>
      </w:r>
      <w:r w:rsidRPr="006533FF">
        <w:rPr>
          <w:rFonts w:ascii="Times New Roman" w:hAnsi="Times New Roman"/>
          <w:i/>
          <w:iCs/>
          <w:lang w:val="en-HK"/>
        </w:rPr>
        <w:t>Alpine Investments (Case C-384/93)</w:t>
      </w:r>
      <w:r w:rsidRPr="006533FF">
        <w:rPr>
          <w:rFonts w:ascii="Times New Roman" w:hAnsi="Times New Roman"/>
          <w:lang w:val="en-HK"/>
        </w:rPr>
        <w:t>, the Court invalidated a Dutch law prohibiting cold-calling in financial services because it restricted market access for cross-border service providers.</w:t>
      </w:r>
    </w:p>
    <w:p w14:paraId="4E55DC58" w14:textId="77777777" w:rsidR="006533FF" w:rsidRPr="006533FF" w:rsidRDefault="006533FF" w:rsidP="006533FF">
      <w:pPr>
        <w:numPr>
          <w:ilvl w:val="0"/>
          <w:numId w:val="14"/>
        </w:num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Union Citizens</w:t>
      </w:r>
      <w:r w:rsidRPr="006533FF">
        <w:rPr>
          <w:rFonts w:ascii="Times New Roman" w:hAnsi="Times New Roman"/>
          <w:lang w:val="en-HK"/>
        </w:rPr>
        <w:t>:</w:t>
      </w:r>
    </w:p>
    <w:p w14:paraId="4EF30A90"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Article 21 TFEU ensures that all EU nationals, regardless of economic activity, can invoke free movement rights, subject to limitations in the Citizens’ Rights Directive (Directive 2004/38).</w:t>
      </w:r>
    </w:p>
    <w:p w14:paraId="5CE9140C" w14:textId="77777777" w:rsidR="006533FF" w:rsidRPr="006533FF" w:rsidRDefault="00DE4581" w:rsidP="006533FF">
      <w:pPr>
        <w:spacing w:line="360" w:lineRule="auto"/>
        <w:rPr>
          <w:rFonts w:ascii="Times New Roman" w:hAnsi="Times New Roman"/>
          <w:lang w:val="en-HK"/>
        </w:rPr>
      </w:pPr>
      <w:r w:rsidRPr="00DE4581">
        <w:rPr>
          <w:rFonts w:ascii="Times New Roman" w:hAnsi="Times New Roman"/>
          <w:noProof/>
          <w:lang w:val="en-HK"/>
          <w14:ligatures w14:val="standardContextual"/>
        </w:rPr>
        <w:pict w14:anchorId="219968CF">
          <v:rect id="_x0000_i1053" alt="" style="width:451.3pt;height:.05pt;mso-width-percent:0;mso-height-percent:0;mso-width-percent:0;mso-height-percent:0" o:hralign="center" o:hrstd="t" o:hr="t" fillcolor="#a0a0a0" stroked="f"/>
        </w:pict>
      </w:r>
    </w:p>
    <w:p w14:paraId="74B2F31D" w14:textId="77777777" w:rsidR="006533FF" w:rsidRPr="006533FF" w:rsidRDefault="006533FF" w:rsidP="006533FF">
      <w:pPr>
        <w:spacing w:before="100" w:beforeAutospacing="1" w:after="100" w:afterAutospacing="1" w:line="360" w:lineRule="auto"/>
        <w:outlineLvl w:val="3"/>
        <w:rPr>
          <w:rFonts w:ascii="Times New Roman" w:hAnsi="Times New Roman"/>
          <w:b/>
          <w:bCs/>
          <w:lang w:val="en-HK"/>
        </w:rPr>
      </w:pPr>
      <w:r w:rsidRPr="006533FF">
        <w:rPr>
          <w:rFonts w:ascii="Times New Roman" w:hAnsi="Times New Roman"/>
          <w:b/>
          <w:bCs/>
          <w:lang w:val="en-HK"/>
        </w:rPr>
        <w:t>4. Proportionality and Judicial Oversight</w:t>
      </w:r>
    </w:p>
    <w:p w14:paraId="102588D0"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Proportionality Test in Nationality Decisions</w:t>
      </w:r>
      <w:r w:rsidRPr="006533FF">
        <w:rPr>
          <w:rFonts w:ascii="Times New Roman" w:hAnsi="Times New Roman"/>
          <w:lang w:val="en-HK"/>
        </w:rPr>
        <w:t>:</w:t>
      </w:r>
    </w:p>
    <w:p w14:paraId="0AFE4EFC"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 xml:space="preserve">Decisions impacting Union citizenship must pass a proportionality test, balancing the state's interests with the individual’s rights. This was reinforced in </w:t>
      </w:r>
      <w:proofErr w:type="spellStart"/>
      <w:r w:rsidRPr="006533FF">
        <w:rPr>
          <w:rFonts w:ascii="Times New Roman" w:hAnsi="Times New Roman"/>
          <w:i/>
          <w:iCs/>
          <w:lang w:val="en-HK"/>
        </w:rPr>
        <w:t>Rottman</w:t>
      </w:r>
      <w:proofErr w:type="spellEnd"/>
      <w:r w:rsidRPr="006533FF">
        <w:rPr>
          <w:rFonts w:ascii="Times New Roman" w:hAnsi="Times New Roman"/>
          <w:lang w:val="en-HK"/>
        </w:rPr>
        <w:t>, where the Court required Member States to weigh the consequences of nationality withdrawal on the individual’s Union rights.</w:t>
      </w:r>
    </w:p>
    <w:p w14:paraId="5928CE98"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Safeguarding Union Law Supremacy</w:t>
      </w:r>
      <w:r w:rsidRPr="006533FF">
        <w:rPr>
          <w:rFonts w:ascii="Times New Roman" w:hAnsi="Times New Roman"/>
          <w:lang w:val="en-HK"/>
        </w:rPr>
        <w:t>:</w:t>
      </w:r>
    </w:p>
    <w:p w14:paraId="0D8A8E24"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 xml:space="preserve">Member States cannot impose arbitrary conditions that undermine Union citizenship. In </w:t>
      </w:r>
      <w:proofErr w:type="spellStart"/>
      <w:r w:rsidRPr="006533FF">
        <w:rPr>
          <w:rFonts w:ascii="Times New Roman" w:hAnsi="Times New Roman"/>
          <w:i/>
          <w:iCs/>
          <w:lang w:val="en-HK"/>
        </w:rPr>
        <w:t>Micheletti</w:t>
      </w:r>
      <w:proofErr w:type="spellEnd"/>
      <w:r w:rsidRPr="006533FF">
        <w:rPr>
          <w:rFonts w:ascii="Times New Roman" w:hAnsi="Times New Roman"/>
          <w:i/>
          <w:iCs/>
          <w:lang w:val="en-HK"/>
        </w:rPr>
        <w:t xml:space="preserve"> (Case C-369/90)</w:t>
      </w:r>
      <w:r w:rsidRPr="006533FF">
        <w:rPr>
          <w:rFonts w:ascii="Times New Roman" w:hAnsi="Times New Roman"/>
          <w:lang w:val="en-HK"/>
        </w:rPr>
        <w:t>, the Court held that a Member State could not disregard another Member State’s nationality laws when determining Union citizenship.</w:t>
      </w:r>
    </w:p>
    <w:p w14:paraId="177BA44B" w14:textId="77777777" w:rsidR="006533FF" w:rsidRPr="006533FF" w:rsidRDefault="00DE4581" w:rsidP="006533FF">
      <w:pPr>
        <w:spacing w:line="360" w:lineRule="auto"/>
        <w:rPr>
          <w:rFonts w:ascii="Times New Roman" w:hAnsi="Times New Roman"/>
          <w:lang w:val="en-HK"/>
        </w:rPr>
      </w:pPr>
      <w:r w:rsidRPr="00DE4581">
        <w:rPr>
          <w:rFonts w:ascii="Times New Roman" w:hAnsi="Times New Roman"/>
          <w:noProof/>
          <w:lang w:val="en-HK"/>
          <w14:ligatures w14:val="standardContextual"/>
        </w:rPr>
        <w:pict w14:anchorId="1556A3F9">
          <v:rect id="_x0000_i1052" alt="" style="width:451.3pt;height:.05pt;mso-width-percent:0;mso-height-percent:0;mso-width-percent:0;mso-height-percent:0" o:hralign="center" o:hrstd="t" o:hr="t" fillcolor="#a0a0a0" stroked="f"/>
        </w:pict>
      </w:r>
    </w:p>
    <w:p w14:paraId="7D5A80F9" w14:textId="77777777" w:rsidR="006533FF" w:rsidRPr="006533FF" w:rsidRDefault="006533FF" w:rsidP="006533FF">
      <w:pPr>
        <w:spacing w:before="100" w:beforeAutospacing="1" w:after="100" w:afterAutospacing="1" w:line="360" w:lineRule="auto"/>
        <w:outlineLvl w:val="3"/>
        <w:rPr>
          <w:rFonts w:ascii="Times New Roman" w:hAnsi="Times New Roman"/>
          <w:b/>
          <w:bCs/>
          <w:lang w:val="en-HK"/>
        </w:rPr>
      </w:pPr>
      <w:r w:rsidRPr="006533FF">
        <w:rPr>
          <w:rFonts w:ascii="Times New Roman" w:hAnsi="Times New Roman"/>
          <w:b/>
          <w:bCs/>
          <w:lang w:val="en-HK"/>
        </w:rPr>
        <w:t>5. Scholarly and Judicial Commentary</w:t>
      </w:r>
    </w:p>
    <w:p w14:paraId="1412C559"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lastRenderedPageBreak/>
        <w:t>Catherine Barnard’s Perspective</w:t>
      </w:r>
      <w:r w:rsidRPr="006533FF">
        <w:rPr>
          <w:rFonts w:ascii="Times New Roman" w:hAnsi="Times New Roman"/>
          <w:lang w:val="en-HK"/>
        </w:rPr>
        <w:t>:</w:t>
      </w:r>
    </w:p>
    <w:p w14:paraId="2F29A899"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Barnard underscores the transformative role of Union citizenship, shifting free movement rights from an economic paradigm to a rights-based framework. She highlights the Court’s increasing reliance on proportionality to balance state sovereignty with individual rights.</w:t>
      </w:r>
    </w:p>
    <w:p w14:paraId="6C35B113"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Case Law Emphasis on Equality</w:t>
      </w:r>
      <w:r w:rsidRPr="006533FF">
        <w:rPr>
          <w:rFonts w:ascii="Times New Roman" w:hAnsi="Times New Roman"/>
          <w:lang w:val="en-HK"/>
        </w:rPr>
        <w:t>:</w:t>
      </w:r>
    </w:p>
    <w:p w14:paraId="62D70848"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 xml:space="preserve">The Court’s rulings reflect a commitment to equality, ensuring that free movement rights are not unduly restricted by national measures. This is evident in cases like </w:t>
      </w:r>
      <w:r w:rsidRPr="006533FF">
        <w:rPr>
          <w:rFonts w:ascii="Times New Roman" w:hAnsi="Times New Roman"/>
          <w:i/>
          <w:iCs/>
          <w:lang w:val="en-HK"/>
        </w:rPr>
        <w:t>Levin</w:t>
      </w:r>
      <w:r w:rsidRPr="006533FF">
        <w:rPr>
          <w:rFonts w:ascii="Times New Roman" w:hAnsi="Times New Roman"/>
          <w:lang w:val="en-HK"/>
        </w:rPr>
        <w:t xml:space="preserve"> and </w:t>
      </w:r>
      <w:proofErr w:type="spellStart"/>
      <w:r w:rsidRPr="006533FF">
        <w:rPr>
          <w:rFonts w:ascii="Times New Roman" w:hAnsi="Times New Roman"/>
          <w:i/>
          <w:iCs/>
          <w:lang w:val="en-HK"/>
        </w:rPr>
        <w:t>Baumbast</w:t>
      </w:r>
      <w:proofErr w:type="spellEnd"/>
      <w:r w:rsidRPr="006533FF">
        <w:rPr>
          <w:rFonts w:ascii="Times New Roman" w:hAnsi="Times New Roman"/>
          <w:lang w:val="en-HK"/>
        </w:rPr>
        <w:t>, which extend protection to non-traditional forms of economic and non-economic activity.</w:t>
      </w:r>
    </w:p>
    <w:p w14:paraId="6E659F06" w14:textId="77777777" w:rsidR="006533FF" w:rsidRPr="006533FF" w:rsidRDefault="00DE4581" w:rsidP="006533FF">
      <w:pPr>
        <w:spacing w:line="360" w:lineRule="auto"/>
        <w:rPr>
          <w:rFonts w:ascii="Times New Roman" w:hAnsi="Times New Roman"/>
          <w:lang w:val="en-HK"/>
        </w:rPr>
      </w:pPr>
      <w:r w:rsidRPr="00DE4581">
        <w:rPr>
          <w:rFonts w:ascii="Times New Roman" w:hAnsi="Times New Roman"/>
          <w:noProof/>
          <w:lang w:val="en-HK"/>
          <w14:ligatures w14:val="standardContextual"/>
        </w:rPr>
        <w:pict w14:anchorId="37DD389C">
          <v:rect id="_x0000_i1051" alt="" style="width:451.3pt;height:.05pt;mso-width-percent:0;mso-height-percent:0;mso-width-percent:0;mso-height-percent:0" o:hralign="center" o:hrstd="t" o:hr="t" fillcolor="#a0a0a0" stroked="f"/>
        </w:pict>
      </w:r>
    </w:p>
    <w:p w14:paraId="4B92A676" w14:textId="77777777" w:rsidR="006533FF" w:rsidRPr="006533FF" w:rsidRDefault="006533FF" w:rsidP="006533FF">
      <w:pPr>
        <w:spacing w:before="100" w:beforeAutospacing="1" w:after="100" w:afterAutospacing="1" w:line="360" w:lineRule="auto"/>
        <w:outlineLvl w:val="2"/>
        <w:rPr>
          <w:rFonts w:ascii="Times New Roman" w:hAnsi="Times New Roman"/>
          <w:b/>
          <w:bCs/>
          <w:lang w:val="en-HK"/>
        </w:rPr>
      </w:pPr>
      <w:r w:rsidRPr="006533FF">
        <w:rPr>
          <w:rFonts w:ascii="Times New Roman" w:hAnsi="Times New Roman"/>
          <w:b/>
          <w:bCs/>
          <w:lang w:val="en-HK"/>
        </w:rPr>
        <w:t>Conclusion</w:t>
      </w:r>
    </w:p>
    <w:p w14:paraId="5408CB51"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 xml:space="preserve">The personal scope of free movement rules demonstrates the EU’s commitment to inclusivity while respecting Member States’ sovereignty. The evolving jurisprudence highlights the balance between ensuring broad access to rights and safeguarding national autonomy, as seen in landmark cases like </w:t>
      </w:r>
      <w:proofErr w:type="spellStart"/>
      <w:r w:rsidRPr="006533FF">
        <w:rPr>
          <w:rFonts w:ascii="Times New Roman" w:hAnsi="Times New Roman"/>
          <w:i/>
          <w:iCs/>
          <w:lang w:val="en-HK"/>
        </w:rPr>
        <w:t>Rottman</w:t>
      </w:r>
      <w:proofErr w:type="spellEnd"/>
      <w:r w:rsidRPr="006533FF">
        <w:rPr>
          <w:rFonts w:ascii="Times New Roman" w:hAnsi="Times New Roman"/>
          <w:lang w:val="en-HK"/>
        </w:rPr>
        <w:t xml:space="preserve">, </w:t>
      </w:r>
      <w:proofErr w:type="spellStart"/>
      <w:r w:rsidRPr="006533FF">
        <w:rPr>
          <w:rFonts w:ascii="Times New Roman" w:hAnsi="Times New Roman"/>
          <w:i/>
          <w:iCs/>
          <w:lang w:val="en-HK"/>
        </w:rPr>
        <w:t>Jundt</w:t>
      </w:r>
      <w:proofErr w:type="spellEnd"/>
      <w:r w:rsidRPr="006533FF">
        <w:rPr>
          <w:rFonts w:ascii="Times New Roman" w:hAnsi="Times New Roman"/>
          <w:lang w:val="en-HK"/>
        </w:rPr>
        <w:t xml:space="preserve">, and </w:t>
      </w:r>
      <w:proofErr w:type="spellStart"/>
      <w:r w:rsidRPr="006533FF">
        <w:rPr>
          <w:rFonts w:ascii="Times New Roman" w:hAnsi="Times New Roman"/>
          <w:i/>
          <w:iCs/>
          <w:lang w:val="en-HK"/>
        </w:rPr>
        <w:t>Baumbast</w:t>
      </w:r>
      <w:proofErr w:type="spellEnd"/>
      <w:r w:rsidRPr="006533FF">
        <w:rPr>
          <w:rFonts w:ascii="Times New Roman" w:hAnsi="Times New Roman"/>
          <w:lang w:val="en-HK"/>
        </w:rPr>
        <w:t>. These developments emphasize the centrality of Union citizenship as the "fundamental status" of EU nationals.</w:t>
      </w:r>
    </w:p>
    <w:p w14:paraId="7CCC56AE" w14:textId="4F722A37" w:rsidR="006533FF" w:rsidRPr="006533FF" w:rsidRDefault="00DE4581" w:rsidP="006533FF">
      <w:pPr>
        <w:spacing w:before="100" w:beforeAutospacing="1" w:after="100" w:afterAutospacing="1" w:line="360" w:lineRule="auto"/>
        <w:outlineLvl w:val="2"/>
        <w:rPr>
          <w:rFonts w:ascii="Times New Roman" w:hAnsi="Times New Roman"/>
          <w:b/>
          <w:bCs/>
          <w:lang w:val="en-HK"/>
        </w:rPr>
      </w:pPr>
      <w:r w:rsidRPr="00DE4581">
        <w:rPr>
          <w:rFonts w:ascii="Times New Roman" w:hAnsi="Times New Roman"/>
          <w:noProof/>
          <w:lang w:val="en-HK"/>
          <w14:ligatures w14:val="standardContextual"/>
        </w:rPr>
        <w:pict w14:anchorId="69CA4D61">
          <v:rect id="_x0000_i1050" alt="" style="width:451.3pt;height:.05pt;mso-width-percent:0;mso-height-percent:0;mso-width-percent:0;mso-height-percent:0" o:hralign="center" o:hrstd="t" o:hr="t" fillcolor="#a0a0a0" stroked="f"/>
        </w:pict>
      </w:r>
      <w:r w:rsidR="006533FF" w:rsidRPr="006533FF">
        <w:rPr>
          <w:rFonts w:ascii="Times New Roman" w:hAnsi="Times New Roman"/>
          <w:b/>
          <w:bCs/>
          <w:lang w:val="en-HK"/>
        </w:rPr>
        <w:t>Detailed Analysis of Section C.2: Territorial Scope</w:t>
      </w:r>
    </w:p>
    <w:p w14:paraId="45BDD050" w14:textId="58173865"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This section explores the territorial scope of free movement rights under EU law. It discusses the requirement for an inter-state element, the exclusion of wholly internal situations, and considerations of abuse and reverse discrimination.</w:t>
      </w:r>
    </w:p>
    <w:p w14:paraId="1DED55E5" w14:textId="77777777" w:rsidR="006533FF" w:rsidRPr="006533FF" w:rsidRDefault="006533FF" w:rsidP="006533FF">
      <w:pPr>
        <w:spacing w:before="100" w:beforeAutospacing="1" w:after="100" w:afterAutospacing="1" w:line="360" w:lineRule="auto"/>
        <w:outlineLvl w:val="3"/>
        <w:rPr>
          <w:rFonts w:ascii="Times New Roman" w:hAnsi="Times New Roman"/>
          <w:b/>
          <w:bCs/>
          <w:lang w:val="en-HK"/>
        </w:rPr>
      </w:pPr>
      <w:r w:rsidRPr="006533FF">
        <w:rPr>
          <w:rFonts w:ascii="Times New Roman" w:hAnsi="Times New Roman"/>
          <w:b/>
          <w:bCs/>
          <w:lang w:val="en-HK"/>
        </w:rPr>
        <w:t>1. The Need for an Inter-State Element</w:t>
      </w:r>
    </w:p>
    <w:p w14:paraId="3504FAF3" w14:textId="77777777" w:rsidR="006533FF" w:rsidRPr="006533FF" w:rsidRDefault="006533FF" w:rsidP="006533FF">
      <w:pPr>
        <w:numPr>
          <w:ilvl w:val="0"/>
          <w:numId w:val="17"/>
        </w:num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Requirement for Cross-Border Movement</w:t>
      </w:r>
      <w:r w:rsidRPr="006533FF">
        <w:rPr>
          <w:rFonts w:ascii="Times New Roman" w:hAnsi="Times New Roman"/>
          <w:lang w:val="en-HK"/>
        </w:rPr>
        <w:t>:</w:t>
      </w:r>
    </w:p>
    <w:p w14:paraId="1B1BFE11"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Articles 45, 49, 56, and 21 TFEU apply only when there is an inter-state element. This typically involves a Union citizen moving between Member States, whether for work, establishment, or other economic or personal purposes.</w:t>
      </w:r>
    </w:p>
    <w:p w14:paraId="1BEE9816"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lastRenderedPageBreak/>
        <w:t>Movement can take various forms:</w:t>
      </w:r>
    </w:p>
    <w:p w14:paraId="2B4D4987" w14:textId="77777777" w:rsidR="006533FF" w:rsidRPr="006533FF" w:rsidRDefault="006533FF" w:rsidP="006533FF">
      <w:pPr>
        <w:numPr>
          <w:ilvl w:val="2"/>
          <w:numId w:val="17"/>
        </w:numPr>
        <w:spacing w:before="100" w:beforeAutospacing="1" w:after="100" w:afterAutospacing="1" w:line="360" w:lineRule="auto"/>
        <w:rPr>
          <w:rFonts w:ascii="Times New Roman" w:hAnsi="Times New Roman"/>
          <w:lang w:val="en-HK"/>
        </w:rPr>
      </w:pPr>
      <w:r w:rsidRPr="006533FF">
        <w:rPr>
          <w:rFonts w:ascii="Times New Roman" w:hAnsi="Times New Roman"/>
          <w:lang w:val="en-HK"/>
        </w:rPr>
        <w:t>Physical relocation (e.g., changing residence for employment).</w:t>
      </w:r>
    </w:p>
    <w:p w14:paraId="4F0A8919" w14:textId="77777777" w:rsidR="006533FF" w:rsidRPr="006533FF" w:rsidRDefault="006533FF" w:rsidP="006533FF">
      <w:pPr>
        <w:numPr>
          <w:ilvl w:val="2"/>
          <w:numId w:val="17"/>
        </w:numPr>
        <w:spacing w:before="100" w:beforeAutospacing="1" w:after="100" w:afterAutospacing="1" w:line="360" w:lineRule="auto"/>
        <w:rPr>
          <w:rFonts w:ascii="Times New Roman" w:hAnsi="Times New Roman"/>
          <w:lang w:val="en-HK"/>
        </w:rPr>
      </w:pPr>
      <w:r w:rsidRPr="006533FF">
        <w:rPr>
          <w:rFonts w:ascii="Times New Roman" w:hAnsi="Times New Roman"/>
          <w:lang w:val="en-HK"/>
        </w:rPr>
        <w:t>Cross-border activities, such as a worker residing in one state but working in another (frontier workers).</w:t>
      </w:r>
    </w:p>
    <w:p w14:paraId="623A61BE" w14:textId="77777777" w:rsidR="006533FF" w:rsidRPr="006533FF" w:rsidRDefault="006533FF" w:rsidP="006533FF">
      <w:pPr>
        <w:numPr>
          <w:ilvl w:val="2"/>
          <w:numId w:val="17"/>
        </w:numPr>
        <w:spacing w:before="100" w:beforeAutospacing="1" w:after="100" w:afterAutospacing="1" w:line="360" w:lineRule="auto"/>
        <w:rPr>
          <w:rFonts w:ascii="Times New Roman" w:hAnsi="Times New Roman"/>
          <w:lang w:val="en-HK"/>
        </w:rPr>
      </w:pPr>
      <w:r w:rsidRPr="006533FF">
        <w:rPr>
          <w:rFonts w:ascii="Times New Roman" w:hAnsi="Times New Roman"/>
          <w:lang w:val="en-HK"/>
        </w:rPr>
        <w:t>Movement of services without the service provider physically relocating.</w:t>
      </w:r>
    </w:p>
    <w:p w14:paraId="74C491CF" w14:textId="77777777" w:rsidR="006533FF" w:rsidRPr="006533FF" w:rsidRDefault="006533FF" w:rsidP="006533FF">
      <w:pPr>
        <w:numPr>
          <w:ilvl w:val="0"/>
          <w:numId w:val="17"/>
        </w:num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Legal Basis</w:t>
      </w:r>
      <w:r w:rsidRPr="006533FF">
        <w:rPr>
          <w:rFonts w:ascii="Times New Roman" w:hAnsi="Times New Roman"/>
          <w:lang w:val="en-HK"/>
        </w:rPr>
        <w:t>:</w:t>
      </w:r>
    </w:p>
    <w:p w14:paraId="341A9F98"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Article 49 TFEU</w:t>
      </w:r>
      <w:r w:rsidRPr="006533FF">
        <w:rPr>
          <w:rFonts w:ascii="Times New Roman" w:hAnsi="Times New Roman"/>
          <w:lang w:val="en-HK"/>
        </w:rPr>
        <w:t xml:space="preserve"> explicitly refers to the freedom of establishment "in the territory of another Member State," underscoring the necessity of cross-border activity.</w:t>
      </w:r>
    </w:p>
    <w:p w14:paraId="7C696B8C" w14:textId="77777777" w:rsidR="006533FF" w:rsidRPr="006533FF" w:rsidRDefault="006533FF" w:rsidP="006533FF">
      <w:pPr>
        <w:numPr>
          <w:ilvl w:val="0"/>
          <w:numId w:val="17"/>
        </w:num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Key Case Law</w:t>
      </w:r>
      <w:r w:rsidRPr="006533FF">
        <w:rPr>
          <w:rFonts w:ascii="Times New Roman" w:hAnsi="Times New Roman"/>
          <w:lang w:val="en-HK"/>
        </w:rPr>
        <w:t>:</w:t>
      </w:r>
    </w:p>
    <w:p w14:paraId="734FD830"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Saunders (Case 175/78)</w:t>
      </w:r>
      <w:r w:rsidRPr="006533FF">
        <w:rPr>
          <w:rFonts w:ascii="Times New Roman" w:hAnsi="Times New Roman"/>
          <w:lang w:val="en-HK"/>
        </w:rPr>
        <w:t>:</w:t>
      </w:r>
    </w:p>
    <w:p w14:paraId="59258CB7" w14:textId="77777777" w:rsidR="006533FF" w:rsidRPr="006533FF" w:rsidRDefault="006533FF" w:rsidP="006533FF">
      <w:pPr>
        <w:numPr>
          <w:ilvl w:val="2"/>
          <w:numId w:val="17"/>
        </w:numPr>
        <w:spacing w:before="100" w:beforeAutospacing="1" w:after="100" w:afterAutospacing="1" w:line="360" w:lineRule="auto"/>
        <w:rPr>
          <w:rFonts w:ascii="Times New Roman" w:hAnsi="Times New Roman"/>
          <w:lang w:val="en-HK"/>
        </w:rPr>
      </w:pPr>
      <w:r w:rsidRPr="006533FF">
        <w:rPr>
          <w:rFonts w:ascii="Times New Roman" w:hAnsi="Times New Roman"/>
          <w:lang w:val="en-HK"/>
        </w:rPr>
        <w:t>A British national argued that a domestic criminal order restricting her movement within the UK violated Union law. The Court dismissed the claim, holding that the free movement provisions do not apply to situations wholly internal to a single Member State.</w:t>
      </w:r>
    </w:p>
    <w:p w14:paraId="10943C3F" w14:textId="77777777" w:rsidR="006533FF" w:rsidRPr="006533FF" w:rsidRDefault="006533FF" w:rsidP="006533FF">
      <w:pPr>
        <w:numPr>
          <w:ilvl w:val="2"/>
          <w:numId w:val="17"/>
        </w:num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Quote from the Judgment</w:t>
      </w:r>
      <w:r w:rsidRPr="006533FF">
        <w:rPr>
          <w:rFonts w:ascii="Times New Roman" w:hAnsi="Times New Roman"/>
          <w:lang w:val="en-HK"/>
        </w:rPr>
        <w:t>: Union law applies only to activities linked to inter-state situations, and "wholly internal" matters are governed exclusively by national law.</w:t>
      </w:r>
    </w:p>
    <w:p w14:paraId="21D808B7" w14:textId="77777777" w:rsidR="006533FF" w:rsidRPr="006533FF" w:rsidRDefault="00DE4581" w:rsidP="006533FF">
      <w:pPr>
        <w:spacing w:line="360" w:lineRule="auto"/>
        <w:rPr>
          <w:rFonts w:ascii="Times New Roman" w:hAnsi="Times New Roman"/>
          <w:lang w:val="en-HK"/>
        </w:rPr>
      </w:pPr>
      <w:r w:rsidRPr="00DE4581">
        <w:rPr>
          <w:rFonts w:ascii="Times New Roman" w:hAnsi="Times New Roman"/>
          <w:noProof/>
          <w:lang w:val="en-HK"/>
          <w14:ligatures w14:val="standardContextual"/>
        </w:rPr>
        <w:pict w14:anchorId="4FD472EA">
          <v:rect id="_x0000_i1049" alt="" style="width:451.3pt;height:.05pt;mso-width-percent:0;mso-height-percent:0;mso-width-percent:0;mso-height-percent:0" o:hralign="center" o:hrstd="t" o:hr="t" fillcolor="#a0a0a0" stroked="f"/>
        </w:pict>
      </w:r>
    </w:p>
    <w:p w14:paraId="77D3276C" w14:textId="77777777" w:rsidR="006533FF" w:rsidRPr="006533FF" w:rsidRDefault="006533FF" w:rsidP="006533FF">
      <w:pPr>
        <w:spacing w:before="100" w:beforeAutospacing="1" w:after="100" w:afterAutospacing="1" w:line="360" w:lineRule="auto"/>
        <w:outlineLvl w:val="3"/>
        <w:rPr>
          <w:rFonts w:ascii="Times New Roman" w:hAnsi="Times New Roman"/>
          <w:b/>
          <w:bCs/>
          <w:lang w:val="en-HK"/>
        </w:rPr>
      </w:pPr>
      <w:r w:rsidRPr="006533FF">
        <w:rPr>
          <w:rFonts w:ascii="Times New Roman" w:hAnsi="Times New Roman"/>
          <w:b/>
          <w:bCs/>
          <w:lang w:val="en-HK"/>
        </w:rPr>
        <w:t>2. The Wholly Internal Situation</w:t>
      </w:r>
    </w:p>
    <w:p w14:paraId="7A9C5D5B"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Exclusion of Domestic Issues</w:t>
      </w:r>
      <w:r w:rsidRPr="006533FF">
        <w:rPr>
          <w:rFonts w:ascii="Times New Roman" w:hAnsi="Times New Roman"/>
          <w:lang w:val="en-HK"/>
        </w:rPr>
        <w:t>:</w:t>
      </w:r>
    </w:p>
    <w:p w14:paraId="5BB66750"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Union law does not cover situations confined entirely within one Member State. For instance:</w:t>
      </w:r>
    </w:p>
    <w:p w14:paraId="7FA6609E"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If both the claimant and defendant are nationals of the same Member State and all relevant events occur domestically, Union law is inapplicable.</w:t>
      </w:r>
    </w:p>
    <w:p w14:paraId="2CD59791"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Judicial Developments</w:t>
      </w:r>
      <w:r w:rsidRPr="006533FF">
        <w:rPr>
          <w:rFonts w:ascii="Times New Roman" w:hAnsi="Times New Roman"/>
          <w:lang w:val="en-HK"/>
        </w:rPr>
        <w:t>:</w:t>
      </w:r>
    </w:p>
    <w:p w14:paraId="19246D6B" w14:textId="77777777" w:rsidR="006533FF" w:rsidRPr="006533FF" w:rsidRDefault="006533FF" w:rsidP="006533FF">
      <w:pPr>
        <w:numPr>
          <w:ilvl w:val="1"/>
          <w:numId w:val="18"/>
        </w:numPr>
        <w:spacing w:before="100" w:beforeAutospacing="1" w:after="100" w:afterAutospacing="1" w:line="360" w:lineRule="auto"/>
        <w:rPr>
          <w:rFonts w:ascii="Times New Roman" w:hAnsi="Times New Roman"/>
          <w:lang w:val="en-HK"/>
        </w:rPr>
      </w:pPr>
      <w:proofErr w:type="spellStart"/>
      <w:r w:rsidRPr="006533FF">
        <w:rPr>
          <w:rFonts w:ascii="Times New Roman" w:hAnsi="Times New Roman"/>
          <w:b/>
          <w:bCs/>
          <w:lang w:val="en-HK"/>
        </w:rPr>
        <w:t>Gauchard</w:t>
      </w:r>
      <w:proofErr w:type="spellEnd"/>
      <w:r w:rsidRPr="006533FF">
        <w:rPr>
          <w:rFonts w:ascii="Times New Roman" w:hAnsi="Times New Roman"/>
          <w:b/>
          <w:bCs/>
          <w:lang w:val="en-HK"/>
        </w:rPr>
        <w:t xml:space="preserve"> (Case 20/87)</w:t>
      </w:r>
      <w:r w:rsidRPr="006533FF">
        <w:rPr>
          <w:rFonts w:ascii="Times New Roman" w:hAnsi="Times New Roman"/>
          <w:lang w:val="en-HK"/>
        </w:rPr>
        <w:t>:</w:t>
      </w:r>
    </w:p>
    <w:p w14:paraId="2586703F"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Facts: A French manager was prosecuted for unauthorized supermarket expansion under French law. He argued that the regulations breached Union law.</w:t>
      </w:r>
    </w:p>
    <w:p w14:paraId="318CFA94"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lastRenderedPageBreak/>
        <w:t>Decision: The Court found that since both the company and manager were French and the dispute lacked any cross-border element, the case was "wholly internal" and outside Union law’s scope.</w:t>
      </w:r>
    </w:p>
    <w:p w14:paraId="0875C381" w14:textId="77777777" w:rsidR="006533FF" w:rsidRPr="006533FF" w:rsidRDefault="006533FF" w:rsidP="006533FF">
      <w:pPr>
        <w:numPr>
          <w:ilvl w:val="1"/>
          <w:numId w:val="18"/>
        </w:num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Moser (Case 180/83)</w:t>
      </w:r>
      <w:r w:rsidRPr="006533FF">
        <w:rPr>
          <w:rFonts w:ascii="Times New Roman" w:hAnsi="Times New Roman"/>
          <w:lang w:val="en-HK"/>
        </w:rPr>
        <w:t>:</w:t>
      </w:r>
    </w:p>
    <w:p w14:paraId="28D9E722"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Facts: A German national was excluded from a teacher training program in Germany due to Communist Party membership, claiming the decision impeded his ability to work in other Member States.</w:t>
      </w:r>
    </w:p>
    <w:p w14:paraId="4A84D0D4"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Decision: The Court rejected this argument, stating that the potential for future employment in another Member State was too hypothetical to establish a link with Union law.</w:t>
      </w:r>
    </w:p>
    <w:p w14:paraId="644C27CF"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Reverse Application in Certain Circumstances</w:t>
      </w:r>
      <w:r w:rsidRPr="006533FF">
        <w:rPr>
          <w:rFonts w:ascii="Times New Roman" w:hAnsi="Times New Roman"/>
          <w:lang w:val="en-HK"/>
        </w:rPr>
        <w:t>:</w:t>
      </w:r>
    </w:p>
    <w:p w14:paraId="58A02563"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Even wholly internal situations may fall within Union law if the claimant has exercised their free movement rights. For example:</w:t>
      </w:r>
    </w:p>
    <w:p w14:paraId="12C7241B"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Surinder Singh (Case C-370/90)</w:t>
      </w:r>
      <w:r w:rsidRPr="006533FF">
        <w:rPr>
          <w:rFonts w:ascii="Times New Roman" w:hAnsi="Times New Roman"/>
          <w:lang w:val="en-HK"/>
        </w:rPr>
        <w:t>:</w:t>
      </w:r>
    </w:p>
    <w:p w14:paraId="7CC0CAD0"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A British citizen returned to the UK after exercising her free movement rights in Germany. The Court ruled that EU law applied, as denying her non-EU spouse the right to accompany her would deter her from exercising free movement in the first place.</w:t>
      </w:r>
    </w:p>
    <w:p w14:paraId="0B3197CF"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This decision extended the scope of Union law to protect returning nationals who had previously exercised their rights.</w:t>
      </w:r>
    </w:p>
    <w:p w14:paraId="089998A0" w14:textId="77777777" w:rsidR="006533FF" w:rsidRPr="006533FF" w:rsidRDefault="00DE4581" w:rsidP="006533FF">
      <w:pPr>
        <w:spacing w:line="360" w:lineRule="auto"/>
        <w:rPr>
          <w:rFonts w:ascii="Times New Roman" w:hAnsi="Times New Roman"/>
          <w:lang w:val="en-HK"/>
        </w:rPr>
      </w:pPr>
      <w:r w:rsidRPr="00DE4581">
        <w:rPr>
          <w:rFonts w:ascii="Times New Roman" w:hAnsi="Times New Roman"/>
          <w:noProof/>
          <w:lang w:val="en-HK"/>
          <w14:ligatures w14:val="standardContextual"/>
        </w:rPr>
        <w:pict w14:anchorId="244963FC">
          <v:rect id="_x0000_i1048" alt="" style="width:451.3pt;height:.05pt;mso-width-percent:0;mso-height-percent:0;mso-width-percent:0;mso-height-percent:0" o:hralign="center" o:hrstd="t" o:hr="t" fillcolor="#a0a0a0" stroked="f"/>
        </w:pict>
      </w:r>
    </w:p>
    <w:p w14:paraId="0780DCFD" w14:textId="77777777" w:rsidR="006533FF" w:rsidRPr="006533FF" w:rsidRDefault="006533FF" w:rsidP="006533FF">
      <w:pPr>
        <w:spacing w:before="100" w:beforeAutospacing="1" w:after="100" w:afterAutospacing="1" w:line="360" w:lineRule="auto"/>
        <w:outlineLvl w:val="3"/>
        <w:rPr>
          <w:rFonts w:ascii="Times New Roman" w:hAnsi="Times New Roman"/>
          <w:b/>
          <w:bCs/>
          <w:lang w:val="en-HK"/>
        </w:rPr>
      </w:pPr>
      <w:r w:rsidRPr="006533FF">
        <w:rPr>
          <w:rFonts w:ascii="Times New Roman" w:hAnsi="Times New Roman"/>
          <w:b/>
          <w:bCs/>
          <w:lang w:val="en-HK"/>
        </w:rPr>
        <w:t>3. Abuse and Fraud</w:t>
      </w:r>
    </w:p>
    <w:p w14:paraId="75AA857D" w14:textId="77777777" w:rsidR="006533FF" w:rsidRPr="006533FF" w:rsidRDefault="006533FF" w:rsidP="006533FF">
      <w:pPr>
        <w:numPr>
          <w:ilvl w:val="0"/>
          <w:numId w:val="19"/>
        </w:num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Addressing Potential Abuses</w:t>
      </w:r>
      <w:r w:rsidRPr="006533FF">
        <w:rPr>
          <w:rFonts w:ascii="Times New Roman" w:hAnsi="Times New Roman"/>
          <w:lang w:val="en-HK"/>
        </w:rPr>
        <w:t>:</w:t>
      </w:r>
    </w:p>
    <w:p w14:paraId="29CFF35D"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 xml:space="preserve">Abuse arises when individuals </w:t>
      </w:r>
      <w:r w:rsidRPr="006533FF">
        <w:rPr>
          <w:rFonts w:ascii="Times New Roman" w:hAnsi="Times New Roman"/>
          <w:b/>
          <w:bCs/>
          <w:lang w:val="en-HK"/>
        </w:rPr>
        <w:t>exploit free movement rights to circumvent national laws</w:t>
      </w:r>
      <w:r w:rsidRPr="006533FF">
        <w:rPr>
          <w:rFonts w:ascii="Times New Roman" w:hAnsi="Times New Roman"/>
          <w:lang w:val="en-HK"/>
        </w:rPr>
        <w:t>. However, taking advantage of Union law rights does not, in itself, constitute abuse.</w:t>
      </w:r>
    </w:p>
    <w:p w14:paraId="29B8004B" w14:textId="77777777" w:rsidR="006533FF" w:rsidRPr="006533FF" w:rsidRDefault="006533FF" w:rsidP="006533FF">
      <w:pPr>
        <w:spacing w:before="100" w:beforeAutospacing="1" w:after="100" w:afterAutospacing="1" w:line="360" w:lineRule="auto"/>
        <w:rPr>
          <w:rFonts w:ascii="Times New Roman" w:hAnsi="Times New Roman"/>
          <w:lang w:val="en-HK"/>
        </w:rPr>
      </w:pPr>
      <w:proofErr w:type="spellStart"/>
      <w:r w:rsidRPr="006533FF">
        <w:rPr>
          <w:rFonts w:ascii="Times New Roman" w:hAnsi="Times New Roman"/>
          <w:b/>
          <w:bCs/>
          <w:lang w:val="en-HK"/>
        </w:rPr>
        <w:t>Centros</w:t>
      </w:r>
      <w:proofErr w:type="spellEnd"/>
      <w:r w:rsidRPr="006533FF">
        <w:rPr>
          <w:rFonts w:ascii="Times New Roman" w:hAnsi="Times New Roman"/>
          <w:b/>
          <w:bCs/>
          <w:lang w:val="en-HK"/>
        </w:rPr>
        <w:t xml:space="preserve"> (Case C-212/97)</w:t>
      </w:r>
      <w:r w:rsidRPr="006533FF">
        <w:rPr>
          <w:rFonts w:ascii="Times New Roman" w:hAnsi="Times New Roman"/>
          <w:lang w:val="en-HK"/>
        </w:rPr>
        <w:t>:</w:t>
      </w:r>
    </w:p>
    <w:p w14:paraId="12EFF7FE"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lastRenderedPageBreak/>
        <w:t xml:space="preserve">A Danish couple established a company in the UK to benefit from less stringent incorporation laws and sought to operate in Denmark. The Court held that using Union rights to take advantage of </w:t>
      </w:r>
      <w:proofErr w:type="spellStart"/>
      <w:r w:rsidRPr="006533FF">
        <w:rPr>
          <w:rFonts w:ascii="Times New Roman" w:hAnsi="Times New Roman"/>
          <w:lang w:val="en-HK"/>
        </w:rPr>
        <w:t>favorable</w:t>
      </w:r>
      <w:proofErr w:type="spellEnd"/>
      <w:r w:rsidRPr="006533FF">
        <w:rPr>
          <w:rFonts w:ascii="Times New Roman" w:hAnsi="Times New Roman"/>
          <w:lang w:val="en-HK"/>
        </w:rPr>
        <w:t xml:space="preserve"> legal regimes is not inherently abusive.</w:t>
      </w:r>
    </w:p>
    <w:p w14:paraId="1B098E56" w14:textId="77777777" w:rsidR="006533FF" w:rsidRPr="006533FF" w:rsidRDefault="006533FF" w:rsidP="006533FF">
      <w:pPr>
        <w:spacing w:before="100" w:beforeAutospacing="1" w:after="100" w:afterAutospacing="1" w:line="360" w:lineRule="auto"/>
        <w:rPr>
          <w:rFonts w:ascii="Times New Roman" w:hAnsi="Times New Roman"/>
          <w:u w:val="single"/>
          <w:lang w:val="en-HK"/>
        </w:rPr>
      </w:pPr>
      <w:r w:rsidRPr="006533FF">
        <w:rPr>
          <w:rFonts w:ascii="Times New Roman" w:hAnsi="Times New Roman"/>
          <w:b/>
          <w:bCs/>
          <w:u w:val="single"/>
          <w:lang w:val="en-HK"/>
        </w:rPr>
        <w:t>O and B (Case C-456/12)</w:t>
      </w:r>
      <w:r w:rsidRPr="006533FF">
        <w:rPr>
          <w:rFonts w:ascii="Times New Roman" w:hAnsi="Times New Roman"/>
          <w:u w:val="single"/>
          <w:lang w:val="en-HK"/>
        </w:rPr>
        <w:t>:</w:t>
      </w:r>
    </w:p>
    <w:p w14:paraId="58A64285"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The Court clarified that residence must be "sufficiently genuine" to trigger rights for accompanying family members when a Union citizen returns to their home state. Temporary or artificial stays may constitute abuse.</w:t>
      </w:r>
    </w:p>
    <w:p w14:paraId="7D52DAE1" w14:textId="77777777" w:rsidR="006533FF" w:rsidRPr="006533FF" w:rsidRDefault="006533FF" w:rsidP="006533FF">
      <w:pPr>
        <w:numPr>
          <w:ilvl w:val="0"/>
          <w:numId w:val="19"/>
        </w:num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Defining Abuse</w:t>
      </w:r>
      <w:r w:rsidRPr="006533FF">
        <w:rPr>
          <w:rFonts w:ascii="Times New Roman" w:hAnsi="Times New Roman"/>
          <w:lang w:val="en-HK"/>
        </w:rPr>
        <w:t>:</w:t>
      </w:r>
    </w:p>
    <w:p w14:paraId="6EA3DF86" w14:textId="77777777" w:rsidR="006533FF" w:rsidRPr="006533FF" w:rsidRDefault="006533FF" w:rsidP="006533FF">
      <w:pPr>
        <w:spacing w:before="100" w:beforeAutospacing="1" w:after="100" w:afterAutospacing="1" w:line="360" w:lineRule="auto"/>
        <w:rPr>
          <w:rFonts w:ascii="Times New Roman" w:hAnsi="Times New Roman"/>
          <w:b/>
          <w:bCs/>
          <w:lang w:val="en-HK"/>
        </w:rPr>
      </w:pPr>
      <w:r w:rsidRPr="006533FF">
        <w:rPr>
          <w:rFonts w:ascii="Times New Roman" w:hAnsi="Times New Roman"/>
          <w:b/>
          <w:bCs/>
          <w:lang w:val="en-HK"/>
        </w:rPr>
        <w:t>Case Criteria</w:t>
      </w:r>
      <w:r w:rsidRPr="006533FF">
        <w:rPr>
          <w:rFonts w:ascii="Times New Roman" w:hAnsi="Times New Roman"/>
          <w:lang w:val="en-HK"/>
        </w:rPr>
        <w:t xml:space="preserve">: </w:t>
      </w:r>
      <w:r w:rsidRPr="006533FF">
        <w:rPr>
          <w:rFonts w:ascii="Times New Roman" w:hAnsi="Times New Roman"/>
          <w:b/>
          <w:bCs/>
          <w:lang w:val="en-HK"/>
        </w:rPr>
        <w:t>Abuse requires:</w:t>
      </w:r>
    </w:p>
    <w:p w14:paraId="1FC30634" w14:textId="77777777" w:rsidR="006533FF" w:rsidRPr="006533FF" w:rsidRDefault="006533FF" w:rsidP="006533FF">
      <w:pPr>
        <w:numPr>
          <w:ilvl w:val="2"/>
          <w:numId w:val="20"/>
        </w:numPr>
        <w:spacing w:before="100" w:beforeAutospacing="1" w:after="100" w:afterAutospacing="1" w:line="360" w:lineRule="auto"/>
        <w:ind w:left="2160" w:hanging="360"/>
        <w:rPr>
          <w:rFonts w:ascii="Times New Roman" w:hAnsi="Times New Roman"/>
          <w:lang w:val="en-HK"/>
        </w:rPr>
      </w:pPr>
      <w:r w:rsidRPr="006533FF">
        <w:rPr>
          <w:rFonts w:ascii="Times New Roman" w:hAnsi="Times New Roman"/>
          <w:lang w:val="en-HK"/>
        </w:rPr>
        <w:t>Objective circumstances indicating that the purpose of Union law has not been achieved despite formal compliance.</w:t>
      </w:r>
    </w:p>
    <w:p w14:paraId="17D1A95F" w14:textId="77777777" w:rsidR="006533FF" w:rsidRPr="006533FF" w:rsidRDefault="006533FF" w:rsidP="006533FF">
      <w:pPr>
        <w:numPr>
          <w:ilvl w:val="2"/>
          <w:numId w:val="20"/>
        </w:numPr>
        <w:spacing w:before="100" w:beforeAutospacing="1" w:after="100" w:afterAutospacing="1" w:line="360" w:lineRule="auto"/>
        <w:ind w:left="2160" w:hanging="360"/>
        <w:rPr>
          <w:rFonts w:ascii="Times New Roman" w:hAnsi="Times New Roman"/>
          <w:lang w:val="en-HK"/>
        </w:rPr>
      </w:pPr>
      <w:r w:rsidRPr="006533FF">
        <w:rPr>
          <w:rFonts w:ascii="Times New Roman" w:hAnsi="Times New Roman"/>
          <w:lang w:val="en-HK"/>
        </w:rPr>
        <w:t>Subjective intent to gain an unwarranted advantage.</w:t>
      </w:r>
    </w:p>
    <w:p w14:paraId="615B68FE"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Article 35 of Directive 2004/38</w:t>
      </w:r>
      <w:r w:rsidRPr="006533FF">
        <w:rPr>
          <w:rFonts w:ascii="Times New Roman" w:hAnsi="Times New Roman"/>
          <w:lang w:val="en-HK"/>
        </w:rPr>
        <w:t xml:space="preserve"> empowers Member States to refuse, terminate, or withdraw rights in cases of abuse or fraud, such as sham marriages. Any measures must be proportionate and subject to procedural safeguards.</w:t>
      </w:r>
    </w:p>
    <w:p w14:paraId="0AD7BD0E" w14:textId="77777777" w:rsidR="006533FF" w:rsidRPr="006533FF" w:rsidRDefault="00DE4581" w:rsidP="006533FF">
      <w:pPr>
        <w:spacing w:line="360" w:lineRule="auto"/>
        <w:rPr>
          <w:rFonts w:ascii="Times New Roman" w:hAnsi="Times New Roman"/>
          <w:lang w:val="en-HK"/>
        </w:rPr>
      </w:pPr>
      <w:r w:rsidRPr="00DE4581">
        <w:rPr>
          <w:rFonts w:ascii="Times New Roman" w:hAnsi="Times New Roman"/>
          <w:noProof/>
          <w:lang w:val="en-HK"/>
          <w14:ligatures w14:val="standardContextual"/>
        </w:rPr>
        <w:pict w14:anchorId="2E8D8062">
          <v:rect id="_x0000_i1047" alt="" style="width:451.3pt;height:.05pt;mso-width-percent:0;mso-height-percent:0;mso-width-percent:0;mso-height-percent:0" o:hralign="center" o:hrstd="t" o:hr="t" fillcolor="#a0a0a0" stroked="f"/>
        </w:pict>
      </w:r>
    </w:p>
    <w:p w14:paraId="117C8154" w14:textId="77777777" w:rsidR="006533FF" w:rsidRPr="006533FF" w:rsidRDefault="006533FF" w:rsidP="006533FF">
      <w:pPr>
        <w:spacing w:before="100" w:beforeAutospacing="1" w:after="100" w:afterAutospacing="1" w:line="360" w:lineRule="auto"/>
        <w:outlineLvl w:val="3"/>
        <w:rPr>
          <w:rFonts w:ascii="Times New Roman" w:hAnsi="Times New Roman"/>
          <w:b/>
          <w:bCs/>
          <w:lang w:val="en-HK"/>
        </w:rPr>
      </w:pPr>
      <w:r w:rsidRPr="006533FF">
        <w:rPr>
          <w:rFonts w:ascii="Times New Roman" w:hAnsi="Times New Roman"/>
          <w:b/>
          <w:bCs/>
          <w:lang w:val="en-HK"/>
        </w:rPr>
        <w:t>4. Reverse Discrimination</w:t>
      </w:r>
    </w:p>
    <w:p w14:paraId="707A32AD" w14:textId="77777777" w:rsidR="006533FF" w:rsidRPr="006533FF" w:rsidRDefault="006533FF" w:rsidP="006533FF">
      <w:pPr>
        <w:numPr>
          <w:ilvl w:val="0"/>
          <w:numId w:val="21"/>
        </w:num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Definition</w:t>
      </w:r>
      <w:r w:rsidRPr="006533FF">
        <w:rPr>
          <w:rFonts w:ascii="Times New Roman" w:hAnsi="Times New Roman"/>
          <w:lang w:val="en-HK"/>
        </w:rPr>
        <w:t>:</w:t>
      </w:r>
    </w:p>
    <w:p w14:paraId="1AF71BC6"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 xml:space="preserve">Reverse discrimination occurs when a Member State’s nationals are treated less </w:t>
      </w:r>
      <w:proofErr w:type="spellStart"/>
      <w:r w:rsidRPr="006533FF">
        <w:rPr>
          <w:rFonts w:ascii="Times New Roman" w:hAnsi="Times New Roman"/>
          <w:lang w:val="en-HK"/>
        </w:rPr>
        <w:t>favorably</w:t>
      </w:r>
      <w:proofErr w:type="spellEnd"/>
      <w:r w:rsidRPr="006533FF">
        <w:rPr>
          <w:rFonts w:ascii="Times New Roman" w:hAnsi="Times New Roman"/>
          <w:lang w:val="en-HK"/>
        </w:rPr>
        <w:t xml:space="preserve"> than nationals of other Member States because the situation does not involve cross-border elements.</w:t>
      </w:r>
    </w:p>
    <w:p w14:paraId="14F13740" w14:textId="77777777" w:rsidR="006533FF" w:rsidRPr="006533FF" w:rsidRDefault="006533FF" w:rsidP="006533FF">
      <w:pPr>
        <w:numPr>
          <w:ilvl w:val="0"/>
          <w:numId w:val="21"/>
        </w:num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Key Examples</w:t>
      </w:r>
      <w:r w:rsidRPr="006533FF">
        <w:rPr>
          <w:rFonts w:ascii="Times New Roman" w:hAnsi="Times New Roman"/>
          <w:lang w:val="en-HK"/>
        </w:rPr>
        <w:t>:</w:t>
      </w:r>
    </w:p>
    <w:p w14:paraId="04E14E32"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Walloon Government Case (Case C-212/06)</w:t>
      </w:r>
      <w:r w:rsidRPr="006533FF">
        <w:rPr>
          <w:rFonts w:ascii="Times New Roman" w:hAnsi="Times New Roman"/>
          <w:lang w:val="en-HK"/>
        </w:rPr>
        <w:t>:</w:t>
      </w:r>
    </w:p>
    <w:p w14:paraId="528193A1"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 xml:space="preserve">Belgian citizens living in the French-speaking region but working in the Flemish-speaking region were excluded from certain care insurance benefits, unlike EU migrants working in the </w:t>
      </w:r>
      <w:r w:rsidRPr="006533FF">
        <w:rPr>
          <w:rFonts w:ascii="Times New Roman" w:hAnsi="Times New Roman"/>
          <w:lang w:val="en-HK"/>
        </w:rPr>
        <w:lastRenderedPageBreak/>
        <w:t>Flemish region. This exemplified reverse discrimination because purely domestic situations are governed by national law.</w:t>
      </w:r>
    </w:p>
    <w:p w14:paraId="50095B8F" w14:textId="77777777" w:rsidR="006533FF" w:rsidRPr="006533FF" w:rsidRDefault="006533FF" w:rsidP="006533FF">
      <w:pPr>
        <w:numPr>
          <w:ilvl w:val="0"/>
          <w:numId w:val="21"/>
        </w:num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Jurisdictional Justification</w:t>
      </w:r>
      <w:r w:rsidRPr="006533FF">
        <w:rPr>
          <w:rFonts w:ascii="Times New Roman" w:hAnsi="Times New Roman"/>
          <w:lang w:val="en-HK"/>
        </w:rPr>
        <w:t>:</w:t>
      </w:r>
    </w:p>
    <w:p w14:paraId="120A4F26"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The distinction between wholly internal and inter-state situations is jurisdictional, separating the application of EU law from national law. It ensures that EU law addresses cross-border issues while respecting Member States' autonomy.</w:t>
      </w:r>
    </w:p>
    <w:p w14:paraId="308B223F" w14:textId="77777777" w:rsidR="006533FF" w:rsidRPr="006533FF" w:rsidRDefault="006533FF" w:rsidP="006533FF">
      <w:pPr>
        <w:numPr>
          <w:ilvl w:val="0"/>
          <w:numId w:val="21"/>
        </w:num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Political Justification</w:t>
      </w:r>
      <w:r w:rsidRPr="006533FF">
        <w:rPr>
          <w:rFonts w:ascii="Times New Roman" w:hAnsi="Times New Roman"/>
          <w:lang w:val="en-HK"/>
        </w:rPr>
        <w:t>:</w:t>
      </w:r>
    </w:p>
    <w:p w14:paraId="64ADA2A0" w14:textId="14A085F1"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As Barnard notes, reverse discrimination is often justified by the principle of</w:t>
      </w:r>
      <w:r w:rsidRPr="006533FF">
        <w:rPr>
          <w:rFonts w:ascii="Times New Roman" w:hAnsi="Times New Roman"/>
          <w:lang w:val="en-HK"/>
        </w:rPr>
        <w:t xml:space="preserve"> </w:t>
      </w:r>
      <w:r w:rsidRPr="006533FF">
        <w:rPr>
          <w:rFonts w:ascii="Times New Roman" w:hAnsi="Times New Roman"/>
          <w:lang w:val="en-HK"/>
        </w:rPr>
        <w:t>"virtual representation." Nationals have access to domestic political processes and can advocate for legislative changes, unlike non-nationals who rely on EU law for protection.</w:t>
      </w:r>
    </w:p>
    <w:p w14:paraId="7444C8DC" w14:textId="77777777" w:rsidR="006533FF" w:rsidRPr="006533FF" w:rsidRDefault="006533FF" w:rsidP="006533FF">
      <w:pPr>
        <w:numPr>
          <w:ilvl w:val="0"/>
          <w:numId w:val="21"/>
        </w:num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Calls for Reform</w:t>
      </w:r>
      <w:r w:rsidRPr="006533FF">
        <w:rPr>
          <w:rFonts w:ascii="Times New Roman" w:hAnsi="Times New Roman"/>
          <w:lang w:val="en-HK"/>
        </w:rPr>
        <w:t>:</w:t>
      </w:r>
    </w:p>
    <w:p w14:paraId="0DDA9FFA"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 xml:space="preserve">Advocate General </w:t>
      </w:r>
      <w:proofErr w:type="spellStart"/>
      <w:r w:rsidRPr="006533FF">
        <w:rPr>
          <w:rFonts w:ascii="Times New Roman" w:hAnsi="Times New Roman"/>
          <w:lang w:val="en-HK"/>
        </w:rPr>
        <w:t>Sharpston</w:t>
      </w:r>
      <w:proofErr w:type="spellEnd"/>
      <w:r w:rsidRPr="006533FF">
        <w:rPr>
          <w:rFonts w:ascii="Times New Roman" w:hAnsi="Times New Roman"/>
          <w:lang w:val="en-HK"/>
        </w:rPr>
        <w:t xml:space="preserve"> in the </w:t>
      </w:r>
      <w:r w:rsidRPr="006533FF">
        <w:rPr>
          <w:rFonts w:ascii="Times New Roman" w:hAnsi="Times New Roman"/>
          <w:b/>
          <w:bCs/>
          <w:lang w:val="en-HK"/>
        </w:rPr>
        <w:t>Walloon Government Case</w:t>
      </w:r>
      <w:r w:rsidRPr="006533FF">
        <w:rPr>
          <w:rFonts w:ascii="Times New Roman" w:hAnsi="Times New Roman"/>
          <w:lang w:val="en-HK"/>
        </w:rPr>
        <w:t xml:space="preserve"> argued that the wholly internal rule should be reconsidered in light of Article 26(2) TFEU, which envisions an "area without internal frontiers."</w:t>
      </w:r>
    </w:p>
    <w:p w14:paraId="1737FDA2" w14:textId="77777777" w:rsidR="006533FF" w:rsidRPr="006533FF" w:rsidRDefault="00DE4581" w:rsidP="006533FF">
      <w:pPr>
        <w:spacing w:line="360" w:lineRule="auto"/>
        <w:rPr>
          <w:rFonts w:ascii="Times New Roman" w:hAnsi="Times New Roman"/>
          <w:lang w:val="en-HK"/>
        </w:rPr>
      </w:pPr>
      <w:r w:rsidRPr="00DE4581">
        <w:rPr>
          <w:rFonts w:ascii="Times New Roman" w:hAnsi="Times New Roman"/>
          <w:noProof/>
          <w:lang w:val="en-HK"/>
          <w14:ligatures w14:val="standardContextual"/>
        </w:rPr>
        <w:pict w14:anchorId="0582EE2C">
          <v:rect id="_x0000_i1046" alt="" style="width:451.3pt;height:.05pt;mso-width-percent:0;mso-height-percent:0;mso-width-percent:0;mso-height-percent:0" o:hralign="center" o:hrstd="t" o:hr="t" fillcolor="#a0a0a0" stroked="f"/>
        </w:pict>
      </w:r>
    </w:p>
    <w:p w14:paraId="5A09F216" w14:textId="77777777" w:rsidR="006533FF" w:rsidRPr="006533FF" w:rsidRDefault="006533FF" w:rsidP="006533FF">
      <w:pPr>
        <w:spacing w:before="100" w:beforeAutospacing="1" w:after="100" w:afterAutospacing="1" w:line="360" w:lineRule="auto"/>
        <w:outlineLvl w:val="3"/>
        <w:rPr>
          <w:rFonts w:ascii="Times New Roman" w:hAnsi="Times New Roman"/>
          <w:b/>
          <w:bCs/>
          <w:lang w:val="en-HK"/>
        </w:rPr>
      </w:pPr>
      <w:r w:rsidRPr="006533FF">
        <w:rPr>
          <w:rFonts w:ascii="Times New Roman" w:hAnsi="Times New Roman"/>
          <w:b/>
          <w:bCs/>
          <w:lang w:val="en-HK"/>
        </w:rPr>
        <w:t>5. Scholarly and Judicial Commentary</w:t>
      </w:r>
    </w:p>
    <w:p w14:paraId="4A9925B6"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Catherine Barnard’s Analysis</w:t>
      </w:r>
      <w:r w:rsidRPr="006533FF">
        <w:rPr>
          <w:rFonts w:ascii="Times New Roman" w:hAnsi="Times New Roman"/>
          <w:lang w:val="en-HK"/>
        </w:rPr>
        <w:t>:</w:t>
      </w:r>
    </w:p>
    <w:p w14:paraId="70488A49"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Barnard highlights the tension between respecting Member State sovereignty and ensuring the uniform application of EU law. She underscores the Court’s cautious approach in expanding the scope of Union law to protect individuals without undermining national autonomy.</w:t>
      </w:r>
    </w:p>
    <w:p w14:paraId="29EE0430"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Case Law’s Balancing Act</w:t>
      </w:r>
      <w:r w:rsidRPr="006533FF">
        <w:rPr>
          <w:rFonts w:ascii="Times New Roman" w:hAnsi="Times New Roman"/>
          <w:lang w:val="en-HK"/>
        </w:rPr>
        <w:t>:</w:t>
      </w:r>
    </w:p>
    <w:p w14:paraId="2B236E0B"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 xml:space="preserve">The Court has consistently balanced the need to prevent abuse with the imperative of protecting fundamental rights. Cases like </w:t>
      </w:r>
      <w:r w:rsidRPr="006533FF">
        <w:rPr>
          <w:rFonts w:ascii="Times New Roman" w:hAnsi="Times New Roman"/>
          <w:i/>
          <w:iCs/>
          <w:lang w:val="en-HK"/>
        </w:rPr>
        <w:t>Surinder Singh</w:t>
      </w:r>
      <w:r w:rsidRPr="006533FF">
        <w:rPr>
          <w:rFonts w:ascii="Times New Roman" w:hAnsi="Times New Roman"/>
          <w:lang w:val="en-HK"/>
        </w:rPr>
        <w:t xml:space="preserve"> and </w:t>
      </w:r>
      <w:r w:rsidRPr="006533FF">
        <w:rPr>
          <w:rFonts w:ascii="Times New Roman" w:hAnsi="Times New Roman"/>
          <w:i/>
          <w:iCs/>
          <w:lang w:val="en-HK"/>
        </w:rPr>
        <w:t>O and B</w:t>
      </w:r>
      <w:r w:rsidRPr="006533FF">
        <w:rPr>
          <w:rFonts w:ascii="Times New Roman" w:hAnsi="Times New Roman"/>
          <w:lang w:val="en-HK"/>
        </w:rPr>
        <w:t xml:space="preserve"> demonstrate the </w:t>
      </w:r>
      <w:r w:rsidRPr="006533FF">
        <w:rPr>
          <w:rFonts w:ascii="Times New Roman" w:hAnsi="Times New Roman"/>
          <w:lang w:val="en-HK"/>
        </w:rPr>
        <w:lastRenderedPageBreak/>
        <w:t>Court’s commitment to ensuring free movement remains meaningful, even in complex situations.</w:t>
      </w:r>
    </w:p>
    <w:p w14:paraId="09417637" w14:textId="77777777" w:rsidR="006533FF" w:rsidRPr="006533FF" w:rsidRDefault="00DE4581" w:rsidP="006533FF">
      <w:pPr>
        <w:spacing w:line="360" w:lineRule="auto"/>
        <w:rPr>
          <w:rFonts w:ascii="Times New Roman" w:hAnsi="Times New Roman"/>
          <w:lang w:val="en-HK"/>
        </w:rPr>
      </w:pPr>
      <w:r w:rsidRPr="00DE4581">
        <w:rPr>
          <w:rFonts w:ascii="Times New Roman" w:hAnsi="Times New Roman"/>
          <w:noProof/>
          <w:lang w:val="en-HK"/>
          <w14:ligatures w14:val="standardContextual"/>
        </w:rPr>
        <w:pict w14:anchorId="0AF7B4CD">
          <v:rect id="_x0000_i1045" alt="" style="width:451.3pt;height:.05pt;mso-width-percent:0;mso-height-percent:0;mso-width-percent:0;mso-height-percent:0" o:hralign="center" o:hrstd="t" o:hr="t" fillcolor="#a0a0a0" stroked="f"/>
        </w:pict>
      </w:r>
    </w:p>
    <w:p w14:paraId="2F60C3C5" w14:textId="77777777" w:rsidR="006533FF" w:rsidRPr="006533FF" w:rsidRDefault="006533FF" w:rsidP="006533FF">
      <w:pPr>
        <w:spacing w:before="100" w:beforeAutospacing="1" w:after="100" w:afterAutospacing="1" w:line="360" w:lineRule="auto"/>
        <w:outlineLvl w:val="2"/>
        <w:rPr>
          <w:rFonts w:ascii="Times New Roman" w:hAnsi="Times New Roman"/>
          <w:b/>
          <w:bCs/>
          <w:lang w:val="en-HK"/>
        </w:rPr>
      </w:pPr>
      <w:r w:rsidRPr="006533FF">
        <w:rPr>
          <w:rFonts w:ascii="Times New Roman" w:hAnsi="Times New Roman"/>
          <w:b/>
          <w:bCs/>
          <w:lang w:val="en-HK"/>
        </w:rPr>
        <w:t>Conclusion</w:t>
      </w:r>
    </w:p>
    <w:p w14:paraId="2E43215A"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 xml:space="preserve">The territorial scope of free movement rights reflects the EU’s emphasis on inter-state mobility while respecting Member State autonomy. The jurisprudence addresses key challenges, such as the exclusion of wholly internal situations, the prevention of abuse, and the issue of reverse discrimination. Through cases like </w:t>
      </w:r>
      <w:r w:rsidRPr="006533FF">
        <w:rPr>
          <w:rFonts w:ascii="Times New Roman" w:hAnsi="Times New Roman"/>
          <w:i/>
          <w:iCs/>
          <w:lang w:val="en-HK"/>
        </w:rPr>
        <w:t>Surinder Singh</w:t>
      </w:r>
      <w:r w:rsidRPr="006533FF">
        <w:rPr>
          <w:rFonts w:ascii="Times New Roman" w:hAnsi="Times New Roman"/>
          <w:lang w:val="en-HK"/>
        </w:rPr>
        <w:t xml:space="preserve">, </w:t>
      </w:r>
      <w:r w:rsidRPr="006533FF">
        <w:rPr>
          <w:rFonts w:ascii="Times New Roman" w:hAnsi="Times New Roman"/>
          <w:i/>
          <w:iCs/>
          <w:lang w:val="en-HK"/>
        </w:rPr>
        <w:t>O and B</w:t>
      </w:r>
      <w:r w:rsidRPr="006533FF">
        <w:rPr>
          <w:rFonts w:ascii="Times New Roman" w:hAnsi="Times New Roman"/>
          <w:lang w:val="en-HK"/>
        </w:rPr>
        <w:t xml:space="preserve">, and </w:t>
      </w:r>
      <w:r w:rsidRPr="006533FF">
        <w:rPr>
          <w:rFonts w:ascii="Times New Roman" w:hAnsi="Times New Roman"/>
          <w:i/>
          <w:iCs/>
          <w:lang w:val="en-HK"/>
        </w:rPr>
        <w:t>Walloon Government</w:t>
      </w:r>
      <w:r w:rsidRPr="006533FF">
        <w:rPr>
          <w:rFonts w:ascii="Times New Roman" w:hAnsi="Times New Roman"/>
          <w:lang w:val="en-HK"/>
        </w:rPr>
        <w:t>, the Court has refined the balance between protecting individual rights and maintaining jurisdictional boundaries.</w:t>
      </w:r>
    </w:p>
    <w:p w14:paraId="6463EA09" w14:textId="51D2080F" w:rsidR="006533FF" w:rsidRPr="006533FF" w:rsidRDefault="00DE4581" w:rsidP="006533FF">
      <w:pPr>
        <w:spacing w:before="100" w:beforeAutospacing="1" w:after="100" w:afterAutospacing="1" w:line="360" w:lineRule="auto"/>
        <w:outlineLvl w:val="2"/>
        <w:rPr>
          <w:rFonts w:ascii="Times New Roman" w:hAnsi="Times New Roman"/>
          <w:b/>
          <w:bCs/>
          <w:lang w:val="en-HK"/>
        </w:rPr>
      </w:pPr>
      <w:r w:rsidRPr="00DE4581">
        <w:rPr>
          <w:rFonts w:ascii="Times New Roman" w:hAnsi="Times New Roman"/>
          <w:noProof/>
          <w:lang w:val="en-HK"/>
          <w14:ligatures w14:val="standardContextual"/>
        </w:rPr>
        <w:pict w14:anchorId="018C033E">
          <v:rect id="_x0000_i1044" alt="" style="width:451.3pt;height:.05pt;mso-width-percent:0;mso-height-percent:0;mso-width-percent:0;mso-height-percent:0" o:hralign="center" o:hrstd="t" o:hr="t" fillcolor="#a0a0a0" stroked="f"/>
        </w:pict>
      </w:r>
      <w:r w:rsidR="006533FF" w:rsidRPr="006533FF">
        <w:rPr>
          <w:rFonts w:ascii="Times New Roman" w:hAnsi="Times New Roman"/>
          <w:b/>
          <w:bCs/>
          <w:lang w:val="en-HK"/>
        </w:rPr>
        <w:t>Section D: Establishing a Breach of the Treaty Provision</w:t>
      </w:r>
    </w:p>
    <w:p w14:paraId="391F8C67" w14:textId="438A65EF"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This section explores the conditions under which a Member State’s measures or actions breach the Treaty provisions on the free movement of persons. The discussion integrates foundational principles, discriminatory practices, non-discriminatory restrictions, and the development of the market access approach.</w:t>
      </w:r>
    </w:p>
    <w:p w14:paraId="0A5A1932" w14:textId="77777777" w:rsidR="006533FF" w:rsidRPr="006533FF" w:rsidRDefault="006533FF" w:rsidP="006533FF">
      <w:pPr>
        <w:spacing w:before="100" w:beforeAutospacing="1" w:after="100" w:afterAutospacing="1" w:line="360" w:lineRule="auto"/>
        <w:outlineLvl w:val="2"/>
        <w:rPr>
          <w:rFonts w:ascii="Times New Roman" w:hAnsi="Times New Roman"/>
          <w:b/>
          <w:bCs/>
          <w:lang w:val="en-HK"/>
        </w:rPr>
      </w:pPr>
      <w:r w:rsidRPr="006533FF">
        <w:rPr>
          <w:rFonts w:ascii="Times New Roman" w:hAnsi="Times New Roman"/>
          <w:b/>
          <w:bCs/>
          <w:lang w:val="en-HK"/>
        </w:rPr>
        <w:t>1. Introduction</w:t>
      </w:r>
    </w:p>
    <w:p w14:paraId="3D855B78" w14:textId="77777777" w:rsidR="006533FF" w:rsidRPr="006533FF" w:rsidRDefault="006533FF" w:rsidP="006533FF">
      <w:pPr>
        <w:numPr>
          <w:ilvl w:val="0"/>
          <w:numId w:val="23"/>
        </w:num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Principles Underpinning Free Movement</w:t>
      </w:r>
      <w:r w:rsidRPr="006533FF">
        <w:rPr>
          <w:rFonts w:ascii="Times New Roman" w:hAnsi="Times New Roman"/>
          <w:lang w:val="en-HK"/>
        </w:rPr>
        <w:t>:</w:t>
      </w:r>
    </w:p>
    <w:p w14:paraId="4012EF4C"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Articles 45, 49, and 56 TFEU aim to ensure that the free movement of workers, establishment, and services is not obstructed by national measures. These provisions prohibit:</w:t>
      </w:r>
    </w:p>
    <w:p w14:paraId="3173153F" w14:textId="77777777" w:rsidR="006533FF" w:rsidRPr="006533FF" w:rsidRDefault="006533FF" w:rsidP="006533FF">
      <w:pPr>
        <w:numPr>
          <w:ilvl w:val="2"/>
          <w:numId w:val="23"/>
        </w:num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Discriminatory measures</w:t>
      </w:r>
      <w:r w:rsidRPr="006533FF">
        <w:rPr>
          <w:rFonts w:ascii="Times New Roman" w:hAnsi="Times New Roman"/>
          <w:lang w:val="en-HK"/>
        </w:rPr>
        <w:t>, whether direct or indirect.</w:t>
      </w:r>
    </w:p>
    <w:p w14:paraId="2702D52D" w14:textId="77777777" w:rsidR="006533FF" w:rsidRPr="006533FF" w:rsidRDefault="006533FF" w:rsidP="006533FF">
      <w:pPr>
        <w:numPr>
          <w:ilvl w:val="2"/>
          <w:numId w:val="23"/>
        </w:num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Non-discriminatory measures</w:t>
      </w:r>
      <w:r w:rsidRPr="006533FF">
        <w:rPr>
          <w:rFonts w:ascii="Times New Roman" w:hAnsi="Times New Roman"/>
          <w:lang w:val="en-HK"/>
        </w:rPr>
        <w:t xml:space="preserve"> that impede market access.</w:t>
      </w:r>
    </w:p>
    <w:p w14:paraId="32B8D72C"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 xml:space="preserve">The </w:t>
      </w:r>
      <w:r w:rsidRPr="006533FF">
        <w:rPr>
          <w:rFonts w:ascii="Times New Roman" w:hAnsi="Times New Roman"/>
          <w:b/>
          <w:bCs/>
          <w:lang w:val="en-HK"/>
        </w:rPr>
        <w:t>unitary approach</w:t>
      </w:r>
      <w:r w:rsidRPr="006533FF">
        <w:rPr>
          <w:rFonts w:ascii="Times New Roman" w:hAnsi="Times New Roman"/>
          <w:lang w:val="en-HK"/>
        </w:rPr>
        <w:t xml:space="preserve"> of the Court ensures consistency across these provisions despite their differences. For instance, in </w:t>
      </w:r>
      <w:r w:rsidRPr="006533FF">
        <w:rPr>
          <w:rFonts w:ascii="Times New Roman" w:hAnsi="Times New Roman"/>
          <w:i/>
          <w:iCs/>
          <w:lang w:val="en-HK"/>
        </w:rPr>
        <w:t>Royer (Case 48/75)</w:t>
      </w:r>
      <w:r w:rsidRPr="006533FF">
        <w:rPr>
          <w:rFonts w:ascii="Times New Roman" w:hAnsi="Times New Roman"/>
          <w:lang w:val="en-HK"/>
        </w:rPr>
        <w:t>, the Court emphasized the prohibition of nationality-based discrimination as a shared principle across Articles 45, 49, and 56.</w:t>
      </w:r>
    </w:p>
    <w:p w14:paraId="782372D2" w14:textId="77777777" w:rsidR="006533FF" w:rsidRPr="006533FF" w:rsidRDefault="006533FF" w:rsidP="006533FF">
      <w:pPr>
        <w:numPr>
          <w:ilvl w:val="0"/>
          <w:numId w:val="23"/>
        </w:num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Evolving Regulatory Framework</w:t>
      </w:r>
      <w:r w:rsidRPr="006533FF">
        <w:rPr>
          <w:rFonts w:ascii="Times New Roman" w:hAnsi="Times New Roman"/>
          <w:lang w:val="en-HK"/>
        </w:rPr>
        <w:t>:</w:t>
      </w:r>
    </w:p>
    <w:p w14:paraId="02F8D934"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lastRenderedPageBreak/>
        <w:t>The Court has gradually shifted from a narrow discrimination model to a broader market access approach, which examines whether national measures restrict or hinder free movement.</w:t>
      </w:r>
    </w:p>
    <w:p w14:paraId="1FB15D8F" w14:textId="77777777" w:rsidR="006533FF" w:rsidRPr="006533FF" w:rsidRDefault="00DE4581" w:rsidP="006533FF">
      <w:pPr>
        <w:spacing w:line="360" w:lineRule="auto"/>
        <w:rPr>
          <w:rFonts w:ascii="Times New Roman" w:hAnsi="Times New Roman"/>
          <w:lang w:val="en-HK"/>
        </w:rPr>
      </w:pPr>
      <w:r w:rsidRPr="00DE4581">
        <w:rPr>
          <w:rFonts w:ascii="Times New Roman" w:hAnsi="Times New Roman"/>
          <w:noProof/>
          <w:lang w:val="en-HK"/>
          <w14:ligatures w14:val="standardContextual"/>
        </w:rPr>
        <w:pict w14:anchorId="07824EE6">
          <v:rect id="_x0000_i1043" alt="" style="width:451.3pt;height:.05pt;mso-width-percent:0;mso-height-percent:0;mso-width-percent:0;mso-height-percent:0" o:hralign="center" o:hrstd="t" o:hr="t" fillcolor="#a0a0a0" stroked="f"/>
        </w:pict>
      </w:r>
    </w:p>
    <w:p w14:paraId="725EFD3B" w14:textId="77777777" w:rsidR="006533FF" w:rsidRPr="006533FF" w:rsidRDefault="006533FF" w:rsidP="006533FF">
      <w:pPr>
        <w:spacing w:before="100" w:beforeAutospacing="1" w:after="100" w:afterAutospacing="1" w:line="360" w:lineRule="auto"/>
        <w:outlineLvl w:val="2"/>
        <w:rPr>
          <w:rFonts w:ascii="Times New Roman" w:hAnsi="Times New Roman"/>
          <w:b/>
          <w:bCs/>
          <w:lang w:val="en-HK"/>
        </w:rPr>
      </w:pPr>
      <w:r w:rsidRPr="006533FF">
        <w:rPr>
          <w:rFonts w:ascii="Times New Roman" w:hAnsi="Times New Roman"/>
          <w:b/>
          <w:bCs/>
          <w:lang w:val="en-HK"/>
        </w:rPr>
        <w:t>2. Refusal of Exit, Entry, and the State’s Freedom to Deport</w:t>
      </w:r>
    </w:p>
    <w:p w14:paraId="4125BFD0" w14:textId="77777777" w:rsidR="006533FF" w:rsidRPr="006533FF" w:rsidRDefault="006533FF" w:rsidP="006533FF">
      <w:pPr>
        <w:numPr>
          <w:ilvl w:val="0"/>
          <w:numId w:val="24"/>
        </w:num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Restrictions on Movement</w:t>
      </w:r>
      <w:r w:rsidRPr="006533FF">
        <w:rPr>
          <w:rFonts w:ascii="Times New Roman" w:hAnsi="Times New Roman"/>
          <w:lang w:val="en-HK"/>
        </w:rPr>
        <w:t>:</w:t>
      </w:r>
    </w:p>
    <w:p w14:paraId="603C604F"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Measures that prevent individuals from leaving or entering a Member State or that deport migrants violate the Treaty unless justified by express derogations:</w:t>
      </w:r>
    </w:p>
    <w:p w14:paraId="07479710" w14:textId="77777777" w:rsidR="006533FF" w:rsidRPr="006533FF" w:rsidRDefault="006533FF" w:rsidP="006533FF">
      <w:pPr>
        <w:numPr>
          <w:ilvl w:val="2"/>
          <w:numId w:val="24"/>
        </w:num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Public Policy</w:t>
      </w:r>
    </w:p>
    <w:p w14:paraId="607AE48D" w14:textId="77777777" w:rsidR="006533FF" w:rsidRPr="006533FF" w:rsidRDefault="006533FF" w:rsidP="006533FF">
      <w:pPr>
        <w:numPr>
          <w:ilvl w:val="2"/>
          <w:numId w:val="24"/>
        </w:num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Public Security</w:t>
      </w:r>
    </w:p>
    <w:p w14:paraId="659EE7B6" w14:textId="77777777" w:rsidR="006533FF" w:rsidRPr="006533FF" w:rsidRDefault="006533FF" w:rsidP="006533FF">
      <w:pPr>
        <w:numPr>
          <w:ilvl w:val="2"/>
          <w:numId w:val="24"/>
        </w:num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Public Health</w:t>
      </w:r>
    </w:p>
    <w:p w14:paraId="1C2C1FF0" w14:textId="77777777" w:rsidR="006533FF" w:rsidRPr="006533FF" w:rsidRDefault="006533FF" w:rsidP="006533FF">
      <w:pPr>
        <w:numPr>
          <w:ilvl w:val="0"/>
          <w:numId w:val="24"/>
        </w:num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Case Law Examples</w:t>
      </w:r>
      <w:r w:rsidRPr="006533FF">
        <w:rPr>
          <w:rFonts w:ascii="Times New Roman" w:hAnsi="Times New Roman"/>
          <w:lang w:val="en-HK"/>
        </w:rPr>
        <w:t>:</w:t>
      </w:r>
    </w:p>
    <w:p w14:paraId="63D20676"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 xml:space="preserve">Van </w:t>
      </w:r>
      <w:proofErr w:type="spellStart"/>
      <w:r w:rsidRPr="006533FF">
        <w:rPr>
          <w:rFonts w:ascii="Times New Roman" w:hAnsi="Times New Roman"/>
          <w:b/>
          <w:bCs/>
          <w:lang w:val="en-HK"/>
        </w:rPr>
        <w:t>Duyn</w:t>
      </w:r>
      <w:proofErr w:type="spellEnd"/>
      <w:r w:rsidRPr="006533FF">
        <w:rPr>
          <w:rFonts w:ascii="Times New Roman" w:hAnsi="Times New Roman"/>
          <w:b/>
          <w:bCs/>
          <w:lang w:val="en-HK"/>
        </w:rPr>
        <w:t xml:space="preserve"> (Case 41/74)</w:t>
      </w:r>
      <w:r w:rsidRPr="006533FF">
        <w:rPr>
          <w:rFonts w:ascii="Times New Roman" w:hAnsi="Times New Roman"/>
          <w:lang w:val="en-HK"/>
        </w:rPr>
        <w:t>:</w:t>
      </w:r>
    </w:p>
    <w:p w14:paraId="0B4ED9A0"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Facts: A Dutch national was denied entry into the UK due to her association with the Church of Scientology.</w:t>
      </w:r>
    </w:p>
    <w:p w14:paraId="6AFF9328"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Judgment: The Court upheld the UK’s decision as a valid exercise of the public policy derogation but emphasized the need for proportionality.</w:t>
      </w:r>
    </w:p>
    <w:p w14:paraId="69BD6309"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Principle</w:t>
      </w:r>
      <w:r w:rsidRPr="006533FF">
        <w:rPr>
          <w:rFonts w:ascii="Times New Roman" w:hAnsi="Times New Roman"/>
          <w:lang w:val="en-HK"/>
        </w:rPr>
        <w:t>: Derogations must not be arbitrary and must align with fundamental human rights.</w:t>
      </w:r>
    </w:p>
    <w:p w14:paraId="218D33B4" w14:textId="77777777" w:rsidR="006533FF" w:rsidRPr="006533FF" w:rsidRDefault="006533FF" w:rsidP="006533FF">
      <w:pPr>
        <w:spacing w:before="100" w:beforeAutospacing="1" w:after="100" w:afterAutospacing="1" w:line="360" w:lineRule="auto"/>
        <w:rPr>
          <w:rFonts w:ascii="Times New Roman" w:hAnsi="Times New Roman"/>
          <w:lang w:val="en-HK"/>
        </w:rPr>
      </w:pPr>
      <w:proofErr w:type="spellStart"/>
      <w:r w:rsidRPr="006533FF">
        <w:rPr>
          <w:rFonts w:ascii="Times New Roman" w:hAnsi="Times New Roman"/>
          <w:b/>
          <w:bCs/>
          <w:lang w:val="en-HK"/>
        </w:rPr>
        <w:t>Jipa</w:t>
      </w:r>
      <w:proofErr w:type="spellEnd"/>
      <w:r w:rsidRPr="006533FF">
        <w:rPr>
          <w:rFonts w:ascii="Times New Roman" w:hAnsi="Times New Roman"/>
          <w:b/>
          <w:bCs/>
          <w:lang w:val="en-HK"/>
        </w:rPr>
        <w:t xml:space="preserve"> (Case C-33/07)</w:t>
      </w:r>
      <w:r w:rsidRPr="006533FF">
        <w:rPr>
          <w:rFonts w:ascii="Times New Roman" w:hAnsi="Times New Roman"/>
          <w:lang w:val="en-HK"/>
        </w:rPr>
        <w:t>:</w:t>
      </w:r>
    </w:p>
    <w:p w14:paraId="4105354A"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Facts: Romania restricted the right of an individual to leave its territory due to prior conduct.</w:t>
      </w:r>
    </w:p>
    <w:p w14:paraId="7FDA3ADC"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Judgment: The Court invalidated the restriction, emphasizing that such measures must be proportionate and compatible with EU law.</w:t>
      </w:r>
    </w:p>
    <w:p w14:paraId="72110819"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Proportionality Requirement</w:t>
      </w:r>
      <w:r w:rsidRPr="006533FF">
        <w:rPr>
          <w:rFonts w:ascii="Times New Roman" w:hAnsi="Times New Roman"/>
          <w:lang w:val="en-HK"/>
        </w:rPr>
        <w:t>:</w:t>
      </w:r>
    </w:p>
    <w:p w14:paraId="1270A2CB"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lastRenderedPageBreak/>
        <w:t>Measures restricting free movement must be proportionate to the legitimate aim pursued and minimally intrusive. This ensures that fundamental freedoms are not unduly curtailed.</w:t>
      </w:r>
    </w:p>
    <w:p w14:paraId="0621F508" w14:textId="77777777" w:rsidR="006533FF" w:rsidRPr="006533FF" w:rsidRDefault="00DE4581" w:rsidP="006533FF">
      <w:pPr>
        <w:spacing w:line="360" w:lineRule="auto"/>
        <w:rPr>
          <w:rFonts w:ascii="Times New Roman" w:hAnsi="Times New Roman"/>
          <w:lang w:val="en-HK"/>
        </w:rPr>
      </w:pPr>
      <w:r w:rsidRPr="00DE4581">
        <w:rPr>
          <w:rFonts w:ascii="Times New Roman" w:hAnsi="Times New Roman"/>
          <w:noProof/>
          <w:lang w:val="en-HK"/>
          <w14:ligatures w14:val="standardContextual"/>
        </w:rPr>
        <w:pict w14:anchorId="2D198FA5">
          <v:rect id="_x0000_i1042" alt="" style="width:451.3pt;height:.05pt;mso-width-percent:0;mso-height-percent:0;mso-width-percent:0;mso-height-percent:0" o:hralign="center" o:hrstd="t" o:hr="t" fillcolor="#a0a0a0" stroked="f"/>
        </w:pict>
      </w:r>
    </w:p>
    <w:p w14:paraId="5FC1D89F" w14:textId="77777777" w:rsidR="006533FF" w:rsidRPr="006533FF" w:rsidRDefault="006533FF" w:rsidP="006533FF">
      <w:pPr>
        <w:spacing w:before="100" w:beforeAutospacing="1" w:after="100" w:afterAutospacing="1" w:line="360" w:lineRule="auto"/>
        <w:outlineLvl w:val="2"/>
        <w:rPr>
          <w:rFonts w:ascii="Times New Roman" w:hAnsi="Times New Roman"/>
          <w:b/>
          <w:bCs/>
          <w:lang w:val="en-HK"/>
        </w:rPr>
      </w:pPr>
      <w:r w:rsidRPr="006533FF">
        <w:rPr>
          <w:rFonts w:ascii="Times New Roman" w:hAnsi="Times New Roman"/>
          <w:b/>
          <w:bCs/>
          <w:lang w:val="en-HK"/>
        </w:rPr>
        <w:t>3. Discrimination on the Grounds of Nationality</w:t>
      </w:r>
    </w:p>
    <w:p w14:paraId="2AA025C1"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Central Role of Non-Discrimination</w:t>
      </w:r>
      <w:r w:rsidRPr="006533FF">
        <w:rPr>
          <w:rFonts w:ascii="Times New Roman" w:hAnsi="Times New Roman"/>
          <w:lang w:val="en-HK"/>
        </w:rPr>
        <w:t>:</w:t>
      </w:r>
    </w:p>
    <w:p w14:paraId="5CD5165B"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The principle of non-discrimination is foundational to the free movement framework. Articles 18, 45(2), 49(2), and 56 TFEU explicitly prohibit discrimination based on nationality.</w:t>
      </w:r>
    </w:p>
    <w:p w14:paraId="75C79891"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Direct Discrimination</w:t>
      </w:r>
      <w:r w:rsidRPr="006533FF">
        <w:rPr>
          <w:rFonts w:ascii="Times New Roman" w:hAnsi="Times New Roman"/>
          <w:lang w:val="en-HK"/>
        </w:rPr>
        <w:t>:</w:t>
      </w:r>
    </w:p>
    <w:p w14:paraId="0534E804"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Definition</w:t>
      </w:r>
      <w:r w:rsidRPr="006533FF">
        <w:rPr>
          <w:rFonts w:ascii="Times New Roman" w:hAnsi="Times New Roman"/>
          <w:lang w:val="en-HK"/>
        </w:rPr>
        <w:t>: Measures that explicitly treat individuals differently based on nationality (distinctly applicable measures).</w:t>
      </w:r>
    </w:p>
    <w:p w14:paraId="59B5A629" w14:textId="77777777" w:rsidR="006533FF" w:rsidRPr="006533FF" w:rsidRDefault="006533FF" w:rsidP="006533FF">
      <w:pPr>
        <w:spacing w:before="100" w:beforeAutospacing="1" w:after="100" w:afterAutospacing="1" w:line="360" w:lineRule="auto"/>
        <w:rPr>
          <w:rFonts w:ascii="Times New Roman" w:hAnsi="Times New Roman"/>
          <w:lang w:val="en-HK"/>
        </w:rPr>
      </w:pPr>
      <w:proofErr w:type="spellStart"/>
      <w:r w:rsidRPr="006533FF">
        <w:rPr>
          <w:rFonts w:ascii="Times New Roman" w:hAnsi="Times New Roman"/>
          <w:b/>
          <w:bCs/>
          <w:lang w:val="en-HK"/>
        </w:rPr>
        <w:t>Reyners</w:t>
      </w:r>
      <w:proofErr w:type="spellEnd"/>
      <w:r w:rsidRPr="006533FF">
        <w:rPr>
          <w:rFonts w:ascii="Times New Roman" w:hAnsi="Times New Roman"/>
          <w:b/>
          <w:bCs/>
          <w:lang w:val="en-HK"/>
        </w:rPr>
        <w:t xml:space="preserve"> (Case 2/74)</w:t>
      </w:r>
      <w:r w:rsidRPr="006533FF">
        <w:rPr>
          <w:rFonts w:ascii="Times New Roman" w:hAnsi="Times New Roman"/>
          <w:lang w:val="en-HK"/>
        </w:rPr>
        <w:t>:</w:t>
      </w:r>
    </w:p>
    <w:p w14:paraId="28B46264"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Facts: Belgian law restricted access to the legal profession to nationals.</w:t>
      </w:r>
    </w:p>
    <w:p w14:paraId="2B2F5498"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Judgment: The law breached Article 49 TFEU, as nationality requirements for lawyers constituted direct discrimination.</w:t>
      </w:r>
    </w:p>
    <w:p w14:paraId="51CD22E2"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Principle</w:t>
      </w:r>
      <w:r w:rsidRPr="006533FF">
        <w:rPr>
          <w:rFonts w:ascii="Times New Roman" w:hAnsi="Times New Roman"/>
          <w:lang w:val="en-HK"/>
        </w:rPr>
        <w:t>: Direct discrimination is unlawful unless justified by Treaty exceptions.</w:t>
      </w:r>
    </w:p>
    <w:p w14:paraId="45C025DF"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Indirect Discrimination</w:t>
      </w:r>
      <w:r w:rsidRPr="006533FF">
        <w:rPr>
          <w:rFonts w:ascii="Times New Roman" w:hAnsi="Times New Roman"/>
          <w:lang w:val="en-HK"/>
        </w:rPr>
        <w:t>:</w:t>
      </w:r>
    </w:p>
    <w:p w14:paraId="7779B9D2"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Definition</w:t>
      </w:r>
      <w:r w:rsidRPr="006533FF">
        <w:rPr>
          <w:rFonts w:ascii="Times New Roman" w:hAnsi="Times New Roman"/>
          <w:lang w:val="en-HK"/>
        </w:rPr>
        <w:t>: Measures that appear neutral but disproportionately disadvantage non-nationals (indistinctly applicable measures).</w:t>
      </w:r>
    </w:p>
    <w:p w14:paraId="13DA9704" w14:textId="77777777" w:rsidR="006533FF" w:rsidRPr="006533FF" w:rsidRDefault="006533FF" w:rsidP="006533FF">
      <w:pPr>
        <w:spacing w:before="100" w:beforeAutospacing="1" w:after="100" w:afterAutospacing="1" w:line="360" w:lineRule="auto"/>
        <w:rPr>
          <w:rFonts w:ascii="Times New Roman" w:hAnsi="Times New Roman"/>
          <w:lang w:val="en-HK"/>
        </w:rPr>
      </w:pPr>
      <w:proofErr w:type="spellStart"/>
      <w:r w:rsidRPr="006533FF">
        <w:rPr>
          <w:rFonts w:ascii="Times New Roman" w:hAnsi="Times New Roman"/>
          <w:b/>
          <w:bCs/>
          <w:lang w:val="en-HK"/>
        </w:rPr>
        <w:t>Sotgiu</w:t>
      </w:r>
      <w:proofErr w:type="spellEnd"/>
      <w:r w:rsidRPr="006533FF">
        <w:rPr>
          <w:rFonts w:ascii="Times New Roman" w:hAnsi="Times New Roman"/>
          <w:b/>
          <w:bCs/>
          <w:lang w:val="en-HK"/>
        </w:rPr>
        <w:t xml:space="preserve"> (Case 152/73)</w:t>
      </w:r>
      <w:r w:rsidRPr="006533FF">
        <w:rPr>
          <w:rFonts w:ascii="Times New Roman" w:hAnsi="Times New Roman"/>
          <w:lang w:val="en-HK"/>
        </w:rPr>
        <w:t>:</w:t>
      </w:r>
    </w:p>
    <w:p w14:paraId="43E03351"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The Court held that indirect discrimination, even if justified by objective criteria, must not unduly affect free movement.</w:t>
      </w:r>
    </w:p>
    <w:p w14:paraId="0B1D937B" w14:textId="77777777" w:rsidR="006533FF" w:rsidRPr="006533FF" w:rsidRDefault="006533FF" w:rsidP="006533FF">
      <w:pPr>
        <w:spacing w:before="100" w:beforeAutospacing="1" w:after="100" w:afterAutospacing="1" w:line="360" w:lineRule="auto"/>
        <w:rPr>
          <w:rFonts w:ascii="Times New Roman" w:hAnsi="Times New Roman"/>
          <w:lang w:val="en-HK"/>
        </w:rPr>
      </w:pPr>
      <w:proofErr w:type="spellStart"/>
      <w:r w:rsidRPr="006533FF">
        <w:rPr>
          <w:rFonts w:ascii="Times New Roman" w:hAnsi="Times New Roman"/>
          <w:b/>
          <w:bCs/>
          <w:lang w:val="en-HK"/>
        </w:rPr>
        <w:t>O’Flynn</w:t>
      </w:r>
      <w:proofErr w:type="spellEnd"/>
      <w:r w:rsidRPr="006533FF">
        <w:rPr>
          <w:rFonts w:ascii="Times New Roman" w:hAnsi="Times New Roman"/>
          <w:b/>
          <w:bCs/>
          <w:lang w:val="en-HK"/>
        </w:rPr>
        <w:t xml:space="preserve"> (Case C-237/94)</w:t>
      </w:r>
      <w:r w:rsidRPr="006533FF">
        <w:rPr>
          <w:rFonts w:ascii="Times New Roman" w:hAnsi="Times New Roman"/>
          <w:lang w:val="en-HK"/>
        </w:rPr>
        <w:t>:</w:t>
      </w:r>
    </w:p>
    <w:p w14:paraId="08AF7C20"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Facts: UK rules restricted funeral benefits to burials conducted within its territory.</w:t>
      </w:r>
    </w:p>
    <w:p w14:paraId="4F399212"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lastRenderedPageBreak/>
        <w:t>Judgment: The rule was indirectly discriminatory, as it disproportionately affected migrant workers. The Court emphasized that even potential adverse effects are sufficient to establish discrimination.</w:t>
      </w:r>
    </w:p>
    <w:p w14:paraId="6EA58A16"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Justification of Discrimination</w:t>
      </w:r>
      <w:r w:rsidRPr="006533FF">
        <w:rPr>
          <w:rFonts w:ascii="Times New Roman" w:hAnsi="Times New Roman"/>
          <w:lang w:val="en-HK"/>
        </w:rPr>
        <w:t>:</w:t>
      </w:r>
    </w:p>
    <w:p w14:paraId="5FAF6E1E"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Both direct and indirect discrimination can be justified only if:</w:t>
      </w:r>
    </w:p>
    <w:p w14:paraId="682065F7" w14:textId="77777777" w:rsidR="006533FF" w:rsidRPr="006533FF" w:rsidRDefault="006533FF" w:rsidP="006533FF">
      <w:pPr>
        <w:numPr>
          <w:ilvl w:val="2"/>
          <w:numId w:val="25"/>
        </w:numPr>
        <w:spacing w:before="100" w:beforeAutospacing="1" w:after="100" w:afterAutospacing="1" w:line="360" w:lineRule="auto"/>
        <w:rPr>
          <w:rFonts w:ascii="Times New Roman" w:hAnsi="Times New Roman"/>
          <w:lang w:val="en-HK"/>
        </w:rPr>
      </w:pPr>
      <w:r w:rsidRPr="006533FF">
        <w:rPr>
          <w:rFonts w:ascii="Times New Roman" w:hAnsi="Times New Roman"/>
          <w:lang w:val="en-HK"/>
        </w:rPr>
        <w:t>It pursues a legitimate objective.</w:t>
      </w:r>
    </w:p>
    <w:p w14:paraId="3DF4923E" w14:textId="77777777" w:rsidR="006533FF" w:rsidRPr="006533FF" w:rsidRDefault="006533FF" w:rsidP="006533FF">
      <w:pPr>
        <w:numPr>
          <w:ilvl w:val="2"/>
          <w:numId w:val="25"/>
        </w:numPr>
        <w:spacing w:before="100" w:beforeAutospacing="1" w:after="100" w:afterAutospacing="1" w:line="360" w:lineRule="auto"/>
        <w:rPr>
          <w:rFonts w:ascii="Times New Roman" w:hAnsi="Times New Roman"/>
          <w:lang w:val="en-HK"/>
        </w:rPr>
      </w:pPr>
      <w:r w:rsidRPr="006533FF">
        <w:rPr>
          <w:rFonts w:ascii="Times New Roman" w:hAnsi="Times New Roman"/>
          <w:lang w:val="en-HK"/>
        </w:rPr>
        <w:t>It is proportionate to the aim pursued.</w:t>
      </w:r>
    </w:p>
    <w:p w14:paraId="6A9B225F"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Examples of legitimate objectives include public security, public health, and overriding public interest.</w:t>
      </w:r>
    </w:p>
    <w:p w14:paraId="5C828C26" w14:textId="77777777" w:rsidR="006533FF" w:rsidRPr="006533FF" w:rsidRDefault="00DE4581" w:rsidP="006533FF">
      <w:pPr>
        <w:spacing w:line="360" w:lineRule="auto"/>
        <w:rPr>
          <w:rFonts w:ascii="Times New Roman" w:hAnsi="Times New Roman"/>
          <w:lang w:val="en-HK"/>
        </w:rPr>
      </w:pPr>
      <w:r w:rsidRPr="00DE4581">
        <w:rPr>
          <w:rFonts w:ascii="Times New Roman" w:hAnsi="Times New Roman"/>
          <w:noProof/>
          <w:lang w:val="en-HK"/>
          <w14:ligatures w14:val="standardContextual"/>
        </w:rPr>
        <w:pict w14:anchorId="48A8685C">
          <v:rect id="_x0000_i1041" alt="" style="width:451.3pt;height:.05pt;mso-width-percent:0;mso-height-percent:0;mso-width-percent:0;mso-height-percent:0" o:hralign="center" o:hrstd="t" o:hr="t" fillcolor="#a0a0a0" stroked="f"/>
        </w:pict>
      </w:r>
    </w:p>
    <w:p w14:paraId="17476E64" w14:textId="77777777" w:rsidR="006533FF" w:rsidRPr="006533FF" w:rsidRDefault="006533FF" w:rsidP="006533FF">
      <w:pPr>
        <w:spacing w:before="100" w:beforeAutospacing="1" w:after="100" w:afterAutospacing="1" w:line="360" w:lineRule="auto"/>
        <w:outlineLvl w:val="2"/>
        <w:rPr>
          <w:rFonts w:ascii="Times New Roman" w:hAnsi="Times New Roman"/>
          <w:b/>
          <w:bCs/>
          <w:lang w:val="en-HK"/>
        </w:rPr>
      </w:pPr>
      <w:r w:rsidRPr="006533FF">
        <w:rPr>
          <w:rFonts w:ascii="Times New Roman" w:hAnsi="Times New Roman"/>
          <w:b/>
          <w:bCs/>
          <w:lang w:val="en-HK"/>
        </w:rPr>
        <w:t>4. Non-Discriminatory Measures</w:t>
      </w:r>
    </w:p>
    <w:p w14:paraId="2A62AAFA" w14:textId="77777777" w:rsidR="006533FF" w:rsidRPr="006533FF" w:rsidRDefault="006533FF" w:rsidP="006533FF">
      <w:pPr>
        <w:numPr>
          <w:ilvl w:val="0"/>
          <w:numId w:val="26"/>
        </w:num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Market Access Approach</w:t>
      </w:r>
      <w:r w:rsidRPr="006533FF">
        <w:rPr>
          <w:rFonts w:ascii="Times New Roman" w:hAnsi="Times New Roman"/>
          <w:lang w:val="en-HK"/>
        </w:rPr>
        <w:t>:</w:t>
      </w:r>
    </w:p>
    <w:p w14:paraId="2645F896"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The Court has extended Treaty protections to non-discriminatory measures that hinder or restrict market access, even when there is no discrimination.</w:t>
      </w:r>
    </w:p>
    <w:p w14:paraId="655E5C12" w14:textId="77777777" w:rsidR="006533FF" w:rsidRPr="006533FF" w:rsidRDefault="006533FF" w:rsidP="006533FF">
      <w:pPr>
        <w:numPr>
          <w:ilvl w:val="0"/>
          <w:numId w:val="26"/>
        </w:num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Key Case Law</w:t>
      </w:r>
      <w:r w:rsidRPr="006533FF">
        <w:rPr>
          <w:rFonts w:ascii="Times New Roman" w:hAnsi="Times New Roman"/>
          <w:lang w:val="en-HK"/>
        </w:rPr>
        <w:t>:</w:t>
      </w:r>
    </w:p>
    <w:p w14:paraId="6FFF069D"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Alpine Investments (Case C-384/93)</w:t>
      </w:r>
      <w:r w:rsidRPr="006533FF">
        <w:rPr>
          <w:rFonts w:ascii="Times New Roman" w:hAnsi="Times New Roman"/>
          <w:lang w:val="en-HK"/>
        </w:rPr>
        <w:t>:</w:t>
      </w:r>
    </w:p>
    <w:p w14:paraId="25AD9A57"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Facts: Dutch law banned cold-calling for financial services, restricting the ability of providers to contact clients in other Member States.</w:t>
      </w:r>
    </w:p>
    <w:p w14:paraId="1006C543"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Judgment: The measure breached Article 56 TFEU as it hindered access to other Member States’ markets. The Court rejected the argument that it was merely a non-discriminatory selling arrangement.</w:t>
      </w:r>
    </w:p>
    <w:p w14:paraId="6ECA6405"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Graf (Case C-190/98)</w:t>
      </w:r>
      <w:r w:rsidRPr="006533FF">
        <w:rPr>
          <w:rFonts w:ascii="Times New Roman" w:hAnsi="Times New Roman"/>
          <w:lang w:val="en-HK"/>
        </w:rPr>
        <w:t>:</w:t>
      </w:r>
    </w:p>
    <w:p w14:paraId="656BF4FF"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Facts: Austrian law denied severance benefits to workers who voluntarily terminated their contracts to work abroad.</w:t>
      </w:r>
    </w:p>
    <w:p w14:paraId="79A2CB1A"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lastRenderedPageBreak/>
        <w:t>Judgment: The Court ruled that the measure did not breach Article 45 TFEU because the restriction was too remote and hypothetical to constitute a hindrance.</w:t>
      </w:r>
    </w:p>
    <w:p w14:paraId="755696EF"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Principle</w:t>
      </w:r>
      <w:r w:rsidRPr="006533FF">
        <w:rPr>
          <w:rFonts w:ascii="Times New Roman" w:hAnsi="Times New Roman"/>
          <w:lang w:val="en-HK"/>
        </w:rPr>
        <w:t>: Non-discriminatory measures must have a significant and direct impact on market access to breach the Treaty.</w:t>
      </w:r>
    </w:p>
    <w:p w14:paraId="15E93DA5" w14:textId="77777777" w:rsidR="006533FF" w:rsidRPr="006533FF" w:rsidRDefault="00DE4581" w:rsidP="006533FF">
      <w:pPr>
        <w:spacing w:line="360" w:lineRule="auto"/>
        <w:rPr>
          <w:rFonts w:ascii="Times New Roman" w:hAnsi="Times New Roman"/>
          <w:lang w:val="en-HK"/>
        </w:rPr>
      </w:pPr>
      <w:r w:rsidRPr="00DE4581">
        <w:rPr>
          <w:rFonts w:ascii="Times New Roman" w:hAnsi="Times New Roman"/>
          <w:noProof/>
          <w:lang w:val="en-HK"/>
          <w14:ligatures w14:val="standardContextual"/>
        </w:rPr>
        <w:pict w14:anchorId="7FB86CD5">
          <v:rect id="_x0000_i1040" alt="" style="width:451.3pt;height:.05pt;mso-width-percent:0;mso-height-percent:0;mso-width-percent:0;mso-height-percent:0" o:hralign="center" o:hrstd="t" o:hr="t" fillcolor="#a0a0a0" stroked="f"/>
        </w:pict>
      </w:r>
    </w:p>
    <w:p w14:paraId="2FEEAF4B" w14:textId="77777777" w:rsidR="006533FF" w:rsidRPr="006533FF" w:rsidRDefault="006533FF" w:rsidP="006533FF">
      <w:pPr>
        <w:spacing w:before="100" w:beforeAutospacing="1" w:after="100" w:afterAutospacing="1" w:line="360" w:lineRule="auto"/>
        <w:outlineLvl w:val="2"/>
        <w:rPr>
          <w:rFonts w:ascii="Times New Roman" w:hAnsi="Times New Roman"/>
          <w:b/>
          <w:bCs/>
          <w:lang w:val="en-HK"/>
        </w:rPr>
      </w:pPr>
      <w:r w:rsidRPr="006533FF">
        <w:rPr>
          <w:rFonts w:ascii="Times New Roman" w:hAnsi="Times New Roman"/>
          <w:b/>
          <w:bCs/>
          <w:lang w:val="en-HK"/>
        </w:rPr>
        <w:t>5. Going Beyond the Discrimination Model</w:t>
      </w:r>
    </w:p>
    <w:p w14:paraId="72C7AD9B"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Restrictions on Free Movement</w:t>
      </w:r>
      <w:r w:rsidRPr="006533FF">
        <w:rPr>
          <w:rFonts w:ascii="Times New Roman" w:hAnsi="Times New Roman"/>
          <w:lang w:val="en-HK"/>
        </w:rPr>
        <w:t>:</w:t>
      </w:r>
    </w:p>
    <w:p w14:paraId="715BF995"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The Court has shifted its analysis from a strict focus on discrimination to a broader examination of restrictions liable to hinder, prohibit, or make free movement less attractive.</w:t>
      </w:r>
    </w:p>
    <w:p w14:paraId="7082C715" w14:textId="77777777" w:rsidR="006533FF" w:rsidRPr="006533FF" w:rsidRDefault="006533FF" w:rsidP="006533FF">
      <w:pPr>
        <w:spacing w:before="100" w:beforeAutospacing="1" w:after="100" w:afterAutospacing="1" w:line="360" w:lineRule="auto"/>
        <w:rPr>
          <w:rFonts w:ascii="Times New Roman" w:hAnsi="Times New Roman"/>
          <w:lang w:val="en-HK"/>
        </w:rPr>
      </w:pPr>
      <w:proofErr w:type="spellStart"/>
      <w:r w:rsidRPr="006533FF">
        <w:rPr>
          <w:rFonts w:ascii="Times New Roman" w:hAnsi="Times New Roman"/>
          <w:b/>
          <w:bCs/>
          <w:lang w:val="en-HK"/>
        </w:rPr>
        <w:t>Säger</w:t>
      </w:r>
      <w:proofErr w:type="spellEnd"/>
      <w:r w:rsidRPr="006533FF">
        <w:rPr>
          <w:rFonts w:ascii="Times New Roman" w:hAnsi="Times New Roman"/>
          <w:b/>
          <w:bCs/>
          <w:lang w:val="en-HK"/>
        </w:rPr>
        <w:t xml:space="preserve"> (Case C-76/90)</w:t>
      </w:r>
      <w:r w:rsidRPr="006533FF">
        <w:rPr>
          <w:rFonts w:ascii="Times New Roman" w:hAnsi="Times New Roman"/>
          <w:lang w:val="en-HK"/>
        </w:rPr>
        <w:t>:</w:t>
      </w:r>
    </w:p>
    <w:p w14:paraId="641C5781"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Judgment: Article 56 TFEU prohibits restrictions on service providers, even if they apply without discrimination, if they impede access to the market.</w:t>
      </w:r>
    </w:p>
    <w:p w14:paraId="2E55D8D7"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Kraus (Case C-19/92)</w:t>
      </w:r>
      <w:r w:rsidRPr="006533FF">
        <w:rPr>
          <w:rFonts w:ascii="Times New Roman" w:hAnsi="Times New Roman"/>
          <w:lang w:val="en-HK"/>
        </w:rPr>
        <w:t>:</w:t>
      </w:r>
    </w:p>
    <w:p w14:paraId="2E6C75F1"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Facts: German rules required prior authorization for the use of foreign academic titles.</w:t>
      </w:r>
    </w:p>
    <w:p w14:paraId="11F55D1E"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Judgment: The measure was a restriction on free movement, even though it was non-discriminatory. The Court applied a proportionality test, concluding that the rule was justified by the need to protect the public from misleading academic titles.</w:t>
      </w:r>
    </w:p>
    <w:p w14:paraId="0D021514" w14:textId="77777777" w:rsidR="006533FF" w:rsidRPr="006533FF" w:rsidRDefault="00DE4581" w:rsidP="006533FF">
      <w:pPr>
        <w:spacing w:line="360" w:lineRule="auto"/>
        <w:rPr>
          <w:rFonts w:ascii="Times New Roman" w:hAnsi="Times New Roman"/>
          <w:lang w:val="en-HK"/>
        </w:rPr>
      </w:pPr>
      <w:r w:rsidRPr="00DE4581">
        <w:rPr>
          <w:rFonts w:ascii="Times New Roman" w:hAnsi="Times New Roman"/>
          <w:noProof/>
          <w:lang w:val="en-HK"/>
          <w14:ligatures w14:val="standardContextual"/>
        </w:rPr>
        <w:pict w14:anchorId="6134184B">
          <v:rect id="_x0000_i1039" alt="" style="width:451.3pt;height:.05pt;mso-width-percent:0;mso-height-percent:0;mso-width-percent:0;mso-height-percent:0" o:hralign="center" o:hrstd="t" o:hr="t" fillcolor="#a0a0a0" stroked="f"/>
        </w:pict>
      </w:r>
    </w:p>
    <w:p w14:paraId="23EF5731" w14:textId="77777777" w:rsidR="006533FF" w:rsidRPr="006533FF" w:rsidRDefault="006533FF" w:rsidP="006533FF">
      <w:pPr>
        <w:spacing w:before="100" w:beforeAutospacing="1" w:after="100" w:afterAutospacing="1" w:line="360" w:lineRule="auto"/>
        <w:outlineLvl w:val="2"/>
        <w:rPr>
          <w:rFonts w:ascii="Times New Roman" w:hAnsi="Times New Roman"/>
          <w:b/>
          <w:bCs/>
          <w:lang w:val="en-HK"/>
        </w:rPr>
      </w:pPr>
      <w:r w:rsidRPr="006533FF">
        <w:rPr>
          <w:rFonts w:ascii="Times New Roman" w:hAnsi="Times New Roman"/>
          <w:b/>
          <w:bCs/>
          <w:lang w:val="en-HK"/>
        </w:rPr>
        <w:t>6. Problems with the Market Access Approach</w:t>
      </w:r>
    </w:p>
    <w:p w14:paraId="2FF0ABBF" w14:textId="77777777" w:rsidR="006533FF" w:rsidRPr="006533FF" w:rsidRDefault="006533FF" w:rsidP="006533FF">
      <w:pPr>
        <w:numPr>
          <w:ilvl w:val="0"/>
          <w:numId w:val="28"/>
        </w:num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Critiques and Uncertainty</w:t>
      </w:r>
      <w:r w:rsidRPr="006533FF">
        <w:rPr>
          <w:rFonts w:ascii="Times New Roman" w:hAnsi="Times New Roman"/>
          <w:lang w:val="en-HK"/>
        </w:rPr>
        <w:t>:</w:t>
      </w:r>
    </w:p>
    <w:p w14:paraId="3EF99A06"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 xml:space="preserve">The market access approach has </w:t>
      </w:r>
      <w:r w:rsidRPr="006533FF">
        <w:rPr>
          <w:rFonts w:ascii="Times New Roman" w:hAnsi="Times New Roman"/>
          <w:b/>
          <w:bCs/>
          <w:lang w:val="en-HK"/>
        </w:rPr>
        <w:t>been criticized for its broad application and potential to interfere with Member States’ regulatory autonomy</w:t>
      </w:r>
      <w:r w:rsidRPr="006533FF">
        <w:rPr>
          <w:rFonts w:ascii="Times New Roman" w:hAnsi="Times New Roman"/>
          <w:lang w:val="en-HK"/>
        </w:rPr>
        <w:t>. Barnard notes that the lack of a clear threshold for what constitutes a restriction creates legal uncertainty.</w:t>
      </w:r>
    </w:p>
    <w:p w14:paraId="0896B7A4" w14:textId="77777777" w:rsidR="006533FF" w:rsidRPr="006533FF" w:rsidRDefault="006533FF" w:rsidP="006533FF">
      <w:pPr>
        <w:numPr>
          <w:ilvl w:val="0"/>
          <w:numId w:val="28"/>
        </w:num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lastRenderedPageBreak/>
        <w:t>Proportionality and Legitimate Objectives</w:t>
      </w:r>
      <w:r w:rsidRPr="006533FF">
        <w:rPr>
          <w:rFonts w:ascii="Times New Roman" w:hAnsi="Times New Roman"/>
          <w:lang w:val="en-HK"/>
        </w:rPr>
        <w:t>:</w:t>
      </w:r>
    </w:p>
    <w:p w14:paraId="190FD1CB"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 xml:space="preserve">Member States must demonstrate that measures pursuing legitimate objectives are proportionate and necessary. In cases like </w:t>
      </w:r>
      <w:r w:rsidRPr="006533FF">
        <w:rPr>
          <w:rFonts w:ascii="Times New Roman" w:hAnsi="Times New Roman"/>
          <w:i/>
          <w:iCs/>
          <w:lang w:val="en-HK"/>
        </w:rPr>
        <w:t>Viking (Case C-438/05)</w:t>
      </w:r>
      <w:r w:rsidRPr="006533FF">
        <w:rPr>
          <w:rFonts w:ascii="Times New Roman" w:hAnsi="Times New Roman"/>
          <w:lang w:val="en-HK"/>
        </w:rPr>
        <w:t>, the Court has scrutinized industrial action for its proportionality, raising concerns about the balance between social rights and economic freedoms.</w:t>
      </w:r>
    </w:p>
    <w:p w14:paraId="0EF0099A" w14:textId="77777777" w:rsidR="006533FF" w:rsidRPr="006533FF" w:rsidRDefault="00DE4581" w:rsidP="006533FF">
      <w:pPr>
        <w:spacing w:line="360" w:lineRule="auto"/>
        <w:rPr>
          <w:rFonts w:ascii="Times New Roman" w:hAnsi="Times New Roman"/>
          <w:lang w:val="en-HK"/>
        </w:rPr>
      </w:pPr>
      <w:r w:rsidRPr="00DE4581">
        <w:rPr>
          <w:rFonts w:ascii="Times New Roman" w:hAnsi="Times New Roman"/>
          <w:noProof/>
          <w:lang w:val="en-HK"/>
          <w14:ligatures w14:val="standardContextual"/>
        </w:rPr>
        <w:pict w14:anchorId="2694EB43">
          <v:rect id="_x0000_i1038" alt="" style="width:451.3pt;height:.05pt;mso-width-percent:0;mso-height-percent:0;mso-width-percent:0;mso-height-percent:0" o:hralign="center" o:hrstd="t" o:hr="t" fillcolor="#a0a0a0" stroked="f"/>
        </w:pict>
      </w:r>
    </w:p>
    <w:p w14:paraId="29AD1CE8" w14:textId="77777777" w:rsidR="006533FF" w:rsidRPr="006533FF" w:rsidRDefault="006533FF" w:rsidP="006533FF">
      <w:pPr>
        <w:spacing w:before="100" w:beforeAutospacing="1" w:after="100" w:afterAutospacing="1" w:line="360" w:lineRule="auto"/>
        <w:outlineLvl w:val="3"/>
        <w:rPr>
          <w:rFonts w:ascii="Times New Roman" w:hAnsi="Times New Roman"/>
          <w:b/>
          <w:bCs/>
          <w:lang w:val="en-HK"/>
        </w:rPr>
      </w:pPr>
      <w:r w:rsidRPr="006533FF">
        <w:rPr>
          <w:rFonts w:ascii="Times New Roman" w:hAnsi="Times New Roman"/>
          <w:b/>
          <w:bCs/>
          <w:lang w:val="en-HK"/>
        </w:rPr>
        <w:t>Scholarly and Judicial Commentary</w:t>
      </w:r>
    </w:p>
    <w:p w14:paraId="713AC074" w14:textId="77777777" w:rsidR="006533FF" w:rsidRPr="006533FF" w:rsidRDefault="006533FF" w:rsidP="006533FF">
      <w:pPr>
        <w:numPr>
          <w:ilvl w:val="0"/>
          <w:numId w:val="29"/>
        </w:num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Catherine Barnard</w:t>
      </w:r>
      <w:r w:rsidRPr="006533FF">
        <w:rPr>
          <w:rFonts w:ascii="Times New Roman" w:hAnsi="Times New Roman"/>
          <w:lang w:val="en-HK"/>
        </w:rPr>
        <w:t>:</w:t>
      </w:r>
    </w:p>
    <w:p w14:paraId="75F6099D"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Barnard highlights the Court’s transition from a discrimination model to a market access approach, emphasizing the broader implications for Member State autonomy.</w:t>
      </w:r>
    </w:p>
    <w:p w14:paraId="7ADBC664" w14:textId="77777777" w:rsidR="006533FF" w:rsidRPr="006533FF" w:rsidRDefault="006533FF" w:rsidP="006533FF">
      <w:pPr>
        <w:numPr>
          <w:ilvl w:val="0"/>
          <w:numId w:val="29"/>
        </w:num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 xml:space="preserve">Advocate General </w:t>
      </w:r>
      <w:proofErr w:type="spellStart"/>
      <w:r w:rsidRPr="006533FF">
        <w:rPr>
          <w:rFonts w:ascii="Times New Roman" w:hAnsi="Times New Roman"/>
          <w:b/>
          <w:bCs/>
          <w:lang w:val="en-HK"/>
        </w:rPr>
        <w:t>Sharpston</w:t>
      </w:r>
      <w:proofErr w:type="spellEnd"/>
      <w:r w:rsidRPr="006533FF">
        <w:rPr>
          <w:rFonts w:ascii="Times New Roman" w:hAnsi="Times New Roman"/>
          <w:lang w:val="en-HK"/>
        </w:rPr>
        <w:t>:</w:t>
      </w:r>
    </w:p>
    <w:p w14:paraId="5C56DBFE" w14:textId="77777777" w:rsidR="006533FF" w:rsidRPr="006533FF" w:rsidRDefault="006533FF" w:rsidP="006533FF">
      <w:pPr>
        <w:spacing w:before="100" w:beforeAutospacing="1" w:after="100" w:afterAutospacing="1" w:line="360" w:lineRule="auto"/>
        <w:rPr>
          <w:rFonts w:ascii="Times New Roman" w:hAnsi="Times New Roman"/>
          <w:lang w:val="en-HK"/>
        </w:rPr>
      </w:pPr>
      <w:proofErr w:type="spellStart"/>
      <w:r w:rsidRPr="006533FF">
        <w:rPr>
          <w:rFonts w:ascii="Times New Roman" w:hAnsi="Times New Roman"/>
          <w:lang w:val="en-HK"/>
        </w:rPr>
        <w:t>Sharpston</w:t>
      </w:r>
      <w:proofErr w:type="spellEnd"/>
      <w:r w:rsidRPr="006533FF">
        <w:rPr>
          <w:rFonts w:ascii="Times New Roman" w:hAnsi="Times New Roman"/>
          <w:lang w:val="en-HK"/>
        </w:rPr>
        <w:t xml:space="preserve"> has critiqued the inconsistencies in the Court’s application of the market access test, particularly its lack of clarity and the potential for overreach.</w:t>
      </w:r>
    </w:p>
    <w:p w14:paraId="0B428E3F" w14:textId="77777777" w:rsidR="006533FF" w:rsidRPr="006533FF" w:rsidRDefault="00DE4581" w:rsidP="006533FF">
      <w:pPr>
        <w:spacing w:line="360" w:lineRule="auto"/>
        <w:rPr>
          <w:rFonts w:ascii="Times New Roman" w:hAnsi="Times New Roman"/>
          <w:lang w:val="en-HK"/>
        </w:rPr>
      </w:pPr>
      <w:r w:rsidRPr="00DE4581">
        <w:rPr>
          <w:rFonts w:ascii="Times New Roman" w:hAnsi="Times New Roman"/>
          <w:noProof/>
          <w:lang w:val="en-HK"/>
          <w14:ligatures w14:val="standardContextual"/>
        </w:rPr>
        <w:pict w14:anchorId="3A12200A">
          <v:rect id="_x0000_i1037" alt="" style="width:451.3pt;height:.05pt;mso-width-percent:0;mso-height-percent:0;mso-width-percent:0;mso-height-percent:0" o:hralign="center" o:hrstd="t" o:hr="t" fillcolor="#a0a0a0" stroked="f"/>
        </w:pict>
      </w:r>
    </w:p>
    <w:p w14:paraId="1357BABD" w14:textId="77777777" w:rsidR="006533FF" w:rsidRPr="006533FF" w:rsidRDefault="006533FF" w:rsidP="006533FF">
      <w:pPr>
        <w:spacing w:before="100" w:beforeAutospacing="1" w:after="100" w:afterAutospacing="1" w:line="360" w:lineRule="auto"/>
        <w:outlineLvl w:val="2"/>
        <w:rPr>
          <w:rFonts w:ascii="Times New Roman" w:hAnsi="Times New Roman"/>
          <w:b/>
          <w:bCs/>
          <w:lang w:val="en-HK"/>
        </w:rPr>
      </w:pPr>
      <w:r w:rsidRPr="006533FF">
        <w:rPr>
          <w:rFonts w:ascii="Times New Roman" w:hAnsi="Times New Roman"/>
          <w:b/>
          <w:bCs/>
          <w:lang w:val="en-HK"/>
        </w:rPr>
        <w:t>Conclusion</w:t>
      </w:r>
    </w:p>
    <w:p w14:paraId="27A3B2D0"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 xml:space="preserve">Section D illustrates how the CJEU has developed the principles of free movement by addressing direct and indirect discrimination and expanding its analysis to encompass non-discriminatory restrictions that impede market access. The balance between protecting fundamental freedoms and respecting Member State autonomy remains a central theme, with proportionality serving as a critical tool in this balancing act. Key cases like </w:t>
      </w:r>
      <w:proofErr w:type="spellStart"/>
      <w:r w:rsidRPr="006533FF">
        <w:rPr>
          <w:rFonts w:ascii="Times New Roman" w:hAnsi="Times New Roman"/>
          <w:i/>
          <w:iCs/>
          <w:lang w:val="en-HK"/>
        </w:rPr>
        <w:t>Reyners</w:t>
      </w:r>
      <w:proofErr w:type="spellEnd"/>
      <w:r w:rsidRPr="006533FF">
        <w:rPr>
          <w:rFonts w:ascii="Times New Roman" w:hAnsi="Times New Roman"/>
          <w:lang w:val="en-HK"/>
        </w:rPr>
        <w:t xml:space="preserve">, </w:t>
      </w:r>
      <w:proofErr w:type="spellStart"/>
      <w:r w:rsidRPr="006533FF">
        <w:rPr>
          <w:rFonts w:ascii="Times New Roman" w:hAnsi="Times New Roman"/>
          <w:i/>
          <w:iCs/>
          <w:lang w:val="en-HK"/>
        </w:rPr>
        <w:t>O’Flynn</w:t>
      </w:r>
      <w:proofErr w:type="spellEnd"/>
      <w:r w:rsidRPr="006533FF">
        <w:rPr>
          <w:rFonts w:ascii="Times New Roman" w:hAnsi="Times New Roman"/>
          <w:lang w:val="en-HK"/>
        </w:rPr>
        <w:t xml:space="preserve">, </w:t>
      </w:r>
      <w:r w:rsidRPr="006533FF">
        <w:rPr>
          <w:rFonts w:ascii="Times New Roman" w:hAnsi="Times New Roman"/>
          <w:i/>
          <w:iCs/>
          <w:lang w:val="en-HK"/>
        </w:rPr>
        <w:t>Alpine Investments</w:t>
      </w:r>
      <w:r w:rsidRPr="006533FF">
        <w:rPr>
          <w:rFonts w:ascii="Times New Roman" w:hAnsi="Times New Roman"/>
          <w:lang w:val="en-HK"/>
        </w:rPr>
        <w:t xml:space="preserve">, and </w:t>
      </w:r>
      <w:r w:rsidRPr="006533FF">
        <w:rPr>
          <w:rFonts w:ascii="Times New Roman" w:hAnsi="Times New Roman"/>
          <w:i/>
          <w:iCs/>
          <w:lang w:val="en-HK"/>
        </w:rPr>
        <w:t>Kraus</w:t>
      </w:r>
      <w:r w:rsidRPr="006533FF">
        <w:rPr>
          <w:rFonts w:ascii="Times New Roman" w:hAnsi="Times New Roman"/>
          <w:lang w:val="en-HK"/>
        </w:rPr>
        <w:t xml:space="preserve"> exemplify the evolving jurisprudence in this area.</w:t>
      </w:r>
    </w:p>
    <w:p w14:paraId="4F539EF9" w14:textId="2865AF98" w:rsidR="006533FF" w:rsidRPr="006533FF" w:rsidRDefault="00DE4581" w:rsidP="006533FF">
      <w:pPr>
        <w:spacing w:before="100" w:beforeAutospacing="1" w:after="100" w:afterAutospacing="1" w:line="360" w:lineRule="auto"/>
        <w:outlineLvl w:val="2"/>
        <w:rPr>
          <w:rFonts w:ascii="Times New Roman" w:hAnsi="Times New Roman"/>
          <w:b/>
          <w:bCs/>
          <w:lang w:val="en-HK"/>
        </w:rPr>
      </w:pPr>
      <w:r w:rsidRPr="00DE4581">
        <w:rPr>
          <w:rFonts w:ascii="Times New Roman" w:hAnsi="Times New Roman"/>
          <w:noProof/>
          <w:lang w:val="en-HK"/>
          <w14:ligatures w14:val="standardContextual"/>
        </w:rPr>
        <w:pict w14:anchorId="600E2C7D">
          <v:rect id="_x0000_i1036" alt="" style="width:451.3pt;height:.05pt;mso-width-percent:0;mso-height-percent:0;mso-width-percent:0;mso-height-percent:0" o:hralign="center" o:hrstd="t" o:hr="t" fillcolor="#a0a0a0" stroked="f"/>
        </w:pict>
      </w:r>
      <w:r w:rsidR="006533FF" w:rsidRPr="006533FF">
        <w:rPr>
          <w:rFonts w:ascii="Times New Roman" w:hAnsi="Times New Roman"/>
          <w:b/>
          <w:bCs/>
          <w:lang w:val="en-HK"/>
        </w:rPr>
        <w:t>Section E: Can the Treaty Provisions Be Invoked Against the Defendant?</w:t>
      </w:r>
    </w:p>
    <w:p w14:paraId="550B6315" w14:textId="5FA03390"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lastRenderedPageBreak/>
        <w:t>This section explores the circumstances under which individuals can invoke Treaty provisions on free movement of persons against a defendant. It examines the doctrines of direct effect (vertical and horizontal) and the availability of remedies under Union law.</w:t>
      </w:r>
    </w:p>
    <w:p w14:paraId="30E4FCB0" w14:textId="77777777" w:rsidR="006533FF" w:rsidRPr="006533FF" w:rsidRDefault="006533FF" w:rsidP="006533FF">
      <w:pPr>
        <w:spacing w:before="100" w:beforeAutospacing="1" w:after="100" w:afterAutospacing="1" w:line="360" w:lineRule="auto"/>
        <w:outlineLvl w:val="2"/>
        <w:rPr>
          <w:rFonts w:ascii="Times New Roman" w:hAnsi="Times New Roman"/>
          <w:b/>
          <w:bCs/>
          <w:lang w:val="en-HK"/>
        </w:rPr>
      </w:pPr>
      <w:r w:rsidRPr="006533FF">
        <w:rPr>
          <w:rFonts w:ascii="Times New Roman" w:hAnsi="Times New Roman"/>
          <w:b/>
          <w:bCs/>
          <w:lang w:val="en-HK"/>
        </w:rPr>
        <w:t>1. The Question of Direct Effect</w:t>
      </w:r>
    </w:p>
    <w:p w14:paraId="5BBEC088" w14:textId="77777777" w:rsidR="006533FF" w:rsidRPr="006533FF" w:rsidRDefault="006533FF" w:rsidP="006533FF">
      <w:pPr>
        <w:spacing w:before="100" w:beforeAutospacing="1" w:after="100" w:afterAutospacing="1" w:line="360" w:lineRule="auto"/>
        <w:outlineLvl w:val="3"/>
        <w:rPr>
          <w:rFonts w:ascii="Times New Roman" w:hAnsi="Times New Roman"/>
          <w:b/>
          <w:bCs/>
          <w:lang w:val="en-HK"/>
        </w:rPr>
      </w:pPr>
      <w:r w:rsidRPr="006533FF">
        <w:rPr>
          <w:rFonts w:ascii="Times New Roman" w:hAnsi="Times New Roman"/>
          <w:b/>
          <w:bCs/>
          <w:lang w:val="en-HK"/>
        </w:rPr>
        <w:t>A. Definition and Scope of Direct Effect</w:t>
      </w:r>
    </w:p>
    <w:p w14:paraId="3FECFE05"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Concept of Direct Effect</w:t>
      </w:r>
      <w:r w:rsidRPr="006533FF">
        <w:rPr>
          <w:rFonts w:ascii="Times New Roman" w:hAnsi="Times New Roman"/>
          <w:lang w:val="en-HK"/>
        </w:rPr>
        <w:t>:</w:t>
      </w:r>
    </w:p>
    <w:p w14:paraId="01D9CCC7" w14:textId="77777777" w:rsidR="006533FF" w:rsidRPr="006533FF" w:rsidRDefault="006533FF" w:rsidP="006533FF">
      <w:pPr>
        <w:numPr>
          <w:ilvl w:val="1"/>
          <w:numId w:val="30"/>
        </w:numPr>
        <w:spacing w:before="100" w:beforeAutospacing="1" w:after="100" w:afterAutospacing="1" w:line="360" w:lineRule="auto"/>
        <w:rPr>
          <w:rFonts w:ascii="Times New Roman" w:hAnsi="Times New Roman"/>
          <w:lang w:val="en-HK"/>
        </w:rPr>
      </w:pPr>
      <w:r w:rsidRPr="006533FF">
        <w:rPr>
          <w:rFonts w:ascii="Times New Roman" w:hAnsi="Times New Roman"/>
          <w:lang w:val="en-HK"/>
        </w:rPr>
        <w:t xml:space="preserve">Direct effect allows individuals to rely on EU law provisions before national courts without requiring further implementation by Member States. This principle has been established by the Court in landmark cases like </w:t>
      </w:r>
      <w:r w:rsidRPr="006533FF">
        <w:rPr>
          <w:rFonts w:ascii="Times New Roman" w:hAnsi="Times New Roman"/>
          <w:i/>
          <w:iCs/>
          <w:lang w:val="en-HK"/>
        </w:rPr>
        <w:t xml:space="preserve">Van </w:t>
      </w:r>
      <w:proofErr w:type="spellStart"/>
      <w:r w:rsidRPr="006533FF">
        <w:rPr>
          <w:rFonts w:ascii="Times New Roman" w:hAnsi="Times New Roman"/>
          <w:i/>
          <w:iCs/>
          <w:lang w:val="en-HK"/>
        </w:rPr>
        <w:t>Gend</w:t>
      </w:r>
      <w:proofErr w:type="spellEnd"/>
      <w:r w:rsidRPr="006533FF">
        <w:rPr>
          <w:rFonts w:ascii="Times New Roman" w:hAnsi="Times New Roman"/>
          <w:i/>
          <w:iCs/>
          <w:lang w:val="en-HK"/>
        </w:rPr>
        <w:t xml:space="preserve"> </w:t>
      </w:r>
      <w:proofErr w:type="spellStart"/>
      <w:r w:rsidRPr="006533FF">
        <w:rPr>
          <w:rFonts w:ascii="Times New Roman" w:hAnsi="Times New Roman"/>
          <w:i/>
          <w:iCs/>
          <w:lang w:val="en-HK"/>
        </w:rPr>
        <w:t>en</w:t>
      </w:r>
      <w:proofErr w:type="spellEnd"/>
      <w:r w:rsidRPr="006533FF">
        <w:rPr>
          <w:rFonts w:ascii="Times New Roman" w:hAnsi="Times New Roman"/>
          <w:i/>
          <w:iCs/>
          <w:lang w:val="en-HK"/>
        </w:rPr>
        <w:t xml:space="preserve"> Loos (Case 26/62)</w:t>
      </w:r>
      <w:r w:rsidRPr="006533FF">
        <w:rPr>
          <w:rFonts w:ascii="Times New Roman" w:hAnsi="Times New Roman"/>
          <w:lang w:val="en-HK"/>
        </w:rPr>
        <w:t>.</w:t>
      </w:r>
    </w:p>
    <w:p w14:paraId="1B91A24C" w14:textId="77777777" w:rsidR="006533FF" w:rsidRPr="006533FF" w:rsidRDefault="006533FF" w:rsidP="006533FF">
      <w:pPr>
        <w:numPr>
          <w:ilvl w:val="1"/>
          <w:numId w:val="30"/>
        </w:numPr>
        <w:spacing w:before="100" w:beforeAutospacing="1" w:after="100" w:afterAutospacing="1" w:line="360" w:lineRule="auto"/>
        <w:rPr>
          <w:rFonts w:ascii="Times New Roman" w:hAnsi="Times New Roman"/>
          <w:lang w:val="en-HK"/>
        </w:rPr>
      </w:pPr>
      <w:r w:rsidRPr="006533FF">
        <w:rPr>
          <w:rFonts w:ascii="Times New Roman" w:hAnsi="Times New Roman"/>
          <w:lang w:val="en-HK"/>
        </w:rPr>
        <w:t>The free movement provisions, including Articles 45 (workers), 49 (establishment), 56 (services), and 21 (citizenship) TFEU, are directly effective, enabling individuals to invoke them against Member States.</w:t>
      </w:r>
    </w:p>
    <w:p w14:paraId="3D0BF356" w14:textId="77777777" w:rsidR="006533FF" w:rsidRPr="006533FF" w:rsidRDefault="006533FF" w:rsidP="006533FF">
      <w:pPr>
        <w:spacing w:before="100" w:beforeAutospacing="1" w:after="100" w:afterAutospacing="1" w:line="360" w:lineRule="auto"/>
        <w:outlineLvl w:val="3"/>
        <w:rPr>
          <w:rFonts w:ascii="Times New Roman" w:hAnsi="Times New Roman"/>
          <w:b/>
          <w:bCs/>
          <w:lang w:val="en-HK"/>
        </w:rPr>
      </w:pPr>
      <w:r w:rsidRPr="006533FF">
        <w:rPr>
          <w:rFonts w:ascii="Times New Roman" w:hAnsi="Times New Roman"/>
          <w:b/>
          <w:bCs/>
          <w:lang w:val="en-HK"/>
        </w:rPr>
        <w:t>B. Vertical Direct Effect</w:t>
      </w:r>
    </w:p>
    <w:p w14:paraId="0E82FDCA"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Invoking Provisions Against Member States</w:t>
      </w:r>
      <w:r w:rsidRPr="006533FF">
        <w:rPr>
          <w:rFonts w:ascii="Times New Roman" w:hAnsi="Times New Roman"/>
          <w:lang w:val="en-HK"/>
        </w:rPr>
        <w:t>:</w:t>
      </w:r>
    </w:p>
    <w:p w14:paraId="524EF62A" w14:textId="77777777" w:rsidR="006533FF" w:rsidRPr="006533FF" w:rsidRDefault="006533FF" w:rsidP="006533FF">
      <w:pPr>
        <w:numPr>
          <w:ilvl w:val="1"/>
          <w:numId w:val="31"/>
        </w:numPr>
        <w:spacing w:before="100" w:beforeAutospacing="1" w:after="100" w:afterAutospacing="1" w:line="360" w:lineRule="auto"/>
        <w:rPr>
          <w:rFonts w:ascii="Times New Roman" w:hAnsi="Times New Roman"/>
          <w:lang w:val="en-HK"/>
        </w:rPr>
      </w:pPr>
      <w:r w:rsidRPr="006533FF">
        <w:rPr>
          <w:rFonts w:ascii="Times New Roman" w:hAnsi="Times New Roman"/>
          <w:lang w:val="en-HK"/>
        </w:rPr>
        <w:t>Treaty provisions on free movement are vertically directly effective. This means that individuals can invoke these provisions against public authorities.</w:t>
      </w:r>
    </w:p>
    <w:p w14:paraId="3A46838C" w14:textId="77777777" w:rsidR="006533FF" w:rsidRPr="006533FF" w:rsidRDefault="006533FF" w:rsidP="006533FF">
      <w:pPr>
        <w:numPr>
          <w:ilvl w:val="1"/>
          <w:numId w:val="31"/>
        </w:num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 xml:space="preserve">Van </w:t>
      </w:r>
      <w:proofErr w:type="spellStart"/>
      <w:r w:rsidRPr="006533FF">
        <w:rPr>
          <w:rFonts w:ascii="Times New Roman" w:hAnsi="Times New Roman"/>
          <w:b/>
          <w:bCs/>
          <w:lang w:val="en-HK"/>
        </w:rPr>
        <w:t>Duyn</w:t>
      </w:r>
      <w:proofErr w:type="spellEnd"/>
      <w:r w:rsidRPr="006533FF">
        <w:rPr>
          <w:rFonts w:ascii="Times New Roman" w:hAnsi="Times New Roman"/>
          <w:b/>
          <w:bCs/>
          <w:lang w:val="en-HK"/>
        </w:rPr>
        <w:t xml:space="preserve"> v Home Office (Case 41/74)</w:t>
      </w:r>
      <w:r w:rsidRPr="006533FF">
        <w:rPr>
          <w:rFonts w:ascii="Times New Roman" w:hAnsi="Times New Roman"/>
          <w:lang w:val="en-HK"/>
        </w:rPr>
        <w:t>:</w:t>
      </w:r>
    </w:p>
    <w:p w14:paraId="3E3166FA"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Facts: A Dutch national was refused entry into the UK on public policy grounds due to her association with the Church of Scientology.</w:t>
      </w:r>
    </w:p>
    <w:p w14:paraId="08486BDA"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Judgment: The Court confirmed that Article 45 TFEU was directly effective despite the presence of derogations, as the provision imposed a sufficiently precise obligation on Member States.</w:t>
      </w:r>
    </w:p>
    <w:p w14:paraId="5D5E344E" w14:textId="77777777" w:rsidR="006533FF" w:rsidRPr="006533FF" w:rsidRDefault="006533FF" w:rsidP="006533FF">
      <w:pPr>
        <w:numPr>
          <w:ilvl w:val="1"/>
          <w:numId w:val="31"/>
        </w:numPr>
        <w:spacing w:before="100" w:beforeAutospacing="1" w:after="100" w:afterAutospacing="1" w:line="360" w:lineRule="auto"/>
        <w:rPr>
          <w:rFonts w:ascii="Times New Roman" w:hAnsi="Times New Roman"/>
          <w:lang w:val="en-HK"/>
        </w:rPr>
      </w:pPr>
      <w:r w:rsidRPr="006533FF">
        <w:rPr>
          <w:rFonts w:ascii="Times New Roman" w:hAnsi="Times New Roman"/>
          <w:lang w:val="en-HK"/>
        </w:rPr>
        <w:t>Similarly, Articles 49, 56, and 21(1) TFEU have been confirmed as directly effective in cases like:</w:t>
      </w:r>
    </w:p>
    <w:p w14:paraId="02097153" w14:textId="77777777" w:rsidR="006533FF" w:rsidRPr="006533FF" w:rsidRDefault="006533FF" w:rsidP="006533FF">
      <w:pPr>
        <w:numPr>
          <w:ilvl w:val="2"/>
          <w:numId w:val="31"/>
        </w:numPr>
        <w:spacing w:before="100" w:beforeAutospacing="1" w:after="100" w:afterAutospacing="1" w:line="360" w:lineRule="auto"/>
        <w:rPr>
          <w:rFonts w:ascii="Times New Roman" w:hAnsi="Times New Roman"/>
          <w:lang w:val="en-HK"/>
        </w:rPr>
      </w:pPr>
      <w:proofErr w:type="spellStart"/>
      <w:r w:rsidRPr="006533FF">
        <w:rPr>
          <w:rFonts w:ascii="Times New Roman" w:hAnsi="Times New Roman"/>
          <w:b/>
          <w:bCs/>
          <w:lang w:val="en-HK"/>
        </w:rPr>
        <w:t>Reyners</w:t>
      </w:r>
      <w:proofErr w:type="spellEnd"/>
      <w:r w:rsidRPr="006533FF">
        <w:rPr>
          <w:rFonts w:ascii="Times New Roman" w:hAnsi="Times New Roman"/>
          <w:b/>
          <w:bCs/>
          <w:lang w:val="en-HK"/>
        </w:rPr>
        <w:t xml:space="preserve"> v Belgium (Case 2/74)</w:t>
      </w:r>
      <w:r w:rsidRPr="006533FF">
        <w:rPr>
          <w:rFonts w:ascii="Times New Roman" w:hAnsi="Times New Roman"/>
          <w:lang w:val="en-HK"/>
        </w:rPr>
        <w:t>: Article 49 TFEU.</w:t>
      </w:r>
    </w:p>
    <w:p w14:paraId="3F4D4097" w14:textId="77777777" w:rsidR="006533FF" w:rsidRPr="006533FF" w:rsidRDefault="006533FF" w:rsidP="006533FF">
      <w:pPr>
        <w:numPr>
          <w:ilvl w:val="2"/>
          <w:numId w:val="31"/>
        </w:num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 xml:space="preserve">Van </w:t>
      </w:r>
      <w:proofErr w:type="spellStart"/>
      <w:r w:rsidRPr="006533FF">
        <w:rPr>
          <w:rFonts w:ascii="Times New Roman" w:hAnsi="Times New Roman"/>
          <w:b/>
          <w:bCs/>
          <w:lang w:val="en-HK"/>
        </w:rPr>
        <w:t>Binsbergen</w:t>
      </w:r>
      <w:proofErr w:type="spellEnd"/>
      <w:r w:rsidRPr="006533FF">
        <w:rPr>
          <w:rFonts w:ascii="Times New Roman" w:hAnsi="Times New Roman"/>
          <w:b/>
          <w:bCs/>
          <w:lang w:val="en-HK"/>
        </w:rPr>
        <w:t xml:space="preserve"> (Case 33/74)</w:t>
      </w:r>
      <w:r w:rsidRPr="006533FF">
        <w:rPr>
          <w:rFonts w:ascii="Times New Roman" w:hAnsi="Times New Roman"/>
          <w:lang w:val="en-HK"/>
        </w:rPr>
        <w:t>: Article 56 TFEU.</w:t>
      </w:r>
    </w:p>
    <w:p w14:paraId="11B3A69F" w14:textId="77777777" w:rsidR="006533FF" w:rsidRPr="006533FF" w:rsidRDefault="006533FF" w:rsidP="006533FF">
      <w:pPr>
        <w:numPr>
          <w:ilvl w:val="2"/>
          <w:numId w:val="31"/>
        </w:numPr>
        <w:spacing w:before="100" w:beforeAutospacing="1" w:after="100" w:afterAutospacing="1" w:line="360" w:lineRule="auto"/>
        <w:rPr>
          <w:rFonts w:ascii="Times New Roman" w:hAnsi="Times New Roman"/>
          <w:lang w:val="en-HK"/>
        </w:rPr>
      </w:pPr>
      <w:proofErr w:type="spellStart"/>
      <w:r w:rsidRPr="006533FF">
        <w:rPr>
          <w:rFonts w:ascii="Times New Roman" w:hAnsi="Times New Roman"/>
          <w:b/>
          <w:bCs/>
          <w:lang w:val="en-HK"/>
        </w:rPr>
        <w:t>Baumbast</w:t>
      </w:r>
      <w:proofErr w:type="spellEnd"/>
      <w:r w:rsidRPr="006533FF">
        <w:rPr>
          <w:rFonts w:ascii="Times New Roman" w:hAnsi="Times New Roman"/>
          <w:b/>
          <w:bCs/>
          <w:lang w:val="en-HK"/>
        </w:rPr>
        <w:t xml:space="preserve"> (Case C-413/99)</w:t>
      </w:r>
      <w:r w:rsidRPr="006533FF">
        <w:rPr>
          <w:rFonts w:ascii="Times New Roman" w:hAnsi="Times New Roman"/>
          <w:lang w:val="en-HK"/>
        </w:rPr>
        <w:t>: Article 21(1) TFEU.</w:t>
      </w:r>
    </w:p>
    <w:p w14:paraId="340BCA00" w14:textId="77777777" w:rsidR="006533FF" w:rsidRPr="006533FF" w:rsidRDefault="006533FF" w:rsidP="006533FF">
      <w:pPr>
        <w:spacing w:before="100" w:beforeAutospacing="1" w:after="100" w:afterAutospacing="1" w:line="360" w:lineRule="auto"/>
        <w:outlineLvl w:val="3"/>
        <w:rPr>
          <w:rFonts w:ascii="Times New Roman" w:hAnsi="Times New Roman"/>
          <w:b/>
          <w:bCs/>
          <w:lang w:val="en-HK"/>
        </w:rPr>
      </w:pPr>
      <w:r w:rsidRPr="006533FF">
        <w:rPr>
          <w:rFonts w:ascii="Times New Roman" w:hAnsi="Times New Roman"/>
          <w:b/>
          <w:bCs/>
          <w:lang w:val="en-HK"/>
        </w:rPr>
        <w:lastRenderedPageBreak/>
        <w:t>C. Horizontal Direct Effect</w:t>
      </w:r>
    </w:p>
    <w:p w14:paraId="43512A3B" w14:textId="77777777" w:rsidR="006533FF" w:rsidRPr="006533FF" w:rsidRDefault="006533FF" w:rsidP="006533FF">
      <w:pPr>
        <w:numPr>
          <w:ilvl w:val="0"/>
          <w:numId w:val="32"/>
        </w:num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Applicability to Private Parties</w:t>
      </w:r>
      <w:r w:rsidRPr="006533FF">
        <w:rPr>
          <w:rFonts w:ascii="Times New Roman" w:hAnsi="Times New Roman"/>
          <w:lang w:val="en-HK"/>
        </w:rPr>
        <w:t>:</w:t>
      </w:r>
    </w:p>
    <w:p w14:paraId="1BCDF72C"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While Treaty provisions are primarily addressed to Member States, certain provisions, like those on free movement, have been extended to private parties in specific circumstances.</w:t>
      </w:r>
    </w:p>
    <w:p w14:paraId="47900F60" w14:textId="77777777" w:rsidR="006533FF" w:rsidRPr="006533FF" w:rsidRDefault="006533FF" w:rsidP="006533FF">
      <w:pPr>
        <w:spacing w:before="100" w:beforeAutospacing="1" w:after="100" w:afterAutospacing="1" w:line="360" w:lineRule="auto"/>
        <w:rPr>
          <w:rFonts w:ascii="Times New Roman" w:hAnsi="Times New Roman"/>
          <w:lang w:val="en-HK"/>
        </w:rPr>
      </w:pPr>
      <w:proofErr w:type="spellStart"/>
      <w:r w:rsidRPr="006533FF">
        <w:rPr>
          <w:rFonts w:ascii="Times New Roman" w:hAnsi="Times New Roman"/>
          <w:b/>
          <w:bCs/>
          <w:lang w:val="en-HK"/>
        </w:rPr>
        <w:t>Angonese</w:t>
      </w:r>
      <w:proofErr w:type="spellEnd"/>
      <w:r w:rsidRPr="006533FF">
        <w:rPr>
          <w:rFonts w:ascii="Times New Roman" w:hAnsi="Times New Roman"/>
          <w:b/>
          <w:bCs/>
          <w:lang w:val="en-HK"/>
        </w:rPr>
        <w:t xml:space="preserve"> (Case C-281/98)</w:t>
      </w:r>
      <w:r w:rsidRPr="006533FF">
        <w:rPr>
          <w:rFonts w:ascii="Times New Roman" w:hAnsi="Times New Roman"/>
          <w:lang w:val="en-HK"/>
        </w:rPr>
        <w:t>:</w:t>
      </w:r>
    </w:p>
    <w:p w14:paraId="7CAABF25"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Facts: A private bank in Italy required a bilingualism certificate issued by a local authority, disadvantaging individuals from other Member States.</w:t>
      </w:r>
    </w:p>
    <w:p w14:paraId="3D73F683"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 xml:space="preserve">Judgment: The Court ruled that Article 45 TFEU has horizontal direct effect, as the principle of non-discrimination must apply to both public and private actors to ensure equal treatment in the </w:t>
      </w:r>
      <w:proofErr w:type="spellStart"/>
      <w:r w:rsidRPr="006533FF">
        <w:rPr>
          <w:rFonts w:ascii="Times New Roman" w:hAnsi="Times New Roman"/>
          <w:lang w:val="en-HK"/>
        </w:rPr>
        <w:t>labor</w:t>
      </w:r>
      <w:proofErr w:type="spellEnd"/>
      <w:r w:rsidRPr="006533FF">
        <w:rPr>
          <w:rFonts w:ascii="Times New Roman" w:hAnsi="Times New Roman"/>
          <w:lang w:val="en-HK"/>
        </w:rPr>
        <w:t xml:space="preserve"> market.</w:t>
      </w:r>
    </w:p>
    <w:p w14:paraId="24C4D409"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Key Quote</w:t>
      </w:r>
      <w:r w:rsidRPr="006533FF">
        <w:rPr>
          <w:rFonts w:ascii="Times New Roman" w:hAnsi="Times New Roman"/>
          <w:lang w:val="en-HK"/>
        </w:rPr>
        <w:t>: The Court stated, “Article 45 TFEU applies equally to private-law associations … to prevent inequality in its application.”</w:t>
      </w:r>
    </w:p>
    <w:p w14:paraId="2E072BF2"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Viking (Case C-438/05)</w:t>
      </w:r>
      <w:r w:rsidRPr="006533FF">
        <w:rPr>
          <w:rFonts w:ascii="Times New Roman" w:hAnsi="Times New Roman"/>
          <w:lang w:val="en-HK"/>
        </w:rPr>
        <w:t>:</w:t>
      </w:r>
    </w:p>
    <w:p w14:paraId="642DB21D"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Facts: A Finnish company reflagged a vessel in Estonia, prompting industrial action by Finnish trade unions.</w:t>
      </w:r>
    </w:p>
    <w:p w14:paraId="4816DC26"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Judgment: The Court allowed Article 49 TFEU to be invoked against private entities (trade unions), emphasizing that private actions restricting free movement could breach EU law.</w:t>
      </w:r>
    </w:p>
    <w:p w14:paraId="300880F0" w14:textId="77777777" w:rsidR="006533FF" w:rsidRPr="006533FF" w:rsidRDefault="006533FF" w:rsidP="006533FF">
      <w:pPr>
        <w:spacing w:before="100" w:beforeAutospacing="1" w:after="100" w:afterAutospacing="1" w:line="360" w:lineRule="auto"/>
        <w:outlineLvl w:val="3"/>
        <w:rPr>
          <w:rFonts w:ascii="Times New Roman" w:hAnsi="Times New Roman"/>
          <w:b/>
          <w:bCs/>
          <w:lang w:val="en-HK"/>
        </w:rPr>
      </w:pPr>
      <w:r w:rsidRPr="006533FF">
        <w:rPr>
          <w:rFonts w:ascii="Times New Roman" w:hAnsi="Times New Roman"/>
          <w:b/>
          <w:bCs/>
          <w:lang w:val="en-HK"/>
        </w:rPr>
        <w:t>D. Unresolved Issues</w:t>
      </w:r>
    </w:p>
    <w:p w14:paraId="51473693"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 xml:space="preserve">The horizontal application of Articles 49 and 56 TFEU remains less settled than Article 45 TFEU. The Court in </w:t>
      </w:r>
      <w:r w:rsidRPr="006533FF">
        <w:rPr>
          <w:rFonts w:ascii="Times New Roman" w:hAnsi="Times New Roman"/>
          <w:i/>
          <w:iCs/>
          <w:lang w:val="en-HK"/>
        </w:rPr>
        <w:t>Viking</w:t>
      </w:r>
      <w:r w:rsidRPr="006533FF">
        <w:rPr>
          <w:rFonts w:ascii="Times New Roman" w:hAnsi="Times New Roman"/>
          <w:lang w:val="en-HK"/>
        </w:rPr>
        <w:t xml:space="preserve"> and </w:t>
      </w:r>
      <w:r w:rsidRPr="006533FF">
        <w:rPr>
          <w:rFonts w:ascii="Times New Roman" w:hAnsi="Times New Roman"/>
          <w:i/>
          <w:iCs/>
          <w:lang w:val="en-HK"/>
        </w:rPr>
        <w:t>Laval (Case C-341/05)</w:t>
      </w:r>
      <w:r w:rsidRPr="006533FF">
        <w:rPr>
          <w:rFonts w:ascii="Times New Roman" w:hAnsi="Times New Roman"/>
          <w:lang w:val="en-HK"/>
        </w:rPr>
        <w:t xml:space="preserve"> implied that these provisions could apply horizontally in certain contexts, but the exact scope is still debated.</w:t>
      </w:r>
    </w:p>
    <w:p w14:paraId="340598DE" w14:textId="77777777" w:rsidR="006533FF" w:rsidRPr="006533FF" w:rsidRDefault="00DE4581" w:rsidP="006533FF">
      <w:pPr>
        <w:spacing w:line="360" w:lineRule="auto"/>
        <w:rPr>
          <w:rFonts w:ascii="Times New Roman" w:hAnsi="Times New Roman"/>
          <w:lang w:val="en-HK"/>
        </w:rPr>
      </w:pPr>
      <w:r w:rsidRPr="00DE4581">
        <w:rPr>
          <w:rFonts w:ascii="Times New Roman" w:hAnsi="Times New Roman"/>
          <w:noProof/>
          <w:lang w:val="en-HK"/>
          <w14:ligatures w14:val="standardContextual"/>
        </w:rPr>
        <w:pict w14:anchorId="38AE61D4">
          <v:rect id="_x0000_i1035" alt="" style="width:451.3pt;height:.05pt;mso-width-percent:0;mso-height-percent:0;mso-width-percent:0;mso-height-percent:0" o:hralign="center" o:hrstd="t" o:hr="t" fillcolor="#a0a0a0" stroked="f"/>
        </w:pict>
      </w:r>
    </w:p>
    <w:p w14:paraId="55C652F7" w14:textId="77777777" w:rsidR="006533FF" w:rsidRPr="006533FF" w:rsidRDefault="006533FF" w:rsidP="006533FF">
      <w:pPr>
        <w:spacing w:before="100" w:beforeAutospacing="1" w:after="100" w:afterAutospacing="1" w:line="360" w:lineRule="auto"/>
        <w:outlineLvl w:val="2"/>
        <w:rPr>
          <w:rFonts w:ascii="Times New Roman" w:hAnsi="Times New Roman"/>
          <w:b/>
          <w:bCs/>
          <w:lang w:val="en-HK"/>
        </w:rPr>
      </w:pPr>
      <w:r w:rsidRPr="006533FF">
        <w:rPr>
          <w:rFonts w:ascii="Times New Roman" w:hAnsi="Times New Roman"/>
          <w:b/>
          <w:bCs/>
          <w:lang w:val="en-HK"/>
        </w:rPr>
        <w:t>2. Remedies</w:t>
      </w:r>
    </w:p>
    <w:p w14:paraId="3469B129" w14:textId="77777777" w:rsidR="006533FF" w:rsidRPr="006533FF" w:rsidRDefault="006533FF" w:rsidP="006533FF">
      <w:pPr>
        <w:spacing w:before="100" w:beforeAutospacing="1" w:after="100" w:afterAutospacing="1" w:line="360" w:lineRule="auto"/>
        <w:outlineLvl w:val="3"/>
        <w:rPr>
          <w:rFonts w:ascii="Times New Roman" w:hAnsi="Times New Roman"/>
          <w:b/>
          <w:bCs/>
          <w:lang w:val="en-HK"/>
        </w:rPr>
      </w:pPr>
      <w:r w:rsidRPr="006533FF">
        <w:rPr>
          <w:rFonts w:ascii="Times New Roman" w:hAnsi="Times New Roman"/>
          <w:b/>
          <w:bCs/>
          <w:lang w:val="en-HK"/>
        </w:rPr>
        <w:t>A. Remedies for Breaches of Free Movement Provisions</w:t>
      </w:r>
    </w:p>
    <w:p w14:paraId="55BE4D28"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lastRenderedPageBreak/>
        <w:t>National Courts’ Obligations</w:t>
      </w:r>
      <w:r w:rsidRPr="006533FF">
        <w:rPr>
          <w:rFonts w:ascii="Times New Roman" w:hAnsi="Times New Roman"/>
          <w:lang w:val="en-HK"/>
        </w:rPr>
        <w:t>:</w:t>
      </w:r>
    </w:p>
    <w:p w14:paraId="00A2DA84"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National courts are required to ensure the effective application of EU law by:</w:t>
      </w:r>
    </w:p>
    <w:p w14:paraId="02A5AB69" w14:textId="77777777" w:rsidR="006533FF" w:rsidRPr="006533FF" w:rsidRDefault="006533FF" w:rsidP="006533FF">
      <w:pPr>
        <w:numPr>
          <w:ilvl w:val="2"/>
          <w:numId w:val="34"/>
        </w:numPr>
        <w:spacing w:before="100" w:beforeAutospacing="1" w:after="100" w:afterAutospacing="1" w:line="360" w:lineRule="auto"/>
        <w:rPr>
          <w:rFonts w:ascii="Times New Roman" w:hAnsi="Times New Roman"/>
          <w:lang w:val="en-HK"/>
        </w:rPr>
      </w:pPr>
      <w:r w:rsidRPr="006533FF">
        <w:rPr>
          <w:rFonts w:ascii="Times New Roman" w:hAnsi="Times New Roman"/>
          <w:lang w:val="en-HK"/>
        </w:rPr>
        <w:t>Disapplying conflicting national rules.</w:t>
      </w:r>
    </w:p>
    <w:p w14:paraId="28AD8A21" w14:textId="77777777" w:rsidR="006533FF" w:rsidRPr="006533FF" w:rsidRDefault="006533FF" w:rsidP="006533FF">
      <w:pPr>
        <w:numPr>
          <w:ilvl w:val="2"/>
          <w:numId w:val="34"/>
        </w:numPr>
        <w:spacing w:before="100" w:beforeAutospacing="1" w:after="100" w:afterAutospacing="1" w:line="360" w:lineRule="auto"/>
        <w:rPr>
          <w:rFonts w:ascii="Times New Roman" w:hAnsi="Times New Roman"/>
          <w:lang w:val="en-HK"/>
        </w:rPr>
      </w:pPr>
      <w:r w:rsidRPr="006533FF">
        <w:rPr>
          <w:rFonts w:ascii="Times New Roman" w:hAnsi="Times New Roman"/>
          <w:lang w:val="en-HK"/>
        </w:rPr>
        <w:t>Providing effective remedies for breaches of directly effective rights.</w:t>
      </w:r>
    </w:p>
    <w:p w14:paraId="2498CEB2"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Factortame III (Joined Cases C-46/93 and C-48/93)</w:t>
      </w:r>
      <w:r w:rsidRPr="006533FF">
        <w:rPr>
          <w:rFonts w:ascii="Times New Roman" w:hAnsi="Times New Roman"/>
          <w:lang w:val="en-HK"/>
        </w:rPr>
        <w:t>:</w:t>
      </w:r>
    </w:p>
    <w:p w14:paraId="153E3E6C" w14:textId="77777777" w:rsidR="006533FF" w:rsidRPr="006533FF" w:rsidRDefault="006533FF" w:rsidP="006533FF">
      <w:pPr>
        <w:numPr>
          <w:ilvl w:val="2"/>
          <w:numId w:val="34"/>
        </w:numPr>
        <w:spacing w:before="100" w:beforeAutospacing="1" w:after="100" w:afterAutospacing="1" w:line="360" w:lineRule="auto"/>
        <w:rPr>
          <w:rFonts w:ascii="Times New Roman" w:hAnsi="Times New Roman"/>
          <w:lang w:val="en-HK"/>
        </w:rPr>
      </w:pPr>
      <w:r w:rsidRPr="006533FF">
        <w:rPr>
          <w:rFonts w:ascii="Times New Roman" w:hAnsi="Times New Roman"/>
          <w:lang w:val="en-HK"/>
        </w:rPr>
        <w:t>Facts: UK legislation breached Article 49 TFEU by imposing nationality requirements on fishing vessel ownership.</w:t>
      </w:r>
    </w:p>
    <w:p w14:paraId="0FED7676" w14:textId="77777777" w:rsidR="006533FF" w:rsidRPr="006533FF" w:rsidRDefault="006533FF" w:rsidP="006533FF">
      <w:pPr>
        <w:numPr>
          <w:ilvl w:val="2"/>
          <w:numId w:val="34"/>
        </w:numPr>
        <w:spacing w:before="100" w:beforeAutospacing="1" w:after="100" w:afterAutospacing="1" w:line="360" w:lineRule="auto"/>
        <w:rPr>
          <w:rFonts w:ascii="Times New Roman" w:hAnsi="Times New Roman"/>
          <w:lang w:val="en-HK"/>
        </w:rPr>
      </w:pPr>
      <w:r w:rsidRPr="006533FF">
        <w:rPr>
          <w:rFonts w:ascii="Times New Roman" w:hAnsi="Times New Roman"/>
          <w:lang w:val="en-HK"/>
        </w:rPr>
        <w:t>Judgment: The Court established that individuals could claim damages for breaches of EU law if:</w:t>
      </w:r>
    </w:p>
    <w:p w14:paraId="23E6580F" w14:textId="77777777" w:rsidR="006533FF" w:rsidRPr="006533FF" w:rsidRDefault="006533FF" w:rsidP="006533FF">
      <w:pPr>
        <w:numPr>
          <w:ilvl w:val="3"/>
          <w:numId w:val="34"/>
        </w:numPr>
        <w:spacing w:before="100" w:beforeAutospacing="1" w:after="100" w:afterAutospacing="1" w:line="360" w:lineRule="auto"/>
        <w:rPr>
          <w:rFonts w:ascii="Times New Roman" w:hAnsi="Times New Roman"/>
          <w:lang w:val="en-HK"/>
        </w:rPr>
      </w:pPr>
      <w:r w:rsidRPr="006533FF">
        <w:rPr>
          <w:rFonts w:ascii="Times New Roman" w:hAnsi="Times New Roman"/>
          <w:lang w:val="en-HK"/>
        </w:rPr>
        <w:t>The rule of law confers rights on individuals.</w:t>
      </w:r>
    </w:p>
    <w:p w14:paraId="56CD08B5" w14:textId="77777777" w:rsidR="006533FF" w:rsidRPr="006533FF" w:rsidRDefault="006533FF" w:rsidP="006533FF">
      <w:pPr>
        <w:numPr>
          <w:ilvl w:val="3"/>
          <w:numId w:val="34"/>
        </w:numPr>
        <w:spacing w:before="100" w:beforeAutospacing="1" w:after="100" w:afterAutospacing="1" w:line="360" w:lineRule="auto"/>
        <w:rPr>
          <w:rFonts w:ascii="Times New Roman" w:hAnsi="Times New Roman"/>
          <w:lang w:val="en-HK"/>
        </w:rPr>
      </w:pPr>
      <w:r w:rsidRPr="006533FF">
        <w:rPr>
          <w:rFonts w:ascii="Times New Roman" w:hAnsi="Times New Roman"/>
          <w:lang w:val="en-HK"/>
        </w:rPr>
        <w:t>The breach is sufficiently serious.</w:t>
      </w:r>
    </w:p>
    <w:p w14:paraId="12D3F45E" w14:textId="77777777" w:rsidR="006533FF" w:rsidRPr="006533FF" w:rsidRDefault="006533FF" w:rsidP="006533FF">
      <w:pPr>
        <w:numPr>
          <w:ilvl w:val="3"/>
          <w:numId w:val="34"/>
        </w:numPr>
        <w:spacing w:before="100" w:beforeAutospacing="1" w:after="100" w:afterAutospacing="1" w:line="360" w:lineRule="auto"/>
        <w:rPr>
          <w:rFonts w:ascii="Times New Roman" w:hAnsi="Times New Roman"/>
          <w:lang w:val="en-HK"/>
        </w:rPr>
      </w:pPr>
      <w:r w:rsidRPr="006533FF">
        <w:rPr>
          <w:rFonts w:ascii="Times New Roman" w:hAnsi="Times New Roman"/>
          <w:lang w:val="en-HK"/>
        </w:rPr>
        <w:t>There is a direct causal link between the breach and the damage suffered.</w:t>
      </w:r>
    </w:p>
    <w:p w14:paraId="68526588" w14:textId="77777777" w:rsidR="006533FF" w:rsidRPr="006533FF" w:rsidRDefault="006533FF" w:rsidP="006533FF">
      <w:pPr>
        <w:numPr>
          <w:ilvl w:val="2"/>
          <w:numId w:val="34"/>
        </w:num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Key Principle</w:t>
      </w:r>
      <w:r w:rsidRPr="006533FF">
        <w:rPr>
          <w:rFonts w:ascii="Times New Roman" w:hAnsi="Times New Roman"/>
          <w:lang w:val="en-HK"/>
        </w:rPr>
        <w:t>: The Factortame criteria ensure state accountability for breaches of EU law.</w:t>
      </w:r>
    </w:p>
    <w:p w14:paraId="3C0DF2C4" w14:textId="77777777" w:rsidR="006533FF" w:rsidRPr="006533FF" w:rsidRDefault="006533FF" w:rsidP="006533FF">
      <w:pPr>
        <w:spacing w:before="100" w:beforeAutospacing="1" w:after="100" w:afterAutospacing="1" w:line="360" w:lineRule="auto"/>
        <w:outlineLvl w:val="3"/>
        <w:rPr>
          <w:rFonts w:ascii="Times New Roman" w:hAnsi="Times New Roman"/>
          <w:b/>
          <w:bCs/>
          <w:lang w:val="en-HK"/>
        </w:rPr>
      </w:pPr>
      <w:r w:rsidRPr="006533FF">
        <w:rPr>
          <w:rFonts w:ascii="Times New Roman" w:hAnsi="Times New Roman"/>
          <w:b/>
          <w:bCs/>
          <w:lang w:val="en-HK"/>
        </w:rPr>
        <w:t>B. Horizontal Remedies Against Private Parties</w:t>
      </w:r>
    </w:p>
    <w:p w14:paraId="7E27134E" w14:textId="77777777" w:rsidR="006533FF" w:rsidRPr="006533FF" w:rsidRDefault="006533FF" w:rsidP="006533FF">
      <w:pPr>
        <w:spacing w:before="100" w:beforeAutospacing="1" w:after="100" w:afterAutospacing="1" w:line="360" w:lineRule="auto"/>
        <w:rPr>
          <w:rFonts w:ascii="Times New Roman" w:hAnsi="Times New Roman"/>
          <w:lang w:val="en-HK"/>
        </w:rPr>
      </w:pPr>
      <w:proofErr w:type="spellStart"/>
      <w:r w:rsidRPr="006533FF">
        <w:rPr>
          <w:rFonts w:ascii="Times New Roman" w:hAnsi="Times New Roman"/>
          <w:b/>
          <w:bCs/>
          <w:lang w:val="en-HK"/>
        </w:rPr>
        <w:t>Raccanelli</w:t>
      </w:r>
      <w:proofErr w:type="spellEnd"/>
      <w:r w:rsidRPr="006533FF">
        <w:rPr>
          <w:rFonts w:ascii="Times New Roman" w:hAnsi="Times New Roman"/>
          <w:b/>
          <w:bCs/>
          <w:lang w:val="en-HK"/>
        </w:rPr>
        <w:t xml:space="preserve"> (Case C-94/07)</w:t>
      </w:r>
      <w:r w:rsidRPr="006533FF">
        <w:rPr>
          <w:rFonts w:ascii="Times New Roman" w:hAnsi="Times New Roman"/>
          <w:lang w:val="en-HK"/>
        </w:rPr>
        <w:t>:</w:t>
      </w:r>
    </w:p>
    <w:p w14:paraId="3C1C89D4"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Facts: A doctoral student alleged discrimination by the Max Planck Institute, a private research association operating in the public interest.</w:t>
      </w:r>
    </w:p>
    <w:p w14:paraId="2DE05279"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Judgment: The Court clarified that remedies for breaches by private parties depend on national non-contractual liability rules, provided they align with the principles of effectiveness and equivalence.</w:t>
      </w:r>
    </w:p>
    <w:p w14:paraId="11C8B83D"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Key Quote</w:t>
      </w:r>
      <w:r w:rsidRPr="006533FF">
        <w:rPr>
          <w:rFonts w:ascii="Times New Roman" w:hAnsi="Times New Roman"/>
          <w:lang w:val="en-HK"/>
        </w:rPr>
        <w:t>: "It is for the referring court to assess, in the light of national legislation, the nature of the compensation available."</w:t>
      </w:r>
    </w:p>
    <w:p w14:paraId="5C50AC30" w14:textId="77777777" w:rsidR="006533FF" w:rsidRPr="006533FF" w:rsidRDefault="006533FF" w:rsidP="006533FF">
      <w:pPr>
        <w:spacing w:before="100" w:beforeAutospacing="1" w:after="100" w:afterAutospacing="1" w:line="360" w:lineRule="auto"/>
        <w:outlineLvl w:val="3"/>
        <w:rPr>
          <w:rFonts w:ascii="Times New Roman" w:hAnsi="Times New Roman"/>
          <w:b/>
          <w:bCs/>
          <w:lang w:val="en-HK"/>
        </w:rPr>
      </w:pPr>
      <w:r w:rsidRPr="006533FF">
        <w:rPr>
          <w:rFonts w:ascii="Times New Roman" w:hAnsi="Times New Roman"/>
          <w:b/>
          <w:bCs/>
          <w:lang w:val="en-HK"/>
        </w:rPr>
        <w:t>C. Challenges in Applying Remedies</w:t>
      </w:r>
    </w:p>
    <w:p w14:paraId="1DEA97D7"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lastRenderedPageBreak/>
        <w:t xml:space="preserve">The horizontal direct effect of Treaty provisions raises questions about whether remedies such as damages are available against private actors. For instance, in cases involving trade unions, it is unclear whether liability principles, as in </w:t>
      </w:r>
      <w:r w:rsidRPr="006533FF">
        <w:rPr>
          <w:rFonts w:ascii="Times New Roman" w:hAnsi="Times New Roman"/>
          <w:i/>
          <w:iCs/>
          <w:lang w:val="en-HK"/>
        </w:rPr>
        <w:t>Factortame III</w:t>
      </w:r>
      <w:r w:rsidRPr="006533FF">
        <w:rPr>
          <w:rFonts w:ascii="Times New Roman" w:hAnsi="Times New Roman"/>
          <w:lang w:val="en-HK"/>
        </w:rPr>
        <w:t>, apply.</w:t>
      </w:r>
    </w:p>
    <w:p w14:paraId="4BCFC3E2" w14:textId="77777777" w:rsidR="006533FF" w:rsidRPr="006533FF" w:rsidRDefault="00DE4581" w:rsidP="006533FF">
      <w:pPr>
        <w:spacing w:line="360" w:lineRule="auto"/>
        <w:rPr>
          <w:rFonts w:ascii="Times New Roman" w:hAnsi="Times New Roman"/>
          <w:lang w:val="en-HK"/>
        </w:rPr>
      </w:pPr>
      <w:r w:rsidRPr="00DE4581">
        <w:rPr>
          <w:rFonts w:ascii="Times New Roman" w:hAnsi="Times New Roman"/>
          <w:noProof/>
          <w:lang w:val="en-HK"/>
          <w14:ligatures w14:val="standardContextual"/>
        </w:rPr>
        <w:pict w14:anchorId="14EBD484">
          <v:rect id="_x0000_i1034" alt="" style="width:451.3pt;height:.05pt;mso-width-percent:0;mso-height-percent:0;mso-width-percent:0;mso-height-percent:0" o:hralign="center" o:hrstd="t" o:hr="t" fillcolor="#a0a0a0" stroked="f"/>
        </w:pict>
      </w:r>
    </w:p>
    <w:p w14:paraId="7C9A9874" w14:textId="77777777" w:rsidR="006533FF" w:rsidRPr="006533FF" w:rsidRDefault="006533FF" w:rsidP="006533FF">
      <w:pPr>
        <w:spacing w:before="100" w:beforeAutospacing="1" w:after="100" w:afterAutospacing="1" w:line="360" w:lineRule="auto"/>
        <w:outlineLvl w:val="2"/>
        <w:rPr>
          <w:rFonts w:ascii="Times New Roman" w:hAnsi="Times New Roman"/>
          <w:b/>
          <w:bCs/>
          <w:lang w:val="en-HK"/>
        </w:rPr>
      </w:pPr>
      <w:r w:rsidRPr="006533FF">
        <w:rPr>
          <w:rFonts w:ascii="Times New Roman" w:hAnsi="Times New Roman"/>
          <w:b/>
          <w:bCs/>
          <w:lang w:val="en-HK"/>
        </w:rPr>
        <w:t>Scholarly and Judicial Commentary</w:t>
      </w:r>
    </w:p>
    <w:p w14:paraId="51D794CC" w14:textId="77777777" w:rsidR="006533FF" w:rsidRPr="006533FF" w:rsidRDefault="006533FF" w:rsidP="006533FF">
      <w:pPr>
        <w:numPr>
          <w:ilvl w:val="0"/>
          <w:numId w:val="37"/>
        </w:num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Catherine Barnard</w:t>
      </w:r>
      <w:r w:rsidRPr="006533FF">
        <w:rPr>
          <w:rFonts w:ascii="Times New Roman" w:hAnsi="Times New Roman"/>
          <w:lang w:val="en-HK"/>
        </w:rPr>
        <w:t>:</w:t>
      </w:r>
    </w:p>
    <w:p w14:paraId="56743D49"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Barnard emphasizes the transformative potential of horizontal direct effect, particularly in ensuring equal treatment across public and private sectors. She notes the Court’s focus on preventing inequality in the application of free movement rules.</w:t>
      </w:r>
    </w:p>
    <w:p w14:paraId="445FF7EE" w14:textId="77777777" w:rsidR="006533FF" w:rsidRPr="006533FF" w:rsidRDefault="006533FF" w:rsidP="006533FF">
      <w:pPr>
        <w:numPr>
          <w:ilvl w:val="0"/>
          <w:numId w:val="37"/>
        </w:num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Advocate General Maduro (Viking)</w:t>
      </w:r>
      <w:r w:rsidRPr="006533FF">
        <w:rPr>
          <w:rFonts w:ascii="Times New Roman" w:hAnsi="Times New Roman"/>
          <w:lang w:val="en-HK"/>
        </w:rPr>
        <w:t>:</w:t>
      </w:r>
    </w:p>
    <w:p w14:paraId="30B73A35"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Maduro argued that Treaty provisions should apply horizontally when private actions effectively restrict free movement. He highlighted that private actors, such as trade unions, could wield significant power to impede fundamental freedoms.</w:t>
      </w:r>
    </w:p>
    <w:p w14:paraId="0040C771" w14:textId="77777777" w:rsidR="006533FF" w:rsidRPr="006533FF" w:rsidRDefault="006533FF" w:rsidP="006533FF">
      <w:pPr>
        <w:numPr>
          <w:ilvl w:val="0"/>
          <w:numId w:val="37"/>
        </w:num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Critiques of Horizontal Application</w:t>
      </w:r>
      <w:r w:rsidRPr="006533FF">
        <w:rPr>
          <w:rFonts w:ascii="Times New Roman" w:hAnsi="Times New Roman"/>
          <w:lang w:val="en-HK"/>
        </w:rPr>
        <w:t>:</w:t>
      </w:r>
    </w:p>
    <w:p w14:paraId="502FF8C4"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Scholars and judges have expressed concerns about the uncertainty introduced by horizontal direct effect. They caution that extending Treaty provisions to private parties could blur the lines between public and private regulation.</w:t>
      </w:r>
    </w:p>
    <w:p w14:paraId="5B675251" w14:textId="77777777" w:rsidR="006533FF" w:rsidRPr="006533FF" w:rsidRDefault="00DE4581" w:rsidP="006533FF">
      <w:pPr>
        <w:spacing w:line="360" w:lineRule="auto"/>
        <w:rPr>
          <w:rFonts w:ascii="Times New Roman" w:hAnsi="Times New Roman"/>
          <w:lang w:val="en-HK"/>
        </w:rPr>
      </w:pPr>
      <w:r w:rsidRPr="00DE4581">
        <w:rPr>
          <w:rFonts w:ascii="Times New Roman" w:hAnsi="Times New Roman"/>
          <w:noProof/>
          <w:lang w:val="en-HK"/>
          <w14:ligatures w14:val="standardContextual"/>
        </w:rPr>
        <w:pict w14:anchorId="36447EE8">
          <v:rect id="_x0000_i1033" alt="" style="width:451.3pt;height:.05pt;mso-width-percent:0;mso-height-percent:0;mso-width-percent:0;mso-height-percent:0" o:hralign="center" o:hrstd="t" o:hr="t" fillcolor="#a0a0a0" stroked="f"/>
        </w:pict>
      </w:r>
    </w:p>
    <w:p w14:paraId="25CDD0DC" w14:textId="77777777" w:rsidR="006533FF" w:rsidRPr="006533FF" w:rsidRDefault="006533FF" w:rsidP="006533FF">
      <w:pPr>
        <w:spacing w:before="100" w:beforeAutospacing="1" w:after="100" w:afterAutospacing="1" w:line="360" w:lineRule="auto"/>
        <w:outlineLvl w:val="2"/>
        <w:rPr>
          <w:rFonts w:ascii="Times New Roman" w:hAnsi="Times New Roman"/>
          <w:b/>
          <w:bCs/>
          <w:lang w:val="en-HK"/>
        </w:rPr>
      </w:pPr>
      <w:r w:rsidRPr="006533FF">
        <w:rPr>
          <w:rFonts w:ascii="Times New Roman" w:hAnsi="Times New Roman"/>
          <w:b/>
          <w:bCs/>
          <w:lang w:val="en-HK"/>
        </w:rPr>
        <w:t>Conclusion</w:t>
      </w:r>
    </w:p>
    <w:p w14:paraId="63D23CD2"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 xml:space="preserve">The question of whether Treaty provisions on free movement can be invoked against a defendant depends on the direct effect (vertical or horizontal) of the provisions. The CJEU’s rulings in cases like </w:t>
      </w:r>
      <w:r w:rsidRPr="006533FF">
        <w:rPr>
          <w:rFonts w:ascii="Times New Roman" w:hAnsi="Times New Roman"/>
          <w:i/>
          <w:iCs/>
          <w:lang w:val="en-HK"/>
        </w:rPr>
        <w:t xml:space="preserve">Van </w:t>
      </w:r>
      <w:proofErr w:type="spellStart"/>
      <w:r w:rsidRPr="006533FF">
        <w:rPr>
          <w:rFonts w:ascii="Times New Roman" w:hAnsi="Times New Roman"/>
          <w:i/>
          <w:iCs/>
          <w:lang w:val="en-HK"/>
        </w:rPr>
        <w:t>Duyn</w:t>
      </w:r>
      <w:proofErr w:type="spellEnd"/>
      <w:r w:rsidRPr="006533FF">
        <w:rPr>
          <w:rFonts w:ascii="Times New Roman" w:hAnsi="Times New Roman"/>
          <w:lang w:val="en-HK"/>
        </w:rPr>
        <w:t xml:space="preserve">, </w:t>
      </w:r>
      <w:proofErr w:type="spellStart"/>
      <w:r w:rsidRPr="006533FF">
        <w:rPr>
          <w:rFonts w:ascii="Times New Roman" w:hAnsi="Times New Roman"/>
          <w:i/>
          <w:iCs/>
          <w:lang w:val="en-HK"/>
        </w:rPr>
        <w:t>Angonese</w:t>
      </w:r>
      <w:proofErr w:type="spellEnd"/>
      <w:r w:rsidRPr="006533FF">
        <w:rPr>
          <w:rFonts w:ascii="Times New Roman" w:hAnsi="Times New Roman"/>
          <w:lang w:val="en-HK"/>
        </w:rPr>
        <w:t xml:space="preserve">, and </w:t>
      </w:r>
      <w:r w:rsidRPr="006533FF">
        <w:rPr>
          <w:rFonts w:ascii="Times New Roman" w:hAnsi="Times New Roman"/>
          <w:i/>
          <w:iCs/>
          <w:lang w:val="en-HK"/>
        </w:rPr>
        <w:t>Factortame III</w:t>
      </w:r>
      <w:r w:rsidRPr="006533FF">
        <w:rPr>
          <w:rFonts w:ascii="Times New Roman" w:hAnsi="Times New Roman"/>
          <w:lang w:val="en-HK"/>
        </w:rPr>
        <w:t xml:space="preserve"> establish clear principles for state liability and the application of these provisions against public authorities. However, the horizontal application of free movement rules remains an evolving area of law, raising complex questions about remedies and the balance of power between public and private actors. The Court’s jurisprudence reflects a commitment to ensuring the effective </w:t>
      </w:r>
      <w:r w:rsidRPr="006533FF">
        <w:rPr>
          <w:rFonts w:ascii="Times New Roman" w:hAnsi="Times New Roman"/>
          <w:lang w:val="en-HK"/>
        </w:rPr>
        <w:lastRenderedPageBreak/>
        <w:t>enforcement of free movement rights while navigating the challenges posed by this expanding scope.</w:t>
      </w:r>
    </w:p>
    <w:p w14:paraId="4F86D1A8" w14:textId="00019825" w:rsidR="006533FF" w:rsidRPr="006533FF" w:rsidRDefault="00DE4581" w:rsidP="006533FF">
      <w:pPr>
        <w:spacing w:before="100" w:beforeAutospacing="1" w:after="100" w:afterAutospacing="1" w:line="360" w:lineRule="auto"/>
        <w:outlineLvl w:val="2"/>
        <w:rPr>
          <w:rFonts w:ascii="Times New Roman" w:hAnsi="Times New Roman"/>
          <w:b/>
          <w:bCs/>
          <w:lang w:val="en-HK"/>
        </w:rPr>
      </w:pPr>
      <w:r w:rsidRPr="00DE4581">
        <w:rPr>
          <w:rFonts w:ascii="Times New Roman" w:hAnsi="Times New Roman"/>
          <w:noProof/>
          <w:lang w:val="en-HK"/>
          <w14:ligatures w14:val="standardContextual"/>
        </w:rPr>
        <w:pict w14:anchorId="54133CC0">
          <v:rect id="_x0000_i1032" alt="" style="width:451.3pt;height:.05pt;mso-width-percent:0;mso-height-percent:0;mso-width-percent:0;mso-height-percent:0" o:hralign="center" o:hrstd="t" o:hr="t" fillcolor="#a0a0a0" stroked="f"/>
        </w:pict>
      </w:r>
      <w:r w:rsidR="006533FF" w:rsidRPr="006533FF">
        <w:rPr>
          <w:rFonts w:ascii="Times New Roman" w:hAnsi="Times New Roman"/>
          <w:b/>
          <w:bCs/>
          <w:lang w:val="en-HK"/>
        </w:rPr>
        <w:t xml:space="preserve"> Section F: Conclusions</w:t>
      </w:r>
    </w:p>
    <w:p w14:paraId="05AD5C51" w14:textId="58366250"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This section synthesizes the development of EU jurisprudence on free movement of persons and evaluates the shift from a discrimination-based model to a market access approach. It also highlights the broader implications of this evolution on Member State autonomy and EU integration.</w:t>
      </w:r>
    </w:p>
    <w:p w14:paraId="66BB3DBB" w14:textId="77777777" w:rsidR="006533FF" w:rsidRPr="006533FF" w:rsidRDefault="006533FF" w:rsidP="006533FF">
      <w:pPr>
        <w:spacing w:before="100" w:beforeAutospacing="1" w:after="100" w:afterAutospacing="1" w:line="360" w:lineRule="auto"/>
        <w:outlineLvl w:val="2"/>
        <w:rPr>
          <w:rFonts w:ascii="Times New Roman" w:hAnsi="Times New Roman"/>
          <w:b/>
          <w:bCs/>
          <w:lang w:val="en-HK"/>
        </w:rPr>
      </w:pPr>
      <w:r w:rsidRPr="006533FF">
        <w:rPr>
          <w:rFonts w:ascii="Times New Roman" w:hAnsi="Times New Roman"/>
          <w:b/>
          <w:bCs/>
          <w:lang w:val="en-HK"/>
        </w:rPr>
        <w:t>1. The Evolution of Free Movement Rights</w:t>
      </w:r>
    </w:p>
    <w:p w14:paraId="383C2983" w14:textId="77777777" w:rsidR="006533FF" w:rsidRPr="006533FF" w:rsidRDefault="006533FF" w:rsidP="006533FF">
      <w:pPr>
        <w:spacing w:before="100" w:beforeAutospacing="1" w:after="100" w:afterAutospacing="1" w:line="360" w:lineRule="auto"/>
        <w:outlineLvl w:val="3"/>
        <w:rPr>
          <w:rFonts w:ascii="Times New Roman" w:hAnsi="Times New Roman"/>
          <w:b/>
          <w:bCs/>
          <w:lang w:val="en-HK"/>
        </w:rPr>
      </w:pPr>
      <w:r w:rsidRPr="006533FF">
        <w:rPr>
          <w:rFonts w:ascii="Times New Roman" w:hAnsi="Times New Roman"/>
          <w:b/>
          <w:bCs/>
          <w:lang w:val="en-HK"/>
        </w:rPr>
        <w:t>A. From Economic Activity to Citizenship</w:t>
      </w:r>
    </w:p>
    <w:p w14:paraId="77115F14" w14:textId="77777777" w:rsidR="006533FF" w:rsidRPr="006533FF" w:rsidRDefault="006533FF" w:rsidP="006533FF">
      <w:pPr>
        <w:numPr>
          <w:ilvl w:val="0"/>
          <w:numId w:val="38"/>
        </w:num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Early Framework</w:t>
      </w:r>
      <w:r w:rsidRPr="006533FF">
        <w:rPr>
          <w:rFonts w:ascii="Times New Roman" w:hAnsi="Times New Roman"/>
          <w:lang w:val="en-HK"/>
        </w:rPr>
        <w:t>:</w:t>
      </w:r>
    </w:p>
    <w:p w14:paraId="70796FF5"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Initially, the free movement of persons was tied to economic activity, focusing on workers, self-employed persons, and service providers under Articles 45, 49, and 56 TFEU.</w:t>
      </w:r>
    </w:p>
    <w:p w14:paraId="7DC90735"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 xml:space="preserve">This was reflective of the Treaty of Rome’s emphasis on facilitating </w:t>
      </w:r>
      <w:proofErr w:type="spellStart"/>
      <w:r w:rsidRPr="006533FF">
        <w:rPr>
          <w:rFonts w:ascii="Times New Roman" w:hAnsi="Times New Roman"/>
          <w:lang w:val="en-HK"/>
        </w:rPr>
        <w:t>labor</w:t>
      </w:r>
      <w:proofErr w:type="spellEnd"/>
      <w:r w:rsidRPr="006533FF">
        <w:rPr>
          <w:rFonts w:ascii="Times New Roman" w:hAnsi="Times New Roman"/>
          <w:lang w:val="en-HK"/>
        </w:rPr>
        <w:t xml:space="preserve"> mobility as a means of economic integration.</w:t>
      </w:r>
    </w:p>
    <w:p w14:paraId="24266A2D" w14:textId="77777777" w:rsidR="006533FF" w:rsidRPr="006533FF" w:rsidRDefault="006533FF" w:rsidP="006533FF">
      <w:pPr>
        <w:numPr>
          <w:ilvl w:val="0"/>
          <w:numId w:val="38"/>
        </w:num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Union Citizenship and Article 21 TFEU</w:t>
      </w:r>
      <w:r w:rsidRPr="006533FF">
        <w:rPr>
          <w:rFonts w:ascii="Times New Roman" w:hAnsi="Times New Roman"/>
          <w:lang w:val="en-HK"/>
        </w:rPr>
        <w:t>:</w:t>
      </w:r>
    </w:p>
    <w:p w14:paraId="70C405CE"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The introduction of Union citizenship in the Maastricht Treaty marked a paradigm shift, detaching free movement rights from economic activity.</w:t>
      </w:r>
    </w:p>
    <w:p w14:paraId="2B1F984A"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 xml:space="preserve">The </w:t>
      </w:r>
      <w:proofErr w:type="spellStart"/>
      <w:r w:rsidRPr="006533FF">
        <w:rPr>
          <w:rFonts w:ascii="Times New Roman" w:hAnsi="Times New Roman"/>
          <w:b/>
          <w:bCs/>
          <w:lang w:val="en-HK"/>
        </w:rPr>
        <w:t>Grzelczyk</w:t>
      </w:r>
      <w:proofErr w:type="spellEnd"/>
      <w:r w:rsidRPr="006533FF">
        <w:rPr>
          <w:rFonts w:ascii="Times New Roman" w:hAnsi="Times New Roman"/>
          <w:b/>
          <w:bCs/>
          <w:lang w:val="en-HK"/>
        </w:rPr>
        <w:t xml:space="preserve"> (Case C-184/99)</w:t>
      </w:r>
      <w:r w:rsidRPr="006533FF">
        <w:rPr>
          <w:rFonts w:ascii="Times New Roman" w:hAnsi="Times New Roman"/>
          <w:lang w:val="en-HK"/>
        </w:rPr>
        <w:t xml:space="preserve"> judgment underscored this transformation, describing Union citizenship as the "fundamental status" of nationals of Member States.</w:t>
      </w:r>
    </w:p>
    <w:p w14:paraId="76220A4C"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Directive 2004/38 further consolidated and expanded these rights, allowing greater residence and movement freedoms even for non-economically active individuals.</w:t>
      </w:r>
    </w:p>
    <w:p w14:paraId="12F20763" w14:textId="77777777" w:rsidR="006533FF" w:rsidRPr="006533FF" w:rsidRDefault="00DE4581" w:rsidP="006533FF">
      <w:pPr>
        <w:spacing w:line="360" w:lineRule="auto"/>
        <w:rPr>
          <w:rFonts w:ascii="Times New Roman" w:hAnsi="Times New Roman"/>
          <w:lang w:val="en-HK"/>
        </w:rPr>
      </w:pPr>
      <w:r w:rsidRPr="00DE4581">
        <w:rPr>
          <w:rFonts w:ascii="Times New Roman" w:hAnsi="Times New Roman"/>
          <w:noProof/>
          <w:lang w:val="en-HK"/>
          <w14:ligatures w14:val="standardContextual"/>
        </w:rPr>
        <w:pict w14:anchorId="38D5EB02">
          <v:rect id="_x0000_i1031" alt="" style="width:451.3pt;height:.05pt;mso-width-percent:0;mso-height-percent:0;mso-width-percent:0;mso-height-percent:0" o:hralign="center" o:hrstd="t" o:hr="t" fillcolor="#a0a0a0" stroked="f"/>
        </w:pict>
      </w:r>
    </w:p>
    <w:p w14:paraId="6A122B84" w14:textId="77777777" w:rsidR="006533FF" w:rsidRPr="006533FF" w:rsidRDefault="006533FF" w:rsidP="006533FF">
      <w:pPr>
        <w:spacing w:before="100" w:beforeAutospacing="1" w:after="100" w:afterAutospacing="1" w:line="360" w:lineRule="auto"/>
        <w:outlineLvl w:val="3"/>
        <w:rPr>
          <w:rFonts w:ascii="Times New Roman" w:hAnsi="Times New Roman"/>
          <w:b/>
          <w:bCs/>
          <w:lang w:val="en-HK"/>
        </w:rPr>
      </w:pPr>
      <w:r w:rsidRPr="006533FF">
        <w:rPr>
          <w:rFonts w:ascii="Times New Roman" w:hAnsi="Times New Roman"/>
          <w:b/>
          <w:bCs/>
          <w:lang w:val="en-HK"/>
        </w:rPr>
        <w:t>B. The Court’s Jurisprudence: From Discrimination to Market Access</w:t>
      </w:r>
    </w:p>
    <w:p w14:paraId="561C5CE4" w14:textId="77777777" w:rsidR="006533FF" w:rsidRPr="006533FF" w:rsidRDefault="006533FF" w:rsidP="006533FF">
      <w:pPr>
        <w:numPr>
          <w:ilvl w:val="0"/>
          <w:numId w:val="39"/>
        </w:num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lastRenderedPageBreak/>
        <w:t>Discrimination Model</w:t>
      </w:r>
      <w:r w:rsidRPr="006533FF">
        <w:rPr>
          <w:rFonts w:ascii="Times New Roman" w:hAnsi="Times New Roman"/>
          <w:lang w:val="en-HK"/>
        </w:rPr>
        <w:t>:</w:t>
      </w:r>
    </w:p>
    <w:p w14:paraId="19246CEC"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Historically, the principle of non-discrimination on grounds of nationality (Articles 18 and 45 TFEU) formed the cornerstone of free movement rights.</w:t>
      </w:r>
    </w:p>
    <w:p w14:paraId="25736843"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 xml:space="preserve">The Court distinguished between direct discrimination (e.g., </w:t>
      </w:r>
      <w:proofErr w:type="spellStart"/>
      <w:r w:rsidRPr="006533FF">
        <w:rPr>
          <w:rFonts w:ascii="Times New Roman" w:hAnsi="Times New Roman"/>
          <w:i/>
          <w:iCs/>
          <w:lang w:val="en-HK"/>
        </w:rPr>
        <w:t>Reyners</w:t>
      </w:r>
      <w:proofErr w:type="spellEnd"/>
      <w:r w:rsidRPr="006533FF">
        <w:rPr>
          <w:rFonts w:ascii="Times New Roman" w:hAnsi="Times New Roman"/>
          <w:i/>
          <w:iCs/>
          <w:lang w:val="en-HK"/>
        </w:rPr>
        <w:t xml:space="preserve"> v Belgium</w:t>
      </w:r>
      <w:r w:rsidRPr="006533FF">
        <w:rPr>
          <w:rFonts w:ascii="Times New Roman" w:hAnsi="Times New Roman"/>
          <w:lang w:val="en-HK"/>
        </w:rPr>
        <w:t xml:space="preserve">, Case 2/74) and indirect discrimination (e.g., </w:t>
      </w:r>
      <w:proofErr w:type="spellStart"/>
      <w:r w:rsidRPr="006533FF">
        <w:rPr>
          <w:rFonts w:ascii="Times New Roman" w:hAnsi="Times New Roman"/>
          <w:i/>
          <w:iCs/>
          <w:lang w:val="en-HK"/>
        </w:rPr>
        <w:t>Sotgiu</w:t>
      </w:r>
      <w:proofErr w:type="spellEnd"/>
      <w:r w:rsidRPr="006533FF">
        <w:rPr>
          <w:rFonts w:ascii="Times New Roman" w:hAnsi="Times New Roman"/>
          <w:i/>
          <w:iCs/>
          <w:lang w:val="en-HK"/>
        </w:rPr>
        <w:t xml:space="preserve"> v Deutsche </w:t>
      </w:r>
      <w:proofErr w:type="spellStart"/>
      <w:r w:rsidRPr="006533FF">
        <w:rPr>
          <w:rFonts w:ascii="Times New Roman" w:hAnsi="Times New Roman"/>
          <w:i/>
          <w:iCs/>
          <w:lang w:val="en-HK"/>
        </w:rPr>
        <w:t>Bundespost</w:t>
      </w:r>
      <w:proofErr w:type="spellEnd"/>
      <w:r w:rsidRPr="006533FF">
        <w:rPr>
          <w:rFonts w:ascii="Times New Roman" w:hAnsi="Times New Roman"/>
          <w:lang w:val="en-HK"/>
        </w:rPr>
        <w:t>, Case 152/73), both of which were prohibited unless objectively justified.</w:t>
      </w:r>
    </w:p>
    <w:p w14:paraId="5773939A" w14:textId="77777777" w:rsidR="006533FF" w:rsidRPr="006533FF" w:rsidRDefault="006533FF" w:rsidP="006533FF">
      <w:pPr>
        <w:numPr>
          <w:ilvl w:val="0"/>
          <w:numId w:val="39"/>
        </w:num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Market Access Approach</w:t>
      </w:r>
      <w:r w:rsidRPr="006533FF">
        <w:rPr>
          <w:rFonts w:ascii="Times New Roman" w:hAnsi="Times New Roman"/>
          <w:lang w:val="en-HK"/>
        </w:rPr>
        <w:t>:</w:t>
      </w:r>
    </w:p>
    <w:p w14:paraId="07F25CCE"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The Court expanded its analysis to include non-discriminatory measures that impede market access. This reflects a broader commitment to removing obstacles to free movement.</w:t>
      </w:r>
    </w:p>
    <w:p w14:paraId="77DF06DA"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Key Cases</w:t>
      </w:r>
      <w:r w:rsidRPr="006533FF">
        <w:rPr>
          <w:rFonts w:ascii="Times New Roman" w:hAnsi="Times New Roman"/>
          <w:lang w:val="en-HK"/>
        </w:rPr>
        <w:t>:</w:t>
      </w:r>
    </w:p>
    <w:p w14:paraId="4216C5FE"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Alpine Investments (Case C-384/93)</w:t>
      </w:r>
      <w:r w:rsidRPr="006533FF">
        <w:rPr>
          <w:rFonts w:ascii="Times New Roman" w:hAnsi="Times New Roman"/>
          <w:lang w:val="en-HK"/>
        </w:rPr>
        <w:t>:</w:t>
      </w:r>
    </w:p>
    <w:p w14:paraId="7EB67138"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The Court invalidated a Dutch law banning cold-calling, as it restricted cross-border access to financial services markets.</w:t>
      </w:r>
    </w:p>
    <w:p w14:paraId="38226A47" w14:textId="77777777" w:rsidR="006533FF" w:rsidRPr="006533FF" w:rsidRDefault="006533FF" w:rsidP="006533FF">
      <w:pPr>
        <w:spacing w:before="100" w:beforeAutospacing="1" w:after="100" w:afterAutospacing="1" w:line="360" w:lineRule="auto"/>
        <w:rPr>
          <w:rFonts w:ascii="Times New Roman" w:hAnsi="Times New Roman"/>
          <w:lang w:val="en-HK"/>
        </w:rPr>
      </w:pPr>
      <w:proofErr w:type="spellStart"/>
      <w:r w:rsidRPr="006533FF">
        <w:rPr>
          <w:rFonts w:ascii="Times New Roman" w:hAnsi="Times New Roman"/>
          <w:b/>
          <w:bCs/>
          <w:lang w:val="en-HK"/>
        </w:rPr>
        <w:t>Säger</w:t>
      </w:r>
      <w:proofErr w:type="spellEnd"/>
      <w:r w:rsidRPr="006533FF">
        <w:rPr>
          <w:rFonts w:ascii="Times New Roman" w:hAnsi="Times New Roman"/>
          <w:b/>
          <w:bCs/>
          <w:lang w:val="en-HK"/>
        </w:rPr>
        <w:t xml:space="preserve"> (Case C-76/90)</w:t>
      </w:r>
      <w:r w:rsidRPr="006533FF">
        <w:rPr>
          <w:rFonts w:ascii="Times New Roman" w:hAnsi="Times New Roman"/>
          <w:lang w:val="en-HK"/>
        </w:rPr>
        <w:t>:</w:t>
      </w:r>
    </w:p>
    <w:p w14:paraId="1B540614"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The Court held that Article 56 TFEU prohibits restrictions that are liable to impede or render the provision of services less attractive, even if applied non-discriminatorily.</w:t>
      </w:r>
    </w:p>
    <w:p w14:paraId="0179F068"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Kraus (Case C-19/92)</w:t>
      </w:r>
      <w:r w:rsidRPr="006533FF">
        <w:rPr>
          <w:rFonts w:ascii="Times New Roman" w:hAnsi="Times New Roman"/>
          <w:lang w:val="en-HK"/>
        </w:rPr>
        <w:t>:</w:t>
      </w:r>
    </w:p>
    <w:p w14:paraId="3E086FAB"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A German rule requiring prior authorization for foreign academic titles was found to restrict free movement and was subject to a proportionality test.</w:t>
      </w:r>
    </w:p>
    <w:p w14:paraId="64B0BB34" w14:textId="77777777" w:rsidR="006533FF" w:rsidRPr="006533FF" w:rsidRDefault="00DE4581" w:rsidP="006533FF">
      <w:pPr>
        <w:spacing w:line="360" w:lineRule="auto"/>
        <w:rPr>
          <w:rFonts w:ascii="Times New Roman" w:hAnsi="Times New Roman"/>
          <w:lang w:val="en-HK"/>
        </w:rPr>
      </w:pPr>
      <w:r w:rsidRPr="00DE4581">
        <w:rPr>
          <w:rFonts w:ascii="Times New Roman" w:hAnsi="Times New Roman"/>
          <w:noProof/>
          <w:lang w:val="en-HK"/>
          <w14:ligatures w14:val="standardContextual"/>
        </w:rPr>
        <w:pict w14:anchorId="01A57755">
          <v:rect id="_x0000_i1030" alt="" style="width:451.3pt;height:.05pt;mso-width-percent:0;mso-height-percent:0;mso-width-percent:0;mso-height-percent:0" o:hralign="center" o:hrstd="t" o:hr="t" fillcolor="#a0a0a0" stroked="f"/>
        </w:pict>
      </w:r>
    </w:p>
    <w:p w14:paraId="6B0A9527" w14:textId="77777777" w:rsidR="006533FF" w:rsidRPr="006533FF" w:rsidRDefault="006533FF" w:rsidP="006533FF">
      <w:pPr>
        <w:spacing w:before="100" w:beforeAutospacing="1" w:after="100" w:afterAutospacing="1" w:line="360" w:lineRule="auto"/>
        <w:outlineLvl w:val="2"/>
        <w:rPr>
          <w:rFonts w:ascii="Times New Roman" w:hAnsi="Times New Roman"/>
          <w:b/>
          <w:bCs/>
          <w:lang w:val="en-HK"/>
        </w:rPr>
      </w:pPr>
      <w:r w:rsidRPr="006533FF">
        <w:rPr>
          <w:rFonts w:ascii="Times New Roman" w:hAnsi="Times New Roman"/>
          <w:b/>
          <w:bCs/>
          <w:lang w:val="en-HK"/>
        </w:rPr>
        <w:t>2. Implications of the Market Access Approach</w:t>
      </w:r>
    </w:p>
    <w:p w14:paraId="1008DC27" w14:textId="77777777" w:rsidR="006533FF" w:rsidRPr="006533FF" w:rsidRDefault="006533FF" w:rsidP="006533FF">
      <w:pPr>
        <w:spacing w:before="100" w:beforeAutospacing="1" w:after="100" w:afterAutospacing="1" w:line="360" w:lineRule="auto"/>
        <w:outlineLvl w:val="3"/>
        <w:rPr>
          <w:rFonts w:ascii="Times New Roman" w:hAnsi="Times New Roman"/>
          <w:b/>
          <w:bCs/>
          <w:u w:val="single"/>
          <w:lang w:val="en-HK"/>
        </w:rPr>
      </w:pPr>
      <w:r w:rsidRPr="006533FF">
        <w:rPr>
          <w:rFonts w:ascii="Times New Roman" w:hAnsi="Times New Roman"/>
          <w:b/>
          <w:bCs/>
          <w:lang w:val="en-HK"/>
        </w:rPr>
        <w:t xml:space="preserve">A. </w:t>
      </w:r>
      <w:r w:rsidRPr="006533FF">
        <w:rPr>
          <w:rFonts w:ascii="Times New Roman" w:hAnsi="Times New Roman"/>
          <w:b/>
          <w:bCs/>
          <w:u w:val="single"/>
          <w:lang w:val="en-HK"/>
        </w:rPr>
        <w:t>Increased Union Intervention</w:t>
      </w:r>
    </w:p>
    <w:p w14:paraId="3EF275B2"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lastRenderedPageBreak/>
        <w:t>The market access approach represents a significant policy shift toward greater EU intervention in national regulatory autonomy. By addressing non-discriminatory measures, the Court has expanded the scope of EU law to include rules that were previously within the exclusive competence of Member States.</w:t>
      </w:r>
    </w:p>
    <w:p w14:paraId="769A09F9"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Barnard’s Critique</w:t>
      </w:r>
      <w:r w:rsidRPr="006533FF">
        <w:rPr>
          <w:rFonts w:ascii="Times New Roman" w:hAnsi="Times New Roman"/>
          <w:lang w:val="en-HK"/>
        </w:rPr>
        <w:t>:</w:t>
      </w:r>
    </w:p>
    <w:p w14:paraId="0E7D8D45"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Catherine Barnard highlights the potential for this approach to undermine the principle of subsidiarity. She notes that the lack of clear thresholds for what constitutes a "restriction" creates uncertainty and broadens the scope of EU oversight.</w:t>
      </w:r>
    </w:p>
    <w:p w14:paraId="01A154A1" w14:textId="77777777" w:rsidR="006533FF" w:rsidRPr="006533FF" w:rsidRDefault="00DE4581" w:rsidP="006533FF">
      <w:pPr>
        <w:spacing w:line="360" w:lineRule="auto"/>
        <w:rPr>
          <w:rFonts w:ascii="Times New Roman" w:hAnsi="Times New Roman"/>
          <w:lang w:val="en-HK"/>
        </w:rPr>
      </w:pPr>
      <w:r w:rsidRPr="00DE4581">
        <w:rPr>
          <w:rFonts w:ascii="Times New Roman" w:hAnsi="Times New Roman"/>
          <w:noProof/>
          <w:lang w:val="en-HK"/>
          <w14:ligatures w14:val="standardContextual"/>
        </w:rPr>
        <w:pict w14:anchorId="43DFB5EB">
          <v:rect id="_x0000_i1029" alt="" style="width:451.3pt;height:.05pt;mso-width-percent:0;mso-height-percent:0;mso-width-percent:0;mso-height-percent:0" o:hralign="center" o:hrstd="t" o:hr="t" fillcolor="#a0a0a0" stroked="f"/>
        </w:pict>
      </w:r>
    </w:p>
    <w:p w14:paraId="25385FAF" w14:textId="77777777" w:rsidR="006533FF" w:rsidRPr="006533FF" w:rsidRDefault="006533FF" w:rsidP="006533FF">
      <w:pPr>
        <w:spacing w:before="100" w:beforeAutospacing="1" w:after="100" w:afterAutospacing="1" w:line="360" w:lineRule="auto"/>
        <w:outlineLvl w:val="3"/>
        <w:rPr>
          <w:rFonts w:ascii="Times New Roman" w:hAnsi="Times New Roman"/>
          <w:b/>
          <w:bCs/>
          <w:lang w:val="en-HK"/>
        </w:rPr>
      </w:pPr>
      <w:r w:rsidRPr="006533FF">
        <w:rPr>
          <w:rFonts w:ascii="Times New Roman" w:hAnsi="Times New Roman"/>
          <w:b/>
          <w:bCs/>
          <w:lang w:val="en-HK"/>
        </w:rPr>
        <w:t>B. Balancing Fundamental Freedoms and Member State Autonomy</w:t>
      </w:r>
    </w:p>
    <w:p w14:paraId="7EBB8314" w14:textId="77777777" w:rsidR="006533FF" w:rsidRPr="006533FF" w:rsidRDefault="006533FF" w:rsidP="006533FF">
      <w:pPr>
        <w:numPr>
          <w:ilvl w:val="0"/>
          <w:numId w:val="41"/>
        </w:num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Proportionality as a Safeguard</w:t>
      </w:r>
      <w:r w:rsidRPr="006533FF">
        <w:rPr>
          <w:rFonts w:ascii="Times New Roman" w:hAnsi="Times New Roman"/>
          <w:lang w:val="en-HK"/>
        </w:rPr>
        <w:t>:</w:t>
      </w:r>
    </w:p>
    <w:p w14:paraId="7AA09F0B"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The Court uses the principle of proportionality to balance the objectives of market integration with the legitimate regulatory interests of Member States.</w:t>
      </w:r>
    </w:p>
    <w:p w14:paraId="7F026C7E"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Examples</w:t>
      </w:r>
      <w:r w:rsidRPr="006533FF">
        <w:rPr>
          <w:rFonts w:ascii="Times New Roman" w:hAnsi="Times New Roman"/>
          <w:lang w:val="en-HK"/>
        </w:rPr>
        <w:t>:</w:t>
      </w:r>
    </w:p>
    <w:p w14:paraId="1B091596" w14:textId="77777777" w:rsidR="006533FF" w:rsidRPr="006533FF" w:rsidRDefault="006533FF" w:rsidP="006533FF">
      <w:pPr>
        <w:numPr>
          <w:ilvl w:val="2"/>
          <w:numId w:val="41"/>
        </w:numPr>
        <w:spacing w:before="100" w:beforeAutospacing="1" w:after="100" w:afterAutospacing="1" w:line="360" w:lineRule="auto"/>
        <w:rPr>
          <w:rFonts w:ascii="Times New Roman" w:hAnsi="Times New Roman"/>
          <w:lang w:val="en-HK"/>
        </w:rPr>
      </w:pPr>
      <w:r w:rsidRPr="006533FF">
        <w:rPr>
          <w:rFonts w:ascii="Times New Roman" w:hAnsi="Times New Roman"/>
          <w:lang w:val="en-HK"/>
        </w:rPr>
        <w:t xml:space="preserve">In </w:t>
      </w:r>
      <w:r w:rsidRPr="006533FF">
        <w:rPr>
          <w:rFonts w:ascii="Times New Roman" w:hAnsi="Times New Roman"/>
          <w:i/>
          <w:iCs/>
          <w:lang w:val="en-HK"/>
        </w:rPr>
        <w:t xml:space="preserve">Van </w:t>
      </w:r>
      <w:proofErr w:type="spellStart"/>
      <w:r w:rsidRPr="006533FF">
        <w:rPr>
          <w:rFonts w:ascii="Times New Roman" w:hAnsi="Times New Roman"/>
          <w:i/>
          <w:iCs/>
          <w:lang w:val="en-HK"/>
        </w:rPr>
        <w:t>Duyn</w:t>
      </w:r>
      <w:proofErr w:type="spellEnd"/>
      <w:r w:rsidRPr="006533FF">
        <w:rPr>
          <w:rFonts w:ascii="Times New Roman" w:hAnsi="Times New Roman"/>
          <w:i/>
          <w:iCs/>
          <w:lang w:val="en-HK"/>
        </w:rPr>
        <w:t xml:space="preserve"> (Case 41/74)</w:t>
      </w:r>
      <w:r w:rsidRPr="006533FF">
        <w:rPr>
          <w:rFonts w:ascii="Times New Roman" w:hAnsi="Times New Roman"/>
          <w:lang w:val="en-HK"/>
        </w:rPr>
        <w:t>, the Court allowed restrictions on public policy grounds but required them to be proportionate and consistent with fundamental rights.</w:t>
      </w:r>
    </w:p>
    <w:p w14:paraId="468DE00D" w14:textId="77777777" w:rsidR="006533FF" w:rsidRPr="006533FF" w:rsidRDefault="006533FF" w:rsidP="006533FF">
      <w:pPr>
        <w:numPr>
          <w:ilvl w:val="2"/>
          <w:numId w:val="41"/>
        </w:numPr>
        <w:spacing w:before="100" w:beforeAutospacing="1" w:after="100" w:afterAutospacing="1" w:line="360" w:lineRule="auto"/>
        <w:rPr>
          <w:rFonts w:ascii="Times New Roman" w:hAnsi="Times New Roman"/>
          <w:lang w:val="en-HK"/>
        </w:rPr>
      </w:pPr>
      <w:r w:rsidRPr="006533FF">
        <w:rPr>
          <w:rFonts w:ascii="Times New Roman" w:hAnsi="Times New Roman"/>
          <w:lang w:val="en-HK"/>
        </w:rPr>
        <w:t xml:space="preserve">In </w:t>
      </w:r>
      <w:r w:rsidRPr="006533FF">
        <w:rPr>
          <w:rFonts w:ascii="Times New Roman" w:hAnsi="Times New Roman"/>
          <w:i/>
          <w:iCs/>
          <w:lang w:val="en-HK"/>
        </w:rPr>
        <w:t>Viking (Case C-438/05)</w:t>
      </w:r>
      <w:r w:rsidRPr="006533FF">
        <w:rPr>
          <w:rFonts w:ascii="Times New Roman" w:hAnsi="Times New Roman"/>
          <w:lang w:val="en-HK"/>
        </w:rPr>
        <w:t>, the Court scrutinized trade union action under the proportionality principle to ensure it did not unjustifiably restrict freedom of establishment.</w:t>
      </w:r>
    </w:p>
    <w:p w14:paraId="4BD93447" w14:textId="77777777" w:rsidR="006533FF" w:rsidRPr="006533FF" w:rsidRDefault="00DE4581" w:rsidP="006533FF">
      <w:pPr>
        <w:spacing w:line="360" w:lineRule="auto"/>
        <w:rPr>
          <w:rFonts w:ascii="Times New Roman" w:hAnsi="Times New Roman"/>
          <w:lang w:val="en-HK"/>
        </w:rPr>
      </w:pPr>
      <w:r w:rsidRPr="00DE4581">
        <w:rPr>
          <w:rFonts w:ascii="Times New Roman" w:hAnsi="Times New Roman"/>
          <w:noProof/>
          <w:lang w:val="en-HK"/>
          <w14:ligatures w14:val="standardContextual"/>
        </w:rPr>
        <w:pict w14:anchorId="7852E17E">
          <v:rect id="_x0000_i1028" alt="" style="width:451.3pt;height:.05pt;mso-width-percent:0;mso-height-percent:0;mso-width-percent:0;mso-height-percent:0" o:hralign="center" o:hrstd="t" o:hr="t" fillcolor="#a0a0a0" stroked="f"/>
        </w:pict>
      </w:r>
    </w:p>
    <w:p w14:paraId="66B774A9" w14:textId="77777777" w:rsidR="006533FF" w:rsidRPr="006533FF" w:rsidRDefault="006533FF" w:rsidP="006533FF">
      <w:pPr>
        <w:spacing w:before="100" w:beforeAutospacing="1" w:after="100" w:afterAutospacing="1" w:line="360" w:lineRule="auto"/>
        <w:outlineLvl w:val="3"/>
        <w:rPr>
          <w:rFonts w:ascii="Times New Roman" w:hAnsi="Times New Roman"/>
          <w:b/>
          <w:bCs/>
          <w:lang w:val="en-HK"/>
        </w:rPr>
      </w:pPr>
      <w:r w:rsidRPr="006533FF">
        <w:rPr>
          <w:rFonts w:ascii="Times New Roman" w:hAnsi="Times New Roman"/>
          <w:b/>
          <w:bCs/>
          <w:lang w:val="en-HK"/>
        </w:rPr>
        <w:t>C. Challenges and Critiques</w:t>
      </w:r>
    </w:p>
    <w:p w14:paraId="270374AD" w14:textId="77777777" w:rsidR="006533FF" w:rsidRPr="006533FF" w:rsidRDefault="006533FF" w:rsidP="006533FF">
      <w:pPr>
        <w:numPr>
          <w:ilvl w:val="0"/>
          <w:numId w:val="42"/>
        </w:num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Unpredictability</w:t>
      </w:r>
      <w:r w:rsidRPr="006533FF">
        <w:rPr>
          <w:rFonts w:ascii="Times New Roman" w:hAnsi="Times New Roman"/>
          <w:lang w:val="en-HK"/>
        </w:rPr>
        <w:t>:</w:t>
      </w:r>
    </w:p>
    <w:p w14:paraId="4A9FDF4C"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The broad application of the market access approach has been criticized for creating unpredictability in determining when national measures breach the Treaty. Barnard notes that this approach risks over-regulating matters better left to Member States.</w:t>
      </w:r>
    </w:p>
    <w:p w14:paraId="72464744" w14:textId="77777777" w:rsidR="006533FF" w:rsidRPr="006533FF" w:rsidRDefault="006533FF" w:rsidP="006533FF">
      <w:pPr>
        <w:numPr>
          <w:ilvl w:val="0"/>
          <w:numId w:val="42"/>
        </w:num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lastRenderedPageBreak/>
        <w:t>Social and Cultural Considerations</w:t>
      </w:r>
      <w:r w:rsidRPr="006533FF">
        <w:rPr>
          <w:rFonts w:ascii="Times New Roman" w:hAnsi="Times New Roman"/>
          <w:lang w:val="en-HK"/>
        </w:rPr>
        <w:t>:</w:t>
      </w:r>
    </w:p>
    <w:p w14:paraId="0D28E1AF"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 xml:space="preserve">The Court’s intervention in areas like </w:t>
      </w:r>
      <w:proofErr w:type="spellStart"/>
      <w:r w:rsidRPr="006533FF">
        <w:rPr>
          <w:rFonts w:ascii="Times New Roman" w:hAnsi="Times New Roman"/>
          <w:lang w:val="en-HK"/>
        </w:rPr>
        <w:t>labor</w:t>
      </w:r>
      <w:proofErr w:type="spellEnd"/>
      <w:r w:rsidRPr="006533FF">
        <w:rPr>
          <w:rFonts w:ascii="Times New Roman" w:hAnsi="Times New Roman"/>
          <w:lang w:val="en-HK"/>
        </w:rPr>
        <w:t xml:space="preserve"> law and public policy raises concerns about its capacity to evaluate complex social and economic policies. For instance, in </w:t>
      </w:r>
      <w:r w:rsidRPr="006533FF">
        <w:rPr>
          <w:rFonts w:ascii="Times New Roman" w:hAnsi="Times New Roman"/>
          <w:i/>
          <w:iCs/>
          <w:lang w:val="en-HK"/>
        </w:rPr>
        <w:t>Viking</w:t>
      </w:r>
      <w:r w:rsidRPr="006533FF">
        <w:rPr>
          <w:rFonts w:ascii="Times New Roman" w:hAnsi="Times New Roman"/>
          <w:lang w:val="en-HK"/>
        </w:rPr>
        <w:t>, the Court’s decision impacted the right to strike, a fundamental social right protected in many Member States.</w:t>
      </w:r>
    </w:p>
    <w:p w14:paraId="7466B24A" w14:textId="77777777" w:rsidR="006533FF" w:rsidRPr="006533FF" w:rsidRDefault="00DE4581" w:rsidP="006533FF">
      <w:pPr>
        <w:spacing w:line="360" w:lineRule="auto"/>
        <w:rPr>
          <w:rFonts w:ascii="Times New Roman" w:hAnsi="Times New Roman"/>
          <w:lang w:val="en-HK"/>
        </w:rPr>
      </w:pPr>
      <w:r w:rsidRPr="00DE4581">
        <w:rPr>
          <w:rFonts w:ascii="Times New Roman" w:hAnsi="Times New Roman"/>
          <w:noProof/>
          <w:lang w:val="en-HK"/>
          <w14:ligatures w14:val="standardContextual"/>
        </w:rPr>
        <w:pict w14:anchorId="1EA1A45F">
          <v:rect id="_x0000_i1027" alt="" style="width:451.3pt;height:.05pt;mso-width-percent:0;mso-height-percent:0;mso-width-percent:0;mso-height-percent:0" o:hralign="center" o:hrstd="t" o:hr="t" fillcolor="#a0a0a0" stroked="f"/>
        </w:pict>
      </w:r>
    </w:p>
    <w:p w14:paraId="22D2B82C" w14:textId="77777777" w:rsidR="006533FF" w:rsidRPr="006533FF" w:rsidRDefault="006533FF" w:rsidP="006533FF">
      <w:pPr>
        <w:spacing w:before="100" w:beforeAutospacing="1" w:after="100" w:afterAutospacing="1" w:line="360" w:lineRule="auto"/>
        <w:outlineLvl w:val="2"/>
        <w:rPr>
          <w:rFonts w:ascii="Times New Roman" w:hAnsi="Times New Roman"/>
          <w:b/>
          <w:bCs/>
          <w:lang w:val="en-HK"/>
        </w:rPr>
      </w:pPr>
      <w:r w:rsidRPr="006533FF">
        <w:rPr>
          <w:rFonts w:ascii="Times New Roman" w:hAnsi="Times New Roman"/>
          <w:b/>
          <w:bCs/>
          <w:lang w:val="en-HK"/>
        </w:rPr>
        <w:t>3. Broader Impacts on EU Integration</w:t>
      </w:r>
    </w:p>
    <w:p w14:paraId="08F02A0F" w14:textId="77777777" w:rsidR="006533FF" w:rsidRPr="006533FF" w:rsidRDefault="006533FF" w:rsidP="006533FF">
      <w:pPr>
        <w:spacing w:before="100" w:beforeAutospacing="1" w:after="100" w:afterAutospacing="1" w:line="360" w:lineRule="auto"/>
        <w:outlineLvl w:val="3"/>
        <w:rPr>
          <w:rFonts w:ascii="Times New Roman" w:hAnsi="Times New Roman"/>
          <w:b/>
          <w:bCs/>
          <w:lang w:val="en-HK"/>
        </w:rPr>
      </w:pPr>
      <w:r w:rsidRPr="006533FF">
        <w:rPr>
          <w:rFonts w:ascii="Times New Roman" w:hAnsi="Times New Roman"/>
          <w:b/>
          <w:bCs/>
          <w:lang w:val="en-HK"/>
        </w:rPr>
        <w:t>A. Strengthening Individual Rights</w:t>
      </w:r>
    </w:p>
    <w:p w14:paraId="008A2C2A"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The Court’s jurisprudence has reinforced the rights of individuals to move, work, and reside freely within the EU, emphasizing equality and market integration.</w:t>
      </w:r>
    </w:p>
    <w:p w14:paraId="4FCCE8E6" w14:textId="77777777" w:rsidR="006533FF" w:rsidRPr="006533FF" w:rsidRDefault="006533FF" w:rsidP="006533FF">
      <w:pPr>
        <w:spacing w:before="100" w:beforeAutospacing="1" w:after="100" w:afterAutospacing="1" w:line="360" w:lineRule="auto"/>
        <w:outlineLvl w:val="3"/>
        <w:rPr>
          <w:rFonts w:ascii="Times New Roman" w:hAnsi="Times New Roman"/>
          <w:b/>
          <w:bCs/>
          <w:lang w:val="en-HK"/>
        </w:rPr>
      </w:pPr>
      <w:r w:rsidRPr="006533FF">
        <w:rPr>
          <w:rFonts w:ascii="Times New Roman" w:hAnsi="Times New Roman"/>
          <w:b/>
          <w:bCs/>
          <w:lang w:val="en-HK"/>
        </w:rPr>
        <w:t>B. Tensions with National Sovereignty</w:t>
      </w:r>
    </w:p>
    <w:p w14:paraId="030FAEC1"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The expansion of EU law into areas traditionally governed by national law has created tensions between Member States and the EU. These tensions were evident in the political discourse surrounding Brexit, where free movement was a contentious issue.</w:t>
      </w:r>
    </w:p>
    <w:p w14:paraId="0BAFCFF9" w14:textId="77777777" w:rsidR="006533FF" w:rsidRPr="006533FF" w:rsidRDefault="00DE4581" w:rsidP="006533FF">
      <w:pPr>
        <w:spacing w:line="360" w:lineRule="auto"/>
        <w:rPr>
          <w:rFonts w:ascii="Times New Roman" w:hAnsi="Times New Roman"/>
          <w:lang w:val="en-HK"/>
        </w:rPr>
      </w:pPr>
      <w:r w:rsidRPr="00DE4581">
        <w:rPr>
          <w:rFonts w:ascii="Times New Roman" w:hAnsi="Times New Roman"/>
          <w:noProof/>
          <w:lang w:val="en-HK"/>
          <w14:ligatures w14:val="standardContextual"/>
        </w:rPr>
        <w:pict w14:anchorId="3A2BA542">
          <v:rect id="_x0000_i1026" alt="" style="width:451.3pt;height:.05pt;mso-width-percent:0;mso-height-percent:0;mso-width-percent:0;mso-height-percent:0" o:hralign="center" o:hrstd="t" o:hr="t" fillcolor="#a0a0a0" stroked="f"/>
        </w:pict>
      </w:r>
    </w:p>
    <w:p w14:paraId="72CA3D3A" w14:textId="77777777" w:rsidR="006533FF" w:rsidRPr="006533FF" w:rsidRDefault="006533FF" w:rsidP="006533FF">
      <w:pPr>
        <w:spacing w:before="100" w:beforeAutospacing="1" w:after="100" w:afterAutospacing="1" w:line="360" w:lineRule="auto"/>
        <w:outlineLvl w:val="2"/>
        <w:rPr>
          <w:rFonts w:ascii="Times New Roman" w:hAnsi="Times New Roman"/>
          <w:b/>
          <w:bCs/>
          <w:lang w:val="en-HK"/>
        </w:rPr>
      </w:pPr>
      <w:r w:rsidRPr="006533FF">
        <w:rPr>
          <w:rFonts w:ascii="Times New Roman" w:hAnsi="Times New Roman"/>
          <w:b/>
          <w:bCs/>
          <w:lang w:val="en-HK"/>
        </w:rPr>
        <w:t>4. Scholarly and Judicial Commentary</w:t>
      </w:r>
    </w:p>
    <w:p w14:paraId="539BCCA0"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 xml:space="preserve">Advocate General </w:t>
      </w:r>
      <w:proofErr w:type="spellStart"/>
      <w:r w:rsidRPr="006533FF">
        <w:rPr>
          <w:rFonts w:ascii="Times New Roman" w:hAnsi="Times New Roman"/>
          <w:b/>
          <w:bCs/>
          <w:lang w:val="en-HK"/>
        </w:rPr>
        <w:t>Tizzano</w:t>
      </w:r>
      <w:proofErr w:type="spellEnd"/>
      <w:r w:rsidRPr="006533FF">
        <w:rPr>
          <w:rFonts w:ascii="Times New Roman" w:hAnsi="Times New Roman"/>
          <w:b/>
          <w:bCs/>
          <w:lang w:val="en-HK"/>
        </w:rPr>
        <w:t xml:space="preserve"> in Caixa-Bank (Case C-442/02)</w:t>
      </w:r>
      <w:r w:rsidRPr="006533FF">
        <w:rPr>
          <w:rFonts w:ascii="Times New Roman" w:hAnsi="Times New Roman"/>
          <w:lang w:val="en-HK"/>
        </w:rPr>
        <w:t>:</w:t>
      </w:r>
    </w:p>
    <w:p w14:paraId="1B05FCB4" w14:textId="77777777" w:rsidR="006533FF" w:rsidRPr="006533FF" w:rsidRDefault="006533FF" w:rsidP="006533FF">
      <w:pPr>
        <w:spacing w:before="100" w:beforeAutospacing="1" w:after="100" w:afterAutospacing="1" w:line="360" w:lineRule="auto"/>
        <w:rPr>
          <w:rFonts w:ascii="Times New Roman" w:hAnsi="Times New Roman"/>
          <w:lang w:val="en-HK"/>
        </w:rPr>
      </w:pPr>
      <w:proofErr w:type="spellStart"/>
      <w:r w:rsidRPr="006533FF">
        <w:rPr>
          <w:rFonts w:ascii="Times New Roman" w:hAnsi="Times New Roman"/>
          <w:lang w:val="en-HK"/>
        </w:rPr>
        <w:t>Tizzano</w:t>
      </w:r>
      <w:proofErr w:type="spellEnd"/>
      <w:r w:rsidRPr="006533FF">
        <w:rPr>
          <w:rFonts w:ascii="Times New Roman" w:hAnsi="Times New Roman"/>
          <w:lang w:val="en-HK"/>
        </w:rPr>
        <w:t xml:space="preserve"> critiqued the broad concept of restriction, warning that it could undermine Member States’ ability to regulate economic activities. He advocated a return to a narrower, non-discrimination-focused approach.</w:t>
      </w:r>
    </w:p>
    <w:p w14:paraId="4FBC526B"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b/>
          <w:bCs/>
          <w:lang w:val="en-HK"/>
        </w:rPr>
        <w:t>Catherine Barnard</w:t>
      </w:r>
      <w:r w:rsidRPr="006533FF">
        <w:rPr>
          <w:rFonts w:ascii="Times New Roman" w:hAnsi="Times New Roman"/>
          <w:lang w:val="en-HK"/>
        </w:rPr>
        <w:t>:</w:t>
      </w:r>
    </w:p>
    <w:p w14:paraId="06B2A239"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Barnard stresses the importance of proportionality in ensuring that the market access approach does not become overly intrusive. She argues for a more nuanced application of the restrictions formula to preserve Member State autonomy.</w:t>
      </w:r>
    </w:p>
    <w:p w14:paraId="0E0625E6" w14:textId="77777777" w:rsidR="006533FF" w:rsidRPr="006533FF" w:rsidRDefault="00DE4581" w:rsidP="006533FF">
      <w:pPr>
        <w:spacing w:line="360" w:lineRule="auto"/>
        <w:rPr>
          <w:rFonts w:ascii="Times New Roman" w:hAnsi="Times New Roman"/>
          <w:lang w:val="en-HK"/>
        </w:rPr>
      </w:pPr>
      <w:r w:rsidRPr="00DE4581">
        <w:rPr>
          <w:rFonts w:ascii="Times New Roman" w:hAnsi="Times New Roman"/>
          <w:noProof/>
          <w:lang w:val="en-HK"/>
          <w14:ligatures w14:val="standardContextual"/>
        </w:rPr>
        <w:lastRenderedPageBreak/>
        <w:pict w14:anchorId="376F992A">
          <v:rect id="_x0000_i1025" alt="" style="width:451.3pt;height:.05pt;mso-width-percent:0;mso-height-percent:0;mso-width-percent:0;mso-height-percent:0" o:hralign="center" o:hrstd="t" o:hr="t" fillcolor="#a0a0a0" stroked="f"/>
        </w:pict>
      </w:r>
    </w:p>
    <w:p w14:paraId="1CE89D15" w14:textId="77777777" w:rsidR="006533FF" w:rsidRPr="006533FF" w:rsidRDefault="006533FF" w:rsidP="006533FF">
      <w:pPr>
        <w:spacing w:before="100" w:beforeAutospacing="1" w:after="100" w:afterAutospacing="1" w:line="360" w:lineRule="auto"/>
        <w:outlineLvl w:val="2"/>
        <w:rPr>
          <w:rFonts w:ascii="Times New Roman" w:hAnsi="Times New Roman"/>
          <w:b/>
          <w:bCs/>
          <w:lang w:val="en-HK"/>
        </w:rPr>
      </w:pPr>
      <w:r w:rsidRPr="006533FF">
        <w:rPr>
          <w:rFonts w:ascii="Times New Roman" w:hAnsi="Times New Roman"/>
          <w:b/>
          <w:bCs/>
          <w:lang w:val="en-HK"/>
        </w:rPr>
        <w:t>Conclusion</w:t>
      </w:r>
    </w:p>
    <w:p w14:paraId="22DEEEC5" w14:textId="77777777" w:rsidR="006533FF" w:rsidRPr="006533FF" w:rsidRDefault="006533FF" w:rsidP="006533FF">
      <w:pPr>
        <w:spacing w:before="100" w:beforeAutospacing="1" w:after="100" w:afterAutospacing="1" w:line="360" w:lineRule="auto"/>
        <w:rPr>
          <w:rFonts w:ascii="Times New Roman" w:hAnsi="Times New Roman"/>
          <w:lang w:val="en-HK"/>
        </w:rPr>
      </w:pPr>
      <w:r w:rsidRPr="006533FF">
        <w:rPr>
          <w:rFonts w:ascii="Times New Roman" w:hAnsi="Times New Roman"/>
          <w:lang w:val="en-HK"/>
        </w:rPr>
        <w:t>The conclusions emphasize the Court’s shift from a discrimination model to a market access approach, illustrating the broader implications for EU integration and Member State autonomy. While this shift promotes deeper integration and strengthens individual rights, it also raises concerns about legal uncertainty and the balance between Union oversight and national sovereignty. Proportionality remains a critical tool for ensuring that the objectives of market integration do not disproportionately infringe on legitimate national interests.</w:t>
      </w:r>
    </w:p>
    <w:p w14:paraId="53CACD33" w14:textId="77777777" w:rsidR="00CD39F1" w:rsidRPr="006533FF" w:rsidRDefault="00CD39F1" w:rsidP="006533FF">
      <w:pPr>
        <w:spacing w:line="360" w:lineRule="auto"/>
      </w:pPr>
    </w:p>
    <w:sectPr w:rsidR="00CD39F1" w:rsidRPr="006533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C2E67"/>
    <w:multiLevelType w:val="multilevel"/>
    <w:tmpl w:val="B7E0999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30E4C70"/>
    <w:multiLevelType w:val="multilevel"/>
    <w:tmpl w:val="F202C1E2"/>
    <w:lvl w:ilvl="0">
      <w:start w:val="1"/>
      <w:numFmt w:val="decimal"/>
      <w:lvlText w:val="%1."/>
      <w:lvlJc w:val="left"/>
      <w:pPr>
        <w:ind w:left="360" w:hanging="360"/>
      </w:pPr>
      <w:rPr>
        <w:rFonts w:hint="default"/>
        <w:sz w:val="24"/>
        <w:szCs w:val="24"/>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32F615C"/>
    <w:multiLevelType w:val="multilevel"/>
    <w:tmpl w:val="A17A53E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377173D"/>
    <w:multiLevelType w:val="multilevel"/>
    <w:tmpl w:val="AD5044CA"/>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360" w:hanging="360"/>
      </w:p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E836C34"/>
    <w:multiLevelType w:val="multilevel"/>
    <w:tmpl w:val="C9A0A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B2D5A"/>
    <w:multiLevelType w:val="multilevel"/>
    <w:tmpl w:val="2ED60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7E1947"/>
    <w:multiLevelType w:val="multilevel"/>
    <w:tmpl w:val="C334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B4C36"/>
    <w:multiLevelType w:val="multilevel"/>
    <w:tmpl w:val="EF7C2CD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5CD0C75"/>
    <w:multiLevelType w:val="multilevel"/>
    <w:tmpl w:val="2C8A303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AC95673"/>
    <w:multiLevelType w:val="multilevel"/>
    <w:tmpl w:val="C130C28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B6A7AFC"/>
    <w:multiLevelType w:val="multilevel"/>
    <w:tmpl w:val="B42EB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4D1722"/>
    <w:multiLevelType w:val="multilevel"/>
    <w:tmpl w:val="361AD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CE587D"/>
    <w:multiLevelType w:val="multilevel"/>
    <w:tmpl w:val="F48E6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B21754"/>
    <w:multiLevelType w:val="multilevel"/>
    <w:tmpl w:val="8F1827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2F41BB"/>
    <w:multiLevelType w:val="multilevel"/>
    <w:tmpl w:val="A73AE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start w:val="1"/>
      <w:numFmt w:val="bullet"/>
      <w:lvlText w:val=""/>
      <w:lvlJc w:val="left"/>
      <w:pPr>
        <w:tabs>
          <w:tab w:val="num" w:pos="360"/>
        </w:tabs>
        <w:ind w:left="36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9C270F"/>
    <w:multiLevelType w:val="multilevel"/>
    <w:tmpl w:val="341C95D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2A03621A"/>
    <w:multiLevelType w:val="multilevel"/>
    <w:tmpl w:val="A8DED96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2A1A6C50"/>
    <w:multiLevelType w:val="multilevel"/>
    <w:tmpl w:val="0DCC8E7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2AFC392D"/>
    <w:multiLevelType w:val="multilevel"/>
    <w:tmpl w:val="0AA0F8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600FB7"/>
    <w:multiLevelType w:val="multilevel"/>
    <w:tmpl w:val="0722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D10769"/>
    <w:multiLevelType w:val="multilevel"/>
    <w:tmpl w:val="FA24D2F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349045FF"/>
    <w:multiLevelType w:val="multilevel"/>
    <w:tmpl w:val="F56E2F50"/>
    <w:lvl w:ilvl="0">
      <w:start w:val="1"/>
      <w:numFmt w:val="decimal"/>
      <w:lvlText w:val="%1."/>
      <w:lvlJc w:val="left"/>
      <w:pPr>
        <w:ind w:left="360" w:hanging="360"/>
      </w:pPr>
      <w:rPr>
        <w:rFonts w:hint="default"/>
        <w:sz w:val="24"/>
        <w:szCs w:val="24"/>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38932D2C"/>
    <w:multiLevelType w:val="multilevel"/>
    <w:tmpl w:val="37C4E2E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39AE0E85"/>
    <w:multiLevelType w:val="multilevel"/>
    <w:tmpl w:val="501E15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3C0E26D5"/>
    <w:multiLevelType w:val="multilevel"/>
    <w:tmpl w:val="0958D9B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3D28565E"/>
    <w:multiLevelType w:val="multilevel"/>
    <w:tmpl w:val="33861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616A48"/>
    <w:multiLevelType w:val="multilevel"/>
    <w:tmpl w:val="380C6F8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3DC2723F"/>
    <w:multiLevelType w:val="multilevel"/>
    <w:tmpl w:val="3922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D35ACB"/>
    <w:multiLevelType w:val="multilevel"/>
    <w:tmpl w:val="C964959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49743272"/>
    <w:multiLevelType w:val="multilevel"/>
    <w:tmpl w:val="D74AE43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4BA0710E"/>
    <w:multiLevelType w:val="multilevel"/>
    <w:tmpl w:val="ED7A175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4BE26CAB"/>
    <w:multiLevelType w:val="multilevel"/>
    <w:tmpl w:val="61BCE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F51736"/>
    <w:multiLevelType w:val="multilevel"/>
    <w:tmpl w:val="5524D0A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56F06DD9"/>
    <w:multiLevelType w:val="multilevel"/>
    <w:tmpl w:val="E660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942938"/>
    <w:multiLevelType w:val="multilevel"/>
    <w:tmpl w:val="1AAA5F0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5B63312D"/>
    <w:multiLevelType w:val="multilevel"/>
    <w:tmpl w:val="A5A2D49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653A32E3"/>
    <w:multiLevelType w:val="multilevel"/>
    <w:tmpl w:val="BB8C6AE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66FF0AF3"/>
    <w:multiLevelType w:val="multilevel"/>
    <w:tmpl w:val="8E60914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69C60BAF"/>
    <w:multiLevelType w:val="multilevel"/>
    <w:tmpl w:val="F564C74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6F6B3AE4"/>
    <w:multiLevelType w:val="multilevel"/>
    <w:tmpl w:val="1E76D8B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6F6F347F"/>
    <w:multiLevelType w:val="multilevel"/>
    <w:tmpl w:val="700AA9D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752A0DFC"/>
    <w:multiLevelType w:val="multilevel"/>
    <w:tmpl w:val="3F6678B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781331AF"/>
    <w:multiLevelType w:val="multilevel"/>
    <w:tmpl w:val="6B6A535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7BC042B4"/>
    <w:multiLevelType w:val="multilevel"/>
    <w:tmpl w:val="751EA3F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37188391">
    <w:abstractNumId w:val="15"/>
  </w:num>
  <w:num w:numId="2" w16cid:durableId="930966500">
    <w:abstractNumId w:val="7"/>
  </w:num>
  <w:num w:numId="3" w16cid:durableId="1041436120">
    <w:abstractNumId w:val="29"/>
  </w:num>
  <w:num w:numId="4" w16cid:durableId="2007398764">
    <w:abstractNumId w:val="22"/>
  </w:num>
  <w:num w:numId="5" w16cid:durableId="573975561">
    <w:abstractNumId w:val="2"/>
  </w:num>
  <w:num w:numId="6" w16cid:durableId="1877310595">
    <w:abstractNumId w:val="24"/>
  </w:num>
  <w:num w:numId="7" w16cid:durableId="301735326">
    <w:abstractNumId w:val="43"/>
  </w:num>
  <w:num w:numId="8" w16cid:durableId="29769374">
    <w:abstractNumId w:val="42"/>
  </w:num>
  <w:num w:numId="9" w16cid:durableId="2093768766">
    <w:abstractNumId w:val="40"/>
  </w:num>
  <w:num w:numId="10" w16cid:durableId="1694727900">
    <w:abstractNumId w:val="39"/>
  </w:num>
  <w:num w:numId="11" w16cid:durableId="922690323">
    <w:abstractNumId w:val="1"/>
  </w:num>
  <w:num w:numId="12" w16cid:durableId="1167746789">
    <w:abstractNumId w:val="9"/>
  </w:num>
  <w:num w:numId="13" w16cid:durableId="330186793">
    <w:abstractNumId w:val="26"/>
  </w:num>
  <w:num w:numId="14" w16cid:durableId="23793918">
    <w:abstractNumId w:val="8"/>
  </w:num>
  <w:num w:numId="15" w16cid:durableId="545946242">
    <w:abstractNumId w:val="5"/>
  </w:num>
  <w:num w:numId="16" w16cid:durableId="814681227">
    <w:abstractNumId w:val="10"/>
  </w:num>
  <w:num w:numId="17" w16cid:durableId="799149132">
    <w:abstractNumId w:val="41"/>
  </w:num>
  <w:num w:numId="18" w16cid:durableId="858003390">
    <w:abstractNumId w:val="3"/>
  </w:num>
  <w:num w:numId="19" w16cid:durableId="744110842">
    <w:abstractNumId w:val="0"/>
  </w:num>
  <w:num w:numId="20" w16cid:durableId="1850561064">
    <w:abstractNumId w:val="0"/>
    <w:lvlOverride w:ilvl="2">
      <w:lvl w:ilvl="2">
        <w:numFmt w:val="decimal"/>
        <w:lvlText w:val="%3."/>
        <w:lvlJc w:val="left"/>
      </w:lvl>
    </w:lvlOverride>
  </w:num>
  <w:num w:numId="21" w16cid:durableId="156111941">
    <w:abstractNumId w:val="32"/>
  </w:num>
  <w:num w:numId="22" w16cid:durableId="989409480">
    <w:abstractNumId w:val="31"/>
  </w:num>
  <w:num w:numId="23" w16cid:durableId="766581262">
    <w:abstractNumId w:val="35"/>
  </w:num>
  <w:num w:numId="24" w16cid:durableId="1869024483">
    <w:abstractNumId w:val="28"/>
  </w:num>
  <w:num w:numId="25" w16cid:durableId="942147719">
    <w:abstractNumId w:val="11"/>
  </w:num>
  <w:num w:numId="26" w16cid:durableId="1798721989">
    <w:abstractNumId w:val="34"/>
  </w:num>
  <w:num w:numId="27" w16cid:durableId="1042365004">
    <w:abstractNumId w:val="25"/>
  </w:num>
  <w:num w:numId="28" w16cid:durableId="1715496438">
    <w:abstractNumId w:val="17"/>
  </w:num>
  <w:num w:numId="29" w16cid:durableId="2047681342">
    <w:abstractNumId w:val="30"/>
  </w:num>
  <w:num w:numId="30" w16cid:durableId="174195879">
    <w:abstractNumId w:val="13"/>
  </w:num>
  <w:num w:numId="31" w16cid:durableId="926428435">
    <w:abstractNumId w:val="18"/>
  </w:num>
  <w:num w:numId="32" w16cid:durableId="1008482839">
    <w:abstractNumId w:val="37"/>
  </w:num>
  <w:num w:numId="33" w16cid:durableId="777722278">
    <w:abstractNumId w:val="27"/>
  </w:num>
  <w:num w:numId="34" w16cid:durableId="1145856704">
    <w:abstractNumId w:val="14"/>
  </w:num>
  <w:num w:numId="35" w16cid:durableId="22563571">
    <w:abstractNumId w:val="12"/>
  </w:num>
  <w:num w:numId="36" w16cid:durableId="1609659804">
    <w:abstractNumId w:val="6"/>
  </w:num>
  <w:num w:numId="37" w16cid:durableId="600718828">
    <w:abstractNumId w:val="21"/>
  </w:num>
  <w:num w:numId="38" w16cid:durableId="216278976">
    <w:abstractNumId w:val="16"/>
  </w:num>
  <w:num w:numId="39" w16cid:durableId="208037655">
    <w:abstractNumId w:val="23"/>
  </w:num>
  <w:num w:numId="40" w16cid:durableId="470906570">
    <w:abstractNumId w:val="20"/>
  </w:num>
  <w:num w:numId="41" w16cid:durableId="1335183723">
    <w:abstractNumId w:val="38"/>
  </w:num>
  <w:num w:numId="42" w16cid:durableId="988825391">
    <w:abstractNumId w:val="36"/>
  </w:num>
  <w:num w:numId="43" w16cid:durableId="826433657">
    <w:abstractNumId w:val="19"/>
  </w:num>
  <w:num w:numId="44" w16cid:durableId="1825274481">
    <w:abstractNumId w:val="33"/>
  </w:num>
  <w:num w:numId="45" w16cid:durableId="18343751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A09"/>
    <w:rsid w:val="00012117"/>
    <w:rsid w:val="000147A9"/>
    <w:rsid w:val="00042755"/>
    <w:rsid w:val="0006107D"/>
    <w:rsid w:val="000623A3"/>
    <w:rsid w:val="000719DA"/>
    <w:rsid w:val="00094D65"/>
    <w:rsid w:val="000A2074"/>
    <w:rsid w:val="000A3F4D"/>
    <w:rsid w:val="000A64DA"/>
    <w:rsid w:val="000C4ABC"/>
    <w:rsid w:val="000C58D7"/>
    <w:rsid w:val="000E15ED"/>
    <w:rsid w:val="00101CCF"/>
    <w:rsid w:val="001372F7"/>
    <w:rsid w:val="00175AB8"/>
    <w:rsid w:val="0019260C"/>
    <w:rsid w:val="001A41D2"/>
    <w:rsid w:val="001B0E31"/>
    <w:rsid w:val="001D360C"/>
    <w:rsid w:val="001E2584"/>
    <w:rsid w:val="002033A2"/>
    <w:rsid w:val="00223837"/>
    <w:rsid w:val="00243CED"/>
    <w:rsid w:val="00247BCC"/>
    <w:rsid w:val="00257540"/>
    <w:rsid w:val="0026510F"/>
    <w:rsid w:val="00291F37"/>
    <w:rsid w:val="00297C6E"/>
    <w:rsid w:val="002D34CC"/>
    <w:rsid w:val="002D715D"/>
    <w:rsid w:val="002E3864"/>
    <w:rsid w:val="002E46F2"/>
    <w:rsid w:val="002F1DB1"/>
    <w:rsid w:val="002F20B2"/>
    <w:rsid w:val="002F53C9"/>
    <w:rsid w:val="003048A0"/>
    <w:rsid w:val="0031138E"/>
    <w:rsid w:val="0031474F"/>
    <w:rsid w:val="00315815"/>
    <w:rsid w:val="003278F5"/>
    <w:rsid w:val="00330665"/>
    <w:rsid w:val="00342A18"/>
    <w:rsid w:val="00351A09"/>
    <w:rsid w:val="00361975"/>
    <w:rsid w:val="00376E23"/>
    <w:rsid w:val="0039416B"/>
    <w:rsid w:val="003A1271"/>
    <w:rsid w:val="003A5DF7"/>
    <w:rsid w:val="003B3510"/>
    <w:rsid w:val="003C116C"/>
    <w:rsid w:val="003D0CDD"/>
    <w:rsid w:val="003E1CAA"/>
    <w:rsid w:val="0040210F"/>
    <w:rsid w:val="004222FD"/>
    <w:rsid w:val="004319FA"/>
    <w:rsid w:val="00442F56"/>
    <w:rsid w:val="00474DD1"/>
    <w:rsid w:val="004751B5"/>
    <w:rsid w:val="0048097D"/>
    <w:rsid w:val="0048175B"/>
    <w:rsid w:val="004845CE"/>
    <w:rsid w:val="004A553E"/>
    <w:rsid w:val="004B1048"/>
    <w:rsid w:val="004D01FE"/>
    <w:rsid w:val="004D582C"/>
    <w:rsid w:val="004D5B1A"/>
    <w:rsid w:val="004E458E"/>
    <w:rsid w:val="004F0E12"/>
    <w:rsid w:val="004F43CC"/>
    <w:rsid w:val="004F5A36"/>
    <w:rsid w:val="00505437"/>
    <w:rsid w:val="005120A1"/>
    <w:rsid w:val="00542B57"/>
    <w:rsid w:val="00557B52"/>
    <w:rsid w:val="005743EA"/>
    <w:rsid w:val="005770A9"/>
    <w:rsid w:val="0058416B"/>
    <w:rsid w:val="00595357"/>
    <w:rsid w:val="005A1930"/>
    <w:rsid w:val="005A6EEA"/>
    <w:rsid w:val="005B34ED"/>
    <w:rsid w:val="005B61CD"/>
    <w:rsid w:val="005B74C5"/>
    <w:rsid w:val="005C4FF3"/>
    <w:rsid w:val="005C50B3"/>
    <w:rsid w:val="005C6B83"/>
    <w:rsid w:val="005D57DA"/>
    <w:rsid w:val="005E7702"/>
    <w:rsid w:val="005F33FC"/>
    <w:rsid w:val="00605F8E"/>
    <w:rsid w:val="00613954"/>
    <w:rsid w:val="00650543"/>
    <w:rsid w:val="006533FF"/>
    <w:rsid w:val="00654D8B"/>
    <w:rsid w:val="00661136"/>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776B"/>
    <w:rsid w:val="00796A93"/>
    <w:rsid w:val="007B48C2"/>
    <w:rsid w:val="007D68F0"/>
    <w:rsid w:val="007E1559"/>
    <w:rsid w:val="007F776E"/>
    <w:rsid w:val="00816563"/>
    <w:rsid w:val="00830C88"/>
    <w:rsid w:val="00861B11"/>
    <w:rsid w:val="008829C2"/>
    <w:rsid w:val="008A54BE"/>
    <w:rsid w:val="008C7B0A"/>
    <w:rsid w:val="008D0642"/>
    <w:rsid w:val="008E43C2"/>
    <w:rsid w:val="008E745B"/>
    <w:rsid w:val="008F4EA7"/>
    <w:rsid w:val="008F5A10"/>
    <w:rsid w:val="00905ED0"/>
    <w:rsid w:val="0093405B"/>
    <w:rsid w:val="0094782D"/>
    <w:rsid w:val="009613AC"/>
    <w:rsid w:val="00966189"/>
    <w:rsid w:val="00974434"/>
    <w:rsid w:val="00975B2D"/>
    <w:rsid w:val="00977514"/>
    <w:rsid w:val="009A48B0"/>
    <w:rsid w:val="009B24D6"/>
    <w:rsid w:val="009B2F21"/>
    <w:rsid w:val="009C6498"/>
    <w:rsid w:val="009E62AF"/>
    <w:rsid w:val="00A03BBD"/>
    <w:rsid w:val="00A21254"/>
    <w:rsid w:val="00A220B7"/>
    <w:rsid w:val="00A37AB0"/>
    <w:rsid w:val="00A4085F"/>
    <w:rsid w:val="00A45953"/>
    <w:rsid w:val="00A93FBA"/>
    <w:rsid w:val="00A95C7E"/>
    <w:rsid w:val="00A9723F"/>
    <w:rsid w:val="00AB609D"/>
    <w:rsid w:val="00AC3AB8"/>
    <w:rsid w:val="00AE4348"/>
    <w:rsid w:val="00AE4BAF"/>
    <w:rsid w:val="00B03D5A"/>
    <w:rsid w:val="00B200EB"/>
    <w:rsid w:val="00B23297"/>
    <w:rsid w:val="00B360EE"/>
    <w:rsid w:val="00B53B6F"/>
    <w:rsid w:val="00B651D9"/>
    <w:rsid w:val="00B67231"/>
    <w:rsid w:val="00B73742"/>
    <w:rsid w:val="00B914E6"/>
    <w:rsid w:val="00B95747"/>
    <w:rsid w:val="00BC4186"/>
    <w:rsid w:val="00BC5F25"/>
    <w:rsid w:val="00BD1450"/>
    <w:rsid w:val="00BD7714"/>
    <w:rsid w:val="00BD7C9B"/>
    <w:rsid w:val="00C072F8"/>
    <w:rsid w:val="00C163D7"/>
    <w:rsid w:val="00C17D79"/>
    <w:rsid w:val="00C24A8A"/>
    <w:rsid w:val="00C27321"/>
    <w:rsid w:val="00C44474"/>
    <w:rsid w:val="00C44EB3"/>
    <w:rsid w:val="00C54722"/>
    <w:rsid w:val="00C616D7"/>
    <w:rsid w:val="00C65F70"/>
    <w:rsid w:val="00C941C4"/>
    <w:rsid w:val="00C96A36"/>
    <w:rsid w:val="00CA350B"/>
    <w:rsid w:val="00CA3F60"/>
    <w:rsid w:val="00CC2EFF"/>
    <w:rsid w:val="00CC4FEF"/>
    <w:rsid w:val="00CD39F1"/>
    <w:rsid w:val="00CE1439"/>
    <w:rsid w:val="00CF74EF"/>
    <w:rsid w:val="00D02AC8"/>
    <w:rsid w:val="00D0623C"/>
    <w:rsid w:val="00D07271"/>
    <w:rsid w:val="00D16917"/>
    <w:rsid w:val="00D6118D"/>
    <w:rsid w:val="00D65735"/>
    <w:rsid w:val="00D73E2C"/>
    <w:rsid w:val="00D76D14"/>
    <w:rsid w:val="00DA31CB"/>
    <w:rsid w:val="00DA3D31"/>
    <w:rsid w:val="00DA4488"/>
    <w:rsid w:val="00DB2E35"/>
    <w:rsid w:val="00DC0040"/>
    <w:rsid w:val="00DC0B7B"/>
    <w:rsid w:val="00DC228E"/>
    <w:rsid w:val="00DC495B"/>
    <w:rsid w:val="00DC7181"/>
    <w:rsid w:val="00DD6F5C"/>
    <w:rsid w:val="00DE4581"/>
    <w:rsid w:val="00DE6C87"/>
    <w:rsid w:val="00E14A1A"/>
    <w:rsid w:val="00E14E1F"/>
    <w:rsid w:val="00E2730E"/>
    <w:rsid w:val="00E438AC"/>
    <w:rsid w:val="00E5689E"/>
    <w:rsid w:val="00E60DF5"/>
    <w:rsid w:val="00E64DD3"/>
    <w:rsid w:val="00E80D33"/>
    <w:rsid w:val="00E95D8D"/>
    <w:rsid w:val="00EA6ED5"/>
    <w:rsid w:val="00EB7051"/>
    <w:rsid w:val="00EC68EB"/>
    <w:rsid w:val="00EC7C43"/>
    <w:rsid w:val="00EE4F6A"/>
    <w:rsid w:val="00EF3EF4"/>
    <w:rsid w:val="00F012E4"/>
    <w:rsid w:val="00F248D2"/>
    <w:rsid w:val="00F27F00"/>
    <w:rsid w:val="00F33570"/>
    <w:rsid w:val="00F655F4"/>
    <w:rsid w:val="00F71153"/>
    <w:rsid w:val="00F858D4"/>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92F30"/>
  <w15:chartTrackingRefBased/>
  <w15:docId w15:val="{FA690AC6-609A-A844-98D4-80E904E1C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351A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1A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51A0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51A0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unhideWhenUsed/>
    <w:qFormat/>
    <w:rsid w:val="00351A0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unhideWhenUsed/>
    <w:qFormat/>
    <w:rsid w:val="00351A0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51A0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51A0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51A0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A09"/>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351A09"/>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351A09"/>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351A09"/>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rsid w:val="00351A09"/>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rsid w:val="00351A09"/>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351A09"/>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351A09"/>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351A09"/>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351A0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1A09"/>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351A0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1A09"/>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351A0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51A09"/>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351A09"/>
    <w:pPr>
      <w:ind w:left="720"/>
      <w:contextualSpacing/>
    </w:pPr>
  </w:style>
  <w:style w:type="character" w:styleId="IntenseEmphasis">
    <w:name w:val="Intense Emphasis"/>
    <w:basedOn w:val="DefaultParagraphFont"/>
    <w:uiPriority w:val="21"/>
    <w:qFormat/>
    <w:rsid w:val="00351A09"/>
    <w:rPr>
      <w:i/>
      <w:iCs/>
      <w:color w:val="2F5496" w:themeColor="accent1" w:themeShade="BF"/>
    </w:rPr>
  </w:style>
  <w:style w:type="paragraph" w:styleId="IntenseQuote">
    <w:name w:val="Intense Quote"/>
    <w:basedOn w:val="Normal"/>
    <w:next w:val="Normal"/>
    <w:link w:val="IntenseQuoteChar"/>
    <w:uiPriority w:val="30"/>
    <w:qFormat/>
    <w:rsid w:val="00351A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1A09"/>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351A09"/>
    <w:rPr>
      <w:b/>
      <w:bCs/>
      <w:smallCaps/>
      <w:color w:val="2F5496" w:themeColor="accent1" w:themeShade="BF"/>
      <w:spacing w:val="5"/>
    </w:rPr>
  </w:style>
  <w:style w:type="character" w:styleId="Strong">
    <w:name w:val="Strong"/>
    <w:basedOn w:val="DefaultParagraphFont"/>
    <w:uiPriority w:val="22"/>
    <w:qFormat/>
    <w:rsid w:val="009613AC"/>
    <w:rPr>
      <w:b/>
      <w:bCs/>
    </w:rPr>
  </w:style>
  <w:style w:type="paragraph" w:styleId="NormalWeb">
    <w:name w:val="Normal (Web)"/>
    <w:basedOn w:val="Normal"/>
    <w:uiPriority w:val="99"/>
    <w:semiHidden/>
    <w:unhideWhenUsed/>
    <w:rsid w:val="009613AC"/>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9613A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4587841">
      <w:bodyDiv w:val="1"/>
      <w:marLeft w:val="0"/>
      <w:marRight w:val="0"/>
      <w:marTop w:val="0"/>
      <w:marBottom w:val="0"/>
      <w:divBdr>
        <w:top w:val="none" w:sz="0" w:space="0" w:color="auto"/>
        <w:left w:val="none" w:sz="0" w:space="0" w:color="auto"/>
        <w:bottom w:val="none" w:sz="0" w:space="0" w:color="auto"/>
        <w:right w:val="none" w:sz="0" w:space="0" w:color="auto"/>
      </w:divBdr>
      <w:divsChild>
        <w:div w:id="450898557">
          <w:marLeft w:val="0"/>
          <w:marRight w:val="0"/>
          <w:marTop w:val="0"/>
          <w:marBottom w:val="0"/>
          <w:divBdr>
            <w:top w:val="none" w:sz="0" w:space="0" w:color="auto"/>
            <w:left w:val="none" w:sz="0" w:space="0" w:color="auto"/>
            <w:bottom w:val="none" w:sz="0" w:space="0" w:color="auto"/>
            <w:right w:val="none" w:sz="0" w:space="0" w:color="auto"/>
          </w:divBdr>
          <w:divsChild>
            <w:div w:id="184489406">
              <w:marLeft w:val="0"/>
              <w:marRight w:val="0"/>
              <w:marTop w:val="0"/>
              <w:marBottom w:val="0"/>
              <w:divBdr>
                <w:top w:val="none" w:sz="0" w:space="0" w:color="auto"/>
                <w:left w:val="none" w:sz="0" w:space="0" w:color="auto"/>
                <w:bottom w:val="none" w:sz="0" w:space="0" w:color="auto"/>
                <w:right w:val="none" w:sz="0" w:space="0" w:color="auto"/>
              </w:divBdr>
              <w:divsChild>
                <w:div w:id="1200321724">
                  <w:marLeft w:val="0"/>
                  <w:marRight w:val="0"/>
                  <w:marTop w:val="0"/>
                  <w:marBottom w:val="0"/>
                  <w:divBdr>
                    <w:top w:val="none" w:sz="0" w:space="0" w:color="auto"/>
                    <w:left w:val="none" w:sz="0" w:space="0" w:color="auto"/>
                    <w:bottom w:val="none" w:sz="0" w:space="0" w:color="auto"/>
                    <w:right w:val="none" w:sz="0" w:space="0" w:color="auto"/>
                  </w:divBdr>
                  <w:divsChild>
                    <w:div w:id="1625232317">
                      <w:marLeft w:val="0"/>
                      <w:marRight w:val="0"/>
                      <w:marTop w:val="0"/>
                      <w:marBottom w:val="0"/>
                      <w:divBdr>
                        <w:top w:val="none" w:sz="0" w:space="0" w:color="auto"/>
                        <w:left w:val="none" w:sz="0" w:space="0" w:color="auto"/>
                        <w:bottom w:val="none" w:sz="0" w:space="0" w:color="auto"/>
                        <w:right w:val="none" w:sz="0" w:space="0" w:color="auto"/>
                      </w:divBdr>
                      <w:divsChild>
                        <w:div w:id="2099523663">
                          <w:marLeft w:val="0"/>
                          <w:marRight w:val="0"/>
                          <w:marTop w:val="0"/>
                          <w:marBottom w:val="0"/>
                          <w:divBdr>
                            <w:top w:val="none" w:sz="0" w:space="0" w:color="auto"/>
                            <w:left w:val="none" w:sz="0" w:space="0" w:color="auto"/>
                            <w:bottom w:val="none" w:sz="0" w:space="0" w:color="auto"/>
                            <w:right w:val="none" w:sz="0" w:space="0" w:color="auto"/>
                          </w:divBdr>
                          <w:divsChild>
                            <w:div w:id="1721393112">
                              <w:marLeft w:val="0"/>
                              <w:marRight w:val="0"/>
                              <w:marTop w:val="0"/>
                              <w:marBottom w:val="0"/>
                              <w:divBdr>
                                <w:top w:val="none" w:sz="0" w:space="0" w:color="auto"/>
                                <w:left w:val="none" w:sz="0" w:space="0" w:color="auto"/>
                                <w:bottom w:val="none" w:sz="0" w:space="0" w:color="auto"/>
                                <w:right w:val="none" w:sz="0" w:space="0" w:color="auto"/>
                              </w:divBdr>
                              <w:divsChild>
                                <w:div w:id="1792547844">
                                  <w:marLeft w:val="0"/>
                                  <w:marRight w:val="0"/>
                                  <w:marTop w:val="0"/>
                                  <w:marBottom w:val="0"/>
                                  <w:divBdr>
                                    <w:top w:val="none" w:sz="0" w:space="0" w:color="auto"/>
                                    <w:left w:val="none" w:sz="0" w:space="0" w:color="auto"/>
                                    <w:bottom w:val="none" w:sz="0" w:space="0" w:color="auto"/>
                                    <w:right w:val="none" w:sz="0" w:space="0" w:color="auto"/>
                                  </w:divBdr>
                                  <w:divsChild>
                                    <w:div w:id="109806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7912724">
      <w:bodyDiv w:val="1"/>
      <w:marLeft w:val="0"/>
      <w:marRight w:val="0"/>
      <w:marTop w:val="0"/>
      <w:marBottom w:val="0"/>
      <w:divBdr>
        <w:top w:val="none" w:sz="0" w:space="0" w:color="auto"/>
        <w:left w:val="none" w:sz="0" w:space="0" w:color="auto"/>
        <w:bottom w:val="none" w:sz="0" w:space="0" w:color="auto"/>
        <w:right w:val="none" w:sz="0" w:space="0" w:color="auto"/>
      </w:divBdr>
    </w:div>
    <w:div w:id="743843263">
      <w:bodyDiv w:val="1"/>
      <w:marLeft w:val="0"/>
      <w:marRight w:val="0"/>
      <w:marTop w:val="0"/>
      <w:marBottom w:val="0"/>
      <w:divBdr>
        <w:top w:val="none" w:sz="0" w:space="0" w:color="auto"/>
        <w:left w:val="none" w:sz="0" w:space="0" w:color="auto"/>
        <w:bottom w:val="none" w:sz="0" w:space="0" w:color="auto"/>
        <w:right w:val="none" w:sz="0" w:space="0" w:color="auto"/>
      </w:divBdr>
      <w:divsChild>
        <w:div w:id="568807344">
          <w:marLeft w:val="0"/>
          <w:marRight w:val="0"/>
          <w:marTop w:val="0"/>
          <w:marBottom w:val="0"/>
          <w:divBdr>
            <w:top w:val="none" w:sz="0" w:space="0" w:color="auto"/>
            <w:left w:val="none" w:sz="0" w:space="0" w:color="auto"/>
            <w:bottom w:val="none" w:sz="0" w:space="0" w:color="auto"/>
            <w:right w:val="none" w:sz="0" w:space="0" w:color="auto"/>
          </w:divBdr>
          <w:divsChild>
            <w:div w:id="2137209931">
              <w:marLeft w:val="0"/>
              <w:marRight w:val="0"/>
              <w:marTop w:val="0"/>
              <w:marBottom w:val="0"/>
              <w:divBdr>
                <w:top w:val="none" w:sz="0" w:space="0" w:color="auto"/>
                <w:left w:val="none" w:sz="0" w:space="0" w:color="auto"/>
                <w:bottom w:val="none" w:sz="0" w:space="0" w:color="auto"/>
                <w:right w:val="none" w:sz="0" w:space="0" w:color="auto"/>
              </w:divBdr>
              <w:divsChild>
                <w:div w:id="12655975">
                  <w:marLeft w:val="0"/>
                  <w:marRight w:val="0"/>
                  <w:marTop w:val="0"/>
                  <w:marBottom w:val="0"/>
                  <w:divBdr>
                    <w:top w:val="none" w:sz="0" w:space="0" w:color="auto"/>
                    <w:left w:val="none" w:sz="0" w:space="0" w:color="auto"/>
                    <w:bottom w:val="none" w:sz="0" w:space="0" w:color="auto"/>
                    <w:right w:val="none" w:sz="0" w:space="0" w:color="auto"/>
                  </w:divBdr>
                  <w:divsChild>
                    <w:div w:id="298849154">
                      <w:marLeft w:val="0"/>
                      <w:marRight w:val="0"/>
                      <w:marTop w:val="0"/>
                      <w:marBottom w:val="0"/>
                      <w:divBdr>
                        <w:top w:val="none" w:sz="0" w:space="0" w:color="auto"/>
                        <w:left w:val="none" w:sz="0" w:space="0" w:color="auto"/>
                        <w:bottom w:val="none" w:sz="0" w:space="0" w:color="auto"/>
                        <w:right w:val="none" w:sz="0" w:space="0" w:color="auto"/>
                      </w:divBdr>
                      <w:divsChild>
                        <w:div w:id="2086879971">
                          <w:marLeft w:val="0"/>
                          <w:marRight w:val="0"/>
                          <w:marTop w:val="0"/>
                          <w:marBottom w:val="0"/>
                          <w:divBdr>
                            <w:top w:val="none" w:sz="0" w:space="0" w:color="auto"/>
                            <w:left w:val="none" w:sz="0" w:space="0" w:color="auto"/>
                            <w:bottom w:val="none" w:sz="0" w:space="0" w:color="auto"/>
                            <w:right w:val="none" w:sz="0" w:space="0" w:color="auto"/>
                          </w:divBdr>
                          <w:divsChild>
                            <w:div w:id="1556509684">
                              <w:marLeft w:val="0"/>
                              <w:marRight w:val="0"/>
                              <w:marTop w:val="0"/>
                              <w:marBottom w:val="0"/>
                              <w:divBdr>
                                <w:top w:val="none" w:sz="0" w:space="0" w:color="auto"/>
                                <w:left w:val="none" w:sz="0" w:space="0" w:color="auto"/>
                                <w:bottom w:val="none" w:sz="0" w:space="0" w:color="auto"/>
                                <w:right w:val="none" w:sz="0" w:space="0" w:color="auto"/>
                              </w:divBdr>
                              <w:divsChild>
                                <w:div w:id="1998072477">
                                  <w:marLeft w:val="0"/>
                                  <w:marRight w:val="0"/>
                                  <w:marTop w:val="0"/>
                                  <w:marBottom w:val="0"/>
                                  <w:divBdr>
                                    <w:top w:val="none" w:sz="0" w:space="0" w:color="auto"/>
                                    <w:left w:val="none" w:sz="0" w:space="0" w:color="auto"/>
                                    <w:bottom w:val="none" w:sz="0" w:space="0" w:color="auto"/>
                                    <w:right w:val="none" w:sz="0" w:space="0" w:color="auto"/>
                                  </w:divBdr>
                                  <w:divsChild>
                                    <w:div w:id="93817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3940760">
          <w:marLeft w:val="0"/>
          <w:marRight w:val="0"/>
          <w:marTop w:val="0"/>
          <w:marBottom w:val="0"/>
          <w:divBdr>
            <w:top w:val="none" w:sz="0" w:space="0" w:color="auto"/>
            <w:left w:val="none" w:sz="0" w:space="0" w:color="auto"/>
            <w:bottom w:val="none" w:sz="0" w:space="0" w:color="auto"/>
            <w:right w:val="none" w:sz="0" w:space="0" w:color="auto"/>
          </w:divBdr>
          <w:divsChild>
            <w:div w:id="1184133240">
              <w:marLeft w:val="0"/>
              <w:marRight w:val="0"/>
              <w:marTop w:val="0"/>
              <w:marBottom w:val="0"/>
              <w:divBdr>
                <w:top w:val="none" w:sz="0" w:space="0" w:color="auto"/>
                <w:left w:val="none" w:sz="0" w:space="0" w:color="auto"/>
                <w:bottom w:val="none" w:sz="0" w:space="0" w:color="auto"/>
                <w:right w:val="none" w:sz="0" w:space="0" w:color="auto"/>
              </w:divBdr>
              <w:divsChild>
                <w:div w:id="1275405039">
                  <w:marLeft w:val="0"/>
                  <w:marRight w:val="0"/>
                  <w:marTop w:val="0"/>
                  <w:marBottom w:val="0"/>
                  <w:divBdr>
                    <w:top w:val="none" w:sz="0" w:space="0" w:color="auto"/>
                    <w:left w:val="none" w:sz="0" w:space="0" w:color="auto"/>
                    <w:bottom w:val="none" w:sz="0" w:space="0" w:color="auto"/>
                    <w:right w:val="none" w:sz="0" w:space="0" w:color="auto"/>
                  </w:divBdr>
                  <w:divsChild>
                    <w:div w:id="1669869273">
                      <w:marLeft w:val="0"/>
                      <w:marRight w:val="0"/>
                      <w:marTop w:val="0"/>
                      <w:marBottom w:val="0"/>
                      <w:divBdr>
                        <w:top w:val="none" w:sz="0" w:space="0" w:color="auto"/>
                        <w:left w:val="none" w:sz="0" w:space="0" w:color="auto"/>
                        <w:bottom w:val="none" w:sz="0" w:space="0" w:color="auto"/>
                        <w:right w:val="none" w:sz="0" w:space="0" w:color="auto"/>
                      </w:divBdr>
                      <w:divsChild>
                        <w:div w:id="2120635227">
                          <w:marLeft w:val="0"/>
                          <w:marRight w:val="0"/>
                          <w:marTop w:val="0"/>
                          <w:marBottom w:val="0"/>
                          <w:divBdr>
                            <w:top w:val="none" w:sz="0" w:space="0" w:color="auto"/>
                            <w:left w:val="none" w:sz="0" w:space="0" w:color="auto"/>
                            <w:bottom w:val="none" w:sz="0" w:space="0" w:color="auto"/>
                            <w:right w:val="none" w:sz="0" w:space="0" w:color="auto"/>
                          </w:divBdr>
                          <w:divsChild>
                            <w:div w:id="1949239620">
                              <w:marLeft w:val="0"/>
                              <w:marRight w:val="0"/>
                              <w:marTop w:val="0"/>
                              <w:marBottom w:val="0"/>
                              <w:divBdr>
                                <w:top w:val="none" w:sz="0" w:space="0" w:color="auto"/>
                                <w:left w:val="none" w:sz="0" w:space="0" w:color="auto"/>
                                <w:bottom w:val="none" w:sz="0" w:space="0" w:color="auto"/>
                                <w:right w:val="none" w:sz="0" w:space="0" w:color="auto"/>
                              </w:divBdr>
                              <w:divsChild>
                                <w:div w:id="804546247">
                                  <w:marLeft w:val="0"/>
                                  <w:marRight w:val="0"/>
                                  <w:marTop w:val="0"/>
                                  <w:marBottom w:val="0"/>
                                  <w:divBdr>
                                    <w:top w:val="none" w:sz="0" w:space="0" w:color="auto"/>
                                    <w:left w:val="none" w:sz="0" w:space="0" w:color="auto"/>
                                    <w:bottom w:val="none" w:sz="0" w:space="0" w:color="auto"/>
                                    <w:right w:val="none" w:sz="0" w:space="0" w:color="auto"/>
                                  </w:divBdr>
                                  <w:divsChild>
                                    <w:div w:id="147482896">
                                      <w:marLeft w:val="0"/>
                                      <w:marRight w:val="0"/>
                                      <w:marTop w:val="0"/>
                                      <w:marBottom w:val="0"/>
                                      <w:divBdr>
                                        <w:top w:val="none" w:sz="0" w:space="0" w:color="auto"/>
                                        <w:left w:val="none" w:sz="0" w:space="0" w:color="auto"/>
                                        <w:bottom w:val="none" w:sz="0" w:space="0" w:color="auto"/>
                                        <w:right w:val="none" w:sz="0" w:space="0" w:color="auto"/>
                                      </w:divBdr>
                                      <w:divsChild>
                                        <w:div w:id="108738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7326815">
          <w:marLeft w:val="0"/>
          <w:marRight w:val="0"/>
          <w:marTop w:val="0"/>
          <w:marBottom w:val="0"/>
          <w:divBdr>
            <w:top w:val="none" w:sz="0" w:space="0" w:color="auto"/>
            <w:left w:val="none" w:sz="0" w:space="0" w:color="auto"/>
            <w:bottom w:val="none" w:sz="0" w:space="0" w:color="auto"/>
            <w:right w:val="none" w:sz="0" w:space="0" w:color="auto"/>
          </w:divBdr>
          <w:divsChild>
            <w:div w:id="810516404">
              <w:marLeft w:val="0"/>
              <w:marRight w:val="0"/>
              <w:marTop w:val="0"/>
              <w:marBottom w:val="0"/>
              <w:divBdr>
                <w:top w:val="none" w:sz="0" w:space="0" w:color="auto"/>
                <w:left w:val="none" w:sz="0" w:space="0" w:color="auto"/>
                <w:bottom w:val="none" w:sz="0" w:space="0" w:color="auto"/>
                <w:right w:val="none" w:sz="0" w:space="0" w:color="auto"/>
              </w:divBdr>
              <w:divsChild>
                <w:div w:id="1556577036">
                  <w:marLeft w:val="0"/>
                  <w:marRight w:val="0"/>
                  <w:marTop w:val="0"/>
                  <w:marBottom w:val="0"/>
                  <w:divBdr>
                    <w:top w:val="none" w:sz="0" w:space="0" w:color="auto"/>
                    <w:left w:val="none" w:sz="0" w:space="0" w:color="auto"/>
                    <w:bottom w:val="none" w:sz="0" w:space="0" w:color="auto"/>
                    <w:right w:val="none" w:sz="0" w:space="0" w:color="auto"/>
                  </w:divBdr>
                  <w:divsChild>
                    <w:div w:id="1480806922">
                      <w:marLeft w:val="0"/>
                      <w:marRight w:val="0"/>
                      <w:marTop w:val="0"/>
                      <w:marBottom w:val="0"/>
                      <w:divBdr>
                        <w:top w:val="none" w:sz="0" w:space="0" w:color="auto"/>
                        <w:left w:val="none" w:sz="0" w:space="0" w:color="auto"/>
                        <w:bottom w:val="none" w:sz="0" w:space="0" w:color="auto"/>
                        <w:right w:val="none" w:sz="0" w:space="0" w:color="auto"/>
                      </w:divBdr>
                      <w:divsChild>
                        <w:div w:id="23025249">
                          <w:marLeft w:val="0"/>
                          <w:marRight w:val="0"/>
                          <w:marTop w:val="0"/>
                          <w:marBottom w:val="0"/>
                          <w:divBdr>
                            <w:top w:val="none" w:sz="0" w:space="0" w:color="auto"/>
                            <w:left w:val="none" w:sz="0" w:space="0" w:color="auto"/>
                            <w:bottom w:val="none" w:sz="0" w:space="0" w:color="auto"/>
                            <w:right w:val="none" w:sz="0" w:space="0" w:color="auto"/>
                          </w:divBdr>
                          <w:divsChild>
                            <w:div w:id="1285118212">
                              <w:marLeft w:val="0"/>
                              <w:marRight w:val="0"/>
                              <w:marTop w:val="0"/>
                              <w:marBottom w:val="0"/>
                              <w:divBdr>
                                <w:top w:val="none" w:sz="0" w:space="0" w:color="auto"/>
                                <w:left w:val="none" w:sz="0" w:space="0" w:color="auto"/>
                                <w:bottom w:val="none" w:sz="0" w:space="0" w:color="auto"/>
                                <w:right w:val="none" w:sz="0" w:space="0" w:color="auto"/>
                              </w:divBdr>
                              <w:divsChild>
                                <w:div w:id="776291688">
                                  <w:marLeft w:val="0"/>
                                  <w:marRight w:val="0"/>
                                  <w:marTop w:val="0"/>
                                  <w:marBottom w:val="0"/>
                                  <w:divBdr>
                                    <w:top w:val="none" w:sz="0" w:space="0" w:color="auto"/>
                                    <w:left w:val="none" w:sz="0" w:space="0" w:color="auto"/>
                                    <w:bottom w:val="none" w:sz="0" w:space="0" w:color="auto"/>
                                    <w:right w:val="none" w:sz="0" w:space="0" w:color="auto"/>
                                  </w:divBdr>
                                  <w:divsChild>
                                    <w:div w:id="123608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8833130">
                  <w:marLeft w:val="0"/>
                  <w:marRight w:val="0"/>
                  <w:marTop w:val="0"/>
                  <w:marBottom w:val="0"/>
                  <w:divBdr>
                    <w:top w:val="none" w:sz="0" w:space="0" w:color="auto"/>
                    <w:left w:val="none" w:sz="0" w:space="0" w:color="auto"/>
                    <w:bottom w:val="none" w:sz="0" w:space="0" w:color="auto"/>
                    <w:right w:val="none" w:sz="0" w:space="0" w:color="auto"/>
                  </w:divBdr>
                  <w:divsChild>
                    <w:div w:id="963970024">
                      <w:marLeft w:val="0"/>
                      <w:marRight w:val="0"/>
                      <w:marTop w:val="0"/>
                      <w:marBottom w:val="0"/>
                      <w:divBdr>
                        <w:top w:val="none" w:sz="0" w:space="0" w:color="auto"/>
                        <w:left w:val="none" w:sz="0" w:space="0" w:color="auto"/>
                        <w:bottom w:val="none" w:sz="0" w:space="0" w:color="auto"/>
                        <w:right w:val="none" w:sz="0" w:space="0" w:color="auto"/>
                      </w:divBdr>
                      <w:divsChild>
                        <w:div w:id="410273034">
                          <w:marLeft w:val="0"/>
                          <w:marRight w:val="0"/>
                          <w:marTop w:val="0"/>
                          <w:marBottom w:val="0"/>
                          <w:divBdr>
                            <w:top w:val="none" w:sz="0" w:space="0" w:color="auto"/>
                            <w:left w:val="none" w:sz="0" w:space="0" w:color="auto"/>
                            <w:bottom w:val="none" w:sz="0" w:space="0" w:color="auto"/>
                            <w:right w:val="none" w:sz="0" w:space="0" w:color="auto"/>
                          </w:divBdr>
                          <w:divsChild>
                            <w:div w:id="565993966">
                              <w:marLeft w:val="0"/>
                              <w:marRight w:val="0"/>
                              <w:marTop w:val="0"/>
                              <w:marBottom w:val="0"/>
                              <w:divBdr>
                                <w:top w:val="none" w:sz="0" w:space="0" w:color="auto"/>
                                <w:left w:val="none" w:sz="0" w:space="0" w:color="auto"/>
                                <w:bottom w:val="none" w:sz="0" w:space="0" w:color="auto"/>
                                <w:right w:val="none" w:sz="0" w:space="0" w:color="auto"/>
                              </w:divBdr>
                              <w:divsChild>
                                <w:div w:id="2069066924">
                                  <w:marLeft w:val="0"/>
                                  <w:marRight w:val="0"/>
                                  <w:marTop w:val="0"/>
                                  <w:marBottom w:val="0"/>
                                  <w:divBdr>
                                    <w:top w:val="none" w:sz="0" w:space="0" w:color="auto"/>
                                    <w:left w:val="none" w:sz="0" w:space="0" w:color="auto"/>
                                    <w:bottom w:val="none" w:sz="0" w:space="0" w:color="auto"/>
                                    <w:right w:val="none" w:sz="0" w:space="0" w:color="auto"/>
                                  </w:divBdr>
                                  <w:divsChild>
                                    <w:div w:id="82019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7845034">
      <w:bodyDiv w:val="1"/>
      <w:marLeft w:val="0"/>
      <w:marRight w:val="0"/>
      <w:marTop w:val="0"/>
      <w:marBottom w:val="0"/>
      <w:divBdr>
        <w:top w:val="none" w:sz="0" w:space="0" w:color="auto"/>
        <w:left w:val="none" w:sz="0" w:space="0" w:color="auto"/>
        <w:bottom w:val="none" w:sz="0" w:space="0" w:color="auto"/>
        <w:right w:val="none" w:sz="0" w:space="0" w:color="auto"/>
      </w:divBdr>
      <w:divsChild>
        <w:div w:id="646787246">
          <w:marLeft w:val="0"/>
          <w:marRight w:val="0"/>
          <w:marTop w:val="0"/>
          <w:marBottom w:val="0"/>
          <w:divBdr>
            <w:top w:val="none" w:sz="0" w:space="0" w:color="auto"/>
            <w:left w:val="none" w:sz="0" w:space="0" w:color="auto"/>
            <w:bottom w:val="none" w:sz="0" w:space="0" w:color="auto"/>
            <w:right w:val="none" w:sz="0" w:space="0" w:color="auto"/>
          </w:divBdr>
          <w:divsChild>
            <w:div w:id="1680085081">
              <w:marLeft w:val="0"/>
              <w:marRight w:val="0"/>
              <w:marTop w:val="0"/>
              <w:marBottom w:val="0"/>
              <w:divBdr>
                <w:top w:val="none" w:sz="0" w:space="0" w:color="auto"/>
                <w:left w:val="none" w:sz="0" w:space="0" w:color="auto"/>
                <w:bottom w:val="none" w:sz="0" w:space="0" w:color="auto"/>
                <w:right w:val="none" w:sz="0" w:space="0" w:color="auto"/>
              </w:divBdr>
              <w:divsChild>
                <w:div w:id="1110052908">
                  <w:marLeft w:val="0"/>
                  <w:marRight w:val="0"/>
                  <w:marTop w:val="0"/>
                  <w:marBottom w:val="0"/>
                  <w:divBdr>
                    <w:top w:val="none" w:sz="0" w:space="0" w:color="auto"/>
                    <w:left w:val="none" w:sz="0" w:space="0" w:color="auto"/>
                    <w:bottom w:val="none" w:sz="0" w:space="0" w:color="auto"/>
                    <w:right w:val="none" w:sz="0" w:space="0" w:color="auto"/>
                  </w:divBdr>
                  <w:divsChild>
                    <w:div w:id="23791768">
                      <w:marLeft w:val="0"/>
                      <w:marRight w:val="0"/>
                      <w:marTop w:val="0"/>
                      <w:marBottom w:val="0"/>
                      <w:divBdr>
                        <w:top w:val="none" w:sz="0" w:space="0" w:color="auto"/>
                        <w:left w:val="none" w:sz="0" w:space="0" w:color="auto"/>
                        <w:bottom w:val="none" w:sz="0" w:space="0" w:color="auto"/>
                        <w:right w:val="none" w:sz="0" w:space="0" w:color="auto"/>
                      </w:divBdr>
                      <w:divsChild>
                        <w:div w:id="2041664828">
                          <w:marLeft w:val="0"/>
                          <w:marRight w:val="0"/>
                          <w:marTop w:val="0"/>
                          <w:marBottom w:val="0"/>
                          <w:divBdr>
                            <w:top w:val="none" w:sz="0" w:space="0" w:color="auto"/>
                            <w:left w:val="none" w:sz="0" w:space="0" w:color="auto"/>
                            <w:bottom w:val="none" w:sz="0" w:space="0" w:color="auto"/>
                            <w:right w:val="none" w:sz="0" w:space="0" w:color="auto"/>
                          </w:divBdr>
                          <w:divsChild>
                            <w:div w:id="1376466914">
                              <w:marLeft w:val="0"/>
                              <w:marRight w:val="0"/>
                              <w:marTop w:val="0"/>
                              <w:marBottom w:val="0"/>
                              <w:divBdr>
                                <w:top w:val="none" w:sz="0" w:space="0" w:color="auto"/>
                                <w:left w:val="none" w:sz="0" w:space="0" w:color="auto"/>
                                <w:bottom w:val="none" w:sz="0" w:space="0" w:color="auto"/>
                                <w:right w:val="none" w:sz="0" w:space="0" w:color="auto"/>
                              </w:divBdr>
                              <w:divsChild>
                                <w:div w:id="295525635">
                                  <w:marLeft w:val="0"/>
                                  <w:marRight w:val="0"/>
                                  <w:marTop w:val="0"/>
                                  <w:marBottom w:val="0"/>
                                  <w:divBdr>
                                    <w:top w:val="none" w:sz="0" w:space="0" w:color="auto"/>
                                    <w:left w:val="none" w:sz="0" w:space="0" w:color="auto"/>
                                    <w:bottom w:val="none" w:sz="0" w:space="0" w:color="auto"/>
                                    <w:right w:val="none" w:sz="0" w:space="0" w:color="auto"/>
                                  </w:divBdr>
                                  <w:divsChild>
                                    <w:div w:id="17871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8530451">
          <w:marLeft w:val="0"/>
          <w:marRight w:val="0"/>
          <w:marTop w:val="0"/>
          <w:marBottom w:val="0"/>
          <w:divBdr>
            <w:top w:val="none" w:sz="0" w:space="0" w:color="auto"/>
            <w:left w:val="none" w:sz="0" w:space="0" w:color="auto"/>
            <w:bottom w:val="none" w:sz="0" w:space="0" w:color="auto"/>
            <w:right w:val="none" w:sz="0" w:space="0" w:color="auto"/>
          </w:divBdr>
          <w:divsChild>
            <w:div w:id="209850851">
              <w:marLeft w:val="0"/>
              <w:marRight w:val="0"/>
              <w:marTop w:val="0"/>
              <w:marBottom w:val="0"/>
              <w:divBdr>
                <w:top w:val="none" w:sz="0" w:space="0" w:color="auto"/>
                <w:left w:val="none" w:sz="0" w:space="0" w:color="auto"/>
                <w:bottom w:val="none" w:sz="0" w:space="0" w:color="auto"/>
                <w:right w:val="none" w:sz="0" w:space="0" w:color="auto"/>
              </w:divBdr>
              <w:divsChild>
                <w:div w:id="1708871045">
                  <w:marLeft w:val="0"/>
                  <w:marRight w:val="0"/>
                  <w:marTop w:val="0"/>
                  <w:marBottom w:val="0"/>
                  <w:divBdr>
                    <w:top w:val="none" w:sz="0" w:space="0" w:color="auto"/>
                    <w:left w:val="none" w:sz="0" w:space="0" w:color="auto"/>
                    <w:bottom w:val="none" w:sz="0" w:space="0" w:color="auto"/>
                    <w:right w:val="none" w:sz="0" w:space="0" w:color="auto"/>
                  </w:divBdr>
                  <w:divsChild>
                    <w:div w:id="740064427">
                      <w:marLeft w:val="0"/>
                      <w:marRight w:val="0"/>
                      <w:marTop w:val="0"/>
                      <w:marBottom w:val="0"/>
                      <w:divBdr>
                        <w:top w:val="none" w:sz="0" w:space="0" w:color="auto"/>
                        <w:left w:val="none" w:sz="0" w:space="0" w:color="auto"/>
                        <w:bottom w:val="none" w:sz="0" w:space="0" w:color="auto"/>
                        <w:right w:val="none" w:sz="0" w:space="0" w:color="auto"/>
                      </w:divBdr>
                      <w:divsChild>
                        <w:div w:id="1449273865">
                          <w:marLeft w:val="0"/>
                          <w:marRight w:val="0"/>
                          <w:marTop w:val="0"/>
                          <w:marBottom w:val="0"/>
                          <w:divBdr>
                            <w:top w:val="none" w:sz="0" w:space="0" w:color="auto"/>
                            <w:left w:val="none" w:sz="0" w:space="0" w:color="auto"/>
                            <w:bottom w:val="none" w:sz="0" w:space="0" w:color="auto"/>
                            <w:right w:val="none" w:sz="0" w:space="0" w:color="auto"/>
                          </w:divBdr>
                          <w:divsChild>
                            <w:div w:id="433013733">
                              <w:marLeft w:val="0"/>
                              <w:marRight w:val="0"/>
                              <w:marTop w:val="0"/>
                              <w:marBottom w:val="0"/>
                              <w:divBdr>
                                <w:top w:val="none" w:sz="0" w:space="0" w:color="auto"/>
                                <w:left w:val="none" w:sz="0" w:space="0" w:color="auto"/>
                                <w:bottom w:val="none" w:sz="0" w:space="0" w:color="auto"/>
                                <w:right w:val="none" w:sz="0" w:space="0" w:color="auto"/>
                              </w:divBdr>
                              <w:divsChild>
                                <w:div w:id="1459685160">
                                  <w:marLeft w:val="0"/>
                                  <w:marRight w:val="0"/>
                                  <w:marTop w:val="0"/>
                                  <w:marBottom w:val="0"/>
                                  <w:divBdr>
                                    <w:top w:val="none" w:sz="0" w:space="0" w:color="auto"/>
                                    <w:left w:val="none" w:sz="0" w:space="0" w:color="auto"/>
                                    <w:bottom w:val="none" w:sz="0" w:space="0" w:color="auto"/>
                                    <w:right w:val="none" w:sz="0" w:space="0" w:color="auto"/>
                                  </w:divBdr>
                                  <w:divsChild>
                                    <w:div w:id="1051075859">
                                      <w:marLeft w:val="0"/>
                                      <w:marRight w:val="0"/>
                                      <w:marTop w:val="0"/>
                                      <w:marBottom w:val="0"/>
                                      <w:divBdr>
                                        <w:top w:val="none" w:sz="0" w:space="0" w:color="auto"/>
                                        <w:left w:val="none" w:sz="0" w:space="0" w:color="auto"/>
                                        <w:bottom w:val="none" w:sz="0" w:space="0" w:color="auto"/>
                                        <w:right w:val="none" w:sz="0" w:space="0" w:color="auto"/>
                                      </w:divBdr>
                                      <w:divsChild>
                                        <w:div w:id="50563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5686362">
          <w:marLeft w:val="0"/>
          <w:marRight w:val="0"/>
          <w:marTop w:val="0"/>
          <w:marBottom w:val="0"/>
          <w:divBdr>
            <w:top w:val="none" w:sz="0" w:space="0" w:color="auto"/>
            <w:left w:val="none" w:sz="0" w:space="0" w:color="auto"/>
            <w:bottom w:val="none" w:sz="0" w:space="0" w:color="auto"/>
            <w:right w:val="none" w:sz="0" w:space="0" w:color="auto"/>
          </w:divBdr>
          <w:divsChild>
            <w:div w:id="2124416385">
              <w:marLeft w:val="0"/>
              <w:marRight w:val="0"/>
              <w:marTop w:val="0"/>
              <w:marBottom w:val="0"/>
              <w:divBdr>
                <w:top w:val="none" w:sz="0" w:space="0" w:color="auto"/>
                <w:left w:val="none" w:sz="0" w:space="0" w:color="auto"/>
                <w:bottom w:val="none" w:sz="0" w:space="0" w:color="auto"/>
                <w:right w:val="none" w:sz="0" w:space="0" w:color="auto"/>
              </w:divBdr>
              <w:divsChild>
                <w:div w:id="1363551848">
                  <w:marLeft w:val="0"/>
                  <w:marRight w:val="0"/>
                  <w:marTop w:val="0"/>
                  <w:marBottom w:val="0"/>
                  <w:divBdr>
                    <w:top w:val="none" w:sz="0" w:space="0" w:color="auto"/>
                    <w:left w:val="none" w:sz="0" w:space="0" w:color="auto"/>
                    <w:bottom w:val="none" w:sz="0" w:space="0" w:color="auto"/>
                    <w:right w:val="none" w:sz="0" w:space="0" w:color="auto"/>
                  </w:divBdr>
                  <w:divsChild>
                    <w:div w:id="1739013937">
                      <w:marLeft w:val="0"/>
                      <w:marRight w:val="0"/>
                      <w:marTop w:val="0"/>
                      <w:marBottom w:val="0"/>
                      <w:divBdr>
                        <w:top w:val="none" w:sz="0" w:space="0" w:color="auto"/>
                        <w:left w:val="none" w:sz="0" w:space="0" w:color="auto"/>
                        <w:bottom w:val="none" w:sz="0" w:space="0" w:color="auto"/>
                        <w:right w:val="none" w:sz="0" w:space="0" w:color="auto"/>
                      </w:divBdr>
                      <w:divsChild>
                        <w:div w:id="1524636329">
                          <w:marLeft w:val="0"/>
                          <w:marRight w:val="0"/>
                          <w:marTop w:val="0"/>
                          <w:marBottom w:val="0"/>
                          <w:divBdr>
                            <w:top w:val="none" w:sz="0" w:space="0" w:color="auto"/>
                            <w:left w:val="none" w:sz="0" w:space="0" w:color="auto"/>
                            <w:bottom w:val="none" w:sz="0" w:space="0" w:color="auto"/>
                            <w:right w:val="none" w:sz="0" w:space="0" w:color="auto"/>
                          </w:divBdr>
                          <w:divsChild>
                            <w:div w:id="1827281861">
                              <w:marLeft w:val="0"/>
                              <w:marRight w:val="0"/>
                              <w:marTop w:val="0"/>
                              <w:marBottom w:val="0"/>
                              <w:divBdr>
                                <w:top w:val="none" w:sz="0" w:space="0" w:color="auto"/>
                                <w:left w:val="none" w:sz="0" w:space="0" w:color="auto"/>
                                <w:bottom w:val="none" w:sz="0" w:space="0" w:color="auto"/>
                                <w:right w:val="none" w:sz="0" w:space="0" w:color="auto"/>
                              </w:divBdr>
                              <w:divsChild>
                                <w:div w:id="1311397093">
                                  <w:marLeft w:val="0"/>
                                  <w:marRight w:val="0"/>
                                  <w:marTop w:val="0"/>
                                  <w:marBottom w:val="0"/>
                                  <w:divBdr>
                                    <w:top w:val="none" w:sz="0" w:space="0" w:color="auto"/>
                                    <w:left w:val="none" w:sz="0" w:space="0" w:color="auto"/>
                                    <w:bottom w:val="none" w:sz="0" w:space="0" w:color="auto"/>
                                    <w:right w:val="none" w:sz="0" w:space="0" w:color="auto"/>
                                  </w:divBdr>
                                  <w:divsChild>
                                    <w:div w:id="161601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863292">
                  <w:marLeft w:val="0"/>
                  <w:marRight w:val="0"/>
                  <w:marTop w:val="0"/>
                  <w:marBottom w:val="0"/>
                  <w:divBdr>
                    <w:top w:val="none" w:sz="0" w:space="0" w:color="auto"/>
                    <w:left w:val="none" w:sz="0" w:space="0" w:color="auto"/>
                    <w:bottom w:val="none" w:sz="0" w:space="0" w:color="auto"/>
                    <w:right w:val="none" w:sz="0" w:space="0" w:color="auto"/>
                  </w:divBdr>
                  <w:divsChild>
                    <w:div w:id="1490708085">
                      <w:marLeft w:val="0"/>
                      <w:marRight w:val="0"/>
                      <w:marTop w:val="0"/>
                      <w:marBottom w:val="0"/>
                      <w:divBdr>
                        <w:top w:val="none" w:sz="0" w:space="0" w:color="auto"/>
                        <w:left w:val="none" w:sz="0" w:space="0" w:color="auto"/>
                        <w:bottom w:val="none" w:sz="0" w:space="0" w:color="auto"/>
                        <w:right w:val="none" w:sz="0" w:space="0" w:color="auto"/>
                      </w:divBdr>
                      <w:divsChild>
                        <w:div w:id="880829029">
                          <w:marLeft w:val="0"/>
                          <w:marRight w:val="0"/>
                          <w:marTop w:val="0"/>
                          <w:marBottom w:val="0"/>
                          <w:divBdr>
                            <w:top w:val="none" w:sz="0" w:space="0" w:color="auto"/>
                            <w:left w:val="none" w:sz="0" w:space="0" w:color="auto"/>
                            <w:bottom w:val="none" w:sz="0" w:space="0" w:color="auto"/>
                            <w:right w:val="none" w:sz="0" w:space="0" w:color="auto"/>
                          </w:divBdr>
                          <w:divsChild>
                            <w:div w:id="2119332029">
                              <w:marLeft w:val="0"/>
                              <w:marRight w:val="0"/>
                              <w:marTop w:val="0"/>
                              <w:marBottom w:val="0"/>
                              <w:divBdr>
                                <w:top w:val="none" w:sz="0" w:space="0" w:color="auto"/>
                                <w:left w:val="none" w:sz="0" w:space="0" w:color="auto"/>
                                <w:bottom w:val="none" w:sz="0" w:space="0" w:color="auto"/>
                                <w:right w:val="none" w:sz="0" w:space="0" w:color="auto"/>
                              </w:divBdr>
                              <w:divsChild>
                                <w:div w:id="1739941642">
                                  <w:marLeft w:val="0"/>
                                  <w:marRight w:val="0"/>
                                  <w:marTop w:val="0"/>
                                  <w:marBottom w:val="0"/>
                                  <w:divBdr>
                                    <w:top w:val="none" w:sz="0" w:space="0" w:color="auto"/>
                                    <w:left w:val="none" w:sz="0" w:space="0" w:color="auto"/>
                                    <w:bottom w:val="none" w:sz="0" w:space="0" w:color="auto"/>
                                    <w:right w:val="none" w:sz="0" w:space="0" w:color="auto"/>
                                  </w:divBdr>
                                  <w:divsChild>
                                    <w:div w:id="48990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6880093">
      <w:bodyDiv w:val="1"/>
      <w:marLeft w:val="0"/>
      <w:marRight w:val="0"/>
      <w:marTop w:val="0"/>
      <w:marBottom w:val="0"/>
      <w:divBdr>
        <w:top w:val="none" w:sz="0" w:space="0" w:color="auto"/>
        <w:left w:val="none" w:sz="0" w:space="0" w:color="auto"/>
        <w:bottom w:val="none" w:sz="0" w:space="0" w:color="auto"/>
        <w:right w:val="none" w:sz="0" w:space="0" w:color="auto"/>
      </w:divBdr>
      <w:divsChild>
        <w:div w:id="1716805338">
          <w:marLeft w:val="0"/>
          <w:marRight w:val="0"/>
          <w:marTop w:val="0"/>
          <w:marBottom w:val="0"/>
          <w:divBdr>
            <w:top w:val="none" w:sz="0" w:space="0" w:color="auto"/>
            <w:left w:val="none" w:sz="0" w:space="0" w:color="auto"/>
            <w:bottom w:val="none" w:sz="0" w:space="0" w:color="auto"/>
            <w:right w:val="none" w:sz="0" w:space="0" w:color="auto"/>
          </w:divBdr>
          <w:divsChild>
            <w:div w:id="521166804">
              <w:marLeft w:val="0"/>
              <w:marRight w:val="0"/>
              <w:marTop w:val="0"/>
              <w:marBottom w:val="0"/>
              <w:divBdr>
                <w:top w:val="none" w:sz="0" w:space="0" w:color="auto"/>
                <w:left w:val="none" w:sz="0" w:space="0" w:color="auto"/>
                <w:bottom w:val="none" w:sz="0" w:space="0" w:color="auto"/>
                <w:right w:val="none" w:sz="0" w:space="0" w:color="auto"/>
              </w:divBdr>
              <w:divsChild>
                <w:div w:id="1363897339">
                  <w:marLeft w:val="0"/>
                  <w:marRight w:val="0"/>
                  <w:marTop w:val="0"/>
                  <w:marBottom w:val="0"/>
                  <w:divBdr>
                    <w:top w:val="none" w:sz="0" w:space="0" w:color="auto"/>
                    <w:left w:val="none" w:sz="0" w:space="0" w:color="auto"/>
                    <w:bottom w:val="none" w:sz="0" w:space="0" w:color="auto"/>
                    <w:right w:val="none" w:sz="0" w:space="0" w:color="auto"/>
                  </w:divBdr>
                  <w:divsChild>
                    <w:div w:id="1616474716">
                      <w:marLeft w:val="0"/>
                      <w:marRight w:val="0"/>
                      <w:marTop w:val="0"/>
                      <w:marBottom w:val="0"/>
                      <w:divBdr>
                        <w:top w:val="none" w:sz="0" w:space="0" w:color="auto"/>
                        <w:left w:val="none" w:sz="0" w:space="0" w:color="auto"/>
                        <w:bottom w:val="none" w:sz="0" w:space="0" w:color="auto"/>
                        <w:right w:val="none" w:sz="0" w:space="0" w:color="auto"/>
                      </w:divBdr>
                      <w:divsChild>
                        <w:div w:id="1953513048">
                          <w:marLeft w:val="0"/>
                          <w:marRight w:val="0"/>
                          <w:marTop w:val="0"/>
                          <w:marBottom w:val="0"/>
                          <w:divBdr>
                            <w:top w:val="none" w:sz="0" w:space="0" w:color="auto"/>
                            <w:left w:val="none" w:sz="0" w:space="0" w:color="auto"/>
                            <w:bottom w:val="none" w:sz="0" w:space="0" w:color="auto"/>
                            <w:right w:val="none" w:sz="0" w:space="0" w:color="auto"/>
                          </w:divBdr>
                          <w:divsChild>
                            <w:div w:id="647437961">
                              <w:marLeft w:val="0"/>
                              <w:marRight w:val="0"/>
                              <w:marTop w:val="0"/>
                              <w:marBottom w:val="0"/>
                              <w:divBdr>
                                <w:top w:val="none" w:sz="0" w:space="0" w:color="auto"/>
                                <w:left w:val="none" w:sz="0" w:space="0" w:color="auto"/>
                                <w:bottom w:val="none" w:sz="0" w:space="0" w:color="auto"/>
                                <w:right w:val="none" w:sz="0" w:space="0" w:color="auto"/>
                              </w:divBdr>
                              <w:divsChild>
                                <w:div w:id="983585722">
                                  <w:marLeft w:val="0"/>
                                  <w:marRight w:val="0"/>
                                  <w:marTop w:val="0"/>
                                  <w:marBottom w:val="0"/>
                                  <w:divBdr>
                                    <w:top w:val="none" w:sz="0" w:space="0" w:color="auto"/>
                                    <w:left w:val="none" w:sz="0" w:space="0" w:color="auto"/>
                                    <w:bottom w:val="none" w:sz="0" w:space="0" w:color="auto"/>
                                    <w:right w:val="none" w:sz="0" w:space="0" w:color="auto"/>
                                  </w:divBdr>
                                  <w:divsChild>
                                    <w:div w:id="109963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6763</Words>
  <Characters>38550</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2</cp:revision>
  <dcterms:created xsi:type="dcterms:W3CDTF">2025-01-18T14:33:00Z</dcterms:created>
  <dcterms:modified xsi:type="dcterms:W3CDTF">2025-01-18T14:33:00Z</dcterms:modified>
</cp:coreProperties>
</file>