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C38A35" w14:textId="74DC4E04" w:rsidR="000E3334" w:rsidRPr="00D034FF" w:rsidRDefault="00B5675C" w:rsidP="00286596">
      <w:pPr>
        <w:spacing w:line="360" w:lineRule="auto"/>
        <w:jc w:val="both"/>
        <w:rPr>
          <w:lang w:val="en-GB"/>
        </w:rPr>
      </w:pPr>
      <w:r w:rsidRPr="00D034FF">
        <w:rPr>
          <w:lang w:val="en-GB"/>
        </w:rPr>
        <w:t xml:space="preserve">   </w:t>
      </w:r>
    </w:p>
    <w:p w14:paraId="6599D770" w14:textId="77777777" w:rsidR="000E3334" w:rsidRPr="00D034FF" w:rsidRDefault="000E3334" w:rsidP="00D034FF">
      <w:pPr>
        <w:spacing w:line="360" w:lineRule="auto"/>
        <w:jc w:val="center"/>
        <w:rPr>
          <w:b/>
          <w:smallCaps/>
          <w:sz w:val="28"/>
          <w:szCs w:val="28"/>
          <w:lang w:val="en-GB"/>
        </w:rPr>
      </w:pPr>
    </w:p>
    <w:p w14:paraId="650B1278" w14:textId="700013A9" w:rsidR="000E3334" w:rsidRDefault="000E3334" w:rsidP="00D034FF">
      <w:pPr>
        <w:spacing w:line="360" w:lineRule="auto"/>
        <w:jc w:val="center"/>
        <w:rPr>
          <w:b/>
          <w:smallCaps/>
          <w:sz w:val="28"/>
          <w:szCs w:val="28"/>
          <w:lang w:val="en-GB"/>
        </w:rPr>
      </w:pPr>
    </w:p>
    <w:p w14:paraId="4DFF3D72" w14:textId="77777777" w:rsidR="00286596" w:rsidRPr="00D034FF" w:rsidRDefault="00286596" w:rsidP="00D034FF">
      <w:pPr>
        <w:spacing w:line="360" w:lineRule="auto"/>
        <w:jc w:val="center"/>
        <w:rPr>
          <w:b/>
          <w:smallCaps/>
          <w:sz w:val="28"/>
          <w:szCs w:val="28"/>
          <w:lang w:val="en-GB"/>
        </w:rPr>
      </w:pPr>
    </w:p>
    <w:p w14:paraId="74D065A6" w14:textId="77777777" w:rsidR="000E3334" w:rsidRPr="00D034FF" w:rsidRDefault="000E3334" w:rsidP="00D034FF">
      <w:pPr>
        <w:spacing w:line="360" w:lineRule="auto"/>
        <w:jc w:val="center"/>
        <w:rPr>
          <w:b/>
          <w:smallCaps/>
          <w:sz w:val="28"/>
          <w:szCs w:val="28"/>
          <w:lang w:val="en-GB"/>
        </w:rPr>
      </w:pPr>
    </w:p>
    <w:p w14:paraId="7F863E17" w14:textId="77777777" w:rsidR="00685791" w:rsidRPr="00D034FF" w:rsidRDefault="00685791" w:rsidP="00D034FF">
      <w:pPr>
        <w:spacing w:line="360" w:lineRule="auto"/>
        <w:jc w:val="center"/>
        <w:rPr>
          <w:b/>
          <w:smallCaps/>
          <w:sz w:val="36"/>
          <w:szCs w:val="36"/>
          <w:lang w:val="en-GB"/>
        </w:rPr>
      </w:pPr>
    </w:p>
    <w:p w14:paraId="5C08FE8D" w14:textId="57277F3B" w:rsidR="00C759C7" w:rsidRPr="00E10A24" w:rsidRDefault="000E3334" w:rsidP="00C759C7">
      <w:pPr>
        <w:spacing w:line="360" w:lineRule="auto"/>
        <w:jc w:val="center"/>
        <w:rPr>
          <w:b/>
          <w:smallCaps/>
          <w:sz w:val="48"/>
          <w:szCs w:val="48"/>
          <w:lang w:val="en-GB"/>
        </w:rPr>
      </w:pPr>
      <w:r w:rsidRPr="00E10A24">
        <w:rPr>
          <w:b/>
          <w:smallCaps/>
          <w:sz w:val="48"/>
          <w:szCs w:val="48"/>
          <w:lang w:val="en-GB"/>
        </w:rPr>
        <w:t xml:space="preserve">FREEDOM OF ESTABISHMENT </w:t>
      </w:r>
    </w:p>
    <w:p w14:paraId="3698623E" w14:textId="0B8F3CA3" w:rsidR="000E3334" w:rsidRDefault="000E3334" w:rsidP="00D034FF">
      <w:pPr>
        <w:spacing w:line="360" w:lineRule="auto"/>
        <w:jc w:val="center"/>
        <w:rPr>
          <w:smallCaps/>
          <w:sz w:val="28"/>
          <w:szCs w:val="28"/>
          <w:lang w:val="en-GB"/>
        </w:rPr>
      </w:pPr>
    </w:p>
    <w:p w14:paraId="112EB396" w14:textId="77777777" w:rsidR="00870FE5" w:rsidRPr="00F75389" w:rsidRDefault="00870FE5" w:rsidP="00870FE5">
      <w:pPr>
        <w:spacing w:line="360" w:lineRule="auto"/>
        <w:jc w:val="center"/>
        <w:rPr>
          <w:i/>
          <w:iCs/>
          <w:lang w:val="en-GB"/>
        </w:rPr>
      </w:pPr>
      <w:r w:rsidRPr="00F75389">
        <w:rPr>
          <w:i/>
          <w:iCs/>
          <w:lang w:val="en-GB"/>
        </w:rPr>
        <w:t>Handouts are made available to students enrolled in Contemporary Issues in the Law of the European Internal Market. They are not for distribution elsewhere or for uploading onto sharing platforms.</w:t>
      </w:r>
    </w:p>
    <w:p w14:paraId="1115ECEB" w14:textId="77777777" w:rsidR="00870FE5" w:rsidRPr="00AD1DC4" w:rsidRDefault="00870FE5" w:rsidP="00D034FF">
      <w:pPr>
        <w:spacing w:line="360" w:lineRule="auto"/>
        <w:jc w:val="center"/>
        <w:rPr>
          <w:smallCaps/>
          <w:sz w:val="28"/>
          <w:szCs w:val="28"/>
          <w:lang w:val="en-GB"/>
        </w:rPr>
      </w:pPr>
    </w:p>
    <w:p w14:paraId="0EFDB526" w14:textId="77777777" w:rsidR="00B5675C" w:rsidRPr="00D034FF" w:rsidRDefault="000E3334" w:rsidP="00D034FF">
      <w:pPr>
        <w:spacing w:line="360" w:lineRule="auto"/>
        <w:jc w:val="center"/>
        <w:rPr>
          <w:lang w:val="en-GB"/>
        </w:rPr>
      </w:pPr>
      <w:r w:rsidRPr="00D034FF">
        <w:rPr>
          <w:lang w:val="en-GB"/>
        </w:rPr>
        <w:br w:type="page"/>
      </w:r>
    </w:p>
    <w:p w14:paraId="361B375D" w14:textId="77777777" w:rsidR="00B5675C" w:rsidRPr="00D034FF" w:rsidRDefault="00B5675C" w:rsidP="00D034FF">
      <w:pPr>
        <w:spacing w:line="360" w:lineRule="auto"/>
        <w:jc w:val="center"/>
        <w:rPr>
          <w:b/>
          <w:bCs/>
          <w:smallCaps/>
          <w:sz w:val="28"/>
          <w:szCs w:val="28"/>
          <w:lang w:val="en-GB"/>
        </w:rPr>
      </w:pPr>
      <w:r w:rsidRPr="00D034FF">
        <w:rPr>
          <w:b/>
          <w:bCs/>
          <w:smallCaps/>
          <w:sz w:val="28"/>
          <w:szCs w:val="28"/>
          <w:lang w:val="en-GB"/>
        </w:rPr>
        <w:lastRenderedPageBreak/>
        <w:t>Freedom of Establishment</w:t>
      </w:r>
    </w:p>
    <w:p w14:paraId="4D27CC57" w14:textId="77777777" w:rsidR="00B5675C" w:rsidRPr="00D034FF" w:rsidRDefault="008B7A17" w:rsidP="00D034FF">
      <w:pPr>
        <w:pStyle w:val="Subtitle"/>
      </w:pPr>
      <w:r w:rsidRPr="00D034FF">
        <w:t>Article 49 TFEU</w:t>
      </w:r>
    </w:p>
    <w:p w14:paraId="0AD7127B" w14:textId="77777777" w:rsidR="00E74CE0" w:rsidRPr="00D034FF" w:rsidRDefault="00E74CE0" w:rsidP="00D034FF">
      <w:pPr>
        <w:pStyle w:val="Subtitle"/>
      </w:pPr>
    </w:p>
    <w:p w14:paraId="77ECA93C" w14:textId="77777777" w:rsidR="00E74CE0" w:rsidRPr="00D034FF" w:rsidRDefault="00E74CE0" w:rsidP="00D034FF">
      <w:pPr>
        <w:spacing w:line="360" w:lineRule="auto"/>
        <w:jc w:val="both"/>
        <w:rPr>
          <w:lang w:val="en-GB"/>
        </w:rPr>
      </w:pPr>
      <w:r w:rsidRPr="00D034FF">
        <w:rPr>
          <w:lang w:val="en-GB"/>
        </w:rPr>
        <w:t xml:space="preserve">Within the framework of the provisions set out below, </w:t>
      </w:r>
      <w:r w:rsidRPr="00386F08">
        <w:rPr>
          <w:color w:val="FF0000"/>
          <w:lang w:val="en-GB"/>
        </w:rPr>
        <w:t>restrictions on the freedom of establishment of nationals of a Member State in the territory of another Member State shall be prohibited</w:t>
      </w:r>
      <w:r w:rsidRPr="00D034FF">
        <w:rPr>
          <w:lang w:val="en-GB"/>
        </w:rPr>
        <w:t>. Such prohibition shall also apply to restrictions on the setting-up of agencies, branches or subsidiaries by nationals of any Member State established in the territory of any Member State.</w:t>
      </w:r>
    </w:p>
    <w:p w14:paraId="4D25579C" w14:textId="77777777" w:rsidR="00E74CE0" w:rsidRPr="00D034FF" w:rsidRDefault="00E74CE0" w:rsidP="00D034FF">
      <w:pPr>
        <w:spacing w:line="360" w:lineRule="auto"/>
        <w:jc w:val="both"/>
        <w:rPr>
          <w:lang w:val="en-GB"/>
        </w:rPr>
      </w:pPr>
    </w:p>
    <w:p w14:paraId="2C9EDC68" w14:textId="77777777" w:rsidR="00E74CE0" w:rsidRPr="00D034FF" w:rsidRDefault="00E74CE0" w:rsidP="00D034FF">
      <w:pPr>
        <w:spacing w:line="360" w:lineRule="auto"/>
        <w:jc w:val="both"/>
        <w:rPr>
          <w:lang w:val="en-GB"/>
        </w:rPr>
      </w:pPr>
      <w:r w:rsidRPr="00D034FF">
        <w:rPr>
          <w:lang w:val="en-GB"/>
        </w:rPr>
        <w:t xml:space="preserve">Freedom of establishment shall include the right to take up and pursue activities as self-employed persons and to set up and manage undertakings, in particular companies or firms within the meaning </w:t>
      </w:r>
    </w:p>
    <w:p w14:paraId="657A485D" w14:textId="77777777" w:rsidR="00B5675C" w:rsidRPr="00D034FF" w:rsidRDefault="00E74CE0" w:rsidP="00D034FF">
      <w:pPr>
        <w:spacing w:line="360" w:lineRule="auto"/>
        <w:jc w:val="both"/>
        <w:rPr>
          <w:lang w:val="en-GB"/>
        </w:rPr>
      </w:pPr>
      <w:r w:rsidRPr="00D034FF">
        <w:rPr>
          <w:lang w:val="en-GB"/>
        </w:rPr>
        <w:t xml:space="preserve">of the second paragraph of Article 54, under the conditions laid down for its own nationals by the law of the country where such establishment is </w:t>
      </w:r>
      <w:proofErr w:type="gramStart"/>
      <w:r w:rsidRPr="00D034FF">
        <w:rPr>
          <w:lang w:val="en-GB"/>
        </w:rPr>
        <w:t>effected</w:t>
      </w:r>
      <w:proofErr w:type="gramEnd"/>
      <w:r w:rsidRPr="00D034FF">
        <w:rPr>
          <w:lang w:val="en-GB"/>
        </w:rPr>
        <w:t>, subject to the provisions of the Chapter relating to capital.</w:t>
      </w:r>
    </w:p>
    <w:p w14:paraId="1F36F5AC" w14:textId="77777777" w:rsidR="00B5675C" w:rsidRPr="00D034FF" w:rsidRDefault="00B5675C" w:rsidP="00D034FF">
      <w:pPr>
        <w:spacing w:line="360" w:lineRule="auto"/>
        <w:jc w:val="both"/>
        <w:rPr>
          <w:lang w:val="en-GB"/>
        </w:rPr>
      </w:pPr>
    </w:p>
    <w:p w14:paraId="1A7B91D1" w14:textId="77777777" w:rsidR="00B5675C" w:rsidRPr="00D034FF" w:rsidRDefault="008B7A17" w:rsidP="00D034FF">
      <w:pPr>
        <w:pStyle w:val="Heading1"/>
        <w:spacing w:line="360" w:lineRule="auto"/>
        <w:jc w:val="both"/>
        <w:rPr>
          <w:lang w:val="en-GB"/>
        </w:rPr>
      </w:pPr>
      <w:r w:rsidRPr="00D034FF">
        <w:rPr>
          <w:lang w:val="en-GB"/>
        </w:rPr>
        <w:t>Article 51 TFEU</w:t>
      </w:r>
    </w:p>
    <w:p w14:paraId="1195B999" w14:textId="77777777" w:rsidR="00E74CE0" w:rsidRPr="00D034FF" w:rsidRDefault="00E74CE0" w:rsidP="00D034FF">
      <w:pPr>
        <w:spacing w:line="360" w:lineRule="auto"/>
        <w:rPr>
          <w:lang w:val="en-GB"/>
        </w:rPr>
      </w:pPr>
    </w:p>
    <w:p w14:paraId="37FDDEAD" w14:textId="77777777" w:rsidR="00B5675C" w:rsidRPr="00D034FF" w:rsidRDefault="00E74CE0" w:rsidP="00D034FF">
      <w:pPr>
        <w:spacing w:line="360" w:lineRule="auto"/>
        <w:jc w:val="both"/>
        <w:rPr>
          <w:lang w:val="en-GB"/>
        </w:rPr>
      </w:pPr>
      <w:r w:rsidRPr="00D034FF">
        <w:rPr>
          <w:lang w:val="en-GB"/>
        </w:rPr>
        <w:t>The provisions of this Chapter shall not apply, so far as any given Member State is concerned, to activities which in that State are connected, even occasionally, with the exercise of official authority.</w:t>
      </w:r>
    </w:p>
    <w:p w14:paraId="21546040" w14:textId="77777777" w:rsidR="00E74CE0" w:rsidRPr="00D034FF" w:rsidRDefault="00E74CE0" w:rsidP="00D034FF">
      <w:pPr>
        <w:spacing w:line="360" w:lineRule="auto"/>
        <w:jc w:val="both"/>
        <w:rPr>
          <w:lang w:val="en-GB"/>
        </w:rPr>
      </w:pPr>
    </w:p>
    <w:p w14:paraId="3CFD4314" w14:textId="77777777" w:rsidR="00B5675C" w:rsidRPr="00D034FF" w:rsidRDefault="00E74CE0" w:rsidP="00D034FF">
      <w:pPr>
        <w:spacing w:line="360" w:lineRule="auto"/>
        <w:jc w:val="both"/>
        <w:rPr>
          <w:lang w:val="en-GB"/>
        </w:rPr>
      </w:pPr>
      <w:r w:rsidRPr="00D034FF">
        <w:rPr>
          <w:lang w:val="en-GB"/>
        </w:rPr>
        <w:t>The European Par</w:t>
      </w:r>
      <w:r w:rsidR="004F482A" w:rsidRPr="00D034FF">
        <w:rPr>
          <w:lang w:val="en-GB"/>
        </w:rPr>
        <w:t>liament and the Council, acting</w:t>
      </w:r>
      <w:r w:rsidRPr="00D034FF">
        <w:rPr>
          <w:lang w:val="en-GB"/>
        </w:rPr>
        <w:t xml:space="preserve"> in accordance with the ordinary legislative procedure, may rule that the provisions of this Chapter shall not apply to certain activities.</w:t>
      </w:r>
    </w:p>
    <w:p w14:paraId="5B032936" w14:textId="77777777" w:rsidR="00E74CE0" w:rsidRPr="00D034FF" w:rsidRDefault="00E74CE0" w:rsidP="00D034FF">
      <w:pPr>
        <w:spacing w:line="360" w:lineRule="auto"/>
        <w:jc w:val="both"/>
        <w:rPr>
          <w:lang w:val="en-GB"/>
        </w:rPr>
      </w:pPr>
    </w:p>
    <w:p w14:paraId="2350D961" w14:textId="77777777" w:rsidR="00B5675C" w:rsidRPr="00D034FF" w:rsidRDefault="008B7A17" w:rsidP="00D034FF">
      <w:pPr>
        <w:pStyle w:val="Heading1"/>
        <w:spacing w:line="360" w:lineRule="auto"/>
        <w:jc w:val="both"/>
        <w:rPr>
          <w:lang w:val="en-GB"/>
        </w:rPr>
      </w:pPr>
      <w:r w:rsidRPr="00D034FF">
        <w:rPr>
          <w:lang w:val="en-GB"/>
        </w:rPr>
        <w:t>Article 52 TFEU</w:t>
      </w:r>
    </w:p>
    <w:p w14:paraId="6FB03321" w14:textId="77777777" w:rsidR="00E74CE0" w:rsidRPr="00D034FF" w:rsidRDefault="00E74CE0" w:rsidP="00D034FF">
      <w:pPr>
        <w:spacing w:line="360" w:lineRule="auto"/>
        <w:jc w:val="both"/>
        <w:rPr>
          <w:lang w:val="en-GB"/>
        </w:rPr>
      </w:pPr>
    </w:p>
    <w:p w14:paraId="55A67179" w14:textId="77777777" w:rsidR="00E74CE0" w:rsidRPr="00D034FF" w:rsidRDefault="00E74CE0" w:rsidP="00D034FF">
      <w:pPr>
        <w:spacing w:line="360" w:lineRule="auto"/>
        <w:jc w:val="both"/>
        <w:rPr>
          <w:lang w:val="en-GB"/>
        </w:rPr>
      </w:pPr>
      <w:r w:rsidRPr="00D034FF">
        <w:rPr>
          <w:lang w:val="en-GB"/>
        </w:rPr>
        <w:t xml:space="preserve">1. The provisions of this Chapter and measures taken in pursuance thereof shall not prejudice the applicability of provisions laid down by law, regulation or administrative action providing for special treatment for foreign nationals on grounds of public policy, public security or public health. </w:t>
      </w:r>
    </w:p>
    <w:p w14:paraId="6D5C0BCA" w14:textId="77777777" w:rsidR="00E74CE0" w:rsidRPr="00D034FF" w:rsidRDefault="00E74CE0" w:rsidP="00D034FF">
      <w:pPr>
        <w:spacing w:line="360" w:lineRule="auto"/>
        <w:jc w:val="both"/>
        <w:rPr>
          <w:lang w:val="en-GB"/>
        </w:rPr>
      </w:pPr>
    </w:p>
    <w:p w14:paraId="7F3D469B" w14:textId="77777777" w:rsidR="00B5675C" w:rsidRPr="00D034FF" w:rsidRDefault="00E74CE0" w:rsidP="00D034FF">
      <w:pPr>
        <w:spacing w:line="360" w:lineRule="auto"/>
        <w:jc w:val="both"/>
        <w:rPr>
          <w:lang w:val="en-GB"/>
        </w:rPr>
      </w:pPr>
      <w:r w:rsidRPr="00D034FF">
        <w:rPr>
          <w:lang w:val="en-GB"/>
        </w:rPr>
        <w:t>2. The European Parliament and the Council shall, acting in accordance with the ordinary legislative procedure, issue directives for the coordination of the abovementioned provisions</w:t>
      </w:r>
      <w:r w:rsidR="00B5675C" w:rsidRPr="00D034FF">
        <w:rPr>
          <w:b/>
          <w:bCs/>
          <w:lang w:val="en-GB"/>
        </w:rPr>
        <w:t xml:space="preserve"> </w:t>
      </w:r>
    </w:p>
    <w:p w14:paraId="6CCA9CD2" w14:textId="77777777" w:rsidR="00B5675C" w:rsidRPr="00D034FF" w:rsidRDefault="00B5675C" w:rsidP="00D034FF">
      <w:pPr>
        <w:spacing w:line="360" w:lineRule="auto"/>
        <w:jc w:val="both"/>
        <w:rPr>
          <w:b/>
          <w:bCs/>
          <w:lang w:val="en-GB"/>
        </w:rPr>
      </w:pPr>
    </w:p>
    <w:p w14:paraId="33EF0F83" w14:textId="5B9AB4A5" w:rsidR="000922FF" w:rsidRDefault="000922FF" w:rsidP="00D034FF">
      <w:pPr>
        <w:spacing w:line="360" w:lineRule="auto"/>
        <w:jc w:val="both"/>
        <w:rPr>
          <w:b/>
          <w:bCs/>
          <w:lang w:val="en-GB"/>
        </w:rPr>
      </w:pPr>
      <w:r w:rsidRPr="00D034FF">
        <w:rPr>
          <w:b/>
          <w:bCs/>
          <w:lang w:val="en-GB"/>
        </w:rPr>
        <w:t>General Reading:</w:t>
      </w:r>
      <w:r w:rsidR="007C1E33" w:rsidRPr="00D034FF">
        <w:rPr>
          <w:b/>
          <w:bCs/>
          <w:lang w:val="en-GB"/>
        </w:rPr>
        <w:t xml:space="preserve"> </w:t>
      </w:r>
      <w:r w:rsidR="00C05477" w:rsidRPr="00D034FF">
        <w:rPr>
          <w:b/>
          <w:bCs/>
          <w:lang w:val="en-GB"/>
        </w:rPr>
        <w:t>Barnard</w:t>
      </w:r>
      <w:r w:rsidR="00C9360F">
        <w:rPr>
          <w:b/>
          <w:bCs/>
          <w:lang w:val="en-GB"/>
        </w:rPr>
        <w:t xml:space="preserve"> (20</w:t>
      </w:r>
      <w:r w:rsidR="00607D2B">
        <w:rPr>
          <w:b/>
          <w:bCs/>
          <w:lang w:val="en-GB"/>
        </w:rPr>
        <w:t>22</w:t>
      </w:r>
      <w:r w:rsidR="00C9360F">
        <w:rPr>
          <w:b/>
          <w:bCs/>
          <w:lang w:val="en-GB"/>
        </w:rPr>
        <w:t>)</w:t>
      </w:r>
      <w:r w:rsidR="00C05477" w:rsidRPr="00D034FF">
        <w:rPr>
          <w:b/>
          <w:bCs/>
          <w:lang w:val="en-GB"/>
        </w:rPr>
        <w:t xml:space="preserve">, chapters </w:t>
      </w:r>
      <w:r w:rsidR="00C9360F">
        <w:rPr>
          <w:b/>
          <w:bCs/>
          <w:lang w:val="en-GB"/>
        </w:rPr>
        <w:t xml:space="preserve">6, </w:t>
      </w:r>
      <w:r w:rsidR="00A72F5B">
        <w:rPr>
          <w:b/>
          <w:bCs/>
          <w:lang w:val="en-GB"/>
        </w:rPr>
        <w:t xml:space="preserve">7 (in relation to the self-employed), </w:t>
      </w:r>
      <w:r w:rsidR="00C05477" w:rsidRPr="00D034FF">
        <w:rPr>
          <w:b/>
          <w:bCs/>
          <w:lang w:val="en-GB"/>
        </w:rPr>
        <w:t xml:space="preserve">11 </w:t>
      </w:r>
      <w:r w:rsidR="00C07FF3">
        <w:rPr>
          <w:b/>
          <w:bCs/>
          <w:lang w:val="en-GB"/>
        </w:rPr>
        <w:t>(</w:t>
      </w:r>
      <w:r w:rsidR="0073279B">
        <w:rPr>
          <w:b/>
          <w:bCs/>
          <w:lang w:val="en-GB"/>
        </w:rPr>
        <w:t>establishment only</w:t>
      </w:r>
      <w:r w:rsidR="00C07FF3">
        <w:rPr>
          <w:b/>
          <w:bCs/>
          <w:lang w:val="en-GB"/>
        </w:rPr>
        <w:t xml:space="preserve">) </w:t>
      </w:r>
      <w:r w:rsidR="00C05477" w:rsidRPr="00D034FF">
        <w:rPr>
          <w:b/>
          <w:bCs/>
          <w:lang w:val="en-GB"/>
        </w:rPr>
        <w:t>and 12 (establishment</w:t>
      </w:r>
      <w:r w:rsidR="00607D2B">
        <w:rPr>
          <w:b/>
          <w:bCs/>
          <w:lang w:val="en-GB"/>
        </w:rPr>
        <w:t xml:space="preserve"> only</w:t>
      </w:r>
      <w:r w:rsidR="00C05477" w:rsidRPr="00D034FF">
        <w:rPr>
          <w:b/>
          <w:bCs/>
          <w:lang w:val="en-GB"/>
        </w:rPr>
        <w:t>)</w:t>
      </w:r>
      <w:r w:rsidR="00E16B5A">
        <w:rPr>
          <w:b/>
          <w:bCs/>
          <w:lang w:val="en-GB"/>
        </w:rPr>
        <w:t>.</w:t>
      </w:r>
      <w:r w:rsidR="00C05477" w:rsidRPr="00D034FF">
        <w:rPr>
          <w:b/>
          <w:bCs/>
          <w:lang w:val="en-GB"/>
        </w:rPr>
        <w:t xml:space="preserve"> </w:t>
      </w:r>
    </w:p>
    <w:p w14:paraId="411D32FF" w14:textId="183A468B" w:rsidR="00C759C7" w:rsidRDefault="00C759C7" w:rsidP="00D034FF">
      <w:pPr>
        <w:spacing w:line="360" w:lineRule="auto"/>
        <w:jc w:val="both"/>
        <w:rPr>
          <w:b/>
          <w:bCs/>
          <w:lang w:val="en-GB"/>
        </w:rPr>
      </w:pPr>
    </w:p>
    <w:p w14:paraId="7D041353" w14:textId="77777777" w:rsidR="00B5675C" w:rsidRPr="00D034FF" w:rsidRDefault="00B5675C" w:rsidP="00D034FF">
      <w:pPr>
        <w:numPr>
          <w:ilvl w:val="0"/>
          <w:numId w:val="3"/>
        </w:numPr>
        <w:spacing w:line="360" w:lineRule="auto"/>
        <w:jc w:val="center"/>
        <w:rPr>
          <w:b/>
          <w:bCs/>
          <w:smallCaps/>
          <w:lang w:val="en-GB"/>
        </w:rPr>
      </w:pPr>
      <w:r w:rsidRPr="00D034FF">
        <w:rPr>
          <w:b/>
          <w:bCs/>
          <w:smallCaps/>
          <w:lang w:val="en-GB"/>
        </w:rPr>
        <w:lastRenderedPageBreak/>
        <w:t xml:space="preserve">The Personal Scope of </w:t>
      </w:r>
      <w:r w:rsidR="00113500" w:rsidRPr="00D034FF">
        <w:rPr>
          <w:b/>
          <w:bCs/>
          <w:smallCaps/>
          <w:lang w:val="en-GB"/>
        </w:rPr>
        <w:t>Article 49</w:t>
      </w:r>
      <w:r w:rsidR="002A597A" w:rsidRPr="00D034FF">
        <w:rPr>
          <w:b/>
          <w:bCs/>
          <w:smallCaps/>
          <w:lang w:val="en-GB"/>
        </w:rPr>
        <w:t xml:space="preserve"> </w:t>
      </w:r>
      <w:r w:rsidR="004F482A" w:rsidRPr="00D034FF">
        <w:rPr>
          <w:b/>
          <w:bCs/>
          <w:smallCaps/>
          <w:lang w:val="en-GB"/>
        </w:rPr>
        <w:t>TFEU</w:t>
      </w:r>
    </w:p>
    <w:p w14:paraId="20664C31" w14:textId="77777777" w:rsidR="00B5675C" w:rsidRPr="00D034FF" w:rsidRDefault="00B5675C" w:rsidP="00D034FF">
      <w:pPr>
        <w:spacing w:line="360" w:lineRule="auto"/>
        <w:ind w:left="360"/>
        <w:rPr>
          <w:b/>
          <w:bCs/>
          <w:smallCaps/>
          <w:lang w:val="en-GB"/>
        </w:rPr>
      </w:pPr>
    </w:p>
    <w:p w14:paraId="0F85C327" w14:textId="77777777" w:rsidR="00B5675C" w:rsidRPr="00D034FF" w:rsidRDefault="008B7A17" w:rsidP="00D034FF">
      <w:pPr>
        <w:numPr>
          <w:ilvl w:val="0"/>
          <w:numId w:val="2"/>
        </w:numPr>
        <w:tabs>
          <w:tab w:val="clear" w:pos="720"/>
          <w:tab w:val="num" w:pos="360"/>
        </w:tabs>
        <w:spacing w:line="360" w:lineRule="auto"/>
        <w:ind w:left="360"/>
        <w:jc w:val="both"/>
        <w:rPr>
          <w:lang w:val="en-GB"/>
        </w:rPr>
      </w:pPr>
      <w:r w:rsidRPr="00D034FF">
        <w:rPr>
          <w:lang w:val="en-GB"/>
        </w:rPr>
        <w:t>Article 49 TFEU</w:t>
      </w:r>
      <w:r w:rsidR="00C66F91" w:rsidRPr="00D034FF">
        <w:rPr>
          <w:lang w:val="en-GB"/>
        </w:rPr>
        <w:t xml:space="preserve"> </w:t>
      </w:r>
      <w:r w:rsidR="00B5675C" w:rsidRPr="00D034FF">
        <w:rPr>
          <w:lang w:val="en-GB"/>
        </w:rPr>
        <w:t xml:space="preserve">applies to those who move to another Member State to </w:t>
      </w:r>
      <w:proofErr w:type="spellStart"/>
      <w:r w:rsidR="00B5675C" w:rsidRPr="00D034FF">
        <w:rPr>
          <w:lang w:val="en-GB"/>
        </w:rPr>
        <w:t>there</w:t>
      </w:r>
      <w:proofErr w:type="spellEnd"/>
      <w:r w:rsidR="00B5675C" w:rsidRPr="00D034FF">
        <w:rPr>
          <w:lang w:val="en-GB"/>
        </w:rPr>
        <w:t xml:space="preserve"> exercise an economic activity as </w:t>
      </w:r>
      <w:r w:rsidR="00B5675C" w:rsidRPr="00D034FF">
        <w:rPr>
          <w:b/>
          <w:lang w:val="en-GB"/>
        </w:rPr>
        <w:t>self-employed</w:t>
      </w:r>
      <w:r w:rsidR="00B5675C" w:rsidRPr="00D034FF">
        <w:rPr>
          <w:lang w:val="en-GB"/>
        </w:rPr>
        <w:t xml:space="preserve">. </w:t>
      </w:r>
    </w:p>
    <w:p w14:paraId="199C705C" w14:textId="77777777" w:rsidR="00B5675C" w:rsidRPr="00D034FF" w:rsidRDefault="00B5675C" w:rsidP="00D034FF">
      <w:pPr>
        <w:tabs>
          <w:tab w:val="num" w:pos="360"/>
        </w:tabs>
        <w:spacing w:line="360" w:lineRule="auto"/>
        <w:jc w:val="both"/>
        <w:rPr>
          <w:lang w:val="en-GB"/>
        </w:rPr>
      </w:pPr>
    </w:p>
    <w:p w14:paraId="218F2DF3" w14:textId="77777777" w:rsidR="00B5675C" w:rsidRPr="00D034FF" w:rsidRDefault="00B5675C" w:rsidP="00D034FF">
      <w:pPr>
        <w:numPr>
          <w:ilvl w:val="0"/>
          <w:numId w:val="2"/>
        </w:numPr>
        <w:tabs>
          <w:tab w:val="clear" w:pos="720"/>
          <w:tab w:val="num" w:pos="360"/>
        </w:tabs>
        <w:spacing w:line="360" w:lineRule="auto"/>
        <w:ind w:left="360"/>
        <w:jc w:val="both"/>
        <w:rPr>
          <w:lang w:val="en-GB"/>
        </w:rPr>
      </w:pPr>
      <w:r w:rsidRPr="00D034FF">
        <w:rPr>
          <w:b/>
          <w:bCs/>
          <w:lang w:val="en-GB"/>
        </w:rPr>
        <w:t xml:space="preserve">The difference between </w:t>
      </w:r>
      <w:r w:rsidR="008B7A17" w:rsidRPr="00D034FF">
        <w:rPr>
          <w:b/>
          <w:bCs/>
          <w:lang w:val="en-GB"/>
        </w:rPr>
        <w:t xml:space="preserve">Article 45 TFEU </w:t>
      </w:r>
      <w:r w:rsidRPr="00D034FF">
        <w:rPr>
          <w:b/>
          <w:bCs/>
          <w:lang w:val="en-GB"/>
        </w:rPr>
        <w:t xml:space="preserve">and </w:t>
      </w:r>
      <w:r w:rsidR="008B7A17" w:rsidRPr="00D034FF">
        <w:rPr>
          <w:b/>
          <w:bCs/>
          <w:lang w:val="en-GB"/>
        </w:rPr>
        <w:t xml:space="preserve">Article 49 TFEU </w:t>
      </w:r>
      <w:r w:rsidRPr="00D034FF">
        <w:rPr>
          <w:lang w:val="en-GB"/>
        </w:rPr>
        <w:t xml:space="preserve">is that </w:t>
      </w:r>
      <w:r w:rsidR="008B7A17" w:rsidRPr="00D034FF">
        <w:rPr>
          <w:lang w:val="en-GB"/>
        </w:rPr>
        <w:t>Article 45 TFEU</w:t>
      </w:r>
      <w:r w:rsidR="00C66F91" w:rsidRPr="00D034FF">
        <w:rPr>
          <w:lang w:val="en-GB"/>
        </w:rPr>
        <w:t xml:space="preserve"> </w:t>
      </w:r>
      <w:r w:rsidRPr="00D034FF">
        <w:rPr>
          <w:lang w:val="en-GB"/>
        </w:rPr>
        <w:t xml:space="preserve">applies to those </w:t>
      </w:r>
      <w:r w:rsidRPr="004242E0">
        <w:rPr>
          <w:b/>
          <w:bCs/>
          <w:lang w:val="en-GB"/>
        </w:rPr>
        <w:t>who move and exercise an economic activity in the context of a subordinate relationship,</w:t>
      </w:r>
      <w:r w:rsidRPr="00D034FF">
        <w:rPr>
          <w:lang w:val="en-GB"/>
        </w:rPr>
        <w:t xml:space="preserve"> whilst </w:t>
      </w:r>
      <w:r w:rsidR="008B7A17" w:rsidRPr="004242E0">
        <w:rPr>
          <w:b/>
          <w:bCs/>
          <w:lang w:val="en-GB"/>
        </w:rPr>
        <w:t>Article 49 TFEU</w:t>
      </w:r>
      <w:r w:rsidR="007F5092" w:rsidRPr="004242E0">
        <w:rPr>
          <w:b/>
          <w:bCs/>
          <w:lang w:val="en-GB"/>
        </w:rPr>
        <w:t xml:space="preserve"> </w:t>
      </w:r>
      <w:r w:rsidRPr="004242E0">
        <w:rPr>
          <w:b/>
          <w:bCs/>
          <w:lang w:val="en-GB"/>
        </w:rPr>
        <w:t>applies to those who move to exercise an economic activity as self-employed</w:t>
      </w:r>
      <w:r w:rsidRPr="00D034FF">
        <w:rPr>
          <w:lang w:val="en-GB"/>
        </w:rPr>
        <w:t xml:space="preserve">, i.e. those who move to exercise an activity outside a relationship of subordination (e.g. Case C-268/99 </w:t>
      </w:r>
      <w:r w:rsidRPr="00D034FF">
        <w:rPr>
          <w:i/>
          <w:iCs/>
          <w:lang w:val="en-GB"/>
        </w:rPr>
        <w:t>Jany</w:t>
      </w:r>
      <w:r w:rsidRPr="00D034FF">
        <w:rPr>
          <w:lang w:val="en-GB"/>
        </w:rPr>
        <w:t xml:space="preserve"> [2001] ECR I-8615). </w:t>
      </w:r>
    </w:p>
    <w:p w14:paraId="0CE2836B" w14:textId="77777777" w:rsidR="00B5675C" w:rsidRPr="00D034FF" w:rsidRDefault="00B5675C" w:rsidP="00D034FF">
      <w:pPr>
        <w:tabs>
          <w:tab w:val="num" w:pos="360"/>
        </w:tabs>
        <w:spacing w:line="360" w:lineRule="auto"/>
        <w:jc w:val="both"/>
        <w:rPr>
          <w:lang w:val="en-GB"/>
        </w:rPr>
      </w:pPr>
    </w:p>
    <w:p w14:paraId="68D865ED" w14:textId="77777777" w:rsidR="00B5675C" w:rsidRPr="00D034FF" w:rsidRDefault="00B5675C" w:rsidP="00D034FF">
      <w:pPr>
        <w:numPr>
          <w:ilvl w:val="0"/>
          <w:numId w:val="2"/>
        </w:numPr>
        <w:tabs>
          <w:tab w:val="clear" w:pos="720"/>
          <w:tab w:val="num" w:pos="360"/>
        </w:tabs>
        <w:spacing w:line="360" w:lineRule="auto"/>
        <w:ind w:left="360"/>
        <w:jc w:val="both"/>
        <w:rPr>
          <w:lang w:val="en-GB"/>
        </w:rPr>
      </w:pPr>
      <w:r w:rsidRPr="00D034FF">
        <w:rPr>
          <w:b/>
          <w:bCs/>
          <w:lang w:val="en-GB"/>
        </w:rPr>
        <w:t xml:space="preserve">The difference between </w:t>
      </w:r>
      <w:r w:rsidR="008B7A17" w:rsidRPr="00D034FF">
        <w:rPr>
          <w:b/>
          <w:bCs/>
          <w:lang w:val="en-GB"/>
        </w:rPr>
        <w:t>Article 49 TFEU</w:t>
      </w:r>
      <w:r w:rsidR="007F5092" w:rsidRPr="00D034FF">
        <w:rPr>
          <w:b/>
          <w:bCs/>
          <w:lang w:val="en-GB"/>
        </w:rPr>
        <w:t xml:space="preserve"> </w:t>
      </w:r>
      <w:r w:rsidRPr="00D034FF">
        <w:rPr>
          <w:b/>
          <w:bCs/>
          <w:lang w:val="en-GB"/>
        </w:rPr>
        <w:t xml:space="preserve">and </w:t>
      </w:r>
      <w:r w:rsidR="008B7A17" w:rsidRPr="00D034FF">
        <w:rPr>
          <w:b/>
          <w:bCs/>
          <w:lang w:val="en-GB"/>
        </w:rPr>
        <w:t>56 TFEU</w:t>
      </w:r>
      <w:r w:rsidRPr="00D034FF">
        <w:rPr>
          <w:lang w:val="en-GB"/>
        </w:rPr>
        <w:t xml:space="preserve"> – Both Articles apply to self-employed: however, </w:t>
      </w:r>
      <w:r w:rsidR="008B7A17" w:rsidRPr="00B51266">
        <w:rPr>
          <w:b/>
          <w:bCs/>
          <w:color w:val="FF0000"/>
          <w:lang w:val="en-GB"/>
        </w:rPr>
        <w:t xml:space="preserve">Article 49 TFEU </w:t>
      </w:r>
      <w:r w:rsidRPr="00B51266">
        <w:rPr>
          <w:b/>
          <w:bCs/>
          <w:color w:val="FF0000"/>
          <w:lang w:val="en-GB"/>
        </w:rPr>
        <w:t xml:space="preserve">applies to those who “establish” themselves in another Member State whilst </w:t>
      </w:r>
      <w:r w:rsidR="008B7A17" w:rsidRPr="00D034FF">
        <w:rPr>
          <w:lang w:val="en-GB"/>
        </w:rPr>
        <w:t>Article 56 TFEU</w:t>
      </w:r>
      <w:r w:rsidRPr="00D034FF">
        <w:rPr>
          <w:lang w:val="en-GB"/>
        </w:rPr>
        <w:t xml:space="preserve"> applies to those who “</w:t>
      </w:r>
      <w:r w:rsidRPr="00D034FF">
        <w:rPr>
          <w:b/>
          <w:bCs/>
          <w:lang w:val="en-GB"/>
        </w:rPr>
        <w:t>temporarily</w:t>
      </w:r>
      <w:r w:rsidRPr="00D034FF">
        <w:rPr>
          <w:lang w:val="en-GB"/>
        </w:rPr>
        <w:t xml:space="preserve"> move in another Member State” to </w:t>
      </w:r>
      <w:proofErr w:type="spellStart"/>
      <w:r w:rsidRPr="00D034FF">
        <w:rPr>
          <w:lang w:val="en-GB"/>
        </w:rPr>
        <w:t>there</w:t>
      </w:r>
      <w:proofErr w:type="spellEnd"/>
      <w:r w:rsidRPr="00D034FF">
        <w:rPr>
          <w:lang w:val="en-GB"/>
        </w:rPr>
        <w:t xml:space="preserve"> provide (or receive) a service </w:t>
      </w:r>
      <w:r w:rsidRPr="00D034FF">
        <w:rPr>
          <w:lang w:val="en-GB"/>
        </w:rPr>
        <w:sym w:font="Wingdings" w:char="F0E0"/>
      </w:r>
      <w:r w:rsidRPr="00D034FF">
        <w:rPr>
          <w:lang w:val="en-GB"/>
        </w:rPr>
        <w:t xml:space="preserve"> “The concept of establishment within the meaning of the Treaty is therefore a very broad one, allowing a </w:t>
      </w:r>
      <w:r w:rsidR="003E7D45" w:rsidRPr="00D034FF">
        <w:rPr>
          <w:lang w:val="en-GB"/>
        </w:rPr>
        <w:t>Union</w:t>
      </w:r>
      <w:r w:rsidRPr="00D034FF">
        <w:rPr>
          <w:lang w:val="en-GB"/>
        </w:rPr>
        <w:t xml:space="preserve"> national to participate, on a stable and continuous basis, in the economic life of another Member State other than his state of origin, and to profit therefrom, so contributing to economic and social interpenetration within the </w:t>
      </w:r>
      <w:r w:rsidR="003E7D45" w:rsidRPr="00D034FF">
        <w:rPr>
          <w:lang w:val="en-GB"/>
        </w:rPr>
        <w:t>Union</w:t>
      </w:r>
      <w:r w:rsidRPr="00D034FF">
        <w:rPr>
          <w:lang w:val="en-GB"/>
        </w:rPr>
        <w:t xml:space="preserve"> in the sphere of activities as self-employed persons” (Case C-55/94 </w:t>
      </w:r>
      <w:proofErr w:type="spellStart"/>
      <w:r w:rsidRPr="00D034FF">
        <w:rPr>
          <w:i/>
          <w:iCs/>
          <w:lang w:val="en-GB"/>
        </w:rPr>
        <w:t>Gebhard</w:t>
      </w:r>
      <w:proofErr w:type="spellEnd"/>
      <w:r w:rsidRPr="00D034FF">
        <w:rPr>
          <w:lang w:val="en-GB"/>
        </w:rPr>
        <w:t xml:space="preserve"> [1995] ECR I-4165).    </w:t>
      </w:r>
      <w:r w:rsidRPr="00D034FF">
        <w:rPr>
          <w:b/>
          <w:bCs/>
          <w:lang w:val="en-GB"/>
        </w:rPr>
        <w:t xml:space="preserve"> </w:t>
      </w:r>
    </w:p>
    <w:p w14:paraId="50CB2EEE" w14:textId="77777777" w:rsidR="00B5675C" w:rsidRPr="00D034FF" w:rsidRDefault="00B5675C" w:rsidP="00D034FF">
      <w:pPr>
        <w:tabs>
          <w:tab w:val="num" w:pos="360"/>
        </w:tabs>
        <w:spacing w:line="360" w:lineRule="auto"/>
        <w:jc w:val="both"/>
        <w:rPr>
          <w:lang w:val="en-GB"/>
        </w:rPr>
      </w:pPr>
    </w:p>
    <w:p w14:paraId="1DD447A4" w14:textId="77777777" w:rsidR="007E5E78" w:rsidRPr="00D034FF" w:rsidRDefault="008B7A17" w:rsidP="00D034FF">
      <w:pPr>
        <w:spacing w:before="75" w:after="75" w:line="360" w:lineRule="auto"/>
        <w:ind w:left="225" w:right="225"/>
        <w:jc w:val="both"/>
        <w:rPr>
          <w:lang w:val="en"/>
        </w:rPr>
      </w:pPr>
      <w:r w:rsidRPr="00D034FF">
        <w:rPr>
          <w:b/>
          <w:bCs/>
          <w:lang w:val="en-GB"/>
        </w:rPr>
        <w:t>Article 49 TFEU</w:t>
      </w:r>
      <w:r w:rsidR="007F5092" w:rsidRPr="00D034FF">
        <w:rPr>
          <w:b/>
          <w:bCs/>
          <w:lang w:val="en-GB"/>
        </w:rPr>
        <w:t xml:space="preserve"> </w:t>
      </w:r>
      <w:r w:rsidR="00B5675C" w:rsidRPr="00D034FF">
        <w:rPr>
          <w:b/>
          <w:bCs/>
          <w:lang w:val="en-GB"/>
        </w:rPr>
        <w:t>applies to both individuals and corporate entities</w:t>
      </w:r>
      <w:r w:rsidR="00B5675C" w:rsidRPr="00D034FF">
        <w:rPr>
          <w:lang w:val="en-GB"/>
        </w:rPr>
        <w:t>.</w:t>
      </w:r>
      <w:r w:rsidR="00794CF6" w:rsidRPr="00D034FF">
        <w:rPr>
          <w:lang w:val="en-GB"/>
        </w:rPr>
        <w:t xml:space="preserve"> For the latter, see </w:t>
      </w:r>
      <w:r w:rsidR="00794CF6" w:rsidRPr="00B51266">
        <w:rPr>
          <w:b/>
          <w:color w:val="FF0000"/>
          <w:lang w:val="en-GB"/>
        </w:rPr>
        <w:t>Art 54 TFEU</w:t>
      </w:r>
      <w:r w:rsidR="007E5E78" w:rsidRPr="00B51266">
        <w:rPr>
          <w:b/>
          <w:color w:val="FF0000"/>
          <w:lang w:val="en-GB"/>
        </w:rPr>
        <w:t>: ‘</w:t>
      </w:r>
      <w:r w:rsidR="007E5E78" w:rsidRPr="00B51266">
        <w:rPr>
          <w:b/>
          <w:color w:val="FF0000"/>
          <w:lang w:val="en"/>
        </w:rPr>
        <w:t xml:space="preserve">companies or firms formed in accordance with the law of a Member State and having their </w:t>
      </w:r>
      <w:r w:rsidR="007E5E78" w:rsidRPr="00B51266">
        <w:rPr>
          <w:b/>
          <w:color w:val="FF0000"/>
          <w:u w:val="single"/>
          <w:lang w:val="en"/>
        </w:rPr>
        <w:t>registered office, central administration or principal place of business</w:t>
      </w:r>
      <w:r w:rsidR="007E5E78" w:rsidRPr="00B51266">
        <w:rPr>
          <w:b/>
          <w:color w:val="FF0000"/>
          <w:lang w:val="en"/>
        </w:rPr>
        <w:t xml:space="preserve"> </w:t>
      </w:r>
      <w:r w:rsidR="00040A0E" w:rsidRPr="00B51266">
        <w:rPr>
          <w:b/>
          <w:color w:val="FF0000"/>
          <w:lang w:val="en"/>
        </w:rPr>
        <w:t xml:space="preserve">[known as ‘connecting factors’] </w:t>
      </w:r>
      <w:r w:rsidR="007E5E78" w:rsidRPr="00B51266">
        <w:rPr>
          <w:b/>
          <w:color w:val="FF0000"/>
          <w:lang w:val="en"/>
        </w:rPr>
        <w:t>within the Union shall</w:t>
      </w:r>
      <w:r w:rsidR="00A471A8" w:rsidRPr="00B51266">
        <w:rPr>
          <w:b/>
          <w:color w:val="FF0000"/>
          <w:lang w:val="en"/>
        </w:rPr>
        <w:t xml:space="preserve"> …</w:t>
      </w:r>
      <w:r w:rsidR="007E5E78" w:rsidRPr="00B51266">
        <w:rPr>
          <w:b/>
          <w:color w:val="FF0000"/>
          <w:lang w:val="en"/>
        </w:rPr>
        <w:t xml:space="preserve">  be treated in the same way as natural persons who are nationals of Member States’</w:t>
      </w:r>
      <w:r w:rsidR="00C4499C" w:rsidRPr="004242E0">
        <w:rPr>
          <w:b/>
          <w:lang w:val="en"/>
        </w:rPr>
        <w:t>.</w:t>
      </w:r>
      <w:r w:rsidR="00C4499C" w:rsidRPr="00D034FF">
        <w:rPr>
          <w:lang w:val="en"/>
        </w:rPr>
        <w:t xml:space="preserve"> </w:t>
      </w:r>
      <w:r w:rsidR="00A471A8" w:rsidRPr="00875F4C">
        <w:rPr>
          <w:b/>
          <w:bCs/>
          <w:lang w:val="en"/>
        </w:rPr>
        <w:t xml:space="preserve">Given that there is no single EU connecting factor, </w:t>
      </w:r>
      <w:r w:rsidR="00C4499C" w:rsidRPr="00875F4C">
        <w:rPr>
          <w:b/>
          <w:bCs/>
          <w:u w:val="single"/>
          <w:lang w:val="en"/>
        </w:rPr>
        <w:t xml:space="preserve">Member States have the power to determine </w:t>
      </w:r>
      <w:r w:rsidR="00040A0E" w:rsidRPr="00875F4C">
        <w:rPr>
          <w:b/>
          <w:bCs/>
          <w:u w:val="single"/>
          <w:lang w:val="en"/>
        </w:rPr>
        <w:t>which</w:t>
      </w:r>
      <w:r w:rsidR="00C4499C" w:rsidRPr="00875F4C">
        <w:rPr>
          <w:b/>
          <w:bCs/>
          <w:u w:val="single"/>
          <w:lang w:val="en"/>
        </w:rPr>
        <w:t xml:space="preserve"> </w:t>
      </w:r>
      <w:r w:rsidR="00A471A8" w:rsidRPr="00875F4C">
        <w:rPr>
          <w:b/>
          <w:bCs/>
          <w:u w:val="single"/>
          <w:lang w:val="en"/>
        </w:rPr>
        <w:t xml:space="preserve">of </w:t>
      </w:r>
      <w:r w:rsidR="00D570EF" w:rsidRPr="00875F4C">
        <w:rPr>
          <w:b/>
          <w:bCs/>
          <w:u w:val="single"/>
          <w:lang w:val="en"/>
        </w:rPr>
        <w:t>the</w:t>
      </w:r>
      <w:r w:rsidR="00A471A8" w:rsidRPr="00875F4C">
        <w:rPr>
          <w:b/>
          <w:bCs/>
          <w:u w:val="single"/>
          <w:lang w:val="en"/>
        </w:rPr>
        <w:t xml:space="preserve"> </w:t>
      </w:r>
      <w:r w:rsidR="00C4499C" w:rsidRPr="00875F4C">
        <w:rPr>
          <w:b/>
          <w:bCs/>
          <w:u w:val="single"/>
          <w:lang w:val="en"/>
        </w:rPr>
        <w:t>connecting factor</w:t>
      </w:r>
      <w:r w:rsidR="00A471A8" w:rsidRPr="00875F4C">
        <w:rPr>
          <w:b/>
          <w:bCs/>
          <w:u w:val="single"/>
          <w:lang w:val="en"/>
        </w:rPr>
        <w:t>s</w:t>
      </w:r>
      <w:r w:rsidR="00C4499C" w:rsidRPr="00875F4C">
        <w:rPr>
          <w:b/>
          <w:bCs/>
          <w:u w:val="single"/>
          <w:lang w:val="en"/>
        </w:rPr>
        <w:t xml:space="preserve"> </w:t>
      </w:r>
      <w:r w:rsidR="00040A0E" w:rsidRPr="00875F4C">
        <w:rPr>
          <w:b/>
          <w:bCs/>
          <w:u w:val="single"/>
          <w:lang w:val="en"/>
        </w:rPr>
        <w:t xml:space="preserve">is </w:t>
      </w:r>
      <w:r w:rsidR="00C4499C" w:rsidRPr="00875F4C">
        <w:rPr>
          <w:b/>
          <w:bCs/>
          <w:u w:val="single"/>
          <w:lang w:val="en"/>
        </w:rPr>
        <w:t>required if a company is to be regarded as incorporated under the law of that Member State</w:t>
      </w:r>
      <w:r w:rsidR="00C4499C" w:rsidRPr="00D034FF">
        <w:rPr>
          <w:lang w:val="en"/>
        </w:rPr>
        <w:t xml:space="preserve"> </w:t>
      </w:r>
      <w:r w:rsidR="00040A0E" w:rsidRPr="00D034FF">
        <w:rPr>
          <w:lang w:val="en-GB"/>
        </w:rPr>
        <w:sym w:font="Wingdings" w:char="F0E0"/>
      </w:r>
      <w:r w:rsidR="00A471A8" w:rsidRPr="00D034FF">
        <w:rPr>
          <w:lang w:val="en-GB"/>
        </w:rPr>
        <w:t xml:space="preserve"> </w:t>
      </w:r>
      <w:r w:rsidR="00A471A8" w:rsidRPr="00D034FF">
        <w:rPr>
          <w:bCs/>
          <w:szCs w:val="30"/>
          <w:lang w:val="en-US" w:eastAsia="en-US"/>
        </w:rPr>
        <w:t xml:space="preserve">Case C-210/06 </w:t>
      </w:r>
      <w:proofErr w:type="spellStart"/>
      <w:r w:rsidR="00A471A8" w:rsidRPr="00D034FF">
        <w:rPr>
          <w:bCs/>
          <w:i/>
          <w:szCs w:val="30"/>
          <w:lang w:val="en-US" w:eastAsia="en-US"/>
        </w:rPr>
        <w:t>Cartesio</w:t>
      </w:r>
      <w:proofErr w:type="spellEnd"/>
      <w:r w:rsidR="00A471A8" w:rsidRPr="00D034FF">
        <w:rPr>
          <w:bCs/>
          <w:i/>
          <w:szCs w:val="30"/>
          <w:lang w:val="en-US" w:eastAsia="en-US"/>
        </w:rPr>
        <w:t xml:space="preserve"> </w:t>
      </w:r>
      <w:proofErr w:type="spellStart"/>
      <w:r w:rsidR="00A471A8" w:rsidRPr="00D034FF">
        <w:rPr>
          <w:bCs/>
          <w:i/>
          <w:szCs w:val="30"/>
          <w:lang w:val="en-US" w:eastAsia="en-US"/>
        </w:rPr>
        <w:t>Oktató</w:t>
      </w:r>
      <w:proofErr w:type="spellEnd"/>
      <w:r w:rsidR="00A471A8" w:rsidRPr="00D034FF">
        <w:rPr>
          <w:bCs/>
          <w:i/>
          <w:szCs w:val="30"/>
          <w:lang w:val="en-US" w:eastAsia="en-US"/>
        </w:rPr>
        <w:t xml:space="preserve"> </w:t>
      </w:r>
      <w:proofErr w:type="spellStart"/>
      <w:r w:rsidR="00A471A8" w:rsidRPr="00D034FF">
        <w:rPr>
          <w:bCs/>
          <w:i/>
          <w:szCs w:val="30"/>
          <w:lang w:val="en-US" w:eastAsia="en-US"/>
        </w:rPr>
        <w:t>és</w:t>
      </w:r>
      <w:proofErr w:type="spellEnd"/>
      <w:r w:rsidR="00A471A8" w:rsidRPr="00D034FF">
        <w:rPr>
          <w:bCs/>
          <w:i/>
          <w:szCs w:val="30"/>
          <w:lang w:val="en-US" w:eastAsia="en-US"/>
        </w:rPr>
        <w:t xml:space="preserve"> </w:t>
      </w:r>
      <w:proofErr w:type="spellStart"/>
      <w:r w:rsidR="00A471A8" w:rsidRPr="00D034FF">
        <w:rPr>
          <w:bCs/>
          <w:i/>
          <w:szCs w:val="30"/>
          <w:lang w:val="en-US" w:eastAsia="en-US"/>
        </w:rPr>
        <w:t>Szolgáltató</w:t>
      </w:r>
      <w:proofErr w:type="spellEnd"/>
      <w:r w:rsidR="00A471A8" w:rsidRPr="00D034FF">
        <w:rPr>
          <w:bCs/>
          <w:i/>
          <w:szCs w:val="30"/>
          <w:lang w:val="en-US" w:eastAsia="en-US"/>
        </w:rPr>
        <w:t xml:space="preserve"> </w:t>
      </w:r>
      <w:proofErr w:type="spellStart"/>
      <w:r w:rsidR="00A471A8" w:rsidRPr="00D034FF">
        <w:rPr>
          <w:bCs/>
          <w:i/>
          <w:szCs w:val="30"/>
          <w:lang w:val="en-US" w:eastAsia="en-US"/>
        </w:rPr>
        <w:t>bt</w:t>
      </w:r>
      <w:proofErr w:type="spellEnd"/>
      <w:r w:rsidR="00A471A8" w:rsidRPr="00D034FF">
        <w:rPr>
          <w:bCs/>
          <w:szCs w:val="30"/>
          <w:lang w:val="en-US" w:eastAsia="en-US"/>
        </w:rPr>
        <w:t xml:space="preserve"> </w:t>
      </w:r>
      <w:r w:rsidR="00A471A8" w:rsidRPr="00D034FF">
        <w:rPr>
          <w:szCs w:val="32"/>
          <w:lang w:val="en-US" w:eastAsia="en-US"/>
        </w:rPr>
        <w:t xml:space="preserve">[2008] </w:t>
      </w:r>
      <w:r w:rsidR="00A471A8" w:rsidRPr="00D034FF">
        <w:rPr>
          <w:bCs/>
          <w:szCs w:val="32"/>
          <w:lang w:val="en-US" w:eastAsia="en-US"/>
        </w:rPr>
        <w:t>ECR</w:t>
      </w:r>
      <w:r w:rsidR="00A471A8" w:rsidRPr="00D034FF">
        <w:rPr>
          <w:szCs w:val="32"/>
          <w:lang w:val="en-US" w:eastAsia="en-US"/>
        </w:rPr>
        <w:t xml:space="preserve"> I-9641. In this context, some Member State apply the </w:t>
      </w:r>
      <w:r w:rsidR="005F5CC4" w:rsidRPr="00D034FF">
        <w:rPr>
          <w:szCs w:val="32"/>
          <w:lang w:val="en-US" w:eastAsia="en-US"/>
        </w:rPr>
        <w:t>‘</w:t>
      </w:r>
      <w:r w:rsidR="00A471A8" w:rsidRPr="00D034FF">
        <w:rPr>
          <w:szCs w:val="32"/>
          <w:lang w:val="en-US" w:eastAsia="en-US"/>
        </w:rPr>
        <w:t>incorporation doctrine</w:t>
      </w:r>
      <w:r w:rsidR="005F5CC4" w:rsidRPr="00D034FF">
        <w:rPr>
          <w:szCs w:val="32"/>
          <w:lang w:val="en-US" w:eastAsia="en-US"/>
        </w:rPr>
        <w:t>’</w:t>
      </w:r>
      <w:r w:rsidR="00A471A8" w:rsidRPr="00D034FF">
        <w:rPr>
          <w:szCs w:val="32"/>
          <w:lang w:val="en-US" w:eastAsia="en-US"/>
        </w:rPr>
        <w:t xml:space="preserve"> according to which </w:t>
      </w:r>
      <w:r w:rsidR="005F5CC4" w:rsidRPr="00D034FF">
        <w:rPr>
          <w:szCs w:val="32"/>
          <w:lang w:val="en-US" w:eastAsia="en-US"/>
        </w:rPr>
        <w:t>the applicable law is that in which the company has its r</w:t>
      </w:r>
      <w:r w:rsidR="00A471A8" w:rsidRPr="00D034FF">
        <w:rPr>
          <w:szCs w:val="32"/>
          <w:lang w:val="en-US" w:eastAsia="en-US"/>
        </w:rPr>
        <w:t>egistered</w:t>
      </w:r>
      <w:r w:rsidR="005F5CC4" w:rsidRPr="00D034FF">
        <w:rPr>
          <w:szCs w:val="32"/>
          <w:lang w:val="en-US" w:eastAsia="en-US"/>
        </w:rPr>
        <w:t xml:space="preserve"> office</w:t>
      </w:r>
      <w:r w:rsidR="00D570EF" w:rsidRPr="00D034FF">
        <w:rPr>
          <w:szCs w:val="32"/>
          <w:lang w:val="en-US" w:eastAsia="en-US"/>
        </w:rPr>
        <w:t>,</w:t>
      </w:r>
      <w:r w:rsidR="005F5CC4" w:rsidRPr="00D034FF">
        <w:rPr>
          <w:szCs w:val="32"/>
          <w:lang w:val="en-US" w:eastAsia="en-US"/>
        </w:rPr>
        <w:t xml:space="preserve"> irrespective of whe</w:t>
      </w:r>
      <w:r w:rsidR="00D570EF" w:rsidRPr="00D034FF">
        <w:rPr>
          <w:szCs w:val="32"/>
          <w:lang w:val="en-US" w:eastAsia="en-US"/>
        </w:rPr>
        <w:t>re</w:t>
      </w:r>
      <w:r w:rsidR="005F5CC4" w:rsidRPr="00D034FF">
        <w:rPr>
          <w:szCs w:val="32"/>
          <w:lang w:val="en-US" w:eastAsia="en-US"/>
        </w:rPr>
        <w:t xml:space="preserve"> the company is physically located. Others have applied the ‘real seat’ doctrine: the applicable law is that where the company has its ‘real seat’</w:t>
      </w:r>
      <w:r w:rsidR="00D570EF" w:rsidRPr="00D034FF">
        <w:rPr>
          <w:szCs w:val="32"/>
          <w:lang w:val="en-US" w:eastAsia="en-US"/>
        </w:rPr>
        <w:t>, say, where the central administration or principal place of business of the company is located (t</w:t>
      </w:r>
      <w:r w:rsidR="005F5CC4" w:rsidRPr="00D034FF">
        <w:rPr>
          <w:szCs w:val="32"/>
          <w:lang w:val="en-US" w:eastAsia="en-US"/>
        </w:rPr>
        <w:t xml:space="preserve">he meaning of </w:t>
      </w:r>
      <w:r w:rsidR="00D570EF" w:rsidRPr="00D034FF">
        <w:rPr>
          <w:szCs w:val="32"/>
          <w:lang w:val="en-US" w:eastAsia="en-US"/>
        </w:rPr>
        <w:t xml:space="preserve">‘real seat’ </w:t>
      </w:r>
      <w:r w:rsidR="005F5CC4" w:rsidRPr="00D034FF">
        <w:rPr>
          <w:szCs w:val="32"/>
          <w:lang w:val="en-US" w:eastAsia="en-US"/>
        </w:rPr>
        <w:t>can vary</w:t>
      </w:r>
      <w:r w:rsidR="00D570EF" w:rsidRPr="00D034FF">
        <w:rPr>
          <w:szCs w:val="32"/>
          <w:lang w:val="en-US" w:eastAsia="en-US"/>
        </w:rPr>
        <w:t>)</w:t>
      </w:r>
      <w:r w:rsidR="005F5CC4" w:rsidRPr="00D034FF">
        <w:rPr>
          <w:szCs w:val="32"/>
          <w:lang w:val="en-US" w:eastAsia="en-US"/>
        </w:rPr>
        <w:t xml:space="preserve">. </w:t>
      </w:r>
    </w:p>
    <w:p w14:paraId="73CD169F" w14:textId="77777777" w:rsidR="00B5675C" w:rsidRPr="00D034FF" w:rsidRDefault="002346CF" w:rsidP="00D034FF">
      <w:pPr>
        <w:spacing w:line="360" w:lineRule="auto"/>
        <w:jc w:val="both"/>
        <w:rPr>
          <w:lang w:val="en-GB"/>
        </w:rPr>
      </w:pPr>
      <w:r w:rsidRPr="00D034FF">
        <w:rPr>
          <w:lang w:val="en-GB"/>
        </w:rPr>
        <w:t xml:space="preserve"> </w:t>
      </w:r>
    </w:p>
    <w:p w14:paraId="2D654B46" w14:textId="36F43221" w:rsidR="00B5675C" w:rsidRPr="00D034FF" w:rsidRDefault="008B7A17" w:rsidP="00D034FF">
      <w:pPr>
        <w:numPr>
          <w:ilvl w:val="0"/>
          <w:numId w:val="2"/>
        </w:numPr>
        <w:tabs>
          <w:tab w:val="clear" w:pos="720"/>
          <w:tab w:val="num" w:pos="360"/>
        </w:tabs>
        <w:spacing w:line="360" w:lineRule="auto"/>
        <w:ind w:left="360"/>
        <w:jc w:val="both"/>
        <w:rPr>
          <w:lang w:val="en-GB"/>
        </w:rPr>
      </w:pPr>
      <w:r w:rsidRPr="00D034FF">
        <w:rPr>
          <w:b/>
          <w:bCs/>
          <w:lang w:val="en-GB"/>
        </w:rPr>
        <w:lastRenderedPageBreak/>
        <w:t>Article 49 TFEU</w:t>
      </w:r>
      <w:r w:rsidR="007F5092" w:rsidRPr="00D034FF">
        <w:rPr>
          <w:b/>
          <w:bCs/>
          <w:lang w:val="en-GB"/>
        </w:rPr>
        <w:t xml:space="preserve"> </w:t>
      </w:r>
      <w:r w:rsidR="00B5675C" w:rsidRPr="00D034FF">
        <w:rPr>
          <w:b/>
          <w:bCs/>
          <w:lang w:val="en-GB"/>
        </w:rPr>
        <w:t>does not apply to purely internal situations</w:t>
      </w:r>
      <w:r w:rsidR="00B5675C" w:rsidRPr="00D034FF">
        <w:rPr>
          <w:lang w:val="en-GB"/>
        </w:rPr>
        <w:t xml:space="preserve">. As in the case of Article </w:t>
      </w:r>
      <w:r w:rsidR="00CF04A9" w:rsidRPr="00D034FF">
        <w:rPr>
          <w:lang w:val="en-GB"/>
        </w:rPr>
        <w:t>45</w:t>
      </w:r>
      <w:r w:rsidR="000751CA" w:rsidRPr="00D034FF">
        <w:rPr>
          <w:lang w:val="en-GB"/>
        </w:rPr>
        <w:t xml:space="preserve"> </w:t>
      </w:r>
      <w:r w:rsidR="00CF04A9" w:rsidRPr="00D034FF">
        <w:rPr>
          <w:lang w:val="en-GB"/>
        </w:rPr>
        <w:t>TFEU</w:t>
      </w:r>
      <w:r w:rsidR="00B5675C" w:rsidRPr="00D034FF">
        <w:rPr>
          <w:lang w:val="en-GB"/>
        </w:rPr>
        <w:t xml:space="preserve">, </w:t>
      </w:r>
      <w:r w:rsidRPr="00D034FF">
        <w:rPr>
          <w:lang w:val="en-GB"/>
        </w:rPr>
        <w:t>Article 49 TFEU</w:t>
      </w:r>
      <w:r w:rsidR="007F5092" w:rsidRPr="00D034FF">
        <w:rPr>
          <w:lang w:val="en-GB"/>
        </w:rPr>
        <w:t xml:space="preserve"> </w:t>
      </w:r>
      <w:r w:rsidR="00B5675C" w:rsidRPr="00D034FF">
        <w:rPr>
          <w:lang w:val="en-GB"/>
        </w:rPr>
        <w:t>applies only when there is an intra-</w:t>
      </w:r>
      <w:r w:rsidR="003E7D45" w:rsidRPr="00D034FF">
        <w:rPr>
          <w:lang w:val="en-GB"/>
        </w:rPr>
        <w:t>Union</w:t>
      </w:r>
      <w:r w:rsidR="00B5675C" w:rsidRPr="00D034FF">
        <w:rPr>
          <w:lang w:val="en-GB"/>
        </w:rPr>
        <w:t xml:space="preserve"> element. The situation of a </w:t>
      </w:r>
      <w:r w:rsidR="003E7D45" w:rsidRPr="00D034FF">
        <w:rPr>
          <w:lang w:val="en-GB"/>
        </w:rPr>
        <w:t>Union</w:t>
      </w:r>
      <w:r w:rsidR="00B5675C" w:rsidRPr="00D034FF">
        <w:rPr>
          <w:lang w:val="en-GB"/>
        </w:rPr>
        <w:t xml:space="preserve"> national who returns to her Member State of origin after having exercised her right to free movement is covered by </w:t>
      </w:r>
      <w:r w:rsidRPr="00D034FF">
        <w:rPr>
          <w:lang w:val="en-GB"/>
        </w:rPr>
        <w:t>Article 49 TFEU</w:t>
      </w:r>
      <w:r w:rsidR="00B5675C" w:rsidRPr="00D034FF">
        <w:rPr>
          <w:lang w:val="en-GB"/>
        </w:rPr>
        <w:sym w:font="Wingdings" w:char="F0E0"/>
      </w:r>
      <w:r w:rsidR="00B5675C" w:rsidRPr="00D034FF">
        <w:rPr>
          <w:lang w:val="en-GB"/>
        </w:rPr>
        <w:t xml:space="preserve"> Case C-19/92 </w:t>
      </w:r>
      <w:r w:rsidR="00B5675C" w:rsidRPr="00D034FF">
        <w:rPr>
          <w:i/>
          <w:iCs/>
          <w:lang w:val="en-GB"/>
        </w:rPr>
        <w:t xml:space="preserve">Kraus </w:t>
      </w:r>
      <w:r w:rsidR="00B5675C" w:rsidRPr="00D034FF">
        <w:rPr>
          <w:lang w:val="en-GB"/>
        </w:rPr>
        <w:t xml:space="preserve">[1993] ECR I-1663. </w:t>
      </w:r>
    </w:p>
    <w:p w14:paraId="5133F7C6" w14:textId="77777777" w:rsidR="00172C3B" w:rsidRPr="00D034FF" w:rsidRDefault="00172C3B" w:rsidP="00D034FF">
      <w:pPr>
        <w:tabs>
          <w:tab w:val="num" w:pos="360"/>
        </w:tabs>
        <w:spacing w:line="360" w:lineRule="auto"/>
        <w:ind w:left="360"/>
        <w:jc w:val="both"/>
        <w:rPr>
          <w:lang w:val="en-GB"/>
        </w:rPr>
      </w:pPr>
    </w:p>
    <w:p w14:paraId="2205821D" w14:textId="77777777" w:rsidR="00B5675C" w:rsidRPr="00D034FF" w:rsidRDefault="00B5675C" w:rsidP="00D034FF">
      <w:pPr>
        <w:numPr>
          <w:ilvl w:val="0"/>
          <w:numId w:val="2"/>
        </w:numPr>
        <w:tabs>
          <w:tab w:val="clear" w:pos="720"/>
          <w:tab w:val="num" w:pos="360"/>
        </w:tabs>
        <w:spacing w:line="360" w:lineRule="auto"/>
        <w:ind w:left="360"/>
        <w:jc w:val="both"/>
        <w:rPr>
          <w:lang w:val="en-GB"/>
        </w:rPr>
      </w:pPr>
      <w:r w:rsidRPr="00D034FF">
        <w:rPr>
          <w:b/>
          <w:bCs/>
          <w:lang w:val="en-GB"/>
        </w:rPr>
        <w:t>Vertical, semi-horizontal and horizontal application</w:t>
      </w:r>
      <w:r w:rsidRPr="00D034FF">
        <w:rPr>
          <w:lang w:val="en-GB"/>
        </w:rPr>
        <w:t xml:space="preserve"> – The same principles as seen in the case of </w:t>
      </w:r>
      <w:r w:rsidR="008B7A17" w:rsidRPr="00D034FF">
        <w:rPr>
          <w:lang w:val="en-GB"/>
        </w:rPr>
        <w:t>Article 45 TFEU</w:t>
      </w:r>
      <w:r w:rsidR="007F5092" w:rsidRPr="00D034FF">
        <w:rPr>
          <w:lang w:val="en-GB"/>
        </w:rPr>
        <w:t xml:space="preserve"> </w:t>
      </w:r>
      <w:r w:rsidRPr="00D034FF">
        <w:rPr>
          <w:lang w:val="en-GB"/>
        </w:rPr>
        <w:t xml:space="preserve">apply also to Articles </w:t>
      </w:r>
      <w:r w:rsidR="00982666" w:rsidRPr="00D034FF">
        <w:rPr>
          <w:lang w:val="en-GB"/>
        </w:rPr>
        <w:t>49</w:t>
      </w:r>
      <w:r w:rsidRPr="00D034FF">
        <w:rPr>
          <w:lang w:val="en-GB"/>
        </w:rPr>
        <w:t xml:space="preserve"> </w:t>
      </w:r>
      <w:r w:rsidR="00895588" w:rsidRPr="00D034FF">
        <w:rPr>
          <w:lang w:val="en-GB"/>
        </w:rPr>
        <w:t>TFEU</w:t>
      </w:r>
      <w:r w:rsidR="002346CF" w:rsidRPr="00D034FF">
        <w:rPr>
          <w:lang w:val="en-GB"/>
        </w:rPr>
        <w:t xml:space="preserve"> </w:t>
      </w:r>
      <w:r w:rsidRPr="00D034FF">
        <w:rPr>
          <w:lang w:val="en-GB"/>
        </w:rPr>
        <w:t xml:space="preserve">and </w:t>
      </w:r>
      <w:r w:rsidR="00982666" w:rsidRPr="00D034FF">
        <w:rPr>
          <w:lang w:val="en-GB"/>
        </w:rPr>
        <w:t>56 TFEU.</w:t>
      </w:r>
      <w:r w:rsidRPr="00D034FF">
        <w:rPr>
          <w:lang w:val="en-GB"/>
        </w:rPr>
        <w:t xml:space="preserve"> Thus, they can be relied upon to challenge rules imposed by MSs, professional association, or discriminatory rules imposed by individuals</w:t>
      </w:r>
      <w:r w:rsidR="002D6518" w:rsidRPr="00D034FF">
        <w:rPr>
          <w:lang w:val="en-GB"/>
        </w:rPr>
        <w:t xml:space="preserve">, including action undertaken by trade unions to prevent a business from relocating in another MS </w:t>
      </w:r>
      <w:r w:rsidR="002D6518" w:rsidRPr="00D034FF">
        <w:rPr>
          <w:lang w:val="en-GB"/>
        </w:rPr>
        <w:sym w:font="Wingdings" w:char="F0E0"/>
      </w:r>
      <w:r w:rsidR="002D6518" w:rsidRPr="00D034FF">
        <w:rPr>
          <w:lang w:val="en-GB"/>
        </w:rPr>
        <w:t xml:space="preserve"> ** Case C-438/05 </w:t>
      </w:r>
      <w:r w:rsidR="002D6518" w:rsidRPr="00D034FF">
        <w:rPr>
          <w:i/>
          <w:lang w:val="en-GB"/>
        </w:rPr>
        <w:t xml:space="preserve">ITF v Viking </w:t>
      </w:r>
      <w:r w:rsidR="002D6518" w:rsidRPr="00D034FF">
        <w:rPr>
          <w:lang w:val="en-GB"/>
        </w:rPr>
        <w:t>[2007] ECR I-</w:t>
      </w:r>
      <w:r w:rsidR="00D50190" w:rsidRPr="00D034FF">
        <w:rPr>
          <w:lang w:val="en-GB"/>
        </w:rPr>
        <w:t>10779.</w:t>
      </w:r>
      <w:r w:rsidRPr="00D034FF">
        <w:rPr>
          <w:lang w:val="en-GB"/>
        </w:rPr>
        <w:t xml:space="preserve"> </w:t>
      </w:r>
    </w:p>
    <w:p w14:paraId="485D6987" w14:textId="77777777" w:rsidR="00B5675C" w:rsidRPr="00D034FF" w:rsidRDefault="00B5675C" w:rsidP="00D034FF">
      <w:pPr>
        <w:tabs>
          <w:tab w:val="num" w:pos="360"/>
        </w:tabs>
        <w:spacing w:line="360" w:lineRule="auto"/>
        <w:jc w:val="both"/>
        <w:rPr>
          <w:lang w:val="en-GB"/>
        </w:rPr>
      </w:pPr>
    </w:p>
    <w:p w14:paraId="42A63576" w14:textId="77777777" w:rsidR="00B5675C" w:rsidRPr="00D034FF" w:rsidRDefault="00B5675C" w:rsidP="00D034FF">
      <w:pPr>
        <w:tabs>
          <w:tab w:val="num" w:pos="360"/>
        </w:tabs>
        <w:spacing w:line="360" w:lineRule="auto"/>
        <w:jc w:val="center"/>
        <w:rPr>
          <w:b/>
          <w:bCs/>
          <w:smallCaps/>
          <w:lang w:val="en-GB"/>
        </w:rPr>
      </w:pPr>
    </w:p>
    <w:p w14:paraId="7D5DCC66" w14:textId="77777777" w:rsidR="00B5675C" w:rsidRPr="00D034FF" w:rsidRDefault="00B5675C" w:rsidP="00D034FF">
      <w:pPr>
        <w:tabs>
          <w:tab w:val="num" w:pos="720"/>
        </w:tabs>
        <w:spacing w:line="360" w:lineRule="auto"/>
        <w:jc w:val="center"/>
        <w:rPr>
          <w:b/>
          <w:bCs/>
          <w:smallCaps/>
          <w:lang w:val="en-GB"/>
        </w:rPr>
      </w:pPr>
      <w:r w:rsidRPr="00D034FF">
        <w:rPr>
          <w:b/>
          <w:bCs/>
          <w:smallCaps/>
          <w:lang w:val="en-GB"/>
        </w:rPr>
        <w:t xml:space="preserve">2. </w:t>
      </w:r>
      <w:r w:rsidRPr="00D034FF">
        <w:rPr>
          <w:b/>
          <w:bCs/>
          <w:smallCaps/>
          <w:lang w:val="en-GB"/>
        </w:rPr>
        <w:tab/>
        <w:t xml:space="preserve">Material </w:t>
      </w:r>
      <w:proofErr w:type="gramStart"/>
      <w:r w:rsidRPr="00D034FF">
        <w:rPr>
          <w:b/>
          <w:bCs/>
          <w:smallCaps/>
          <w:lang w:val="en-GB"/>
        </w:rPr>
        <w:t>scope  -</w:t>
      </w:r>
      <w:proofErr w:type="gramEnd"/>
      <w:r w:rsidRPr="00D034FF">
        <w:rPr>
          <w:b/>
          <w:bCs/>
          <w:smallCaps/>
          <w:lang w:val="en-GB"/>
        </w:rPr>
        <w:t xml:space="preserve"> Which rights are granted by </w:t>
      </w:r>
      <w:r w:rsidR="00113500" w:rsidRPr="00D034FF">
        <w:rPr>
          <w:b/>
          <w:bCs/>
          <w:smallCaps/>
          <w:lang w:val="en-GB"/>
        </w:rPr>
        <w:t>Article 49</w:t>
      </w:r>
      <w:r w:rsidR="002A597A" w:rsidRPr="00D034FF">
        <w:rPr>
          <w:b/>
          <w:bCs/>
          <w:smallCaps/>
          <w:lang w:val="en-GB"/>
        </w:rPr>
        <w:t xml:space="preserve"> </w:t>
      </w:r>
      <w:r w:rsidR="00EB7579" w:rsidRPr="00D034FF">
        <w:rPr>
          <w:b/>
          <w:bCs/>
          <w:smallCaps/>
          <w:lang w:val="en-GB"/>
        </w:rPr>
        <w:t>TFEU</w:t>
      </w:r>
      <w:r w:rsidRPr="00D034FF">
        <w:rPr>
          <w:b/>
          <w:bCs/>
          <w:smallCaps/>
          <w:lang w:val="en-GB"/>
        </w:rPr>
        <w:t>?</w:t>
      </w:r>
    </w:p>
    <w:p w14:paraId="127771C6" w14:textId="77777777" w:rsidR="00B5675C" w:rsidRPr="00D034FF" w:rsidRDefault="00B5675C" w:rsidP="00D034FF">
      <w:pPr>
        <w:tabs>
          <w:tab w:val="num" w:pos="720"/>
        </w:tabs>
        <w:spacing w:line="360" w:lineRule="auto"/>
        <w:jc w:val="both"/>
        <w:rPr>
          <w:b/>
          <w:bCs/>
          <w:smallCaps/>
          <w:lang w:val="en-GB"/>
        </w:rPr>
      </w:pPr>
    </w:p>
    <w:p w14:paraId="0B547134" w14:textId="77777777" w:rsidR="00B5675C" w:rsidRPr="00D034FF" w:rsidRDefault="00B5675C" w:rsidP="00D034FF">
      <w:pPr>
        <w:pStyle w:val="BodyTextIndent"/>
        <w:numPr>
          <w:ilvl w:val="1"/>
          <w:numId w:val="6"/>
        </w:numPr>
        <w:rPr>
          <w:b/>
          <w:bCs/>
        </w:rPr>
      </w:pPr>
      <w:r w:rsidRPr="00D034FF">
        <w:rPr>
          <w:b/>
          <w:bCs/>
          <w:smallCaps/>
        </w:rPr>
        <w:t xml:space="preserve">Right to leave, right to enter and right to stay and move </w:t>
      </w:r>
    </w:p>
    <w:p w14:paraId="41879B2D" w14:textId="77777777" w:rsidR="00B5675C" w:rsidRPr="00D034FF" w:rsidRDefault="00B5675C" w:rsidP="00D034FF">
      <w:pPr>
        <w:tabs>
          <w:tab w:val="num" w:pos="720"/>
        </w:tabs>
        <w:spacing w:line="360" w:lineRule="auto"/>
        <w:jc w:val="both"/>
        <w:rPr>
          <w:b/>
          <w:bCs/>
          <w:smallCaps/>
          <w:lang w:val="en-GB"/>
        </w:rPr>
      </w:pPr>
    </w:p>
    <w:p w14:paraId="0A58EB89" w14:textId="777905D6" w:rsidR="00B5675C" w:rsidRPr="00D034FF" w:rsidRDefault="00B5675C" w:rsidP="00D034FF">
      <w:pPr>
        <w:numPr>
          <w:ilvl w:val="0"/>
          <w:numId w:val="4"/>
        </w:numPr>
        <w:tabs>
          <w:tab w:val="num" w:pos="360"/>
        </w:tabs>
        <w:spacing w:line="360" w:lineRule="auto"/>
        <w:ind w:left="360"/>
        <w:jc w:val="both"/>
        <w:rPr>
          <w:b/>
          <w:bCs/>
          <w:lang w:val="en-GB"/>
        </w:rPr>
      </w:pPr>
      <w:r w:rsidRPr="00D034FF">
        <w:rPr>
          <w:b/>
          <w:bCs/>
          <w:lang w:val="en-GB"/>
        </w:rPr>
        <w:t>Right to leave, enter and stay</w:t>
      </w:r>
      <w:r w:rsidRPr="00D034FF">
        <w:rPr>
          <w:lang w:val="en-GB"/>
        </w:rPr>
        <w:t xml:space="preserve"> </w:t>
      </w:r>
      <w:r w:rsidR="002346CF" w:rsidRPr="00D034FF">
        <w:rPr>
          <w:lang w:val="en-GB"/>
        </w:rPr>
        <w:t>– Same as seen in the context of Directive 2004/38</w:t>
      </w:r>
      <w:r w:rsidR="007E5E78" w:rsidRPr="00D034FF">
        <w:rPr>
          <w:lang w:val="en-GB"/>
        </w:rPr>
        <w:t xml:space="preserve">. </w:t>
      </w:r>
      <w:r w:rsidR="00A471A8" w:rsidRPr="00D034FF">
        <w:rPr>
          <w:lang w:val="en-GB"/>
        </w:rPr>
        <w:t>But</w:t>
      </w:r>
      <w:r w:rsidR="007E5E78" w:rsidRPr="00D034FF">
        <w:rPr>
          <w:lang w:val="en-GB"/>
        </w:rPr>
        <w:t xml:space="preserve"> note that for companies, the </w:t>
      </w:r>
      <w:r w:rsidR="00A471A8" w:rsidRPr="00D034FF">
        <w:rPr>
          <w:lang w:val="en-GB"/>
        </w:rPr>
        <w:t xml:space="preserve">case law on the </w:t>
      </w:r>
      <w:r w:rsidR="007E5E78" w:rsidRPr="00D034FF">
        <w:rPr>
          <w:lang w:val="en-GB"/>
        </w:rPr>
        <w:t>right to leave and enter is</w:t>
      </w:r>
      <w:r w:rsidR="00A471A8" w:rsidRPr="00D034FF">
        <w:rPr>
          <w:lang w:val="en-GB"/>
        </w:rPr>
        <w:t>, in comparison to the case law</w:t>
      </w:r>
      <w:r w:rsidR="00D570EF" w:rsidRPr="00D034FF">
        <w:rPr>
          <w:lang w:val="en-GB"/>
        </w:rPr>
        <w:t xml:space="preserve"> (and legislation)</w:t>
      </w:r>
      <w:r w:rsidR="00A471A8" w:rsidRPr="00D034FF">
        <w:rPr>
          <w:lang w:val="en-GB"/>
        </w:rPr>
        <w:t xml:space="preserve"> on natural persons,</w:t>
      </w:r>
      <w:r w:rsidR="007E5E78" w:rsidRPr="00D034FF">
        <w:rPr>
          <w:lang w:val="en-GB"/>
        </w:rPr>
        <w:t xml:space="preserve"> </w:t>
      </w:r>
      <w:r w:rsidR="00A471A8" w:rsidRPr="00D034FF">
        <w:rPr>
          <w:lang w:val="en-GB"/>
        </w:rPr>
        <w:t xml:space="preserve">more complex (see for details, point </w:t>
      </w:r>
      <w:r w:rsidR="00A471A8" w:rsidRPr="00D034FF">
        <w:rPr>
          <w:b/>
          <w:lang w:val="en-GB"/>
        </w:rPr>
        <w:t>2.6</w:t>
      </w:r>
      <w:r w:rsidR="00A471A8" w:rsidRPr="00D034FF">
        <w:rPr>
          <w:lang w:val="en-GB"/>
        </w:rPr>
        <w:t>)</w:t>
      </w:r>
      <w:r w:rsidR="007E5E78" w:rsidRPr="00D034FF">
        <w:rPr>
          <w:lang w:val="en-GB"/>
        </w:rPr>
        <w:t xml:space="preserve">.  </w:t>
      </w:r>
    </w:p>
    <w:p w14:paraId="1050A69D" w14:textId="77777777" w:rsidR="002346CF" w:rsidRPr="00D034FF" w:rsidRDefault="002346CF" w:rsidP="00D034FF">
      <w:pPr>
        <w:spacing w:line="360" w:lineRule="auto"/>
        <w:jc w:val="both"/>
        <w:rPr>
          <w:b/>
          <w:bCs/>
          <w:lang w:val="en-GB"/>
        </w:rPr>
      </w:pPr>
    </w:p>
    <w:p w14:paraId="01147F39" w14:textId="77777777" w:rsidR="00B5675C" w:rsidRPr="00D034FF" w:rsidRDefault="00B5675C" w:rsidP="00D034FF">
      <w:pPr>
        <w:numPr>
          <w:ilvl w:val="0"/>
          <w:numId w:val="4"/>
        </w:numPr>
        <w:tabs>
          <w:tab w:val="num" w:pos="360"/>
        </w:tabs>
        <w:spacing w:line="360" w:lineRule="auto"/>
        <w:ind w:left="360"/>
        <w:jc w:val="both"/>
        <w:rPr>
          <w:b/>
          <w:bCs/>
          <w:lang w:val="en-GB"/>
        </w:rPr>
      </w:pPr>
      <w:r w:rsidRPr="00D034FF">
        <w:rPr>
          <w:b/>
          <w:bCs/>
          <w:lang w:val="en-GB"/>
        </w:rPr>
        <w:t>Right to bring family members</w:t>
      </w:r>
      <w:r w:rsidR="002346CF" w:rsidRPr="00D034FF">
        <w:rPr>
          <w:b/>
          <w:bCs/>
          <w:lang w:val="en-GB"/>
        </w:rPr>
        <w:t xml:space="preserve"> - </w:t>
      </w:r>
      <w:r w:rsidR="002346CF" w:rsidRPr="00D034FF">
        <w:rPr>
          <w:lang w:val="en-GB"/>
        </w:rPr>
        <w:t>Same as seen in the context of Directive 2004/38</w:t>
      </w:r>
    </w:p>
    <w:p w14:paraId="0A616B4D" w14:textId="77777777" w:rsidR="002346CF" w:rsidRPr="00D034FF" w:rsidRDefault="002346CF" w:rsidP="00D034FF">
      <w:pPr>
        <w:spacing w:line="360" w:lineRule="auto"/>
        <w:jc w:val="both"/>
        <w:rPr>
          <w:b/>
          <w:bCs/>
          <w:lang w:val="en-GB"/>
        </w:rPr>
      </w:pPr>
    </w:p>
    <w:p w14:paraId="565E284A" w14:textId="77777777" w:rsidR="00B5675C" w:rsidRPr="00D034FF" w:rsidRDefault="00B5675C" w:rsidP="00D034FF">
      <w:pPr>
        <w:numPr>
          <w:ilvl w:val="0"/>
          <w:numId w:val="4"/>
        </w:numPr>
        <w:tabs>
          <w:tab w:val="num" w:pos="360"/>
        </w:tabs>
        <w:spacing w:line="360" w:lineRule="auto"/>
        <w:ind w:left="360"/>
        <w:jc w:val="both"/>
        <w:rPr>
          <w:b/>
          <w:bCs/>
          <w:lang w:val="en-GB"/>
        </w:rPr>
      </w:pPr>
      <w:r w:rsidRPr="00D034FF">
        <w:rPr>
          <w:b/>
          <w:bCs/>
          <w:lang w:val="en-GB"/>
        </w:rPr>
        <w:t xml:space="preserve">Treaty derogations </w:t>
      </w:r>
      <w:r w:rsidRPr="00D034FF">
        <w:rPr>
          <w:lang w:val="en-GB"/>
        </w:rPr>
        <w:t>– Article 5</w:t>
      </w:r>
      <w:r w:rsidR="009A7E78" w:rsidRPr="00D034FF">
        <w:rPr>
          <w:lang w:val="en-GB"/>
        </w:rPr>
        <w:t>2</w:t>
      </w:r>
      <w:r w:rsidRPr="00D034FF">
        <w:rPr>
          <w:lang w:val="en-GB"/>
        </w:rPr>
        <w:t xml:space="preserve"> </w:t>
      </w:r>
      <w:r w:rsidR="002346CF" w:rsidRPr="00D034FF">
        <w:rPr>
          <w:lang w:val="en-GB"/>
        </w:rPr>
        <w:t>and as seen in the context of Directive 2004/38</w:t>
      </w:r>
    </w:p>
    <w:p w14:paraId="753C7084" w14:textId="77777777" w:rsidR="002346CF" w:rsidRPr="00D034FF" w:rsidRDefault="002346CF" w:rsidP="00D034FF">
      <w:pPr>
        <w:spacing w:line="360" w:lineRule="auto"/>
        <w:jc w:val="both"/>
        <w:rPr>
          <w:b/>
          <w:bCs/>
          <w:lang w:val="en-GB"/>
        </w:rPr>
      </w:pPr>
    </w:p>
    <w:p w14:paraId="2AB56101" w14:textId="77777777" w:rsidR="002346CF" w:rsidRPr="00D034FF" w:rsidRDefault="002346CF" w:rsidP="00D034FF">
      <w:pPr>
        <w:numPr>
          <w:ilvl w:val="0"/>
          <w:numId w:val="4"/>
        </w:numPr>
        <w:tabs>
          <w:tab w:val="num" w:pos="360"/>
        </w:tabs>
        <w:spacing w:line="360" w:lineRule="auto"/>
        <w:ind w:left="360"/>
        <w:jc w:val="both"/>
        <w:rPr>
          <w:b/>
          <w:bCs/>
          <w:lang w:val="en-GB"/>
        </w:rPr>
      </w:pPr>
      <w:r w:rsidRPr="00D034FF">
        <w:rPr>
          <w:b/>
          <w:bCs/>
          <w:lang w:val="en-GB"/>
        </w:rPr>
        <w:t xml:space="preserve">Retention of status </w:t>
      </w:r>
      <w:r w:rsidRPr="00D034FF">
        <w:rPr>
          <w:b/>
          <w:bCs/>
          <w:lang w:val="en-GB"/>
        </w:rPr>
        <w:sym w:font="Wingdings" w:char="F0E0"/>
      </w:r>
      <w:r w:rsidRPr="00D034FF">
        <w:rPr>
          <w:b/>
          <w:bCs/>
          <w:lang w:val="en-GB"/>
        </w:rPr>
        <w:t xml:space="preserve"> </w:t>
      </w:r>
      <w:r w:rsidRPr="00D034FF">
        <w:rPr>
          <w:bCs/>
          <w:lang w:val="en-GB"/>
        </w:rPr>
        <w:t>as seen in the case of workers</w:t>
      </w:r>
    </w:p>
    <w:p w14:paraId="0B573051" w14:textId="77777777" w:rsidR="00B5675C" w:rsidRPr="00D034FF" w:rsidRDefault="00B5675C" w:rsidP="00D034FF">
      <w:pPr>
        <w:tabs>
          <w:tab w:val="num" w:pos="720"/>
        </w:tabs>
        <w:spacing w:line="360" w:lineRule="auto"/>
        <w:jc w:val="both"/>
        <w:rPr>
          <w:lang w:val="en-GB"/>
        </w:rPr>
      </w:pPr>
    </w:p>
    <w:p w14:paraId="2AE55BCF" w14:textId="77777777" w:rsidR="00D570EF" w:rsidRDefault="00D570EF" w:rsidP="00D034FF">
      <w:pPr>
        <w:tabs>
          <w:tab w:val="num" w:pos="720"/>
        </w:tabs>
        <w:spacing w:line="360" w:lineRule="auto"/>
        <w:jc w:val="both"/>
        <w:rPr>
          <w:lang w:val="en-GB"/>
        </w:rPr>
      </w:pPr>
    </w:p>
    <w:p w14:paraId="526C5ADE" w14:textId="7CCC94B4" w:rsidR="00D034FF" w:rsidRDefault="00D034FF" w:rsidP="00D034FF">
      <w:pPr>
        <w:tabs>
          <w:tab w:val="num" w:pos="720"/>
        </w:tabs>
        <w:spacing w:line="360" w:lineRule="auto"/>
        <w:jc w:val="both"/>
        <w:rPr>
          <w:lang w:val="en-GB"/>
        </w:rPr>
      </w:pPr>
    </w:p>
    <w:p w14:paraId="4F71C3E3" w14:textId="2122F45C" w:rsidR="00C759C7" w:rsidRDefault="00C759C7" w:rsidP="00D034FF">
      <w:pPr>
        <w:tabs>
          <w:tab w:val="num" w:pos="720"/>
        </w:tabs>
        <w:spacing w:line="360" w:lineRule="auto"/>
        <w:jc w:val="both"/>
        <w:rPr>
          <w:lang w:val="en-GB"/>
        </w:rPr>
      </w:pPr>
    </w:p>
    <w:p w14:paraId="55052E9C" w14:textId="77777777" w:rsidR="00870FE5" w:rsidRDefault="00870FE5" w:rsidP="00D034FF">
      <w:pPr>
        <w:tabs>
          <w:tab w:val="num" w:pos="720"/>
        </w:tabs>
        <w:spacing w:line="360" w:lineRule="auto"/>
        <w:jc w:val="both"/>
        <w:rPr>
          <w:lang w:val="en-GB"/>
        </w:rPr>
      </w:pPr>
    </w:p>
    <w:p w14:paraId="2E8B3AFE" w14:textId="59110770" w:rsidR="00C759C7" w:rsidRDefault="00C759C7" w:rsidP="00D034FF">
      <w:pPr>
        <w:tabs>
          <w:tab w:val="num" w:pos="720"/>
        </w:tabs>
        <w:spacing w:line="360" w:lineRule="auto"/>
        <w:jc w:val="both"/>
        <w:rPr>
          <w:lang w:val="en-GB"/>
        </w:rPr>
      </w:pPr>
    </w:p>
    <w:p w14:paraId="7D574A4C" w14:textId="18CA340E" w:rsidR="00607D2B" w:rsidRDefault="00607D2B" w:rsidP="00D034FF">
      <w:pPr>
        <w:tabs>
          <w:tab w:val="num" w:pos="720"/>
        </w:tabs>
        <w:spacing w:line="360" w:lineRule="auto"/>
        <w:jc w:val="both"/>
        <w:rPr>
          <w:lang w:val="en-GB"/>
        </w:rPr>
      </w:pPr>
    </w:p>
    <w:p w14:paraId="203BCD09" w14:textId="3135A4D7" w:rsidR="00607D2B" w:rsidRDefault="00607D2B" w:rsidP="00D034FF">
      <w:pPr>
        <w:tabs>
          <w:tab w:val="num" w:pos="720"/>
        </w:tabs>
        <w:spacing w:line="360" w:lineRule="auto"/>
        <w:jc w:val="both"/>
        <w:rPr>
          <w:lang w:val="en-GB"/>
        </w:rPr>
      </w:pPr>
    </w:p>
    <w:p w14:paraId="7201AC63" w14:textId="77777777" w:rsidR="00607D2B" w:rsidRDefault="00607D2B" w:rsidP="00D034FF">
      <w:pPr>
        <w:tabs>
          <w:tab w:val="num" w:pos="720"/>
        </w:tabs>
        <w:spacing w:line="360" w:lineRule="auto"/>
        <w:jc w:val="both"/>
        <w:rPr>
          <w:lang w:val="en-GB"/>
        </w:rPr>
      </w:pPr>
    </w:p>
    <w:p w14:paraId="3BFFD982" w14:textId="77777777" w:rsidR="00B5675C" w:rsidRPr="00D034FF" w:rsidRDefault="00B5675C" w:rsidP="00D034FF">
      <w:pPr>
        <w:numPr>
          <w:ilvl w:val="1"/>
          <w:numId w:val="6"/>
        </w:numPr>
        <w:spacing w:line="360" w:lineRule="auto"/>
        <w:jc w:val="both"/>
        <w:rPr>
          <w:lang w:val="en-GB"/>
        </w:rPr>
      </w:pPr>
      <w:r w:rsidRPr="00D034FF">
        <w:rPr>
          <w:b/>
          <w:bCs/>
          <w:smallCaps/>
          <w:lang w:val="en-GB"/>
        </w:rPr>
        <w:lastRenderedPageBreak/>
        <w:t xml:space="preserve">Right not to be discriminated against </w:t>
      </w:r>
    </w:p>
    <w:p w14:paraId="16C4257D" w14:textId="77777777" w:rsidR="007546EF" w:rsidRPr="00D034FF" w:rsidRDefault="007546EF" w:rsidP="00D034FF">
      <w:pPr>
        <w:tabs>
          <w:tab w:val="num" w:pos="720"/>
        </w:tabs>
        <w:spacing w:line="360" w:lineRule="auto"/>
        <w:jc w:val="both"/>
        <w:rPr>
          <w:lang w:val="en-GB"/>
        </w:rPr>
      </w:pPr>
    </w:p>
    <w:p w14:paraId="289C7EAF" w14:textId="77777777" w:rsidR="00B5675C" w:rsidRPr="00D034FF" w:rsidRDefault="00B5675C" w:rsidP="00D034FF">
      <w:pPr>
        <w:pStyle w:val="Heading2"/>
        <w:numPr>
          <w:ilvl w:val="1"/>
          <w:numId w:val="3"/>
        </w:numPr>
        <w:tabs>
          <w:tab w:val="num" w:pos="720"/>
        </w:tabs>
        <w:jc w:val="center"/>
      </w:pPr>
      <w:r w:rsidRPr="00D034FF">
        <w:t>Direct Discrimination</w:t>
      </w:r>
    </w:p>
    <w:p w14:paraId="16B4DA3E" w14:textId="77777777" w:rsidR="00B5675C" w:rsidRPr="00D034FF" w:rsidRDefault="00B5675C" w:rsidP="00D034FF">
      <w:pPr>
        <w:pStyle w:val="Footer"/>
        <w:tabs>
          <w:tab w:val="clear" w:pos="4819"/>
          <w:tab w:val="clear" w:pos="9638"/>
          <w:tab w:val="num" w:pos="720"/>
        </w:tabs>
        <w:spacing w:line="360" w:lineRule="auto"/>
        <w:rPr>
          <w:lang w:val="en-GB"/>
        </w:rPr>
      </w:pPr>
    </w:p>
    <w:p w14:paraId="332527C2" w14:textId="77777777" w:rsidR="00B5675C" w:rsidRPr="00D034FF" w:rsidRDefault="00B5675C" w:rsidP="00D034FF">
      <w:pPr>
        <w:numPr>
          <w:ilvl w:val="0"/>
          <w:numId w:val="5"/>
        </w:numPr>
        <w:tabs>
          <w:tab w:val="clear" w:pos="720"/>
          <w:tab w:val="num" w:pos="360"/>
          <w:tab w:val="num" w:pos="1260"/>
        </w:tabs>
        <w:spacing w:line="360" w:lineRule="auto"/>
        <w:ind w:left="360"/>
        <w:jc w:val="both"/>
        <w:rPr>
          <w:b/>
          <w:bCs/>
          <w:lang w:val="en-GB"/>
        </w:rPr>
      </w:pPr>
      <w:r w:rsidRPr="00D034FF">
        <w:rPr>
          <w:b/>
          <w:bCs/>
          <w:lang w:val="en-GB"/>
        </w:rPr>
        <w:t>Direct</w:t>
      </w:r>
      <w:r w:rsidRPr="00D034FF">
        <w:rPr>
          <w:lang w:val="en-GB"/>
        </w:rPr>
        <w:t xml:space="preserve"> </w:t>
      </w:r>
      <w:r w:rsidRPr="00D034FF">
        <w:rPr>
          <w:b/>
          <w:bCs/>
          <w:lang w:val="en-GB"/>
        </w:rPr>
        <w:t>discrimination</w:t>
      </w:r>
      <w:r w:rsidRPr="00D034FF">
        <w:rPr>
          <w:lang w:val="en-GB"/>
        </w:rPr>
        <w:t xml:space="preserve"> can be justified only in relation to one of the Treaty derogations, or in relation to </w:t>
      </w:r>
      <w:r w:rsidR="00113500" w:rsidRPr="00D034FF">
        <w:rPr>
          <w:lang w:val="en-GB"/>
        </w:rPr>
        <w:t>Article 51</w:t>
      </w:r>
      <w:r w:rsidRPr="00D034FF">
        <w:rPr>
          <w:lang w:val="en-GB"/>
        </w:rPr>
        <w:t xml:space="preserve"> (official authority exception).</w:t>
      </w:r>
    </w:p>
    <w:p w14:paraId="33730FE6" w14:textId="77777777" w:rsidR="00B5675C" w:rsidRPr="00D034FF" w:rsidRDefault="00B5675C" w:rsidP="00D034FF">
      <w:pPr>
        <w:tabs>
          <w:tab w:val="num" w:pos="360"/>
        </w:tabs>
        <w:spacing w:line="360" w:lineRule="auto"/>
        <w:jc w:val="both"/>
        <w:rPr>
          <w:b/>
          <w:bCs/>
          <w:lang w:val="en-GB"/>
        </w:rPr>
      </w:pPr>
    </w:p>
    <w:p w14:paraId="6035BCE6" w14:textId="77777777" w:rsidR="00B5675C" w:rsidRPr="00D034FF" w:rsidRDefault="00B5675C" w:rsidP="00D034FF">
      <w:pPr>
        <w:numPr>
          <w:ilvl w:val="0"/>
          <w:numId w:val="5"/>
        </w:numPr>
        <w:tabs>
          <w:tab w:val="clear" w:pos="720"/>
          <w:tab w:val="num" w:pos="360"/>
          <w:tab w:val="num" w:pos="1260"/>
        </w:tabs>
        <w:spacing w:line="360" w:lineRule="auto"/>
        <w:ind w:left="360"/>
        <w:jc w:val="both"/>
        <w:rPr>
          <w:b/>
          <w:bCs/>
          <w:lang w:val="en-GB"/>
        </w:rPr>
      </w:pPr>
      <w:r w:rsidRPr="00D034FF">
        <w:rPr>
          <w:b/>
          <w:bCs/>
          <w:lang w:val="en-GB"/>
        </w:rPr>
        <w:t xml:space="preserve">Treaty derogations – </w:t>
      </w:r>
      <w:r w:rsidRPr="00D034FF">
        <w:rPr>
          <w:lang w:val="en-GB"/>
        </w:rPr>
        <w:t xml:space="preserve">same principles as in the case of workers </w:t>
      </w:r>
      <w:r w:rsidRPr="00D034FF">
        <w:rPr>
          <w:lang w:val="en-GB"/>
        </w:rPr>
        <w:sym w:font="Wingdings" w:char="F0E0"/>
      </w:r>
      <w:r w:rsidRPr="00D034FF">
        <w:rPr>
          <w:lang w:val="en-GB"/>
        </w:rPr>
        <w:t xml:space="preserve"> narrow interpretation and rule needs to respect fundamental rights as general principles of </w:t>
      </w:r>
      <w:r w:rsidR="003E7D45" w:rsidRPr="00D034FF">
        <w:rPr>
          <w:lang w:val="en-GB"/>
        </w:rPr>
        <w:t>Union</w:t>
      </w:r>
      <w:r w:rsidR="00D50190" w:rsidRPr="00D034FF">
        <w:rPr>
          <w:lang w:val="en-GB"/>
        </w:rPr>
        <w:t xml:space="preserve"> law; MS unlikely to succeed</w:t>
      </w:r>
      <w:r w:rsidRPr="00D034FF">
        <w:rPr>
          <w:lang w:val="en-GB"/>
        </w:rPr>
        <w:t>.</w:t>
      </w:r>
      <w:r w:rsidR="00D50190" w:rsidRPr="00D034FF">
        <w:rPr>
          <w:lang w:val="en-GB"/>
        </w:rPr>
        <w:t xml:space="preserve"> See provisions of Directive 2004/38.</w:t>
      </w:r>
      <w:r w:rsidRPr="00D034FF">
        <w:rPr>
          <w:lang w:val="en-GB"/>
        </w:rPr>
        <w:t xml:space="preserve"> </w:t>
      </w:r>
    </w:p>
    <w:p w14:paraId="089CB54D" w14:textId="77777777" w:rsidR="00B5675C" w:rsidRPr="00D034FF" w:rsidRDefault="00B5675C" w:rsidP="00D034FF">
      <w:pPr>
        <w:tabs>
          <w:tab w:val="num" w:pos="360"/>
        </w:tabs>
        <w:spacing w:line="360" w:lineRule="auto"/>
        <w:jc w:val="both"/>
        <w:rPr>
          <w:b/>
          <w:bCs/>
          <w:lang w:val="en-GB"/>
        </w:rPr>
      </w:pPr>
    </w:p>
    <w:p w14:paraId="7EE3F41B" w14:textId="19D7DD08" w:rsidR="00B5675C" w:rsidRPr="00D034FF" w:rsidRDefault="00B5675C" w:rsidP="00D034FF">
      <w:pPr>
        <w:numPr>
          <w:ilvl w:val="0"/>
          <w:numId w:val="5"/>
        </w:numPr>
        <w:tabs>
          <w:tab w:val="clear" w:pos="720"/>
          <w:tab w:val="num" w:pos="360"/>
          <w:tab w:val="num" w:pos="1260"/>
        </w:tabs>
        <w:spacing w:line="360" w:lineRule="auto"/>
        <w:ind w:left="360"/>
        <w:jc w:val="both"/>
        <w:rPr>
          <w:b/>
          <w:bCs/>
          <w:lang w:val="en-GB"/>
        </w:rPr>
      </w:pPr>
      <w:r w:rsidRPr="00D034FF">
        <w:rPr>
          <w:b/>
          <w:bCs/>
          <w:lang w:val="en-GB"/>
        </w:rPr>
        <w:t>Official authority</w:t>
      </w:r>
      <w:r w:rsidRPr="00D034FF">
        <w:rPr>
          <w:lang w:val="en-GB"/>
        </w:rPr>
        <w:t xml:space="preserve"> (</w:t>
      </w:r>
      <w:r w:rsidR="007F5092" w:rsidRPr="00D034FF">
        <w:rPr>
          <w:lang w:val="en-GB"/>
        </w:rPr>
        <w:t>Article 51 TFEU</w:t>
      </w:r>
      <w:r w:rsidRPr="00D034FF">
        <w:rPr>
          <w:lang w:val="en-GB"/>
        </w:rPr>
        <w:t xml:space="preserve">) – As in the case of the public service exception in the context of workers, the concept of “official authority” has been given a </w:t>
      </w:r>
      <w:r w:rsidR="003E7D45" w:rsidRPr="00D034FF">
        <w:rPr>
          <w:lang w:val="en-GB"/>
        </w:rPr>
        <w:t>Union</w:t>
      </w:r>
      <w:r w:rsidRPr="00D034FF">
        <w:rPr>
          <w:lang w:val="en-GB"/>
        </w:rPr>
        <w:t xml:space="preserve"> meaning and a narrow interpretation</w:t>
      </w:r>
      <w:r w:rsidR="00172C3B" w:rsidRPr="00D034FF">
        <w:rPr>
          <w:lang w:val="en-GB"/>
        </w:rPr>
        <w:t>.</w:t>
      </w:r>
      <w:r w:rsidRPr="00D034FF">
        <w:rPr>
          <w:lang w:val="en-GB"/>
        </w:rPr>
        <w:t xml:space="preserve"> </w:t>
      </w:r>
      <w:r w:rsidR="00172C3B" w:rsidRPr="00D034FF">
        <w:rPr>
          <w:lang w:val="en-GB"/>
        </w:rPr>
        <w:t xml:space="preserve">See </w:t>
      </w:r>
      <w:r w:rsidRPr="00D034FF">
        <w:rPr>
          <w:lang w:val="en-GB"/>
        </w:rPr>
        <w:t xml:space="preserve">Case 2/74 </w:t>
      </w:r>
      <w:proofErr w:type="spellStart"/>
      <w:r w:rsidRPr="00D034FF">
        <w:rPr>
          <w:i/>
          <w:iCs/>
          <w:lang w:val="en-GB"/>
        </w:rPr>
        <w:t>Reyners</w:t>
      </w:r>
      <w:proofErr w:type="spellEnd"/>
      <w:r w:rsidRPr="00D034FF">
        <w:rPr>
          <w:i/>
          <w:iCs/>
          <w:lang w:val="en-GB"/>
        </w:rPr>
        <w:t xml:space="preserve"> </w:t>
      </w:r>
      <w:r w:rsidRPr="00D034FF">
        <w:rPr>
          <w:lang w:val="en-GB"/>
        </w:rPr>
        <w:t xml:space="preserve">[1974] ECR 631. E.g. traffic-accident experts (Case C-306/89 </w:t>
      </w:r>
      <w:r w:rsidRPr="00D034FF">
        <w:rPr>
          <w:i/>
          <w:iCs/>
          <w:lang w:val="en-GB"/>
        </w:rPr>
        <w:t xml:space="preserve">Commission v Greece </w:t>
      </w:r>
      <w:r w:rsidRPr="00D034FF">
        <w:rPr>
          <w:lang w:val="en-GB"/>
        </w:rPr>
        <w:t xml:space="preserve">[1991] ECR I-5863) and commissioners of insurance companies (Case C-42/92 </w:t>
      </w:r>
      <w:proofErr w:type="spellStart"/>
      <w:r w:rsidRPr="00D034FF">
        <w:rPr>
          <w:i/>
          <w:iCs/>
          <w:lang w:val="en-GB"/>
        </w:rPr>
        <w:t>Thijssen</w:t>
      </w:r>
      <w:proofErr w:type="spellEnd"/>
      <w:r w:rsidRPr="00D034FF">
        <w:rPr>
          <w:i/>
          <w:iCs/>
          <w:lang w:val="en-GB"/>
        </w:rPr>
        <w:t xml:space="preserve"> </w:t>
      </w:r>
      <w:r w:rsidRPr="00D034FF">
        <w:rPr>
          <w:lang w:val="en-GB"/>
        </w:rPr>
        <w:t xml:space="preserve">[1993] ECR I-4047) do not fall within the “official authority” exception.  </w:t>
      </w:r>
    </w:p>
    <w:p w14:paraId="0A18A54D" w14:textId="77777777" w:rsidR="00B5675C" w:rsidRPr="00D034FF" w:rsidRDefault="00B5675C" w:rsidP="00D034FF">
      <w:pPr>
        <w:tabs>
          <w:tab w:val="num" w:pos="360"/>
        </w:tabs>
        <w:spacing w:line="360" w:lineRule="auto"/>
        <w:jc w:val="center"/>
        <w:rPr>
          <w:b/>
          <w:bCs/>
          <w:lang w:val="en-GB"/>
        </w:rPr>
      </w:pPr>
    </w:p>
    <w:p w14:paraId="6E8A2741" w14:textId="77777777" w:rsidR="00B5675C" w:rsidRPr="00D034FF" w:rsidRDefault="00B5675C" w:rsidP="00D034FF">
      <w:pPr>
        <w:pStyle w:val="Heading2"/>
        <w:numPr>
          <w:ilvl w:val="1"/>
          <w:numId w:val="3"/>
        </w:numPr>
        <w:tabs>
          <w:tab w:val="num" w:pos="720"/>
        </w:tabs>
        <w:jc w:val="center"/>
      </w:pPr>
      <w:r w:rsidRPr="00D034FF">
        <w:t>Indirect Discrimination</w:t>
      </w:r>
    </w:p>
    <w:p w14:paraId="4510CFDD" w14:textId="77777777" w:rsidR="00B5675C" w:rsidRPr="00D034FF" w:rsidRDefault="00B5675C" w:rsidP="00D034FF">
      <w:pPr>
        <w:tabs>
          <w:tab w:val="num" w:pos="720"/>
        </w:tabs>
        <w:spacing w:line="360" w:lineRule="auto"/>
        <w:jc w:val="center"/>
        <w:rPr>
          <w:lang w:val="en-GB"/>
        </w:rPr>
      </w:pPr>
    </w:p>
    <w:p w14:paraId="310336D0" w14:textId="258C5790" w:rsidR="00B5675C" w:rsidRPr="00D034FF" w:rsidRDefault="00B5675C" w:rsidP="00D034FF">
      <w:pPr>
        <w:numPr>
          <w:ilvl w:val="2"/>
          <w:numId w:val="3"/>
        </w:numPr>
        <w:tabs>
          <w:tab w:val="num" w:pos="360"/>
          <w:tab w:val="num" w:pos="2160"/>
        </w:tabs>
        <w:spacing w:line="360" w:lineRule="auto"/>
        <w:ind w:left="360"/>
        <w:jc w:val="both"/>
        <w:rPr>
          <w:lang w:val="en-GB"/>
        </w:rPr>
      </w:pPr>
      <w:r w:rsidRPr="00D034FF">
        <w:rPr>
          <w:b/>
          <w:bCs/>
          <w:lang w:val="en-GB"/>
        </w:rPr>
        <w:t>Indirect discrimination</w:t>
      </w:r>
      <w:r w:rsidRPr="00D034FF">
        <w:rPr>
          <w:lang w:val="en-GB"/>
        </w:rPr>
        <w:t xml:space="preserve"> – </w:t>
      </w:r>
      <w:r w:rsidRPr="004242E0">
        <w:rPr>
          <w:b/>
          <w:bCs/>
          <w:lang w:val="en-GB"/>
        </w:rPr>
        <w:t xml:space="preserve">As in the case of workers, indirect discrimination is broadly construed and covers rules which, even though neutral in their formulation, are likely to affect foreigners more than nationals, unless those rules are justified </w:t>
      </w:r>
      <w:r w:rsidR="00172C3B" w:rsidRPr="004242E0">
        <w:rPr>
          <w:b/>
          <w:bCs/>
          <w:lang w:val="en-GB"/>
        </w:rPr>
        <w:t xml:space="preserve">by </w:t>
      </w:r>
      <w:r w:rsidRPr="004242E0">
        <w:rPr>
          <w:b/>
          <w:bCs/>
          <w:lang w:val="en-GB"/>
        </w:rPr>
        <w:t>an imperative requirement of public interest</w:t>
      </w:r>
      <w:r w:rsidR="00C71E20" w:rsidRPr="004242E0">
        <w:rPr>
          <w:b/>
          <w:bCs/>
          <w:lang w:val="en-GB"/>
        </w:rPr>
        <w:t xml:space="preserve"> (or a Treaty </w:t>
      </w:r>
      <w:r w:rsidR="00501952" w:rsidRPr="004242E0">
        <w:rPr>
          <w:b/>
          <w:bCs/>
          <w:lang w:val="en-GB"/>
        </w:rPr>
        <w:t>derogation</w:t>
      </w:r>
      <w:r w:rsidR="00C71E20" w:rsidRPr="004242E0">
        <w:rPr>
          <w:b/>
          <w:bCs/>
          <w:lang w:val="en-GB"/>
        </w:rPr>
        <w:t xml:space="preserve">) </w:t>
      </w:r>
      <w:r w:rsidRPr="004242E0">
        <w:rPr>
          <w:b/>
          <w:bCs/>
          <w:lang w:val="en-GB"/>
        </w:rPr>
        <w:t xml:space="preserve">and are proportionate; </w:t>
      </w:r>
      <w:r w:rsidRPr="00D034FF">
        <w:rPr>
          <w:b/>
          <w:bCs/>
          <w:lang w:val="en-GB"/>
        </w:rPr>
        <w:t xml:space="preserve">e.g. </w:t>
      </w:r>
      <w:r w:rsidRPr="00D034FF">
        <w:rPr>
          <w:lang w:val="en-GB"/>
        </w:rPr>
        <w:t xml:space="preserve">residence requirements (Case C-111/91 </w:t>
      </w:r>
      <w:r w:rsidRPr="00D034FF">
        <w:rPr>
          <w:i/>
          <w:lang w:val="en-GB"/>
        </w:rPr>
        <w:t xml:space="preserve">Commission v Luxembourg </w:t>
      </w:r>
      <w:r w:rsidRPr="00D034FF">
        <w:rPr>
          <w:lang w:val="en-GB"/>
        </w:rPr>
        <w:t xml:space="preserve">[1993] ECR I-817), qualification requirements (Case C-340/89 </w:t>
      </w:r>
      <w:proofErr w:type="spellStart"/>
      <w:r w:rsidRPr="00D034FF">
        <w:rPr>
          <w:i/>
          <w:iCs/>
          <w:lang w:val="en-GB"/>
        </w:rPr>
        <w:t>Vlassopoulou</w:t>
      </w:r>
      <w:proofErr w:type="spellEnd"/>
      <w:r w:rsidR="00723800" w:rsidRPr="00D034FF">
        <w:rPr>
          <w:lang w:val="en-GB"/>
        </w:rPr>
        <w:t xml:space="preserve"> [1991] ECR 2357</w:t>
      </w:r>
      <w:r w:rsidRPr="00D034FF">
        <w:rPr>
          <w:lang w:val="en-GB"/>
        </w:rPr>
        <w:t>.</w:t>
      </w:r>
    </w:p>
    <w:p w14:paraId="635AA81F" w14:textId="77777777" w:rsidR="00B5675C" w:rsidRPr="00D034FF" w:rsidRDefault="00B5675C" w:rsidP="00D034FF">
      <w:pPr>
        <w:tabs>
          <w:tab w:val="num" w:pos="360"/>
        </w:tabs>
        <w:spacing w:line="360" w:lineRule="auto"/>
        <w:jc w:val="both"/>
        <w:rPr>
          <w:lang w:val="en-GB"/>
        </w:rPr>
      </w:pPr>
    </w:p>
    <w:p w14:paraId="27F08FF2" w14:textId="46D0D200" w:rsidR="00B5675C" w:rsidRPr="00D034FF" w:rsidRDefault="00B5675C" w:rsidP="00D034FF">
      <w:pPr>
        <w:numPr>
          <w:ilvl w:val="2"/>
          <w:numId w:val="3"/>
        </w:numPr>
        <w:tabs>
          <w:tab w:val="num" w:pos="360"/>
          <w:tab w:val="num" w:pos="2160"/>
        </w:tabs>
        <w:spacing w:line="360" w:lineRule="auto"/>
        <w:ind w:left="360"/>
        <w:jc w:val="both"/>
        <w:rPr>
          <w:lang w:val="en-GB"/>
        </w:rPr>
      </w:pPr>
      <w:r w:rsidRPr="00D034FF">
        <w:rPr>
          <w:b/>
          <w:bCs/>
          <w:lang w:val="en-GB"/>
        </w:rPr>
        <w:t xml:space="preserve">Tax and social advantages </w:t>
      </w:r>
      <w:r w:rsidRPr="00D034FF">
        <w:rPr>
          <w:lang w:val="en-GB"/>
        </w:rPr>
        <w:t xml:space="preserve">– There is no comparable provision to Article 7(2) of Regulation </w:t>
      </w:r>
      <w:r w:rsidR="00674E38" w:rsidRPr="00D034FF">
        <w:rPr>
          <w:lang w:val="en-GB"/>
        </w:rPr>
        <w:t>492/11</w:t>
      </w:r>
      <w:r w:rsidRPr="00D034FF">
        <w:rPr>
          <w:lang w:val="en-GB"/>
        </w:rPr>
        <w:t xml:space="preserve"> in relation to self-employed. However, the Court has interpreted the prohibition on discrimination in </w:t>
      </w:r>
      <w:r w:rsidR="008B7A17" w:rsidRPr="00D034FF">
        <w:rPr>
          <w:lang w:val="en-GB"/>
        </w:rPr>
        <w:t>Article 49 TFEU</w:t>
      </w:r>
      <w:r w:rsidR="007F5092" w:rsidRPr="00D034FF">
        <w:rPr>
          <w:lang w:val="en-GB"/>
        </w:rPr>
        <w:t xml:space="preserve"> </w:t>
      </w:r>
      <w:r w:rsidRPr="00D034FF">
        <w:rPr>
          <w:lang w:val="en-GB"/>
        </w:rPr>
        <w:t xml:space="preserve">as extending to cover discrimination in relation to tax and social advantages. </w:t>
      </w:r>
      <w:r w:rsidRPr="00D034FF">
        <w:rPr>
          <w:b/>
          <w:bCs/>
          <w:lang w:val="en-GB"/>
        </w:rPr>
        <w:t xml:space="preserve">E.g. </w:t>
      </w:r>
      <w:r w:rsidRPr="00D034FF">
        <w:rPr>
          <w:lang w:val="en-GB"/>
        </w:rPr>
        <w:t xml:space="preserve">a nationality condition in relation to renting premises for business purposes </w:t>
      </w:r>
      <w:r w:rsidRPr="00D034FF">
        <w:rPr>
          <w:lang w:val="en-GB"/>
        </w:rPr>
        <w:sym w:font="Wingdings" w:char="F0E0"/>
      </w:r>
      <w:r w:rsidRPr="00D034FF">
        <w:rPr>
          <w:lang w:val="en-GB"/>
        </w:rPr>
        <w:t xml:space="preserve"> Case 197/84 </w:t>
      </w:r>
      <w:proofErr w:type="spellStart"/>
      <w:r w:rsidRPr="00D034FF">
        <w:rPr>
          <w:i/>
          <w:iCs/>
          <w:lang w:val="en-GB"/>
        </w:rPr>
        <w:t>Steinhauser</w:t>
      </w:r>
      <w:proofErr w:type="spellEnd"/>
      <w:r w:rsidRPr="00D034FF">
        <w:rPr>
          <w:lang w:val="en-GB"/>
        </w:rPr>
        <w:t xml:space="preserve"> [1985] ECR 1819; preferential loans for housing </w:t>
      </w:r>
      <w:r w:rsidRPr="00D034FF">
        <w:rPr>
          <w:lang w:val="en-GB"/>
        </w:rPr>
        <w:sym w:font="Wingdings" w:char="F0E0"/>
      </w:r>
      <w:r w:rsidRPr="00D034FF">
        <w:rPr>
          <w:lang w:val="en-GB"/>
        </w:rPr>
        <w:t xml:space="preserve"> Case C-63/86 </w:t>
      </w:r>
      <w:r w:rsidRPr="00D034FF">
        <w:rPr>
          <w:i/>
          <w:iCs/>
          <w:lang w:val="en-GB"/>
        </w:rPr>
        <w:t xml:space="preserve">Commission v Italy </w:t>
      </w:r>
      <w:r w:rsidRPr="00D034FF">
        <w:rPr>
          <w:lang w:val="en-GB"/>
        </w:rPr>
        <w:t>[1988] ECR 29</w:t>
      </w:r>
      <w:r w:rsidR="002346CF" w:rsidRPr="00D034FF">
        <w:rPr>
          <w:lang w:val="en-GB"/>
        </w:rPr>
        <w:t xml:space="preserve">. </w:t>
      </w:r>
      <w:r w:rsidR="00674E38" w:rsidRPr="00D034FF">
        <w:rPr>
          <w:lang w:val="en-GB"/>
        </w:rPr>
        <w:t>S</w:t>
      </w:r>
      <w:r w:rsidR="002346CF" w:rsidRPr="00D034FF">
        <w:rPr>
          <w:lang w:val="en-GB"/>
        </w:rPr>
        <w:t xml:space="preserve">ee </w:t>
      </w:r>
      <w:r w:rsidR="00674E38" w:rsidRPr="00D034FF">
        <w:rPr>
          <w:lang w:val="en-GB"/>
        </w:rPr>
        <w:t xml:space="preserve">nowadays also </w:t>
      </w:r>
      <w:r w:rsidR="002346CF" w:rsidRPr="00D034FF">
        <w:rPr>
          <w:lang w:val="en-GB"/>
        </w:rPr>
        <w:t>Article 24 Directive 2004/38.</w:t>
      </w:r>
    </w:p>
    <w:p w14:paraId="52CEF2DB" w14:textId="5F85EC26" w:rsidR="00B5675C" w:rsidRDefault="00B5675C" w:rsidP="00D034FF">
      <w:pPr>
        <w:tabs>
          <w:tab w:val="num" w:pos="720"/>
        </w:tabs>
        <w:spacing w:line="360" w:lineRule="auto"/>
        <w:jc w:val="both"/>
        <w:rPr>
          <w:lang w:val="en-GB"/>
        </w:rPr>
      </w:pPr>
    </w:p>
    <w:p w14:paraId="2FC16791" w14:textId="77777777" w:rsidR="005E0FDF" w:rsidRPr="00D034FF" w:rsidRDefault="005E0FDF" w:rsidP="00D034FF">
      <w:pPr>
        <w:tabs>
          <w:tab w:val="num" w:pos="720"/>
        </w:tabs>
        <w:spacing w:line="360" w:lineRule="auto"/>
        <w:jc w:val="both"/>
        <w:rPr>
          <w:lang w:val="en-GB"/>
        </w:rPr>
      </w:pPr>
    </w:p>
    <w:p w14:paraId="6847A162" w14:textId="77777777" w:rsidR="00B5675C" w:rsidRPr="00D034FF" w:rsidRDefault="00B5675C" w:rsidP="00D034FF">
      <w:pPr>
        <w:numPr>
          <w:ilvl w:val="1"/>
          <w:numId w:val="6"/>
        </w:numPr>
        <w:spacing w:line="360" w:lineRule="auto"/>
        <w:jc w:val="both"/>
        <w:rPr>
          <w:b/>
          <w:bCs/>
          <w:smallCaps/>
          <w:lang w:val="en-GB"/>
        </w:rPr>
      </w:pPr>
      <w:r w:rsidRPr="00D034FF">
        <w:rPr>
          <w:b/>
          <w:bCs/>
          <w:lang w:val="en-GB"/>
        </w:rPr>
        <w:lastRenderedPageBreak/>
        <w:t>R</w:t>
      </w:r>
      <w:r w:rsidRPr="00D034FF">
        <w:rPr>
          <w:b/>
          <w:bCs/>
          <w:smallCaps/>
          <w:lang w:val="en-GB"/>
        </w:rPr>
        <w:t>ight to have more than one establishment</w:t>
      </w:r>
    </w:p>
    <w:p w14:paraId="1F072709" w14:textId="77777777" w:rsidR="00B5675C" w:rsidRPr="00D034FF" w:rsidRDefault="00B5675C" w:rsidP="00D034FF">
      <w:pPr>
        <w:tabs>
          <w:tab w:val="num" w:pos="720"/>
        </w:tabs>
        <w:spacing w:line="360" w:lineRule="auto"/>
        <w:jc w:val="both"/>
        <w:rPr>
          <w:b/>
          <w:bCs/>
          <w:smallCaps/>
          <w:lang w:val="en-GB"/>
        </w:rPr>
      </w:pPr>
    </w:p>
    <w:p w14:paraId="70715677" w14:textId="63758339" w:rsidR="00B5675C" w:rsidRPr="00D034FF" w:rsidRDefault="00B5675C" w:rsidP="00D034FF">
      <w:pPr>
        <w:numPr>
          <w:ilvl w:val="0"/>
          <w:numId w:val="7"/>
        </w:numPr>
        <w:tabs>
          <w:tab w:val="clear" w:pos="720"/>
          <w:tab w:val="num" w:pos="360"/>
        </w:tabs>
        <w:spacing w:line="360" w:lineRule="auto"/>
        <w:ind w:left="360"/>
        <w:jc w:val="both"/>
        <w:rPr>
          <w:b/>
          <w:bCs/>
          <w:lang w:val="en-GB"/>
        </w:rPr>
      </w:pPr>
      <w:r w:rsidRPr="004242E0">
        <w:rPr>
          <w:b/>
          <w:bCs/>
          <w:color w:val="FF0000"/>
          <w:lang w:val="en-GB"/>
        </w:rPr>
        <w:t xml:space="preserve">Right to have more than one establishment </w:t>
      </w:r>
      <w:r w:rsidRPr="004242E0">
        <w:rPr>
          <w:color w:val="FF0000"/>
          <w:lang w:val="en-GB"/>
        </w:rPr>
        <w:t xml:space="preserve">– </w:t>
      </w:r>
      <w:r w:rsidR="008B7A17" w:rsidRPr="004242E0">
        <w:rPr>
          <w:color w:val="FF0000"/>
          <w:lang w:val="en-GB"/>
        </w:rPr>
        <w:t>Article 49 TFEU</w:t>
      </w:r>
      <w:r w:rsidR="007F5092" w:rsidRPr="004242E0">
        <w:rPr>
          <w:color w:val="FF0000"/>
          <w:lang w:val="en-GB"/>
        </w:rPr>
        <w:t xml:space="preserve"> </w:t>
      </w:r>
      <w:r w:rsidRPr="004242E0">
        <w:rPr>
          <w:color w:val="FF0000"/>
          <w:lang w:val="en-GB"/>
        </w:rPr>
        <w:t>applies to those established in more than one Member State, i</w:t>
      </w:r>
      <w:r w:rsidRPr="004242E0">
        <w:rPr>
          <w:b/>
          <w:bCs/>
          <w:color w:val="FF0000"/>
          <w:lang w:val="en-GB"/>
        </w:rPr>
        <w:t>.e. those who wish to pursue their activity (on a stable and continuous basis) in two different Member States, for instance by working part of the week in one place and part of the week in another one</w:t>
      </w:r>
      <w:r w:rsidRPr="004242E0">
        <w:rPr>
          <w:color w:val="FF0000"/>
          <w:lang w:val="en-GB"/>
        </w:rPr>
        <w:t xml:space="preserve"> </w:t>
      </w:r>
      <w:r w:rsidRPr="00D034FF">
        <w:rPr>
          <w:lang w:val="en-GB"/>
        </w:rPr>
        <w:sym w:font="Wingdings" w:char="F0E0"/>
      </w:r>
      <w:r w:rsidRPr="00D034FF">
        <w:rPr>
          <w:lang w:val="en-GB"/>
        </w:rPr>
        <w:t xml:space="preserve"> Case 107/83 </w:t>
      </w:r>
      <w:r w:rsidRPr="00D034FF">
        <w:rPr>
          <w:i/>
          <w:iCs/>
          <w:lang w:val="en-GB"/>
        </w:rPr>
        <w:t>Klopp</w:t>
      </w:r>
      <w:r w:rsidRPr="00D034FF">
        <w:rPr>
          <w:lang w:val="en-GB"/>
        </w:rPr>
        <w:t xml:space="preserve"> [1984] ECR 2791.</w:t>
      </w:r>
      <w:r w:rsidR="00501952" w:rsidRPr="00D034FF">
        <w:rPr>
          <w:lang w:val="en-GB"/>
        </w:rPr>
        <w:t xml:space="preserve"> In the case of companies, recall that Article 49 also applies to compan</w:t>
      </w:r>
      <w:r w:rsidR="00E16903" w:rsidRPr="00D034FF">
        <w:rPr>
          <w:lang w:val="en-GB"/>
        </w:rPr>
        <w:t>ies</w:t>
      </w:r>
      <w:r w:rsidR="00501952" w:rsidRPr="00D034FF">
        <w:rPr>
          <w:lang w:val="en-GB"/>
        </w:rPr>
        <w:t xml:space="preserve"> wishing to establish a</w:t>
      </w:r>
      <w:r w:rsidR="00E16903" w:rsidRPr="00D034FF">
        <w:rPr>
          <w:lang w:val="en-GB"/>
        </w:rPr>
        <w:t>n agency,</w:t>
      </w:r>
      <w:r w:rsidR="00501952" w:rsidRPr="00D034FF">
        <w:rPr>
          <w:lang w:val="en-GB"/>
        </w:rPr>
        <w:t xml:space="preserve"> branch or subsidiary </w:t>
      </w:r>
      <w:r w:rsidR="00E16903" w:rsidRPr="00D034FF">
        <w:rPr>
          <w:lang w:val="en-GB"/>
        </w:rPr>
        <w:t>in a Member State different from their state of incorporation</w:t>
      </w:r>
      <w:r w:rsidR="00501952" w:rsidRPr="00D034FF">
        <w:rPr>
          <w:lang w:val="en-GB"/>
        </w:rPr>
        <w:t xml:space="preserve">. </w:t>
      </w:r>
    </w:p>
    <w:p w14:paraId="470EF709" w14:textId="77777777" w:rsidR="00B5675C" w:rsidRPr="00D034FF" w:rsidRDefault="00B5675C" w:rsidP="00D034FF">
      <w:pPr>
        <w:tabs>
          <w:tab w:val="num" w:pos="360"/>
        </w:tabs>
        <w:spacing w:line="360" w:lineRule="auto"/>
        <w:jc w:val="both"/>
        <w:rPr>
          <w:b/>
          <w:bCs/>
          <w:lang w:val="en-GB"/>
        </w:rPr>
      </w:pPr>
    </w:p>
    <w:p w14:paraId="2427EC03" w14:textId="77777777" w:rsidR="00B5675C" w:rsidRPr="00D034FF" w:rsidRDefault="00B5675C" w:rsidP="00D034FF">
      <w:pPr>
        <w:numPr>
          <w:ilvl w:val="1"/>
          <w:numId w:val="6"/>
        </w:numPr>
        <w:spacing w:line="360" w:lineRule="auto"/>
        <w:jc w:val="both"/>
        <w:rPr>
          <w:b/>
          <w:bCs/>
          <w:smallCaps/>
          <w:lang w:val="en-GB"/>
        </w:rPr>
      </w:pPr>
      <w:r w:rsidRPr="00D034FF">
        <w:rPr>
          <w:b/>
          <w:bCs/>
          <w:lang w:val="en-GB"/>
        </w:rPr>
        <w:t>N</w:t>
      </w:r>
      <w:r w:rsidRPr="00D034FF">
        <w:rPr>
          <w:b/>
          <w:bCs/>
          <w:smallCaps/>
          <w:lang w:val="en-GB"/>
        </w:rPr>
        <w:t>on-discriminatory barriers</w:t>
      </w:r>
    </w:p>
    <w:p w14:paraId="2A95FD77" w14:textId="77777777" w:rsidR="00B5675C" w:rsidRPr="00D034FF" w:rsidRDefault="00B5675C" w:rsidP="00D034FF">
      <w:pPr>
        <w:tabs>
          <w:tab w:val="num" w:pos="360"/>
        </w:tabs>
        <w:spacing w:line="360" w:lineRule="auto"/>
        <w:jc w:val="both"/>
        <w:rPr>
          <w:b/>
          <w:bCs/>
          <w:smallCaps/>
          <w:lang w:val="en-GB"/>
        </w:rPr>
      </w:pPr>
    </w:p>
    <w:p w14:paraId="572997EB" w14:textId="284A330B" w:rsidR="00B5675C" w:rsidRPr="00D034FF" w:rsidRDefault="002346CF" w:rsidP="00D034FF">
      <w:pPr>
        <w:pStyle w:val="FootnoteText"/>
        <w:numPr>
          <w:ilvl w:val="0"/>
          <w:numId w:val="7"/>
        </w:numPr>
        <w:tabs>
          <w:tab w:val="clear" w:pos="720"/>
          <w:tab w:val="num" w:pos="360"/>
        </w:tabs>
        <w:spacing w:line="360" w:lineRule="auto"/>
        <w:ind w:left="360"/>
        <w:jc w:val="both"/>
        <w:rPr>
          <w:sz w:val="24"/>
          <w:lang w:val="en-GB"/>
        </w:rPr>
      </w:pPr>
      <w:r w:rsidRPr="004242E0">
        <w:rPr>
          <w:b/>
          <w:bCs/>
          <w:sz w:val="24"/>
          <w:lang w:val="en-GB"/>
        </w:rPr>
        <w:t>*</w:t>
      </w:r>
      <w:r w:rsidR="00B5675C" w:rsidRPr="004242E0">
        <w:rPr>
          <w:b/>
          <w:bCs/>
          <w:sz w:val="24"/>
          <w:lang w:val="en-GB"/>
        </w:rPr>
        <w:t xml:space="preserve">Rules which hinder or make less attractive the exercise of the freedom – Rules which are neither directly nor indirectly discriminatory might still have to be justified by </w:t>
      </w:r>
      <w:r w:rsidR="00C71E20" w:rsidRPr="004242E0">
        <w:rPr>
          <w:b/>
          <w:bCs/>
          <w:sz w:val="24"/>
          <w:lang w:val="en-GB"/>
        </w:rPr>
        <w:t xml:space="preserve">the </w:t>
      </w:r>
      <w:r w:rsidR="00B5675C" w:rsidRPr="004242E0">
        <w:rPr>
          <w:b/>
          <w:bCs/>
          <w:sz w:val="24"/>
          <w:lang w:val="en-GB"/>
        </w:rPr>
        <w:t xml:space="preserve">imperative requirements doctrine </w:t>
      </w:r>
      <w:r w:rsidR="00C71E20" w:rsidRPr="004242E0">
        <w:rPr>
          <w:b/>
          <w:bCs/>
          <w:sz w:val="24"/>
          <w:lang w:val="en-GB"/>
        </w:rPr>
        <w:t xml:space="preserve">(or a Treaty </w:t>
      </w:r>
      <w:r w:rsidR="00E16903" w:rsidRPr="004242E0">
        <w:rPr>
          <w:b/>
          <w:bCs/>
          <w:sz w:val="24"/>
          <w:lang w:val="en-GB"/>
        </w:rPr>
        <w:t>derogation</w:t>
      </w:r>
      <w:r w:rsidR="00C71E20" w:rsidRPr="004242E0">
        <w:rPr>
          <w:b/>
          <w:bCs/>
          <w:sz w:val="24"/>
          <w:lang w:val="en-GB"/>
        </w:rPr>
        <w:t xml:space="preserve">) </w:t>
      </w:r>
      <w:r w:rsidR="00B5675C" w:rsidRPr="004242E0">
        <w:rPr>
          <w:b/>
          <w:bCs/>
          <w:sz w:val="24"/>
          <w:lang w:val="en-GB"/>
        </w:rPr>
        <w:t>and be proportionate</w:t>
      </w:r>
      <w:r w:rsidR="00E16903" w:rsidRPr="004242E0">
        <w:rPr>
          <w:b/>
          <w:bCs/>
          <w:sz w:val="24"/>
          <w:lang w:val="en-GB"/>
        </w:rPr>
        <w:t>,</w:t>
      </w:r>
      <w:r w:rsidR="00B5675C" w:rsidRPr="004242E0">
        <w:rPr>
          <w:b/>
          <w:bCs/>
          <w:sz w:val="24"/>
          <w:lang w:val="en-GB"/>
        </w:rPr>
        <w:t xml:space="preserve"> if they hinder or make less attractive the exercise of the freedom</w:t>
      </w:r>
      <w:r w:rsidR="00B5675C" w:rsidRPr="00D034FF">
        <w:rPr>
          <w:sz w:val="24"/>
          <w:lang w:val="en-GB"/>
        </w:rPr>
        <w:t xml:space="preserve">. </w:t>
      </w:r>
      <w:r w:rsidR="00B5675C" w:rsidRPr="00D034FF">
        <w:rPr>
          <w:b/>
          <w:bCs/>
          <w:sz w:val="24"/>
          <w:lang w:val="en-GB"/>
        </w:rPr>
        <w:t>E.g.</w:t>
      </w:r>
      <w:r w:rsidR="00B5675C" w:rsidRPr="00D034FF">
        <w:rPr>
          <w:sz w:val="24"/>
          <w:lang w:val="en-GB"/>
        </w:rPr>
        <w:t xml:space="preserve"> Rules regulating the exercise of a profession or of an economic activity </w:t>
      </w:r>
      <w:r w:rsidR="00B5675C" w:rsidRPr="00D034FF">
        <w:rPr>
          <w:sz w:val="24"/>
          <w:lang w:val="en-GB"/>
        </w:rPr>
        <w:sym w:font="Wingdings" w:char="F0E0"/>
      </w:r>
      <w:r w:rsidR="00B5675C" w:rsidRPr="00D034FF">
        <w:rPr>
          <w:sz w:val="24"/>
          <w:lang w:val="en-GB"/>
        </w:rPr>
        <w:t xml:space="preserve"> </w:t>
      </w:r>
      <w:r w:rsidRPr="00D034FF">
        <w:rPr>
          <w:sz w:val="24"/>
          <w:lang w:val="en-GB"/>
        </w:rPr>
        <w:t>*</w:t>
      </w:r>
      <w:r w:rsidR="00B5675C" w:rsidRPr="00D034FF">
        <w:rPr>
          <w:sz w:val="24"/>
          <w:lang w:val="en-GB"/>
        </w:rPr>
        <w:t xml:space="preserve">Case C-55/84 </w:t>
      </w:r>
      <w:proofErr w:type="spellStart"/>
      <w:r w:rsidR="00B5675C" w:rsidRPr="00D034FF">
        <w:rPr>
          <w:i/>
          <w:iCs/>
          <w:sz w:val="24"/>
          <w:lang w:val="en-GB"/>
        </w:rPr>
        <w:t>Gebhard</w:t>
      </w:r>
      <w:proofErr w:type="spellEnd"/>
      <w:r w:rsidR="00B5675C" w:rsidRPr="00D034FF">
        <w:rPr>
          <w:i/>
          <w:iCs/>
          <w:sz w:val="24"/>
          <w:lang w:val="en-GB"/>
        </w:rPr>
        <w:t xml:space="preserve"> </w:t>
      </w:r>
      <w:r w:rsidR="00B5675C" w:rsidRPr="00D034FF">
        <w:rPr>
          <w:sz w:val="24"/>
          <w:lang w:val="en-GB"/>
        </w:rPr>
        <w:t xml:space="preserve">[1995] ECR I-4165; Case </w:t>
      </w:r>
      <w:r w:rsidR="00D50190" w:rsidRPr="00D034FF">
        <w:rPr>
          <w:sz w:val="24"/>
          <w:lang w:val="en-GB"/>
        </w:rPr>
        <w:t>C-</w:t>
      </w:r>
      <w:r w:rsidR="00B5675C" w:rsidRPr="00D034FF">
        <w:rPr>
          <w:sz w:val="24"/>
          <w:lang w:val="en-GB"/>
        </w:rPr>
        <w:t xml:space="preserve">108/96 </w:t>
      </w:r>
      <w:proofErr w:type="spellStart"/>
      <w:r w:rsidR="00B5675C" w:rsidRPr="00D034FF">
        <w:rPr>
          <w:i/>
          <w:iCs/>
          <w:sz w:val="24"/>
          <w:lang w:val="en-GB"/>
        </w:rPr>
        <w:t>McQuen</w:t>
      </w:r>
      <w:proofErr w:type="spellEnd"/>
      <w:r w:rsidR="00B5675C" w:rsidRPr="00D034FF">
        <w:rPr>
          <w:sz w:val="24"/>
          <w:lang w:val="en-GB"/>
        </w:rPr>
        <w:t xml:space="preserve"> [2001] ECR I-837; C-294/00 </w:t>
      </w:r>
      <w:proofErr w:type="spellStart"/>
      <w:r w:rsidR="00B5675C" w:rsidRPr="00D034FF">
        <w:rPr>
          <w:i/>
          <w:sz w:val="24"/>
          <w:lang w:val="en-GB"/>
        </w:rPr>
        <w:t>Gräbner</w:t>
      </w:r>
      <w:proofErr w:type="spellEnd"/>
      <w:r w:rsidR="00B5675C" w:rsidRPr="00D034FF">
        <w:rPr>
          <w:sz w:val="24"/>
          <w:lang w:val="en-GB"/>
        </w:rPr>
        <w:t xml:space="preserve"> [2002] ECR I-6515</w:t>
      </w:r>
      <w:r w:rsidRPr="00D034FF">
        <w:rPr>
          <w:sz w:val="24"/>
          <w:lang w:val="en-GB"/>
        </w:rPr>
        <w:t xml:space="preserve">; </w:t>
      </w:r>
      <w:r w:rsidRPr="00D034FF">
        <w:rPr>
          <w:sz w:val="24"/>
          <w:szCs w:val="24"/>
          <w:lang w:val="en-GB"/>
        </w:rPr>
        <w:t xml:space="preserve">Case C-79/01 </w:t>
      </w:r>
      <w:r w:rsidRPr="00D034FF">
        <w:rPr>
          <w:i/>
          <w:sz w:val="24"/>
          <w:szCs w:val="24"/>
          <w:lang w:val="en-GB"/>
        </w:rPr>
        <w:t xml:space="preserve">Payroll Data Services (Italy) et al </w:t>
      </w:r>
      <w:r w:rsidRPr="00D034FF">
        <w:rPr>
          <w:sz w:val="24"/>
          <w:szCs w:val="24"/>
          <w:lang w:val="en-GB"/>
        </w:rPr>
        <w:t xml:space="preserve">[2002] ECR I-8923; rules restricting types of “services” </w:t>
      </w:r>
      <w:r w:rsidRPr="00D034FF">
        <w:rPr>
          <w:sz w:val="24"/>
          <w:szCs w:val="24"/>
          <w:lang w:val="en-GB"/>
        </w:rPr>
        <w:sym w:font="Wingdings" w:char="F0E0"/>
      </w:r>
      <w:r w:rsidRPr="00D034FF">
        <w:rPr>
          <w:sz w:val="24"/>
          <w:szCs w:val="24"/>
          <w:lang w:val="en-GB"/>
        </w:rPr>
        <w:t xml:space="preserve"> </w:t>
      </w:r>
      <w:r w:rsidRPr="00D034FF">
        <w:rPr>
          <w:sz w:val="24"/>
          <w:lang w:val="en-GB"/>
        </w:rPr>
        <w:t xml:space="preserve">*Case </w:t>
      </w:r>
      <w:r w:rsidRPr="00D034FF">
        <w:rPr>
          <w:sz w:val="24"/>
          <w:szCs w:val="24"/>
          <w:lang w:val="en-GB"/>
        </w:rPr>
        <w:t xml:space="preserve">C-442/02 </w:t>
      </w:r>
      <w:r w:rsidRPr="00D034FF">
        <w:rPr>
          <w:i/>
          <w:sz w:val="24"/>
          <w:szCs w:val="24"/>
          <w:lang w:val="en-GB"/>
        </w:rPr>
        <w:t>Caixa-Bank</w:t>
      </w:r>
      <w:r w:rsidRPr="00D034FF">
        <w:rPr>
          <w:sz w:val="24"/>
          <w:szCs w:val="24"/>
          <w:lang w:val="en-GB"/>
        </w:rPr>
        <w:t xml:space="preserve"> [2004] ECR I-8961. </w:t>
      </w:r>
    </w:p>
    <w:p w14:paraId="71B5FC78" w14:textId="77777777" w:rsidR="00B5675C" w:rsidRPr="00D034FF" w:rsidRDefault="00B5675C" w:rsidP="00D034FF">
      <w:pPr>
        <w:pStyle w:val="FootnoteText"/>
        <w:tabs>
          <w:tab w:val="num" w:pos="720"/>
        </w:tabs>
        <w:spacing w:line="360" w:lineRule="auto"/>
        <w:jc w:val="both"/>
        <w:rPr>
          <w:sz w:val="24"/>
          <w:lang w:val="en-GB"/>
        </w:rPr>
      </w:pPr>
    </w:p>
    <w:p w14:paraId="6DA36939" w14:textId="77777777" w:rsidR="00B5675C" w:rsidRPr="00D034FF" w:rsidRDefault="00B5675C" w:rsidP="00D034FF">
      <w:pPr>
        <w:numPr>
          <w:ilvl w:val="0"/>
          <w:numId w:val="7"/>
        </w:numPr>
        <w:tabs>
          <w:tab w:val="clear" w:pos="720"/>
          <w:tab w:val="num" w:pos="360"/>
          <w:tab w:val="num" w:pos="1260"/>
        </w:tabs>
        <w:spacing w:line="360" w:lineRule="auto"/>
        <w:ind w:left="360"/>
        <w:jc w:val="both"/>
        <w:rPr>
          <w:b/>
          <w:bCs/>
          <w:lang w:val="en-GB"/>
        </w:rPr>
      </w:pPr>
      <w:r w:rsidRPr="00D034FF">
        <w:rPr>
          <w:b/>
          <w:bCs/>
          <w:lang w:val="en-GB"/>
        </w:rPr>
        <w:t xml:space="preserve">But not if the effect of the rule is too uncertain or indirect </w:t>
      </w:r>
      <w:r w:rsidRPr="00D034FF">
        <w:rPr>
          <w:b/>
          <w:bCs/>
          <w:lang w:val="en-GB"/>
        </w:rPr>
        <w:sym w:font="Wingdings" w:char="F0E0"/>
      </w:r>
      <w:r w:rsidRPr="00D034FF">
        <w:rPr>
          <w:b/>
          <w:bCs/>
          <w:lang w:val="en-GB"/>
        </w:rPr>
        <w:t xml:space="preserve"> </w:t>
      </w:r>
      <w:r w:rsidRPr="00D034FF">
        <w:rPr>
          <w:lang w:val="en-GB"/>
        </w:rPr>
        <w:t xml:space="preserve">Case </w:t>
      </w:r>
      <w:r w:rsidR="00D50190" w:rsidRPr="00D034FF">
        <w:rPr>
          <w:lang w:val="en-GB"/>
        </w:rPr>
        <w:t>C-</w:t>
      </w:r>
      <w:r w:rsidRPr="00D034FF">
        <w:rPr>
          <w:lang w:val="en-GB"/>
        </w:rPr>
        <w:t xml:space="preserve">418/93 </w:t>
      </w:r>
      <w:r w:rsidRPr="00D034FF">
        <w:rPr>
          <w:i/>
          <w:iCs/>
          <w:lang w:val="en-GB"/>
        </w:rPr>
        <w:t>Casa Uno</w:t>
      </w:r>
      <w:r w:rsidRPr="00D034FF">
        <w:rPr>
          <w:lang w:val="en-GB"/>
        </w:rPr>
        <w:t xml:space="preserve"> [1996] ECR I-2975. </w:t>
      </w:r>
    </w:p>
    <w:p w14:paraId="3379E49A" w14:textId="77777777" w:rsidR="00DE32EA" w:rsidRPr="00D034FF" w:rsidRDefault="00DE32EA" w:rsidP="00D034FF">
      <w:pPr>
        <w:tabs>
          <w:tab w:val="num" w:pos="1260"/>
        </w:tabs>
        <w:spacing w:line="360" w:lineRule="auto"/>
        <w:jc w:val="both"/>
        <w:rPr>
          <w:b/>
          <w:bCs/>
          <w:lang w:val="en-GB"/>
        </w:rPr>
      </w:pPr>
    </w:p>
    <w:p w14:paraId="6643B99D" w14:textId="77777777" w:rsidR="00DE32EA" w:rsidRPr="00D034FF" w:rsidRDefault="00DE32EA" w:rsidP="00D034FF">
      <w:pPr>
        <w:numPr>
          <w:ilvl w:val="1"/>
          <w:numId w:val="6"/>
        </w:numPr>
        <w:spacing w:line="360" w:lineRule="auto"/>
        <w:jc w:val="both"/>
        <w:rPr>
          <w:b/>
          <w:bCs/>
          <w:smallCaps/>
          <w:lang w:val="en-GB"/>
        </w:rPr>
      </w:pPr>
      <w:r w:rsidRPr="00D034FF">
        <w:rPr>
          <w:b/>
          <w:bCs/>
          <w:lang w:val="en-GB"/>
        </w:rPr>
        <w:t>T</w:t>
      </w:r>
      <w:r w:rsidRPr="00D034FF">
        <w:rPr>
          <w:b/>
          <w:bCs/>
          <w:smallCaps/>
          <w:lang w:val="en-GB"/>
        </w:rPr>
        <w:t xml:space="preserve">he impact of Directive 2006/123 </w:t>
      </w:r>
    </w:p>
    <w:p w14:paraId="4F34BBCA" w14:textId="77777777" w:rsidR="00DE32EA" w:rsidRPr="00D034FF" w:rsidRDefault="00DE32EA" w:rsidP="00D034FF">
      <w:pPr>
        <w:spacing w:line="360" w:lineRule="auto"/>
        <w:jc w:val="both"/>
        <w:rPr>
          <w:b/>
          <w:bCs/>
          <w:smallCaps/>
          <w:lang w:val="en-GB"/>
        </w:rPr>
      </w:pPr>
    </w:p>
    <w:p w14:paraId="3515029C" w14:textId="14BC996A" w:rsidR="00036FCE" w:rsidRPr="00D034FF" w:rsidRDefault="00036FCE" w:rsidP="00D034FF">
      <w:pPr>
        <w:numPr>
          <w:ilvl w:val="0"/>
          <w:numId w:val="32"/>
        </w:numPr>
        <w:tabs>
          <w:tab w:val="clear" w:pos="720"/>
          <w:tab w:val="num" w:pos="360"/>
        </w:tabs>
        <w:spacing w:line="360" w:lineRule="auto"/>
        <w:ind w:left="360"/>
        <w:jc w:val="both"/>
        <w:rPr>
          <w:lang w:val="en-GB"/>
        </w:rPr>
      </w:pPr>
      <w:r w:rsidRPr="00D034FF">
        <w:rPr>
          <w:lang w:val="en-GB"/>
        </w:rPr>
        <w:t xml:space="preserve">See </w:t>
      </w:r>
      <w:r w:rsidR="00C759C7">
        <w:rPr>
          <w:lang w:val="en-GB"/>
        </w:rPr>
        <w:t>lecture on Services Directive</w:t>
      </w:r>
      <w:r w:rsidR="00C71E20" w:rsidRPr="00D034FF">
        <w:rPr>
          <w:lang w:val="en-GB"/>
        </w:rPr>
        <w:t>.</w:t>
      </w:r>
    </w:p>
    <w:p w14:paraId="0211E66E" w14:textId="77777777" w:rsidR="00036FCE" w:rsidRPr="00D034FF" w:rsidRDefault="00036FCE" w:rsidP="00D034FF">
      <w:pPr>
        <w:spacing w:line="360" w:lineRule="auto"/>
        <w:jc w:val="both"/>
        <w:rPr>
          <w:lang w:val="en-GB"/>
        </w:rPr>
      </w:pPr>
    </w:p>
    <w:p w14:paraId="54B49C06" w14:textId="77777777" w:rsidR="00D570EF" w:rsidRPr="00D034FF" w:rsidRDefault="00D570EF" w:rsidP="00D034FF">
      <w:pPr>
        <w:numPr>
          <w:ilvl w:val="1"/>
          <w:numId w:val="6"/>
        </w:numPr>
        <w:spacing w:line="360" w:lineRule="auto"/>
        <w:jc w:val="both"/>
        <w:rPr>
          <w:b/>
          <w:bCs/>
          <w:smallCaps/>
          <w:lang w:val="en-GB"/>
        </w:rPr>
      </w:pPr>
      <w:r w:rsidRPr="00D034FF">
        <w:rPr>
          <w:b/>
          <w:bCs/>
          <w:smallCaps/>
          <w:lang w:val="en-GB"/>
        </w:rPr>
        <w:t>Controversies around the right of establishment</w:t>
      </w:r>
    </w:p>
    <w:p w14:paraId="2FD26234" w14:textId="77777777" w:rsidR="00D570EF" w:rsidRPr="00D034FF" w:rsidRDefault="00D570EF" w:rsidP="00D034FF">
      <w:pPr>
        <w:spacing w:line="360" w:lineRule="auto"/>
        <w:jc w:val="center"/>
        <w:rPr>
          <w:b/>
          <w:bCs/>
          <w:smallCaps/>
          <w:lang w:val="en-GB"/>
        </w:rPr>
      </w:pPr>
    </w:p>
    <w:p w14:paraId="350E3E6E" w14:textId="77777777" w:rsidR="00A35294" w:rsidRPr="00D034FF" w:rsidRDefault="00A35294" w:rsidP="005E0FDF">
      <w:pPr>
        <w:numPr>
          <w:ilvl w:val="0"/>
          <w:numId w:val="40"/>
        </w:numPr>
        <w:spacing w:line="360" w:lineRule="auto"/>
        <w:jc w:val="center"/>
        <w:rPr>
          <w:b/>
          <w:bCs/>
          <w:smallCaps/>
          <w:lang w:val="en-GB"/>
        </w:rPr>
      </w:pPr>
      <w:r w:rsidRPr="00D034FF">
        <w:rPr>
          <w:b/>
          <w:bCs/>
          <w:smallCaps/>
          <w:lang w:val="en-GB"/>
        </w:rPr>
        <w:t>Company mobility and regulatory competition</w:t>
      </w:r>
    </w:p>
    <w:p w14:paraId="5A9FE6F5" w14:textId="77777777" w:rsidR="00846605" w:rsidRPr="00D034FF" w:rsidRDefault="00846605" w:rsidP="00D034FF">
      <w:pPr>
        <w:widowControl w:val="0"/>
        <w:autoSpaceDE w:val="0"/>
        <w:autoSpaceDN w:val="0"/>
        <w:adjustRightInd w:val="0"/>
        <w:spacing w:line="360" w:lineRule="auto"/>
        <w:ind w:left="360" w:right="-1"/>
        <w:jc w:val="both"/>
        <w:rPr>
          <w:bCs/>
          <w:i/>
          <w:u w:color="0000FF"/>
          <w:lang w:val="en-GB" w:eastAsia="en-US"/>
        </w:rPr>
      </w:pPr>
    </w:p>
    <w:p w14:paraId="2CF2DC86" w14:textId="2D38292C" w:rsidR="00D442C3" w:rsidRPr="00D442C3" w:rsidRDefault="00846605" w:rsidP="00D034FF">
      <w:pPr>
        <w:pStyle w:val="p1"/>
        <w:spacing w:line="360" w:lineRule="auto"/>
        <w:jc w:val="both"/>
        <w:rPr>
          <w:rFonts w:ascii="Times New Roman" w:hAnsi="Times New Roman"/>
          <w:bCs/>
          <w:color w:val="000000" w:themeColor="text1"/>
          <w:sz w:val="24"/>
          <w:szCs w:val="24"/>
          <w:lang w:val="en-GB"/>
        </w:rPr>
      </w:pPr>
      <w:r w:rsidRPr="00D034FF">
        <w:rPr>
          <w:rFonts w:ascii="Times New Roman" w:hAnsi="Times New Roman"/>
          <w:b/>
          <w:bCs/>
          <w:color w:val="000000" w:themeColor="text1"/>
          <w:sz w:val="24"/>
          <w:szCs w:val="24"/>
          <w:lang w:val="en-GB"/>
        </w:rPr>
        <w:t xml:space="preserve">Company mobility, facilitated by the right of establishment, has long been associated with regulatory arbitrage and regulatory competition </w:t>
      </w:r>
      <w:r w:rsidRPr="00D034FF">
        <w:rPr>
          <w:rFonts w:ascii="Times New Roman" w:hAnsi="Times New Roman"/>
          <w:b/>
          <w:color w:val="000000" w:themeColor="text1"/>
          <w:sz w:val="24"/>
          <w:szCs w:val="24"/>
          <w:lang w:val="en-GB"/>
        </w:rPr>
        <w:sym w:font="Wingdings" w:char="F0E0"/>
      </w:r>
      <w:r w:rsidRPr="00D034FF">
        <w:rPr>
          <w:rFonts w:ascii="Times New Roman" w:hAnsi="Times New Roman"/>
          <w:b/>
          <w:bCs/>
          <w:color w:val="000000" w:themeColor="text1"/>
          <w:sz w:val="24"/>
          <w:szCs w:val="24"/>
          <w:lang w:val="en-GB"/>
        </w:rPr>
        <w:t xml:space="preserve"> </w:t>
      </w:r>
      <w:r w:rsidR="00C71E20" w:rsidRPr="00D034FF">
        <w:rPr>
          <w:rFonts w:ascii="Times New Roman" w:hAnsi="Times New Roman"/>
          <w:bCs/>
          <w:color w:val="000000" w:themeColor="text1"/>
          <w:sz w:val="24"/>
          <w:szCs w:val="24"/>
          <w:lang w:val="en-GB"/>
        </w:rPr>
        <w:t>in some</w:t>
      </w:r>
      <w:r w:rsidR="0099300B" w:rsidRPr="00D034FF">
        <w:rPr>
          <w:rFonts w:ascii="Times New Roman" w:hAnsi="Times New Roman"/>
          <w:bCs/>
          <w:color w:val="000000" w:themeColor="text1"/>
          <w:sz w:val="24"/>
          <w:szCs w:val="24"/>
          <w:lang w:val="en-GB"/>
        </w:rPr>
        <w:t xml:space="preserve"> </w:t>
      </w:r>
      <w:r w:rsidR="00BA0610" w:rsidRPr="00D034FF">
        <w:rPr>
          <w:rFonts w:ascii="Times New Roman" w:hAnsi="Times New Roman"/>
          <w:bCs/>
          <w:color w:val="000000" w:themeColor="text1"/>
          <w:sz w:val="24"/>
          <w:szCs w:val="24"/>
          <w:lang w:val="en-GB"/>
        </w:rPr>
        <w:t>Member States</w:t>
      </w:r>
      <w:r w:rsidR="0099300B" w:rsidRPr="00D034FF">
        <w:rPr>
          <w:rFonts w:ascii="Times New Roman" w:hAnsi="Times New Roman"/>
          <w:bCs/>
          <w:color w:val="000000" w:themeColor="text1"/>
          <w:sz w:val="24"/>
          <w:szCs w:val="24"/>
          <w:lang w:val="en-GB"/>
        </w:rPr>
        <w:t xml:space="preserve"> </w:t>
      </w:r>
      <w:r w:rsidR="00BA0610" w:rsidRPr="00D034FF">
        <w:rPr>
          <w:rFonts w:ascii="Times New Roman" w:hAnsi="Times New Roman"/>
          <w:bCs/>
          <w:color w:val="000000" w:themeColor="text1"/>
          <w:sz w:val="24"/>
          <w:szCs w:val="24"/>
          <w:lang w:val="en-GB"/>
        </w:rPr>
        <w:t>w</w:t>
      </w:r>
      <w:r w:rsidR="0099300B" w:rsidRPr="00D034FF">
        <w:rPr>
          <w:rFonts w:ascii="Times New Roman" w:hAnsi="Times New Roman"/>
          <w:bCs/>
          <w:color w:val="000000" w:themeColor="text1"/>
          <w:sz w:val="24"/>
          <w:szCs w:val="24"/>
          <w:lang w:val="en-GB"/>
        </w:rPr>
        <w:t xml:space="preserve">here </w:t>
      </w:r>
      <w:r w:rsidR="00705E45" w:rsidRPr="00D034FF">
        <w:rPr>
          <w:rFonts w:ascii="Times New Roman" w:hAnsi="Times New Roman"/>
          <w:bCs/>
          <w:color w:val="000000" w:themeColor="text1"/>
          <w:sz w:val="24"/>
          <w:szCs w:val="24"/>
          <w:lang w:val="en-GB"/>
        </w:rPr>
        <w:t>company law</w:t>
      </w:r>
      <w:r w:rsidR="0099300B" w:rsidRPr="00D034FF">
        <w:rPr>
          <w:rFonts w:ascii="Times New Roman" w:hAnsi="Times New Roman"/>
          <w:bCs/>
          <w:color w:val="000000" w:themeColor="text1"/>
          <w:sz w:val="24"/>
          <w:szCs w:val="24"/>
          <w:lang w:val="en-GB"/>
        </w:rPr>
        <w:t xml:space="preserve"> requirements</w:t>
      </w:r>
      <w:r w:rsidR="00705E45" w:rsidRPr="00D034FF">
        <w:rPr>
          <w:rFonts w:ascii="Times New Roman" w:hAnsi="Times New Roman"/>
          <w:bCs/>
          <w:color w:val="000000" w:themeColor="text1"/>
          <w:sz w:val="24"/>
          <w:szCs w:val="24"/>
          <w:lang w:val="en-GB"/>
        </w:rPr>
        <w:t xml:space="preserve"> </w:t>
      </w:r>
      <w:r w:rsidR="00BA0610" w:rsidRPr="00D034FF">
        <w:rPr>
          <w:rFonts w:ascii="Times New Roman" w:hAnsi="Times New Roman"/>
          <w:bCs/>
          <w:color w:val="000000" w:themeColor="text1"/>
          <w:sz w:val="24"/>
          <w:szCs w:val="24"/>
          <w:lang w:val="en-GB"/>
        </w:rPr>
        <w:t>impose greater burdens on companies</w:t>
      </w:r>
      <w:r w:rsidR="00705E45" w:rsidRPr="00D034FF">
        <w:rPr>
          <w:rFonts w:ascii="Times New Roman" w:hAnsi="Times New Roman"/>
          <w:bCs/>
          <w:color w:val="000000" w:themeColor="text1"/>
          <w:sz w:val="24"/>
          <w:szCs w:val="24"/>
          <w:lang w:val="en-GB"/>
        </w:rPr>
        <w:t xml:space="preserve"> </w:t>
      </w:r>
      <w:r w:rsidR="0099300B" w:rsidRPr="00D034FF">
        <w:rPr>
          <w:rFonts w:ascii="Times New Roman" w:hAnsi="Times New Roman"/>
          <w:bCs/>
          <w:color w:val="000000" w:themeColor="text1"/>
          <w:sz w:val="24"/>
          <w:szCs w:val="24"/>
          <w:lang w:val="en-GB"/>
        </w:rPr>
        <w:t xml:space="preserve">than in other Member States, corporate mobility </w:t>
      </w:r>
      <w:r w:rsidR="0099300B" w:rsidRPr="00D034FF">
        <w:rPr>
          <w:rFonts w:ascii="Times New Roman" w:hAnsi="Times New Roman"/>
          <w:bCs/>
          <w:color w:val="000000" w:themeColor="text1"/>
          <w:sz w:val="24"/>
          <w:szCs w:val="24"/>
          <w:lang w:val="en-GB"/>
        </w:rPr>
        <w:lastRenderedPageBreak/>
        <w:t xml:space="preserve">raises the prospect of </w:t>
      </w:r>
      <w:r w:rsidR="00DF5C08" w:rsidRPr="00D034FF">
        <w:rPr>
          <w:rFonts w:ascii="Times New Roman" w:hAnsi="Times New Roman"/>
          <w:bCs/>
          <w:color w:val="000000" w:themeColor="text1"/>
          <w:sz w:val="24"/>
          <w:szCs w:val="24"/>
          <w:lang w:val="en-GB"/>
        </w:rPr>
        <w:t xml:space="preserve">a </w:t>
      </w:r>
      <w:r w:rsidR="0099300B" w:rsidRPr="00D034FF">
        <w:rPr>
          <w:rFonts w:ascii="Times New Roman" w:hAnsi="Times New Roman"/>
          <w:bCs/>
          <w:color w:val="000000" w:themeColor="text1"/>
          <w:sz w:val="24"/>
          <w:szCs w:val="24"/>
          <w:lang w:val="en-GB"/>
        </w:rPr>
        <w:t>domestic compan</w:t>
      </w:r>
      <w:r w:rsidR="00DF5C08" w:rsidRPr="00D034FF">
        <w:rPr>
          <w:rFonts w:ascii="Times New Roman" w:hAnsi="Times New Roman"/>
          <w:bCs/>
          <w:color w:val="000000" w:themeColor="text1"/>
          <w:sz w:val="24"/>
          <w:szCs w:val="24"/>
          <w:lang w:val="en-GB"/>
        </w:rPr>
        <w:t>y</w:t>
      </w:r>
      <w:r w:rsidR="0099300B" w:rsidRPr="00D034FF">
        <w:rPr>
          <w:rFonts w:ascii="Times New Roman" w:hAnsi="Times New Roman"/>
          <w:bCs/>
          <w:color w:val="000000" w:themeColor="text1"/>
          <w:sz w:val="24"/>
          <w:szCs w:val="24"/>
          <w:lang w:val="en-GB"/>
        </w:rPr>
        <w:t xml:space="preserve"> </w:t>
      </w:r>
      <w:r w:rsidR="009C0121" w:rsidRPr="00D034FF">
        <w:rPr>
          <w:rFonts w:ascii="Times New Roman" w:hAnsi="Times New Roman"/>
          <w:bCs/>
          <w:color w:val="000000" w:themeColor="text1"/>
          <w:sz w:val="24"/>
          <w:szCs w:val="24"/>
          <w:lang w:val="en-GB"/>
        </w:rPr>
        <w:t>seek</w:t>
      </w:r>
      <w:r w:rsidR="00E20202" w:rsidRPr="00D034FF">
        <w:rPr>
          <w:rFonts w:ascii="Times New Roman" w:hAnsi="Times New Roman"/>
          <w:bCs/>
          <w:color w:val="000000" w:themeColor="text1"/>
          <w:sz w:val="24"/>
          <w:szCs w:val="24"/>
          <w:lang w:val="en-GB"/>
        </w:rPr>
        <w:t>ing</w:t>
      </w:r>
      <w:r w:rsidR="009C0121" w:rsidRPr="00D034FF">
        <w:rPr>
          <w:rFonts w:ascii="Times New Roman" w:hAnsi="Times New Roman"/>
          <w:bCs/>
          <w:color w:val="000000" w:themeColor="text1"/>
          <w:sz w:val="24"/>
          <w:szCs w:val="24"/>
          <w:lang w:val="en-GB"/>
        </w:rPr>
        <w:t xml:space="preserve"> to circumvent domestic </w:t>
      </w:r>
      <w:r w:rsidR="0099300B" w:rsidRPr="00D034FF">
        <w:rPr>
          <w:rFonts w:ascii="Times New Roman" w:hAnsi="Times New Roman"/>
          <w:bCs/>
          <w:color w:val="000000" w:themeColor="text1"/>
          <w:sz w:val="24"/>
          <w:szCs w:val="24"/>
          <w:lang w:val="en-GB"/>
        </w:rPr>
        <w:t xml:space="preserve">legislation by, </w:t>
      </w:r>
      <w:r w:rsidR="0099300B" w:rsidRPr="00D034FF">
        <w:rPr>
          <w:rFonts w:ascii="Times New Roman" w:hAnsi="Times New Roman"/>
          <w:bCs/>
          <w:i/>
          <w:color w:val="000000" w:themeColor="text1"/>
          <w:sz w:val="24"/>
          <w:szCs w:val="24"/>
          <w:lang w:val="en-GB"/>
        </w:rPr>
        <w:t>for instance</w:t>
      </w:r>
      <w:r w:rsidR="00C71E20" w:rsidRPr="00D034FF">
        <w:rPr>
          <w:rFonts w:ascii="Times New Roman" w:hAnsi="Times New Roman"/>
          <w:bCs/>
          <w:color w:val="000000" w:themeColor="text1"/>
          <w:sz w:val="24"/>
          <w:szCs w:val="24"/>
          <w:lang w:val="en-GB"/>
        </w:rPr>
        <w:t xml:space="preserve">, incorporating outside the home state </w:t>
      </w:r>
      <w:r w:rsidR="00DF5C08" w:rsidRPr="00D034FF">
        <w:rPr>
          <w:rFonts w:ascii="Times New Roman" w:hAnsi="Times New Roman"/>
          <w:bCs/>
          <w:color w:val="000000" w:themeColor="text1"/>
          <w:sz w:val="24"/>
          <w:szCs w:val="24"/>
          <w:lang w:val="en-GB"/>
        </w:rPr>
        <w:t>whilst carrying out</w:t>
      </w:r>
      <w:r w:rsidR="0099300B" w:rsidRPr="00D034FF">
        <w:rPr>
          <w:rFonts w:ascii="Times New Roman" w:hAnsi="Times New Roman"/>
          <w:bCs/>
          <w:color w:val="000000" w:themeColor="text1"/>
          <w:sz w:val="24"/>
          <w:szCs w:val="24"/>
          <w:lang w:val="en-GB"/>
        </w:rPr>
        <w:t xml:space="preserve"> </w:t>
      </w:r>
      <w:r w:rsidR="00DF5C08" w:rsidRPr="00D034FF">
        <w:rPr>
          <w:rFonts w:ascii="Times New Roman" w:hAnsi="Times New Roman"/>
          <w:bCs/>
          <w:color w:val="000000" w:themeColor="text1"/>
          <w:sz w:val="24"/>
          <w:szCs w:val="24"/>
          <w:lang w:val="en-GB"/>
        </w:rPr>
        <w:t xml:space="preserve">all its </w:t>
      </w:r>
      <w:r w:rsidR="0099300B" w:rsidRPr="00D034FF">
        <w:rPr>
          <w:rFonts w:ascii="Times New Roman" w:hAnsi="Times New Roman"/>
          <w:bCs/>
          <w:color w:val="000000" w:themeColor="text1"/>
          <w:sz w:val="24"/>
          <w:szCs w:val="24"/>
          <w:lang w:val="en-GB"/>
        </w:rPr>
        <w:t xml:space="preserve">activities in </w:t>
      </w:r>
      <w:r w:rsidR="00C71E20" w:rsidRPr="00D034FF">
        <w:rPr>
          <w:rFonts w:ascii="Times New Roman" w:hAnsi="Times New Roman"/>
          <w:bCs/>
          <w:color w:val="000000" w:themeColor="text1"/>
          <w:sz w:val="24"/>
          <w:szCs w:val="24"/>
          <w:lang w:val="en-GB"/>
        </w:rPr>
        <w:t>the home state</w:t>
      </w:r>
      <w:r w:rsidR="00C4660D" w:rsidRPr="00D034FF">
        <w:rPr>
          <w:rFonts w:ascii="Times New Roman" w:hAnsi="Times New Roman"/>
          <w:bCs/>
          <w:color w:val="000000" w:themeColor="text1"/>
          <w:sz w:val="24"/>
          <w:szCs w:val="24"/>
          <w:lang w:val="en-GB"/>
        </w:rPr>
        <w:t xml:space="preserve"> </w:t>
      </w:r>
      <w:r w:rsidR="00D442C3" w:rsidRPr="00D034FF">
        <w:rPr>
          <w:rFonts w:ascii="Times New Roman" w:hAnsi="Times New Roman"/>
          <w:b/>
          <w:color w:val="000000" w:themeColor="text1"/>
          <w:sz w:val="24"/>
          <w:szCs w:val="24"/>
          <w:lang w:val="en-GB"/>
        </w:rPr>
        <w:sym w:font="Wingdings" w:char="F0E0"/>
      </w:r>
      <w:r w:rsidR="00D442C3">
        <w:rPr>
          <w:rFonts w:ascii="Times New Roman" w:hAnsi="Times New Roman"/>
          <w:b/>
          <w:color w:val="000000" w:themeColor="text1"/>
          <w:sz w:val="24"/>
          <w:szCs w:val="24"/>
          <w:lang w:val="en-GB"/>
        </w:rPr>
        <w:t xml:space="preserve"> </w:t>
      </w:r>
      <w:r w:rsidR="00D442C3" w:rsidRPr="00D442C3">
        <w:rPr>
          <w:rFonts w:ascii="Times New Roman" w:hAnsi="Times New Roman"/>
          <w:bCs/>
          <w:color w:val="000000" w:themeColor="text1"/>
          <w:sz w:val="24"/>
          <w:szCs w:val="24"/>
          <w:lang w:val="en-GB"/>
        </w:rPr>
        <w:t xml:space="preserve">this has led to fears of </w:t>
      </w:r>
      <w:r w:rsidR="00D442C3" w:rsidRPr="00D442C3">
        <w:rPr>
          <w:rFonts w:ascii="Times New Roman" w:hAnsi="Times New Roman"/>
          <w:b/>
          <w:color w:val="000000" w:themeColor="text1"/>
          <w:sz w:val="24"/>
          <w:szCs w:val="24"/>
          <w:lang w:val="en-GB"/>
        </w:rPr>
        <w:t>regulatory competition</w:t>
      </w:r>
    </w:p>
    <w:p w14:paraId="122D2D05" w14:textId="1B5BCB3B" w:rsidR="00D442C3" w:rsidRPr="00D442C3" w:rsidRDefault="00D442C3" w:rsidP="00D442C3">
      <w:pPr>
        <w:pStyle w:val="p1"/>
        <w:spacing w:line="360" w:lineRule="auto"/>
        <w:jc w:val="both"/>
        <w:rPr>
          <w:rFonts w:ascii="Times New Roman" w:hAnsi="Times New Roman"/>
          <w:b/>
          <w:color w:val="000000" w:themeColor="text1"/>
          <w:sz w:val="24"/>
          <w:szCs w:val="24"/>
          <w:lang w:val="en-GB"/>
        </w:rPr>
      </w:pPr>
    </w:p>
    <w:p w14:paraId="512E4047" w14:textId="38A0012D" w:rsidR="00D442C3" w:rsidRPr="00C65171" w:rsidRDefault="00D442C3" w:rsidP="00D442C3">
      <w:pPr>
        <w:spacing w:line="360" w:lineRule="auto"/>
        <w:jc w:val="both"/>
        <w:rPr>
          <w:i/>
          <w:lang w:val="en-GB"/>
        </w:rPr>
      </w:pPr>
      <w:r w:rsidRPr="00C65171">
        <w:rPr>
          <w:b/>
          <w:bCs/>
          <w:iCs/>
          <w:lang w:val="en-GB"/>
        </w:rPr>
        <w:t>What is regulatory competition?</w:t>
      </w:r>
      <w:r w:rsidR="00C65171">
        <w:rPr>
          <w:i/>
          <w:lang w:val="en-GB"/>
        </w:rPr>
        <w:t xml:space="preserve"> </w:t>
      </w:r>
      <w:r w:rsidRPr="00D442C3">
        <w:rPr>
          <w:lang w:val="en-GB"/>
        </w:rPr>
        <w:t>In order to understand the concepts developed hereafter, you must start thinking outside the ‘legal box’. You must think of states as being subject to competition from other states. The starting point for understanding regulatory competition is thus the idea that states may seek actively to attract foreign economic actors, such as companies, by offering them a legal environment which is attractive to them. This may set off a process of regulatory competition: states may feel ‘incentivised’ to compete actively with each other in order to attract economic actors or resources. Thus, regulatory competition is based on the idea that there is a competitive market for ‘regulation’ in which (</w:t>
      </w:r>
      <w:proofErr w:type="spellStart"/>
      <w:r w:rsidRPr="00D442C3">
        <w:rPr>
          <w:lang w:val="en-GB"/>
        </w:rPr>
        <w:t>i</w:t>
      </w:r>
      <w:proofErr w:type="spellEnd"/>
      <w:r w:rsidRPr="00D442C3">
        <w:rPr>
          <w:lang w:val="en-GB"/>
        </w:rPr>
        <w:t xml:space="preserve">) those that are subject to competitive forces are states, regions or local authorities and that (ii) competition leads to ‘choice of rules’ rather than ‘choice within </w:t>
      </w:r>
      <w:proofErr w:type="gramStart"/>
      <w:r w:rsidRPr="00D442C3">
        <w:rPr>
          <w:lang w:val="en-GB"/>
        </w:rPr>
        <w:t>rules’</w:t>
      </w:r>
      <w:proofErr w:type="gramEnd"/>
      <w:r w:rsidRPr="00D442C3">
        <w:rPr>
          <w:lang w:val="en-GB"/>
        </w:rPr>
        <w:t xml:space="preserve">. </w:t>
      </w:r>
    </w:p>
    <w:p w14:paraId="7664D4E4" w14:textId="77777777" w:rsidR="00D442C3" w:rsidRPr="00D442C3" w:rsidRDefault="00D442C3" w:rsidP="00D442C3">
      <w:pPr>
        <w:spacing w:line="360" w:lineRule="auto"/>
        <w:jc w:val="both"/>
        <w:rPr>
          <w:lang w:val="en-GB"/>
        </w:rPr>
      </w:pPr>
    </w:p>
    <w:p w14:paraId="15481B67" w14:textId="77777777" w:rsidR="00D442C3" w:rsidRPr="00D442C3" w:rsidRDefault="00D442C3" w:rsidP="00D442C3">
      <w:pPr>
        <w:spacing w:line="360" w:lineRule="auto"/>
        <w:jc w:val="both"/>
        <w:rPr>
          <w:lang w:val="en-GB"/>
        </w:rPr>
      </w:pPr>
      <w:r w:rsidRPr="00D442C3">
        <w:rPr>
          <w:lang w:val="en-GB"/>
        </w:rPr>
        <w:t xml:space="preserve">Note that tax competition is a variety of regulatory competition. In the former case, states seek to attract economic actors by offering them a more favourable tax treatment. We will not consider tax competition any further.  </w:t>
      </w:r>
    </w:p>
    <w:p w14:paraId="0121BD4C" w14:textId="77777777" w:rsidR="00D442C3" w:rsidRPr="00D442C3" w:rsidRDefault="00D442C3" w:rsidP="00D442C3">
      <w:pPr>
        <w:spacing w:line="360" w:lineRule="auto"/>
        <w:jc w:val="both"/>
        <w:rPr>
          <w:lang w:val="en-GB"/>
        </w:rPr>
      </w:pPr>
    </w:p>
    <w:p w14:paraId="542A0BBC" w14:textId="2B20B227" w:rsidR="00D442C3" w:rsidRPr="00C65171" w:rsidRDefault="00D442C3" w:rsidP="00D442C3">
      <w:pPr>
        <w:spacing w:line="360" w:lineRule="auto"/>
        <w:jc w:val="both"/>
        <w:rPr>
          <w:i/>
          <w:lang w:val="en-GB"/>
        </w:rPr>
      </w:pPr>
      <w:r w:rsidRPr="00C65171">
        <w:rPr>
          <w:b/>
          <w:bCs/>
          <w:iCs/>
          <w:lang w:val="en-GB"/>
        </w:rPr>
        <w:t>What is regulatory arbitrage?</w:t>
      </w:r>
      <w:r w:rsidR="00C65171">
        <w:rPr>
          <w:i/>
          <w:lang w:val="en-GB"/>
        </w:rPr>
        <w:t xml:space="preserve"> </w:t>
      </w:r>
      <w:r w:rsidRPr="00D442C3">
        <w:rPr>
          <w:lang w:val="en-GB"/>
        </w:rPr>
        <w:t xml:space="preserve">Related to the concept of regulatory competition is the concept of regulatory arbitrage. Regulatory arbitrage is the driving force of regulatory competition. It describes the action by which economic actors exploit differences between regulatory regimes in order to reduce their costs or to gain an advantage. It is also known as legal ‘shopping’. </w:t>
      </w:r>
    </w:p>
    <w:p w14:paraId="6C110B34" w14:textId="77777777" w:rsidR="00D442C3" w:rsidRPr="00D442C3" w:rsidRDefault="00D442C3" w:rsidP="00D442C3">
      <w:pPr>
        <w:spacing w:line="360" w:lineRule="auto"/>
        <w:jc w:val="both"/>
        <w:rPr>
          <w:lang w:val="en-GB"/>
        </w:rPr>
      </w:pPr>
    </w:p>
    <w:p w14:paraId="64E7B6E9" w14:textId="77777777" w:rsidR="00D442C3" w:rsidRPr="00D442C3" w:rsidRDefault="00D442C3" w:rsidP="00C65171">
      <w:pPr>
        <w:spacing w:line="360" w:lineRule="auto"/>
        <w:jc w:val="both"/>
        <w:rPr>
          <w:lang w:val="en-GB"/>
        </w:rPr>
      </w:pPr>
      <w:r w:rsidRPr="00D442C3">
        <w:rPr>
          <w:lang w:val="en-GB"/>
        </w:rPr>
        <w:t xml:space="preserve">For regulatory arbitrage to occur, a number of conditions must be satisfied. An essential condition is that economic actors are able to move between jurisdictions (the ‘mobility’ condition). This means that economic actors must be able to migrate or to re-locate to a different jurisdiction without facing legal or regulatory obstacles. If economic actors can move at low cost and provided that they are aware of differences in regulatory regimes, regulatory arbitrage can take place. </w:t>
      </w:r>
    </w:p>
    <w:p w14:paraId="2860ED93" w14:textId="77777777" w:rsidR="00D442C3" w:rsidRPr="00D442C3" w:rsidRDefault="00D442C3" w:rsidP="00D442C3">
      <w:pPr>
        <w:spacing w:line="360" w:lineRule="auto"/>
        <w:jc w:val="both"/>
        <w:rPr>
          <w:lang w:val="en-GB"/>
        </w:rPr>
      </w:pPr>
    </w:p>
    <w:p w14:paraId="2986ED95" w14:textId="77777777" w:rsidR="00D442C3" w:rsidRPr="00D442C3" w:rsidRDefault="00D442C3" w:rsidP="00D442C3">
      <w:pPr>
        <w:spacing w:line="360" w:lineRule="auto"/>
        <w:ind w:left="720"/>
        <w:jc w:val="both"/>
        <w:rPr>
          <w:i/>
          <w:lang w:val="en-GB"/>
        </w:rPr>
      </w:pPr>
      <w:r w:rsidRPr="00D442C3">
        <w:rPr>
          <w:i/>
          <w:lang w:val="en-GB"/>
        </w:rPr>
        <w:t>Think of concrete examples of regulatory arbitrage/competition in your home jurisdiction (for instance, in company law, but also in other fields). Has your jurisdiction sought to attract foreign actors by offering them a particularly attractive legal regime? Or has your jurisdiction suffered from regulatory competition. If so, how has it sought to respond?</w:t>
      </w:r>
    </w:p>
    <w:p w14:paraId="3855240D" w14:textId="77777777" w:rsidR="00D442C3" w:rsidRPr="00D442C3" w:rsidRDefault="00D442C3" w:rsidP="00D442C3">
      <w:pPr>
        <w:spacing w:line="360" w:lineRule="auto"/>
        <w:jc w:val="both"/>
        <w:rPr>
          <w:lang w:val="en-GB"/>
        </w:rPr>
      </w:pPr>
    </w:p>
    <w:p w14:paraId="18DB8FDF" w14:textId="7D3D4370" w:rsidR="00086973" w:rsidRPr="00086973" w:rsidRDefault="00D442C3" w:rsidP="00086973">
      <w:pPr>
        <w:pStyle w:val="FootnoteText"/>
        <w:spacing w:line="360" w:lineRule="auto"/>
        <w:jc w:val="both"/>
        <w:rPr>
          <w:sz w:val="24"/>
          <w:szCs w:val="24"/>
        </w:rPr>
      </w:pPr>
      <w:r w:rsidRPr="00086973">
        <w:rPr>
          <w:b/>
          <w:bCs/>
          <w:iCs/>
          <w:sz w:val="24"/>
          <w:szCs w:val="24"/>
          <w:lang w:val="en-GB"/>
        </w:rPr>
        <w:lastRenderedPageBreak/>
        <w:t>Origins of the debate on regulatory competition</w:t>
      </w:r>
      <w:r w:rsidR="00C65171" w:rsidRPr="00086973">
        <w:rPr>
          <w:i/>
          <w:sz w:val="24"/>
          <w:szCs w:val="24"/>
          <w:lang w:val="en-GB"/>
        </w:rPr>
        <w:t xml:space="preserve"> </w:t>
      </w:r>
      <w:r w:rsidRPr="00086973">
        <w:rPr>
          <w:sz w:val="24"/>
          <w:szCs w:val="24"/>
          <w:lang w:val="en-GB"/>
        </w:rPr>
        <w:t xml:space="preserve">Many of the claims on regulatory competition have originated in the U.S. Indeed, the academic debate has been dominated by U.S. ‘law and economics’ scholarship for many years. The best-known example of regulatory competition is thus a U.S. example: competition for corporate charters. In the US, companies are free to incorporate (and re-incorporate) in a state which is different from the state in which they are actually located. As a result, mobility is relatively costless: companies are free to re-locate to another state without difficulties. The state of Delaware has become the most successful U.S. state in attracting firms to its shores. Charter competition has been intensely debated (e.g. whether it leads to better regulation or rather to a ‘race-to-the-bottom’ - see below). In recent years, authors have also started to question whether states do in fact continue to compete actively. There continues to be a lot of disagreement between authors. </w:t>
      </w:r>
      <w:r w:rsidR="00086973">
        <w:rPr>
          <w:sz w:val="24"/>
          <w:szCs w:val="24"/>
          <w:lang w:val="en-GB"/>
        </w:rPr>
        <w:t xml:space="preserve">(e.g. </w:t>
      </w:r>
      <w:r w:rsidR="00086973" w:rsidRPr="00086973">
        <w:rPr>
          <w:sz w:val="24"/>
          <w:szCs w:val="24"/>
        </w:rPr>
        <w:t xml:space="preserve">L </w:t>
      </w:r>
      <w:proofErr w:type="spellStart"/>
      <w:r w:rsidR="00086973" w:rsidRPr="00086973">
        <w:rPr>
          <w:sz w:val="24"/>
          <w:szCs w:val="24"/>
        </w:rPr>
        <w:t>Bebchuk</w:t>
      </w:r>
      <w:proofErr w:type="spellEnd"/>
      <w:r w:rsidR="00086973" w:rsidRPr="00086973">
        <w:rPr>
          <w:sz w:val="24"/>
          <w:szCs w:val="24"/>
        </w:rPr>
        <w:t xml:space="preserve"> ‘</w:t>
      </w:r>
      <w:proofErr w:type="spellStart"/>
      <w:r w:rsidR="00086973" w:rsidRPr="00086973">
        <w:rPr>
          <w:sz w:val="24"/>
          <w:szCs w:val="24"/>
        </w:rPr>
        <w:t>Federalism</w:t>
      </w:r>
      <w:proofErr w:type="spellEnd"/>
      <w:r w:rsidR="00086973" w:rsidRPr="00086973">
        <w:rPr>
          <w:sz w:val="24"/>
          <w:szCs w:val="24"/>
        </w:rPr>
        <w:t xml:space="preserve"> and the corporation: the </w:t>
      </w:r>
      <w:proofErr w:type="spellStart"/>
      <w:r w:rsidR="00086973" w:rsidRPr="00086973">
        <w:rPr>
          <w:sz w:val="24"/>
          <w:szCs w:val="24"/>
        </w:rPr>
        <w:t>desirable</w:t>
      </w:r>
      <w:proofErr w:type="spellEnd"/>
      <w:r w:rsidR="00086973" w:rsidRPr="00086973">
        <w:rPr>
          <w:sz w:val="24"/>
          <w:szCs w:val="24"/>
        </w:rPr>
        <w:t xml:space="preserve"> </w:t>
      </w:r>
      <w:proofErr w:type="spellStart"/>
      <w:r w:rsidR="00086973" w:rsidRPr="00086973">
        <w:rPr>
          <w:sz w:val="24"/>
          <w:szCs w:val="24"/>
        </w:rPr>
        <w:t>limits</w:t>
      </w:r>
      <w:proofErr w:type="spellEnd"/>
      <w:r w:rsidR="00086973" w:rsidRPr="00086973">
        <w:rPr>
          <w:sz w:val="24"/>
          <w:szCs w:val="24"/>
        </w:rPr>
        <w:t xml:space="preserve"> on state </w:t>
      </w:r>
      <w:proofErr w:type="spellStart"/>
      <w:r w:rsidR="00086973" w:rsidRPr="00086973">
        <w:rPr>
          <w:sz w:val="24"/>
          <w:szCs w:val="24"/>
        </w:rPr>
        <w:t>competition</w:t>
      </w:r>
      <w:proofErr w:type="spellEnd"/>
      <w:r w:rsidR="00086973" w:rsidRPr="00086973">
        <w:rPr>
          <w:sz w:val="24"/>
          <w:szCs w:val="24"/>
        </w:rPr>
        <w:t xml:space="preserve"> in corporate </w:t>
      </w:r>
      <w:proofErr w:type="spellStart"/>
      <w:r w:rsidR="00086973" w:rsidRPr="00086973">
        <w:rPr>
          <w:sz w:val="24"/>
          <w:szCs w:val="24"/>
        </w:rPr>
        <w:t>law</w:t>
      </w:r>
      <w:proofErr w:type="spellEnd"/>
      <w:r w:rsidR="00086973" w:rsidRPr="00086973">
        <w:rPr>
          <w:sz w:val="24"/>
          <w:szCs w:val="24"/>
        </w:rPr>
        <w:t xml:space="preserve">’ (1992) 105 Harvard </w:t>
      </w:r>
      <w:proofErr w:type="spellStart"/>
      <w:r w:rsidR="00086973" w:rsidRPr="00086973">
        <w:rPr>
          <w:sz w:val="24"/>
          <w:szCs w:val="24"/>
        </w:rPr>
        <w:t>Law</w:t>
      </w:r>
      <w:proofErr w:type="spellEnd"/>
      <w:r w:rsidR="00086973" w:rsidRPr="00086973">
        <w:rPr>
          <w:sz w:val="24"/>
          <w:szCs w:val="24"/>
        </w:rPr>
        <w:t xml:space="preserve"> Review 1435</w:t>
      </w:r>
      <w:r w:rsidR="00086973">
        <w:rPr>
          <w:sz w:val="24"/>
          <w:szCs w:val="24"/>
        </w:rPr>
        <w:t>)</w:t>
      </w:r>
    </w:p>
    <w:p w14:paraId="5B4CC195" w14:textId="77777777" w:rsidR="00D442C3" w:rsidRPr="00086973" w:rsidRDefault="00D442C3" w:rsidP="00086973">
      <w:pPr>
        <w:spacing w:line="360" w:lineRule="auto"/>
        <w:jc w:val="both"/>
        <w:rPr>
          <w:lang w:val="en-GB"/>
        </w:rPr>
      </w:pPr>
    </w:p>
    <w:p w14:paraId="79C2C9B1" w14:textId="58B6C828" w:rsidR="00D442C3" w:rsidRPr="00086973" w:rsidRDefault="00D442C3" w:rsidP="00086973">
      <w:pPr>
        <w:spacing w:line="360" w:lineRule="auto"/>
        <w:jc w:val="both"/>
        <w:rPr>
          <w:i/>
          <w:lang w:val="en-GB"/>
        </w:rPr>
      </w:pPr>
      <w:r w:rsidRPr="00086973">
        <w:rPr>
          <w:b/>
          <w:bCs/>
          <w:iCs/>
          <w:lang w:val="en-GB"/>
        </w:rPr>
        <w:t>Regulatory arbitrage/competition and its effects</w:t>
      </w:r>
      <w:r w:rsidR="00C65171" w:rsidRPr="00086973">
        <w:rPr>
          <w:i/>
          <w:lang w:val="en-GB"/>
        </w:rPr>
        <w:t xml:space="preserve"> </w:t>
      </w:r>
      <w:r w:rsidRPr="00086973">
        <w:rPr>
          <w:lang w:val="en-GB"/>
        </w:rPr>
        <w:t xml:space="preserve">Central to the debate on regulatory competition is the question of whether regulatory arbitrage is likely to set off a dynamic among competing jurisdictions which leads to better regulation. Again, there has been little consensus in the literature for many years. According to some authors, regulatory arbitrage and regulatory competition are more likely to lead to the adoption of lax regulatory standards. Indeed, for these authors, regulatory competition may ultimately lead to a ‘race-to-the-bottom’: as companies incorporate in the state which offers lax regulatory standards, other states may be prompted to set even lower standards. Regulatory competition may thus cause a race between competing jurisdictions which drives regulatory standards downwards. This claim remains </w:t>
      </w:r>
      <w:proofErr w:type="gramStart"/>
      <w:r w:rsidRPr="00086973">
        <w:rPr>
          <w:lang w:val="en-GB"/>
        </w:rPr>
        <w:t>disputed, but</w:t>
      </w:r>
      <w:proofErr w:type="gramEnd"/>
      <w:r w:rsidRPr="00086973">
        <w:rPr>
          <w:lang w:val="en-GB"/>
        </w:rPr>
        <w:t xml:space="preserve"> note that there is little empirical evidence which supports the ‘race-to-the-bottom’ claim (at least in its extreme form). </w:t>
      </w:r>
    </w:p>
    <w:p w14:paraId="40C07759" w14:textId="77777777" w:rsidR="00D442C3" w:rsidRPr="00C65171" w:rsidRDefault="00D442C3" w:rsidP="00D442C3">
      <w:pPr>
        <w:spacing w:line="360" w:lineRule="auto"/>
        <w:jc w:val="both"/>
        <w:rPr>
          <w:i/>
          <w:lang w:val="en-GB"/>
        </w:rPr>
      </w:pPr>
    </w:p>
    <w:p w14:paraId="428B3856" w14:textId="0D9FD9F3" w:rsidR="00D442C3" w:rsidRPr="00C65171" w:rsidRDefault="00D442C3" w:rsidP="00D442C3">
      <w:pPr>
        <w:spacing w:line="360" w:lineRule="auto"/>
        <w:jc w:val="both"/>
        <w:rPr>
          <w:lang w:val="en-GB"/>
        </w:rPr>
      </w:pPr>
      <w:r w:rsidRPr="00E63AD9">
        <w:rPr>
          <w:b/>
          <w:bCs/>
          <w:iCs/>
          <w:lang w:val="en-GB"/>
        </w:rPr>
        <w:t>Regulatory arbitrage/competition within Europe</w:t>
      </w:r>
      <w:r w:rsidR="00E63AD9">
        <w:rPr>
          <w:i/>
          <w:lang w:val="en-GB"/>
        </w:rPr>
        <w:t xml:space="preserve"> </w:t>
      </w:r>
      <w:r w:rsidRPr="00C65171">
        <w:rPr>
          <w:lang w:val="en-GB"/>
        </w:rPr>
        <w:t>Within Europe, companies have not enjoyed a degree of freedom comparable to the freedom that firms enjoy in the U.S. (in terms of being able to re-locate to another state). This is mainly due to different conflict-of-law rules. Indeed, some Member States have long adopted the real seat doctrine (</w:t>
      </w:r>
      <w:proofErr w:type="spellStart"/>
      <w:r w:rsidRPr="00C65171">
        <w:rPr>
          <w:i/>
          <w:lang w:val="en-GB"/>
        </w:rPr>
        <w:t>théorie</w:t>
      </w:r>
      <w:proofErr w:type="spellEnd"/>
      <w:r w:rsidRPr="00C65171">
        <w:rPr>
          <w:i/>
          <w:lang w:val="en-GB"/>
        </w:rPr>
        <w:t xml:space="preserve"> du </w:t>
      </w:r>
      <w:proofErr w:type="spellStart"/>
      <w:r w:rsidRPr="00C65171">
        <w:rPr>
          <w:i/>
          <w:lang w:val="en-GB"/>
        </w:rPr>
        <w:t>siège</w:t>
      </w:r>
      <w:proofErr w:type="spellEnd"/>
      <w:r w:rsidRPr="00C65171">
        <w:rPr>
          <w:i/>
          <w:lang w:val="en-GB"/>
        </w:rPr>
        <w:t xml:space="preserve"> </w:t>
      </w:r>
      <w:proofErr w:type="spellStart"/>
      <w:r w:rsidRPr="00C65171">
        <w:rPr>
          <w:i/>
          <w:lang w:val="en-GB"/>
        </w:rPr>
        <w:t>réel</w:t>
      </w:r>
      <w:proofErr w:type="spellEnd"/>
      <w:r w:rsidRPr="00C65171">
        <w:rPr>
          <w:lang w:val="en-GB"/>
        </w:rPr>
        <w:t xml:space="preserve"> or </w:t>
      </w:r>
      <w:proofErr w:type="spellStart"/>
      <w:r w:rsidRPr="00C65171">
        <w:rPr>
          <w:i/>
          <w:lang w:val="en-GB"/>
        </w:rPr>
        <w:t>Sitztheorie</w:t>
      </w:r>
      <w:proofErr w:type="spellEnd"/>
      <w:r w:rsidRPr="00C65171">
        <w:rPr>
          <w:lang w:val="en-GB"/>
        </w:rPr>
        <w:t xml:space="preserve">). There are variations of this theory, but in essence, under the real seat doctrine, the law applicable to the company is considered to be the law of the Member State in which the company has its head office, central management or its centre of activity. As a result, companies in Member States which adopt the real seat doctrine cannot easily re-locate elsewhere. In other words, the mobility condition cannot be satisfied easily under the real seat doctrine. However, other Member States adopt the incorporation doctrine. According to the incorporation doctrine, the applicable law is that of the state in which the </w:t>
      </w:r>
      <w:r w:rsidRPr="00C65171">
        <w:rPr>
          <w:lang w:val="en-GB"/>
        </w:rPr>
        <w:lastRenderedPageBreak/>
        <w:t xml:space="preserve">company is incorporated or registered. The effect of this approach is that the applicable law is a matter of choice for the company: a company can carry on business in one Member-State while being incorporated in another.  </w:t>
      </w:r>
    </w:p>
    <w:p w14:paraId="40A971F0" w14:textId="77777777" w:rsidR="00D442C3" w:rsidRPr="00C65171" w:rsidRDefault="00D442C3" w:rsidP="00D442C3">
      <w:pPr>
        <w:spacing w:line="360" w:lineRule="auto"/>
        <w:jc w:val="both"/>
        <w:rPr>
          <w:lang w:val="en-GB"/>
        </w:rPr>
      </w:pPr>
    </w:p>
    <w:p w14:paraId="3F84CFF1" w14:textId="77777777" w:rsidR="00D442C3" w:rsidRPr="005E0FDF" w:rsidRDefault="00D442C3" w:rsidP="00D442C3">
      <w:pPr>
        <w:spacing w:line="360" w:lineRule="auto"/>
        <w:jc w:val="both"/>
        <w:rPr>
          <w:lang w:val="en-GB"/>
        </w:rPr>
      </w:pPr>
      <w:r w:rsidRPr="00C65171">
        <w:rPr>
          <w:lang w:val="en-GB"/>
        </w:rPr>
        <w:t xml:space="preserve">Within Europe, the debate on regulatory competition has taken place against the background of </w:t>
      </w:r>
      <w:r w:rsidRPr="005E0FDF">
        <w:rPr>
          <w:lang w:val="en-GB"/>
        </w:rPr>
        <w:t xml:space="preserve">market integration. Recall that market integration has two dimensions: </w:t>
      </w:r>
    </w:p>
    <w:p w14:paraId="652A1C87" w14:textId="77777777" w:rsidR="00D442C3" w:rsidRPr="005E0FDF" w:rsidRDefault="00D442C3" w:rsidP="00D442C3">
      <w:pPr>
        <w:spacing w:line="360" w:lineRule="auto"/>
        <w:jc w:val="both"/>
        <w:rPr>
          <w:lang w:val="en-GB"/>
        </w:rPr>
      </w:pPr>
    </w:p>
    <w:p w14:paraId="1B9547EE" w14:textId="77777777" w:rsidR="00D442C3" w:rsidRPr="005E0FDF" w:rsidRDefault="00D442C3" w:rsidP="00D442C3">
      <w:pPr>
        <w:numPr>
          <w:ilvl w:val="0"/>
          <w:numId w:val="49"/>
        </w:numPr>
        <w:spacing w:line="360" w:lineRule="auto"/>
        <w:jc w:val="both"/>
        <w:rPr>
          <w:lang w:val="en-GB"/>
        </w:rPr>
      </w:pPr>
      <w:r w:rsidRPr="005E0FDF">
        <w:rPr>
          <w:lang w:val="en-GB"/>
        </w:rPr>
        <w:t>Negative integration: market integration is pursued on the basis of the free movement provisions (e.g. the right of establishment of persons). The free movement provisions aim at facilitating market access, thus allowing persons, products or capital to move between Member-State jurisdictions without facing unnecessary regulatory barriers.</w:t>
      </w:r>
    </w:p>
    <w:p w14:paraId="48F5239E" w14:textId="77777777" w:rsidR="00D442C3" w:rsidRPr="005E0FDF" w:rsidRDefault="00D442C3" w:rsidP="00D442C3">
      <w:pPr>
        <w:spacing w:line="360" w:lineRule="auto"/>
        <w:ind w:left="360"/>
        <w:jc w:val="both"/>
        <w:rPr>
          <w:lang w:val="en-GB"/>
        </w:rPr>
      </w:pPr>
    </w:p>
    <w:p w14:paraId="7F643A0A" w14:textId="50757071" w:rsidR="00D442C3" w:rsidRPr="005E0FDF" w:rsidRDefault="00D442C3" w:rsidP="00D442C3">
      <w:pPr>
        <w:numPr>
          <w:ilvl w:val="0"/>
          <w:numId w:val="49"/>
        </w:numPr>
        <w:spacing w:line="360" w:lineRule="auto"/>
        <w:jc w:val="both"/>
        <w:rPr>
          <w:lang w:val="en-GB"/>
        </w:rPr>
      </w:pPr>
      <w:r w:rsidRPr="005E0FDF">
        <w:rPr>
          <w:lang w:val="en-GB"/>
        </w:rPr>
        <w:t>Positive integration: market integration is pursued by way of harmonisation. Harmonisation tends to ‘level the playing field’ between Member States. The E</w:t>
      </w:r>
      <w:r w:rsidR="00FC0D0E" w:rsidRPr="005E0FDF">
        <w:rPr>
          <w:lang w:val="en-GB"/>
        </w:rPr>
        <w:t>U</w:t>
      </w:r>
      <w:r w:rsidRPr="005E0FDF">
        <w:rPr>
          <w:lang w:val="en-GB"/>
        </w:rPr>
        <w:t xml:space="preserve"> legislature replaces divergent national rules with one single harmonised regime</w:t>
      </w:r>
    </w:p>
    <w:p w14:paraId="43138313" w14:textId="1539CAE8" w:rsidR="00D442C3" w:rsidRPr="005E0FDF" w:rsidRDefault="00D442C3" w:rsidP="00D442C3">
      <w:pPr>
        <w:spacing w:line="360" w:lineRule="auto"/>
        <w:jc w:val="both"/>
        <w:rPr>
          <w:lang w:val="en-GB"/>
        </w:rPr>
      </w:pPr>
    </w:p>
    <w:p w14:paraId="7DB3609D" w14:textId="4AC95B20" w:rsidR="00D442C3" w:rsidRPr="005E0FDF" w:rsidRDefault="00D442C3" w:rsidP="00D442C3">
      <w:pPr>
        <w:spacing w:line="360" w:lineRule="auto"/>
        <w:jc w:val="both"/>
        <w:rPr>
          <w:lang w:val="en-GB"/>
        </w:rPr>
      </w:pPr>
      <w:r w:rsidRPr="005E0FDF">
        <w:rPr>
          <w:lang w:val="en-GB"/>
        </w:rPr>
        <w:t xml:space="preserve">Note that the free movement provisions generally (but not necessarily) tend to facilitate regulatory arbitrage. This is essential for understanding cases such as </w:t>
      </w:r>
      <w:proofErr w:type="spellStart"/>
      <w:r w:rsidRPr="005E0FDF">
        <w:rPr>
          <w:lang w:val="en-GB"/>
        </w:rPr>
        <w:t>Centros</w:t>
      </w:r>
      <w:proofErr w:type="spellEnd"/>
      <w:r w:rsidR="00FC0D0E" w:rsidRPr="005E0FDF">
        <w:rPr>
          <w:lang w:val="en-GB"/>
        </w:rPr>
        <w:t>.</w:t>
      </w:r>
    </w:p>
    <w:p w14:paraId="500B9AB5" w14:textId="4BEE3002" w:rsidR="00FC0D0E" w:rsidRDefault="00FC0D0E" w:rsidP="00D442C3">
      <w:pPr>
        <w:spacing w:line="360" w:lineRule="auto"/>
        <w:jc w:val="both"/>
        <w:rPr>
          <w:lang w:val="en-GB"/>
        </w:rPr>
      </w:pPr>
    </w:p>
    <w:p w14:paraId="3EBCCFF4" w14:textId="77777777" w:rsidR="005E0FDF" w:rsidRPr="005E0FDF" w:rsidRDefault="005E0FDF" w:rsidP="005E0FDF">
      <w:pPr>
        <w:spacing w:line="360" w:lineRule="auto"/>
        <w:jc w:val="both"/>
        <w:rPr>
          <w:lang w:val="en-GB"/>
        </w:rPr>
      </w:pPr>
      <w:r w:rsidRPr="005E0FDF">
        <w:rPr>
          <w:lang w:eastAsia="en-US"/>
        </w:rPr>
        <w:t xml:space="preserve">See </w:t>
      </w:r>
      <w:proofErr w:type="spellStart"/>
      <w:r w:rsidRPr="005E0FDF">
        <w:rPr>
          <w:lang w:eastAsia="en-US"/>
        </w:rPr>
        <w:t>generally</w:t>
      </w:r>
      <w:proofErr w:type="spellEnd"/>
      <w:r w:rsidRPr="005E0FDF">
        <w:rPr>
          <w:lang w:eastAsia="en-US"/>
        </w:rPr>
        <w:t xml:space="preserve"> C Barnard and S </w:t>
      </w:r>
      <w:proofErr w:type="spellStart"/>
      <w:r w:rsidRPr="005E0FDF">
        <w:rPr>
          <w:lang w:eastAsia="en-US"/>
        </w:rPr>
        <w:t>Deakin</w:t>
      </w:r>
      <w:proofErr w:type="spellEnd"/>
      <w:r w:rsidRPr="005E0FDF">
        <w:rPr>
          <w:lang w:eastAsia="en-US"/>
        </w:rPr>
        <w:t xml:space="preserve"> ‘Market Access and </w:t>
      </w:r>
      <w:proofErr w:type="spellStart"/>
      <w:r w:rsidRPr="005E0FDF">
        <w:rPr>
          <w:lang w:eastAsia="en-US"/>
        </w:rPr>
        <w:t>Regulatory</w:t>
      </w:r>
      <w:proofErr w:type="spellEnd"/>
      <w:r w:rsidRPr="005E0FDF">
        <w:rPr>
          <w:lang w:eastAsia="en-US"/>
        </w:rPr>
        <w:t xml:space="preserve"> </w:t>
      </w:r>
      <w:proofErr w:type="spellStart"/>
      <w:r w:rsidRPr="005E0FDF">
        <w:rPr>
          <w:lang w:eastAsia="en-US"/>
        </w:rPr>
        <w:t>Competition</w:t>
      </w:r>
      <w:proofErr w:type="spellEnd"/>
      <w:r w:rsidRPr="005E0FDF">
        <w:rPr>
          <w:lang w:eastAsia="en-US"/>
        </w:rPr>
        <w:t>’ in Barnard and J Scott (</w:t>
      </w:r>
      <w:proofErr w:type="spellStart"/>
      <w:r w:rsidRPr="005E0FDF">
        <w:rPr>
          <w:lang w:eastAsia="en-US"/>
        </w:rPr>
        <w:t>eds</w:t>
      </w:r>
      <w:proofErr w:type="spellEnd"/>
      <w:r w:rsidRPr="005E0FDF">
        <w:rPr>
          <w:lang w:eastAsia="en-US"/>
        </w:rPr>
        <w:t>), in C Barnard and J Scott (</w:t>
      </w:r>
      <w:proofErr w:type="spellStart"/>
      <w:r w:rsidRPr="005E0FDF">
        <w:rPr>
          <w:lang w:eastAsia="en-US"/>
        </w:rPr>
        <w:t>eds</w:t>
      </w:r>
      <w:proofErr w:type="spellEnd"/>
      <w:r w:rsidRPr="005E0FDF">
        <w:rPr>
          <w:lang w:eastAsia="en-US"/>
        </w:rPr>
        <w:t xml:space="preserve">) </w:t>
      </w:r>
      <w:r w:rsidRPr="005E0FDF">
        <w:rPr>
          <w:i/>
          <w:iCs/>
          <w:lang w:eastAsia="en-US"/>
        </w:rPr>
        <w:t xml:space="preserve">The </w:t>
      </w:r>
      <w:proofErr w:type="spellStart"/>
      <w:r w:rsidRPr="005E0FDF">
        <w:rPr>
          <w:i/>
          <w:iCs/>
          <w:lang w:eastAsia="en-US"/>
        </w:rPr>
        <w:t>Law</w:t>
      </w:r>
      <w:proofErr w:type="spellEnd"/>
      <w:r w:rsidRPr="005E0FDF">
        <w:rPr>
          <w:i/>
          <w:iCs/>
          <w:lang w:eastAsia="en-US"/>
        </w:rPr>
        <w:t xml:space="preserve"> of the Single </w:t>
      </w:r>
      <w:proofErr w:type="spellStart"/>
      <w:r w:rsidRPr="005E0FDF">
        <w:rPr>
          <w:i/>
          <w:iCs/>
          <w:lang w:eastAsia="en-US"/>
        </w:rPr>
        <w:t>European</w:t>
      </w:r>
      <w:proofErr w:type="spellEnd"/>
      <w:r w:rsidRPr="005E0FDF">
        <w:rPr>
          <w:i/>
          <w:iCs/>
          <w:lang w:eastAsia="en-US"/>
        </w:rPr>
        <w:t xml:space="preserve"> Market</w:t>
      </w:r>
      <w:r w:rsidRPr="005E0FDF">
        <w:rPr>
          <w:lang w:eastAsia="en-US"/>
        </w:rPr>
        <w:t xml:space="preserve"> (Hart Oxford 2002) or </w:t>
      </w:r>
      <w:hyperlink r:id="rId11" w:history="1">
        <w:r w:rsidRPr="005E0FDF">
          <w:rPr>
            <w:rStyle w:val="Hyperlink"/>
            <w:lang w:eastAsia="en-US"/>
          </w:rPr>
          <w:t>https://jeanmonnetprogram.org/archive/papers/01/012701.html</w:t>
        </w:r>
      </w:hyperlink>
    </w:p>
    <w:p w14:paraId="0BB48F00" w14:textId="28DEB769" w:rsidR="005E0FDF" w:rsidRDefault="005E0FDF" w:rsidP="00D442C3">
      <w:pPr>
        <w:spacing w:line="360" w:lineRule="auto"/>
        <w:jc w:val="both"/>
        <w:rPr>
          <w:lang w:val="en-GB"/>
        </w:rPr>
      </w:pPr>
    </w:p>
    <w:p w14:paraId="48A59C6B" w14:textId="4FC1B2CD" w:rsidR="00D442C3" w:rsidRPr="00C65171" w:rsidRDefault="00D442C3" w:rsidP="00D442C3">
      <w:pPr>
        <w:spacing w:line="360" w:lineRule="auto"/>
        <w:jc w:val="both"/>
        <w:rPr>
          <w:lang w:val="en-GB"/>
        </w:rPr>
      </w:pPr>
      <w:r w:rsidRPr="005E0FDF">
        <w:rPr>
          <w:b/>
          <w:bCs/>
          <w:lang w:val="en-GB"/>
        </w:rPr>
        <w:t xml:space="preserve">Regulatory arbitrage/competition has proven to be a controversial topic </w:t>
      </w:r>
      <w:r w:rsidR="005E0FDF">
        <w:rPr>
          <w:b/>
          <w:bCs/>
          <w:lang w:val="en-GB"/>
        </w:rPr>
        <w:t>among</w:t>
      </w:r>
      <w:r w:rsidRPr="005E0FDF">
        <w:rPr>
          <w:b/>
          <w:bCs/>
          <w:lang w:val="en-GB"/>
        </w:rPr>
        <w:t xml:space="preserve"> Member States.</w:t>
      </w:r>
      <w:r w:rsidRPr="005E0FDF">
        <w:rPr>
          <w:lang w:val="en-GB"/>
        </w:rPr>
        <w:t xml:space="preserve"> The prospect of seeing companies taking advantage of the right of establishment for regulatory arbitrage purposes has been particularly dreaded by</w:t>
      </w:r>
      <w:r w:rsidRPr="00C65171">
        <w:rPr>
          <w:lang w:val="en-GB"/>
        </w:rPr>
        <w:t xml:space="preserve"> some Member States (F, G, for instance). Other Member States are more willing to accept, and to stress the benefits of, regulatory arbitrage</w:t>
      </w:r>
      <w:r w:rsidR="005E0FDF">
        <w:rPr>
          <w:lang w:val="en-GB"/>
        </w:rPr>
        <w:t xml:space="preserve"> (</w:t>
      </w:r>
      <w:proofErr w:type="spellStart"/>
      <w:r w:rsidR="005E0FDF">
        <w:rPr>
          <w:lang w:val="en-GB"/>
        </w:rPr>
        <w:t>e.g</w:t>
      </w:r>
      <w:proofErr w:type="spellEnd"/>
      <w:r w:rsidR="005E0FDF">
        <w:rPr>
          <w:lang w:val="en-GB"/>
        </w:rPr>
        <w:t xml:space="preserve"> the UK, pre-Brexit)</w:t>
      </w:r>
      <w:r w:rsidRPr="00C65171">
        <w:rPr>
          <w:lang w:val="en-GB"/>
        </w:rPr>
        <w:t xml:space="preserve">.  </w:t>
      </w:r>
    </w:p>
    <w:p w14:paraId="215C585A" w14:textId="77777777" w:rsidR="00D442C3" w:rsidRPr="00C65171" w:rsidRDefault="00D442C3" w:rsidP="00D442C3">
      <w:pPr>
        <w:spacing w:line="360" w:lineRule="auto"/>
        <w:jc w:val="both"/>
        <w:rPr>
          <w:i/>
          <w:lang w:val="en-GB"/>
        </w:rPr>
      </w:pPr>
    </w:p>
    <w:p w14:paraId="6B1F45A6" w14:textId="5B3EB41E" w:rsidR="00D034FF" w:rsidRPr="00D034FF" w:rsidRDefault="0099300B" w:rsidP="00D034FF">
      <w:pPr>
        <w:pStyle w:val="p1"/>
        <w:spacing w:line="360" w:lineRule="auto"/>
        <w:jc w:val="both"/>
        <w:rPr>
          <w:rFonts w:ascii="Times New Roman" w:hAnsi="Times New Roman"/>
          <w:color w:val="000000" w:themeColor="text1"/>
          <w:sz w:val="24"/>
          <w:szCs w:val="24"/>
        </w:rPr>
      </w:pPr>
      <w:r w:rsidRPr="00D034FF">
        <w:rPr>
          <w:rFonts w:ascii="Times New Roman" w:hAnsi="Times New Roman"/>
          <w:bCs/>
          <w:color w:val="000000" w:themeColor="text1"/>
          <w:sz w:val="24"/>
          <w:szCs w:val="24"/>
          <w:lang w:val="en-GB"/>
        </w:rPr>
        <w:t>To prevent companies from circumventing domestic law</w:t>
      </w:r>
      <w:r w:rsidR="00DF5C08" w:rsidRPr="00D034FF">
        <w:rPr>
          <w:rFonts w:ascii="Times New Roman" w:hAnsi="Times New Roman"/>
          <w:bCs/>
          <w:color w:val="000000" w:themeColor="text1"/>
          <w:sz w:val="24"/>
          <w:szCs w:val="24"/>
          <w:lang w:val="en-GB"/>
        </w:rPr>
        <w:t>s</w:t>
      </w:r>
      <w:r w:rsidR="00B97F24" w:rsidRPr="00D034FF">
        <w:rPr>
          <w:rFonts w:ascii="Times New Roman" w:hAnsi="Times New Roman"/>
          <w:bCs/>
          <w:color w:val="000000" w:themeColor="text1"/>
          <w:sz w:val="24"/>
          <w:szCs w:val="24"/>
          <w:lang w:val="en-GB"/>
        </w:rPr>
        <w:t xml:space="preserve"> (</w:t>
      </w:r>
      <w:r w:rsidR="00B14FBE">
        <w:rPr>
          <w:rFonts w:ascii="Times New Roman" w:hAnsi="Times New Roman"/>
          <w:bCs/>
          <w:color w:val="000000" w:themeColor="text1"/>
          <w:sz w:val="24"/>
          <w:szCs w:val="24"/>
          <w:lang w:val="en-GB"/>
        </w:rPr>
        <w:t xml:space="preserve">to prevent </w:t>
      </w:r>
      <w:r w:rsidR="00B97F24" w:rsidRPr="00D034FF">
        <w:rPr>
          <w:rFonts w:ascii="Times New Roman" w:hAnsi="Times New Roman"/>
          <w:bCs/>
          <w:color w:val="000000" w:themeColor="text1"/>
          <w:sz w:val="24"/>
          <w:szCs w:val="24"/>
          <w:lang w:val="en-GB"/>
        </w:rPr>
        <w:t>‘regulatory arbitrage’)</w:t>
      </w:r>
      <w:r w:rsidRPr="00D034FF">
        <w:rPr>
          <w:rFonts w:ascii="Times New Roman" w:hAnsi="Times New Roman"/>
          <w:bCs/>
          <w:color w:val="000000" w:themeColor="text1"/>
          <w:sz w:val="24"/>
          <w:szCs w:val="24"/>
          <w:lang w:val="en-GB"/>
        </w:rPr>
        <w:t xml:space="preserve">, </w:t>
      </w:r>
      <w:r w:rsidR="00E20202" w:rsidRPr="00D034FF">
        <w:rPr>
          <w:rFonts w:ascii="Times New Roman" w:hAnsi="Times New Roman"/>
          <w:bCs/>
          <w:color w:val="000000" w:themeColor="text1"/>
          <w:sz w:val="24"/>
          <w:szCs w:val="24"/>
          <w:lang w:val="en-GB"/>
        </w:rPr>
        <w:t xml:space="preserve">Member States </w:t>
      </w:r>
      <w:r w:rsidR="00DF5C08" w:rsidRPr="00D034FF">
        <w:rPr>
          <w:rFonts w:ascii="Times New Roman" w:hAnsi="Times New Roman"/>
          <w:bCs/>
          <w:color w:val="000000" w:themeColor="text1"/>
          <w:sz w:val="24"/>
          <w:szCs w:val="24"/>
          <w:lang w:val="en-GB"/>
        </w:rPr>
        <w:t xml:space="preserve">such as Germany </w:t>
      </w:r>
      <w:r w:rsidR="00C4660D" w:rsidRPr="00D034FF">
        <w:rPr>
          <w:rFonts w:ascii="Times New Roman" w:hAnsi="Times New Roman"/>
          <w:bCs/>
          <w:color w:val="000000" w:themeColor="text1"/>
          <w:sz w:val="24"/>
          <w:szCs w:val="24"/>
          <w:lang w:val="en-GB"/>
        </w:rPr>
        <w:t xml:space="preserve">have </w:t>
      </w:r>
      <w:r w:rsidR="00DF5C08" w:rsidRPr="00D034FF">
        <w:rPr>
          <w:rFonts w:ascii="Times New Roman" w:hAnsi="Times New Roman"/>
          <w:bCs/>
          <w:color w:val="000000" w:themeColor="text1"/>
          <w:sz w:val="24"/>
          <w:szCs w:val="24"/>
          <w:lang w:val="en-GB"/>
        </w:rPr>
        <w:t xml:space="preserve">notably </w:t>
      </w:r>
      <w:r w:rsidR="00E20202" w:rsidRPr="00D034FF">
        <w:rPr>
          <w:rFonts w:ascii="Times New Roman" w:hAnsi="Times New Roman"/>
          <w:bCs/>
          <w:color w:val="000000" w:themeColor="text1"/>
          <w:sz w:val="24"/>
          <w:szCs w:val="24"/>
          <w:lang w:val="en-GB"/>
        </w:rPr>
        <w:t xml:space="preserve">relied on </w:t>
      </w:r>
      <w:r w:rsidR="00C4660D" w:rsidRPr="00D034FF">
        <w:rPr>
          <w:rFonts w:ascii="Times New Roman" w:hAnsi="Times New Roman"/>
          <w:bCs/>
          <w:color w:val="000000" w:themeColor="text1"/>
          <w:sz w:val="24"/>
          <w:szCs w:val="24"/>
          <w:lang w:val="en-GB"/>
        </w:rPr>
        <w:t>the ‘real seat’ doctrine</w:t>
      </w:r>
      <w:r w:rsidRPr="00D034FF">
        <w:rPr>
          <w:rFonts w:ascii="Times New Roman" w:hAnsi="Times New Roman"/>
          <w:bCs/>
          <w:color w:val="000000" w:themeColor="text1"/>
          <w:sz w:val="24"/>
          <w:szCs w:val="24"/>
          <w:lang w:val="en-GB"/>
        </w:rPr>
        <w:t xml:space="preserve"> (see above)</w:t>
      </w:r>
      <w:r w:rsidR="00615900" w:rsidRPr="00D034FF">
        <w:rPr>
          <w:rFonts w:ascii="Times New Roman" w:hAnsi="Times New Roman"/>
          <w:bCs/>
          <w:color w:val="000000" w:themeColor="text1"/>
          <w:sz w:val="24"/>
          <w:szCs w:val="24"/>
          <w:lang w:val="en-GB"/>
        </w:rPr>
        <w:t>.</w:t>
      </w:r>
      <w:r w:rsidR="00E20202" w:rsidRPr="00D034FF">
        <w:rPr>
          <w:rFonts w:ascii="Times New Roman" w:hAnsi="Times New Roman"/>
          <w:bCs/>
          <w:color w:val="000000" w:themeColor="text1"/>
          <w:sz w:val="24"/>
          <w:szCs w:val="24"/>
          <w:lang w:val="en-GB"/>
        </w:rPr>
        <w:t xml:space="preserve"> </w:t>
      </w:r>
      <w:r w:rsidR="00242A9F" w:rsidRPr="00D034FF">
        <w:rPr>
          <w:rFonts w:ascii="Times New Roman" w:hAnsi="Times New Roman"/>
          <w:bCs/>
          <w:color w:val="000000" w:themeColor="text1"/>
          <w:sz w:val="24"/>
          <w:szCs w:val="24"/>
          <w:lang w:val="en-GB"/>
        </w:rPr>
        <w:t>There is now a substantial amount of case law on the issue of company mobility</w:t>
      </w:r>
      <w:r w:rsidR="00615900" w:rsidRPr="00D034FF">
        <w:rPr>
          <w:rFonts w:ascii="Times New Roman" w:hAnsi="Times New Roman"/>
          <w:bCs/>
          <w:color w:val="000000" w:themeColor="text1"/>
          <w:sz w:val="24"/>
          <w:szCs w:val="24"/>
          <w:lang w:val="en-GB"/>
        </w:rPr>
        <w:t>. Some of this case law is about regulatory arbitrage; some is</w:t>
      </w:r>
      <w:r w:rsidR="00846605" w:rsidRPr="00D034FF">
        <w:rPr>
          <w:rFonts w:ascii="Times New Roman" w:hAnsi="Times New Roman"/>
          <w:bCs/>
          <w:color w:val="000000" w:themeColor="text1"/>
          <w:sz w:val="24"/>
          <w:szCs w:val="24"/>
          <w:lang w:val="en-GB"/>
        </w:rPr>
        <w:t xml:space="preserve"> </w:t>
      </w:r>
      <w:r w:rsidR="00615900" w:rsidRPr="00D034FF">
        <w:rPr>
          <w:rFonts w:ascii="Times New Roman" w:hAnsi="Times New Roman"/>
          <w:bCs/>
          <w:color w:val="000000" w:themeColor="text1"/>
          <w:sz w:val="24"/>
          <w:szCs w:val="24"/>
          <w:lang w:val="en-GB"/>
        </w:rPr>
        <w:t>n</w:t>
      </w:r>
      <w:r w:rsidR="00846605" w:rsidRPr="00D034FF">
        <w:rPr>
          <w:rFonts w:ascii="Times New Roman" w:hAnsi="Times New Roman"/>
          <w:bCs/>
          <w:color w:val="000000" w:themeColor="text1"/>
          <w:sz w:val="24"/>
          <w:szCs w:val="24"/>
          <w:lang w:val="en-GB"/>
        </w:rPr>
        <w:t>o</w:t>
      </w:r>
      <w:r w:rsidR="00615900" w:rsidRPr="00D034FF">
        <w:rPr>
          <w:rFonts w:ascii="Times New Roman" w:hAnsi="Times New Roman"/>
          <w:bCs/>
          <w:color w:val="000000" w:themeColor="text1"/>
          <w:sz w:val="24"/>
          <w:szCs w:val="24"/>
          <w:lang w:val="en-GB"/>
        </w:rPr>
        <w:t>t. But all of these cases have important implications for company mobility</w:t>
      </w:r>
      <w:r w:rsidR="00846605" w:rsidRPr="00D034FF">
        <w:rPr>
          <w:rFonts w:ascii="Times New Roman" w:hAnsi="Times New Roman"/>
          <w:bCs/>
          <w:color w:val="000000" w:themeColor="text1"/>
          <w:sz w:val="24"/>
          <w:szCs w:val="24"/>
          <w:lang w:val="en-GB"/>
        </w:rPr>
        <w:t xml:space="preserve"> and regulatory arbitrage</w:t>
      </w:r>
      <w:r w:rsidRPr="00D034FF">
        <w:rPr>
          <w:rFonts w:ascii="Times New Roman" w:hAnsi="Times New Roman"/>
          <w:bCs/>
          <w:color w:val="000000" w:themeColor="text1"/>
          <w:sz w:val="24"/>
          <w:szCs w:val="24"/>
          <w:lang w:val="en-GB"/>
        </w:rPr>
        <w:t xml:space="preserve"> </w:t>
      </w:r>
      <w:r w:rsidR="00B97F24" w:rsidRPr="00D034FF">
        <w:rPr>
          <w:rFonts w:ascii="Times New Roman" w:hAnsi="Times New Roman"/>
          <w:b/>
          <w:color w:val="000000" w:themeColor="text1"/>
          <w:sz w:val="24"/>
          <w:szCs w:val="24"/>
          <w:lang w:val="en-GB"/>
        </w:rPr>
        <w:sym w:font="Wingdings" w:char="F0E0"/>
      </w:r>
      <w:r w:rsidR="00497DB0" w:rsidRPr="00D034FF">
        <w:rPr>
          <w:rFonts w:ascii="Times New Roman" w:hAnsi="Times New Roman"/>
          <w:b/>
          <w:color w:val="000000" w:themeColor="text1"/>
          <w:sz w:val="24"/>
          <w:szCs w:val="24"/>
          <w:lang w:val="en-GB"/>
        </w:rPr>
        <w:t xml:space="preserve"> </w:t>
      </w:r>
      <w:r w:rsidR="00D80455" w:rsidRPr="00D034FF">
        <w:rPr>
          <w:rFonts w:ascii="Times New Roman" w:hAnsi="Times New Roman"/>
          <w:b/>
          <w:color w:val="000000" w:themeColor="text1"/>
          <w:sz w:val="24"/>
          <w:szCs w:val="24"/>
          <w:lang w:val="en-GB"/>
        </w:rPr>
        <w:t>**</w:t>
      </w:r>
      <w:r w:rsidRPr="00D034FF">
        <w:rPr>
          <w:rFonts w:ascii="Times New Roman" w:hAnsi="Times New Roman"/>
          <w:color w:val="000000" w:themeColor="text1"/>
          <w:sz w:val="24"/>
          <w:szCs w:val="24"/>
          <w:u w:color="0000FF"/>
          <w:lang w:val="en-GB"/>
        </w:rPr>
        <w:t>Case</w:t>
      </w:r>
      <w:r w:rsidRPr="00D034FF">
        <w:rPr>
          <w:rFonts w:ascii="Times New Roman" w:hAnsi="Times New Roman"/>
          <w:i/>
          <w:iCs/>
          <w:color w:val="000000" w:themeColor="text1"/>
          <w:sz w:val="24"/>
          <w:szCs w:val="24"/>
          <w:u w:color="0000FF"/>
          <w:lang w:val="en-GB"/>
        </w:rPr>
        <w:t xml:space="preserve"> </w:t>
      </w:r>
      <w:r w:rsidRPr="00D034FF">
        <w:rPr>
          <w:rFonts w:ascii="Times New Roman" w:hAnsi="Times New Roman"/>
          <w:color w:val="000000" w:themeColor="text1"/>
          <w:sz w:val="24"/>
          <w:szCs w:val="24"/>
          <w:u w:color="0000FF"/>
          <w:lang w:val="en-GB"/>
        </w:rPr>
        <w:t>C-81/87</w:t>
      </w:r>
      <w:r w:rsidRPr="00D034FF">
        <w:rPr>
          <w:rFonts w:ascii="Times New Roman" w:hAnsi="Times New Roman"/>
          <w:i/>
          <w:iCs/>
          <w:color w:val="000000" w:themeColor="text1"/>
          <w:sz w:val="24"/>
          <w:szCs w:val="24"/>
          <w:u w:color="0000FF"/>
          <w:lang w:val="en-GB"/>
        </w:rPr>
        <w:t xml:space="preserve"> Daily Mail </w:t>
      </w:r>
      <w:r w:rsidR="004D351C" w:rsidRPr="00D034FF">
        <w:rPr>
          <w:rFonts w:ascii="Times New Roman" w:hAnsi="Times New Roman"/>
          <w:color w:val="000000" w:themeColor="text1"/>
          <w:sz w:val="24"/>
          <w:szCs w:val="24"/>
          <w:u w:color="0000FF"/>
          <w:lang w:val="en-GB"/>
        </w:rPr>
        <w:t>[1988] ECR 5483 (</w:t>
      </w:r>
      <w:r w:rsidR="00B97F24" w:rsidRPr="00D034FF">
        <w:rPr>
          <w:rFonts w:ascii="Times New Roman" w:hAnsi="Times New Roman"/>
          <w:color w:val="000000" w:themeColor="text1"/>
          <w:sz w:val="24"/>
          <w:szCs w:val="24"/>
          <w:u w:color="0000FF"/>
          <w:lang w:val="en-GB"/>
        </w:rPr>
        <w:t xml:space="preserve">proposed </w:t>
      </w:r>
      <w:r w:rsidR="004D351C" w:rsidRPr="00D034FF">
        <w:rPr>
          <w:rFonts w:ascii="Times New Roman" w:hAnsi="Times New Roman"/>
          <w:color w:val="000000" w:themeColor="text1"/>
          <w:sz w:val="24"/>
          <w:szCs w:val="24"/>
          <w:u w:color="0000FF"/>
          <w:lang w:val="en-GB"/>
        </w:rPr>
        <w:t xml:space="preserve">transfer </w:t>
      </w:r>
      <w:r w:rsidR="004D351C" w:rsidRPr="00D034FF">
        <w:rPr>
          <w:rFonts w:ascii="Times New Roman" w:hAnsi="Times New Roman"/>
          <w:color w:val="000000" w:themeColor="text1"/>
          <w:sz w:val="24"/>
          <w:szCs w:val="24"/>
          <w:u w:color="0000FF"/>
          <w:lang w:val="en-GB"/>
        </w:rPr>
        <w:lastRenderedPageBreak/>
        <w:t xml:space="preserve">of </w:t>
      </w:r>
      <w:r w:rsidR="00197F84" w:rsidRPr="00D034FF">
        <w:rPr>
          <w:rFonts w:ascii="Times New Roman" w:hAnsi="Times New Roman"/>
          <w:color w:val="000000" w:themeColor="text1"/>
          <w:sz w:val="24"/>
          <w:szCs w:val="24"/>
          <w:u w:color="0000FF"/>
          <w:lang w:val="en-GB"/>
        </w:rPr>
        <w:t xml:space="preserve">the </w:t>
      </w:r>
      <w:r w:rsidR="00DB0A0E" w:rsidRPr="00D034FF">
        <w:rPr>
          <w:rFonts w:ascii="Times New Roman" w:hAnsi="Times New Roman"/>
          <w:color w:val="000000" w:themeColor="text1"/>
          <w:sz w:val="24"/>
          <w:szCs w:val="24"/>
          <w:u w:color="0000FF"/>
          <w:lang w:val="en-GB"/>
        </w:rPr>
        <w:t>central management</w:t>
      </w:r>
      <w:r w:rsidR="00B97F24" w:rsidRPr="00D034FF">
        <w:rPr>
          <w:rFonts w:ascii="Times New Roman" w:hAnsi="Times New Roman"/>
          <w:color w:val="000000" w:themeColor="text1"/>
          <w:sz w:val="24"/>
          <w:szCs w:val="24"/>
          <w:u w:color="0000FF"/>
          <w:lang w:val="en-GB"/>
        </w:rPr>
        <w:t xml:space="preserve"> </w:t>
      </w:r>
      <w:r w:rsidR="00DB0A0E" w:rsidRPr="00D034FF">
        <w:rPr>
          <w:rFonts w:ascii="Times New Roman" w:hAnsi="Times New Roman"/>
          <w:color w:val="000000" w:themeColor="text1"/>
          <w:sz w:val="24"/>
          <w:szCs w:val="24"/>
          <w:u w:color="0000FF"/>
          <w:lang w:val="en-GB"/>
        </w:rPr>
        <w:t xml:space="preserve">and control </w:t>
      </w:r>
      <w:r w:rsidR="00B97F24" w:rsidRPr="00D034FF">
        <w:rPr>
          <w:rFonts w:ascii="Times New Roman" w:hAnsi="Times New Roman"/>
          <w:color w:val="000000" w:themeColor="text1"/>
          <w:sz w:val="24"/>
          <w:szCs w:val="24"/>
          <w:u w:color="0000FF"/>
          <w:lang w:val="en-GB"/>
        </w:rPr>
        <w:t>of a company from the UK to the Netherlands whilst staying incorporated in the UK</w:t>
      </w:r>
      <w:r w:rsidR="004D351C" w:rsidRPr="00D034FF">
        <w:rPr>
          <w:rFonts w:ascii="Times New Roman" w:hAnsi="Times New Roman"/>
          <w:color w:val="000000" w:themeColor="text1"/>
          <w:sz w:val="24"/>
          <w:szCs w:val="24"/>
          <w:u w:color="0000FF"/>
          <w:lang w:val="en-GB"/>
        </w:rPr>
        <w:t>)</w:t>
      </w:r>
      <w:r w:rsidR="00B97F24" w:rsidRPr="00D034FF">
        <w:rPr>
          <w:rFonts w:ascii="Times New Roman" w:hAnsi="Times New Roman"/>
          <w:color w:val="000000" w:themeColor="text1"/>
          <w:sz w:val="24"/>
          <w:szCs w:val="24"/>
          <w:u w:color="0000FF"/>
          <w:lang w:val="en-GB"/>
        </w:rPr>
        <w:t>;</w:t>
      </w:r>
      <w:r w:rsidR="004D351C" w:rsidRPr="00D034FF">
        <w:rPr>
          <w:rFonts w:ascii="Times New Roman" w:hAnsi="Times New Roman"/>
          <w:color w:val="000000" w:themeColor="text1"/>
          <w:sz w:val="24"/>
          <w:szCs w:val="24"/>
          <w:u w:color="0000FF"/>
          <w:lang w:val="en-GB"/>
        </w:rPr>
        <w:t xml:space="preserve"> </w:t>
      </w:r>
      <w:r w:rsidR="00D80455" w:rsidRPr="00D034FF">
        <w:rPr>
          <w:rFonts w:ascii="Times New Roman" w:hAnsi="Times New Roman"/>
          <w:color w:val="000000" w:themeColor="text1"/>
          <w:sz w:val="24"/>
          <w:szCs w:val="24"/>
          <w:u w:color="0000FF"/>
          <w:lang w:val="en-GB"/>
        </w:rPr>
        <w:t>**</w:t>
      </w:r>
      <w:r w:rsidR="00B97F24" w:rsidRPr="00D034FF">
        <w:rPr>
          <w:rFonts w:ascii="Times New Roman" w:hAnsi="Times New Roman"/>
          <w:color w:val="000000" w:themeColor="text1"/>
          <w:sz w:val="24"/>
          <w:szCs w:val="24"/>
          <w:u w:color="0000FF"/>
          <w:lang w:val="en-GB"/>
        </w:rPr>
        <w:t xml:space="preserve">Case C-212/97 </w:t>
      </w:r>
      <w:proofErr w:type="spellStart"/>
      <w:r w:rsidR="00B97F24" w:rsidRPr="00D034FF">
        <w:rPr>
          <w:rFonts w:ascii="Times New Roman" w:hAnsi="Times New Roman"/>
          <w:i/>
          <w:iCs/>
          <w:color w:val="000000" w:themeColor="text1"/>
          <w:sz w:val="24"/>
          <w:szCs w:val="24"/>
          <w:u w:color="0000FF"/>
          <w:lang w:val="en-GB"/>
        </w:rPr>
        <w:t>Centros</w:t>
      </w:r>
      <w:proofErr w:type="spellEnd"/>
      <w:r w:rsidR="00B97F24" w:rsidRPr="00D034FF">
        <w:rPr>
          <w:rFonts w:ascii="Times New Roman" w:hAnsi="Times New Roman"/>
          <w:i/>
          <w:iCs/>
          <w:color w:val="000000" w:themeColor="text1"/>
          <w:sz w:val="24"/>
          <w:szCs w:val="24"/>
          <w:u w:color="0000FF"/>
          <w:lang w:val="en-GB"/>
        </w:rPr>
        <w:t xml:space="preserve"> </w:t>
      </w:r>
      <w:r w:rsidR="00B97F24" w:rsidRPr="00D034FF">
        <w:rPr>
          <w:rFonts w:ascii="Times New Roman" w:hAnsi="Times New Roman"/>
          <w:color w:val="000000" w:themeColor="text1"/>
          <w:sz w:val="24"/>
          <w:szCs w:val="24"/>
          <w:u w:color="0000FF"/>
          <w:lang w:val="en-GB"/>
        </w:rPr>
        <w:t xml:space="preserve">[1999] ECR I-1459 (incorporation of a company in the UK and establishment of a branch in Denmark for the sole purpose of circumventing Danish company legislation); </w:t>
      </w:r>
      <w:r w:rsidR="00D034FF" w:rsidRPr="00D034FF">
        <w:rPr>
          <w:rFonts w:ascii="Times New Roman" w:hAnsi="Times New Roman"/>
          <w:color w:val="000000" w:themeColor="text1"/>
          <w:sz w:val="24"/>
          <w:szCs w:val="24"/>
          <w:u w:color="0000FF"/>
          <w:lang w:val="en-GB"/>
        </w:rPr>
        <w:t>**</w:t>
      </w:r>
      <w:r w:rsidR="00B97F24" w:rsidRPr="00D034FF">
        <w:rPr>
          <w:rFonts w:ascii="Times New Roman" w:hAnsi="Times New Roman"/>
          <w:color w:val="000000" w:themeColor="text1"/>
          <w:sz w:val="24"/>
          <w:szCs w:val="24"/>
          <w:u w:color="0000FF"/>
          <w:lang w:val="en-GB"/>
        </w:rPr>
        <w:t>Case C-167/01</w:t>
      </w:r>
      <w:r w:rsidR="00B97F24" w:rsidRPr="00D034FF">
        <w:rPr>
          <w:rFonts w:ascii="Times New Roman" w:hAnsi="Times New Roman"/>
          <w:i/>
          <w:iCs/>
          <w:color w:val="000000" w:themeColor="text1"/>
          <w:sz w:val="24"/>
          <w:szCs w:val="24"/>
          <w:u w:color="0000FF"/>
          <w:lang w:val="en-GB"/>
        </w:rPr>
        <w:t xml:space="preserve"> Inspire Art </w:t>
      </w:r>
      <w:r w:rsidR="00B97F24" w:rsidRPr="00D034FF">
        <w:rPr>
          <w:rFonts w:ascii="Times New Roman" w:hAnsi="Times New Roman"/>
          <w:color w:val="000000" w:themeColor="text1"/>
          <w:sz w:val="24"/>
          <w:szCs w:val="24"/>
          <w:u w:color="0000FF"/>
          <w:lang w:val="en-GB"/>
        </w:rPr>
        <w:t>[2003] ECR I- 10155 (incorporation of a company in the UK and establishment of a branch in the Netherlands</w:t>
      </w:r>
      <w:r w:rsidR="00197F84" w:rsidRPr="00D034FF">
        <w:rPr>
          <w:rFonts w:ascii="Times New Roman" w:hAnsi="Times New Roman"/>
          <w:color w:val="000000" w:themeColor="text1"/>
          <w:sz w:val="24"/>
          <w:szCs w:val="24"/>
          <w:u w:color="0000FF"/>
          <w:lang w:val="en-GB"/>
        </w:rPr>
        <w:t xml:space="preserve"> where all the trading is done</w:t>
      </w:r>
      <w:r w:rsidR="00B97F24" w:rsidRPr="00D034FF">
        <w:rPr>
          <w:rFonts w:ascii="Times New Roman" w:hAnsi="Times New Roman"/>
          <w:color w:val="000000" w:themeColor="text1"/>
          <w:sz w:val="24"/>
          <w:szCs w:val="24"/>
          <w:u w:color="0000FF"/>
          <w:lang w:val="en-GB"/>
        </w:rPr>
        <w:t xml:space="preserve">); </w:t>
      </w:r>
      <w:r w:rsidR="00D034FF" w:rsidRPr="00D034FF">
        <w:rPr>
          <w:rFonts w:ascii="Times New Roman" w:hAnsi="Times New Roman"/>
          <w:color w:val="000000" w:themeColor="text1"/>
          <w:sz w:val="24"/>
          <w:szCs w:val="24"/>
          <w:u w:color="0000FF"/>
          <w:lang w:val="en-GB"/>
        </w:rPr>
        <w:t>**</w:t>
      </w:r>
      <w:r w:rsidR="00B97F24" w:rsidRPr="00D034FF">
        <w:rPr>
          <w:rFonts w:ascii="Times New Roman" w:hAnsi="Times New Roman"/>
          <w:color w:val="000000" w:themeColor="text1"/>
          <w:sz w:val="24"/>
          <w:szCs w:val="24"/>
          <w:u w:color="0000FF"/>
          <w:lang w:val="en-GB"/>
        </w:rPr>
        <w:t xml:space="preserve">Case C-208/00 </w:t>
      </w:r>
      <w:proofErr w:type="spellStart"/>
      <w:r w:rsidR="00B97F24" w:rsidRPr="00D034FF">
        <w:rPr>
          <w:rFonts w:ascii="Times New Roman" w:hAnsi="Times New Roman"/>
          <w:i/>
          <w:iCs/>
          <w:color w:val="000000" w:themeColor="text1"/>
          <w:sz w:val="24"/>
          <w:szCs w:val="24"/>
          <w:u w:color="0000FF"/>
          <w:lang w:val="en-GB"/>
        </w:rPr>
        <w:t>Überseering</w:t>
      </w:r>
      <w:proofErr w:type="spellEnd"/>
      <w:r w:rsidR="00B97F24" w:rsidRPr="00D034FF">
        <w:rPr>
          <w:rFonts w:ascii="Times New Roman" w:hAnsi="Times New Roman"/>
          <w:i/>
          <w:iCs/>
          <w:color w:val="000000" w:themeColor="text1"/>
          <w:sz w:val="24"/>
          <w:szCs w:val="24"/>
          <w:u w:color="0000FF"/>
          <w:lang w:val="en-GB"/>
        </w:rPr>
        <w:t xml:space="preserve"> </w:t>
      </w:r>
      <w:r w:rsidR="00B97F24" w:rsidRPr="00D034FF">
        <w:rPr>
          <w:rFonts w:ascii="Times New Roman" w:hAnsi="Times New Roman"/>
          <w:color w:val="000000" w:themeColor="text1"/>
          <w:sz w:val="24"/>
          <w:szCs w:val="24"/>
          <w:u w:color="0000FF"/>
          <w:lang w:val="en-GB"/>
        </w:rPr>
        <w:t xml:space="preserve">[2002] ECR I-9919 (transfer of </w:t>
      </w:r>
      <w:r w:rsidR="00197F84" w:rsidRPr="00D034FF">
        <w:rPr>
          <w:rFonts w:ascii="Times New Roman" w:hAnsi="Times New Roman"/>
          <w:color w:val="000000" w:themeColor="text1"/>
          <w:sz w:val="24"/>
          <w:szCs w:val="24"/>
          <w:u w:color="0000FF"/>
          <w:lang w:val="en-GB"/>
        </w:rPr>
        <w:t>actual</w:t>
      </w:r>
      <w:r w:rsidR="00B97F24" w:rsidRPr="00D034FF">
        <w:rPr>
          <w:rFonts w:ascii="Times New Roman" w:hAnsi="Times New Roman"/>
          <w:color w:val="000000" w:themeColor="text1"/>
          <w:sz w:val="24"/>
          <w:szCs w:val="24"/>
          <w:u w:color="0000FF"/>
          <w:lang w:val="en-GB"/>
        </w:rPr>
        <w:t xml:space="preserve"> centre of administration of a </w:t>
      </w:r>
      <w:r w:rsidR="00D80455" w:rsidRPr="00D034FF">
        <w:rPr>
          <w:rFonts w:ascii="Times New Roman" w:hAnsi="Times New Roman"/>
          <w:color w:val="000000" w:themeColor="text1"/>
          <w:sz w:val="24"/>
          <w:szCs w:val="24"/>
          <w:u w:color="0000FF"/>
          <w:lang w:val="en-GB"/>
        </w:rPr>
        <w:t>Dutch</w:t>
      </w:r>
      <w:r w:rsidR="00B97F24" w:rsidRPr="00D034FF">
        <w:rPr>
          <w:rFonts w:ascii="Times New Roman" w:hAnsi="Times New Roman"/>
          <w:color w:val="000000" w:themeColor="text1"/>
          <w:sz w:val="24"/>
          <w:szCs w:val="24"/>
          <w:u w:color="0000FF"/>
          <w:lang w:val="en-GB"/>
        </w:rPr>
        <w:t xml:space="preserve"> company from the Netherlands to Germany following the transfer of all the</w:t>
      </w:r>
      <w:r w:rsidR="00846605" w:rsidRPr="00D034FF">
        <w:rPr>
          <w:rFonts w:ascii="Times New Roman" w:hAnsi="Times New Roman"/>
          <w:color w:val="000000" w:themeColor="text1"/>
          <w:sz w:val="24"/>
          <w:szCs w:val="24"/>
          <w:u w:color="0000FF"/>
          <w:lang w:val="en-GB"/>
        </w:rPr>
        <w:t xml:space="preserve"> company’s</w:t>
      </w:r>
      <w:r w:rsidR="00B97F24" w:rsidRPr="00D034FF">
        <w:rPr>
          <w:rFonts w:ascii="Times New Roman" w:hAnsi="Times New Roman"/>
          <w:color w:val="000000" w:themeColor="text1"/>
          <w:sz w:val="24"/>
          <w:szCs w:val="24"/>
          <w:u w:color="0000FF"/>
          <w:lang w:val="en-GB"/>
        </w:rPr>
        <w:t xml:space="preserve"> shares to German nationals</w:t>
      </w:r>
      <w:r w:rsidR="00197F84" w:rsidRPr="00D034FF">
        <w:rPr>
          <w:rFonts w:ascii="Times New Roman" w:hAnsi="Times New Roman"/>
          <w:color w:val="000000" w:themeColor="text1"/>
          <w:sz w:val="24"/>
          <w:szCs w:val="24"/>
          <w:u w:color="0000FF"/>
          <w:lang w:val="en-GB"/>
        </w:rPr>
        <w:t xml:space="preserve"> residing in Germany</w:t>
      </w:r>
      <w:r w:rsidR="00B97F24" w:rsidRPr="00D034FF">
        <w:rPr>
          <w:rFonts w:ascii="Times New Roman" w:hAnsi="Times New Roman"/>
          <w:color w:val="000000" w:themeColor="text1"/>
          <w:sz w:val="24"/>
          <w:szCs w:val="24"/>
          <w:u w:color="0000FF"/>
          <w:lang w:val="en-GB"/>
        </w:rPr>
        <w:t xml:space="preserve">); </w:t>
      </w:r>
      <w:r w:rsidR="00B97F24" w:rsidRPr="00D034FF">
        <w:rPr>
          <w:rFonts w:ascii="Times New Roman" w:hAnsi="Times New Roman"/>
          <w:color w:val="000000" w:themeColor="text1"/>
          <w:sz w:val="24"/>
          <w:szCs w:val="24"/>
          <w:lang w:val="en-GB"/>
        </w:rPr>
        <w:t xml:space="preserve">Case C-411/03 </w:t>
      </w:r>
      <w:proofErr w:type="spellStart"/>
      <w:r w:rsidR="00B97F24" w:rsidRPr="00D034FF">
        <w:rPr>
          <w:rFonts w:ascii="Times New Roman" w:hAnsi="Times New Roman"/>
          <w:i/>
          <w:color w:val="000000" w:themeColor="text1"/>
          <w:sz w:val="24"/>
          <w:szCs w:val="24"/>
          <w:lang w:val="en-GB"/>
        </w:rPr>
        <w:t>Sevic</w:t>
      </w:r>
      <w:proofErr w:type="spellEnd"/>
      <w:r w:rsidR="00B97F24" w:rsidRPr="00D034FF">
        <w:rPr>
          <w:rFonts w:ascii="Times New Roman" w:hAnsi="Times New Roman"/>
          <w:i/>
          <w:color w:val="000000" w:themeColor="text1"/>
          <w:sz w:val="24"/>
          <w:szCs w:val="24"/>
          <w:lang w:val="en-GB"/>
        </w:rPr>
        <w:t xml:space="preserve"> Systems AG</w:t>
      </w:r>
      <w:r w:rsidR="00B97F24" w:rsidRPr="00D034FF">
        <w:rPr>
          <w:rFonts w:ascii="Times New Roman" w:hAnsi="Times New Roman"/>
          <w:color w:val="000000" w:themeColor="text1"/>
          <w:sz w:val="24"/>
          <w:szCs w:val="24"/>
          <w:lang w:val="en-GB"/>
        </w:rPr>
        <w:t xml:space="preserve"> [2005] ECR I-10805 (merger by acquisition: a German company acquires a Luxembourg company); </w:t>
      </w:r>
      <w:r w:rsidR="00D034FF" w:rsidRPr="00D034FF">
        <w:rPr>
          <w:rFonts w:ascii="Times New Roman" w:hAnsi="Times New Roman"/>
          <w:color w:val="000000" w:themeColor="text1"/>
          <w:sz w:val="24"/>
          <w:szCs w:val="24"/>
          <w:lang w:val="en-GB"/>
        </w:rPr>
        <w:t>**</w:t>
      </w:r>
      <w:r w:rsidR="00B97F24" w:rsidRPr="00D034FF">
        <w:rPr>
          <w:rFonts w:ascii="Times New Roman" w:hAnsi="Times New Roman"/>
          <w:bCs/>
          <w:color w:val="000000" w:themeColor="text1"/>
          <w:sz w:val="24"/>
          <w:szCs w:val="24"/>
          <w:lang w:val="en-GB"/>
        </w:rPr>
        <w:t xml:space="preserve">Case C-210/06 </w:t>
      </w:r>
      <w:proofErr w:type="spellStart"/>
      <w:r w:rsidR="00B97F24" w:rsidRPr="00D034FF">
        <w:rPr>
          <w:rFonts w:ascii="Times New Roman" w:hAnsi="Times New Roman"/>
          <w:bCs/>
          <w:i/>
          <w:color w:val="000000" w:themeColor="text1"/>
          <w:sz w:val="24"/>
          <w:szCs w:val="24"/>
          <w:lang w:val="en-GB"/>
        </w:rPr>
        <w:t>Cartesio</w:t>
      </w:r>
      <w:proofErr w:type="spellEnd"/>
      <w:r w:rsidR="00B97F24" w:rsidRPr="00D034FF">
        <w:rPr>
          <w:rFonts w:ascii="Times New Roman" w:hAnsi="Times New Roman"/>
          <w:bCs/>
          <w:i/>
          <w:color w:val="000000" w:themeColor="text1"/>
          <w:sz w:val="24"/>
          <w:szCs w:val="24"/>
          <w:lang w:val="en-GB"/>
        </w:rPr>
        <w:t xml:space="preserve"> </w:t>
      </w:r>
      <w:r w:rsidR="00B97F24" w:rsidRPr="00D034FF">
        <w:rPr>
          <w:rFonts w:ascii="Times New Roman" w:hAnsi="Times New Roman"/>
          <w:color w:val="000000" w:themeColor="text1"/>
          <w:sz w:val="24"/>
          <w:szCs w:val="24"/>
          <w:lang w:val="en-GB"/>
        </w:rPr>
        <w:t xml:space="preserve">[2008] </w:t>
      </w:r>
      <w:r w:rsidR="00B97F24" w:rsidRPr="00D034FF">
        <w:rPr>
          <w:rFonts w:ascii="Times New Roman" w:hAnsi="Times New Roman"/>
          <w:bCs/>
          <w:color w:val="000000" w:themeColor="text1"/>
          <w:sz w:val="24"/>
          <w:szCs w:val="24"/>
          <w:lang w:val="en-GB"/>
        </w:rPr>
        <w:t>ECR</w:t>
      </w:r>
      <w:r w:rsidR="00B97F24" w:rsidRPr="00D034FF">
        <w:rPr>
          <w:rFonts w:ascii="Times New Roman" w:hAnsi="Times New Roman"/>
          <w:color w:val="000000" w:themeColor="text1"/>
          <w:sz w:val="24"/>
          <w:szCs w:val="24"/>
          <w:lang w:val="en-GB"/>
        </w:rPr>
        <w:t xml:space="preserve"> I-9641 (transfer of the centr</w:t>
      </w:r>
      <w:r w:rsidR="00197F84" w:rsidRPr="00D034FF">
        <w:rPr>
          <w:rFonts w:ascii="Times New Roman" w:hAnsi="Times New Roman"/>
          <w:color w:val="000000" w:themeColor="text1"/>
          <w:sz w:val="24"/>
          <w:szCs w:val="24"/>
          <w:lang w:val="en-GB"/>
        </w:rPr>
        <w:t>al</w:t>
      </w:r>
      <w:r w:rsidR="00B97F24" w:rsidRPr="00D034FF">
        <w:rPr>
          <w:rFonts w:ascii="Times New Roman" w:hAnsi="Times New Roman"/>
          <w:color w:val="000000" w:themeColor="text1"/>
          <w:sz w:val="24"/>
          <w:szCs w:val="24"/>
          <w:lang w:val="en-GB"/>
        </w:rPr>
        <w:t xml:space="preserve"> administration </w:t>
      </w:r>
      <w:r w:rsidR="00197F84" w:rsidRPr="00D034FF">
        <w:rPr>
          <w:rFonts w:ascii="Times New Roman" w:hAnsi="Times New Roman"/>
          <w:color w:val="000000" w:themeColor="text1"/>
          <w:sz w:val="24"/>
          <w:szCs w:val="24"/>
          <w:lang w:val="en-GB"/>
        </w:rPr>
        <w:t xml:space="preserve">(seat) </w:t>
      </w:r>
      <w:r w:rsidR="00B97F24" w:rsidRPr="00D034FF">
        <w:rPr>
          <w:rFonts w:ascii="Times New Roman" w:hAnsi="Times New Roman"/>
          <w:color w:val="000000" w:themeColor="text1"/>
          <w:sz w:val="24"/>
          <w:szCs w:val="24"/>
          <w:lang w:val="en-GB"/>
        </w:rPr>
        <w:t xml:space="preserve">of a Hungarian company to Italy); </w:t>
      </w:r>
      <w:r w:rsidR="00D034FF" w:rsidRPr="00D034FF">
        <w:rPr>
          <w:rFonts w:ascii="Times New Roman" w:hAnsi="Times New Roman"/>
          <w:color w:val="000000" w:themeColor="text1"/>
          <w:sz w:val="24"/>
          <w:szCs w:val="24"/>
          <w:lang w:val="en-GB"/>
        </w:rPr>
        <w:t>**</w:t>
      </w:r>
      <w:r w:rsidR="00B97F24" w:rsidRPr="00D034FF">
        <w:rPr>
          <w:rFonts w:ascii="Times New Roman" w:hAnsi="Times New Roman"/>
          <w:color w:val="000000" w:themeColor="text1"/>
          <w:sz w:val="24"/>
          <w:szCs w:val="24"/>
          <w:lang w:val="en-GB"/>
        </w:rPr>
        <w:t xml:space="preserve">Case C-378/10 </w:t>
      </w:r>
      <w:r w:rsidR="00B97F24" w:rsidRPr="00D034FF">
        <w:rPr>
          <w:rFonts w:ascii="Times New Roman" w:hAnsi="Times New Roman"/>
          <w:i/>
          <w:color w:val="000000" w:themeColor="text1"/>
          <w:sz w:val="24"/>
          <w:szCs w:val="24"/>
          <w:lang w:val="en-GB"/>
        </w:rPr>
        <w:t xml:space="preserve">VALE </w:t>
      </w:r>
      <w:proofErr w:type="spellStart"/>
      <w:r w:rsidR="00B97F24" w:rsidRPr="00D034FF">
        <w:rPr>
          <w:rFonts w:ascii="Times New Roman" w:hAnsi="Times New Roman"/>
          <w:i/>
          <w:color w:val="000000" w:themeColor="text1"/>
          <w:sz w:val="24"/>
          <w:szCs w:val="24"/>
          <w:lang w:val="en-GB"/>
        </w:rPr>
        <w:t>Építési</w:t>
      </w:r>
      <w:proofErr w:type="spellEnd"/>
      <w:r w:rsidR="00B97F24" w:rsidRPr="00D034FF">
        <w:rPr>
          <w:rFonts w:ascii="Times New Roman" w:hAnsi="Times New Roman"/>
          <w:i/>
          <w:color w:val="000000" w:themeColor="text1"/>
          <w:sz w:val="24"/>
          <w:szCs w:val="24"/>
          <w:lang w:val="en-GB"/>
        </w:rPr>
        <w:t xml:space="preserve"> </w:t>
      </w:r>
      <w:proofErr w:type="spellStart"/>
      <w:r w:rsidR="00B97F24" w:rsidRPr="00D034FF">
        <w:rPr>
          <w:rFonts w:ascii="Times New Roman" w:hAnsi="Times New Roman"/>
          <w:i/>
          <w:color w:val="000000" w:themeColor="text1"/>
          <w:sz w:val="24"/>
          <w:szCs w:val="24"/>
          <w:lang w:val="en-GB"/>
        </w:rPr>
        <w:t>kft</w:t>
      </w:r>
      <w:proofErr w:type="spellEnd"/>
      <w:r w:rsidR="00B97F24" w:rsidRPr="00D034FF">
        <w:rPr>
          <w:rFonts w:ascii="Times New Roman" w:hAnsi="Times New Roman"/>
          <w:color w:val="000000" w:themeColor="text1"/>
          <w:sz w:val="24"/>
          <w:szCs w:val="24"/>
          <w:lang w:val="en-GB"/>
        </w:rPr>
        <w:t xml:space="preserve"> [2012] ECR 00000 (cross-</w:t>
      </w:r>
      <w:r w:rsidR="00D034FF" w:rsidRPr="00D034FF">
        <w:rPr>
          <w:rFonts w:ascii="Times New Roman" w:hAnsi="Times New Roman"/>
          <w:color w:val="000000" w:themeColor="text1"/>
          <w:sz w:val="24"/>
          <w:szCs w:val="24"/>
          <w:lang w:val="en-GB"/>
        </w:rPr>
        <w:t>border conversion of a company);</w:t>
      </w:r>
      <w:r w:rsidR="00C71E20" w:rsidRPr="00D034FF">
        <w:rPr>
          <w:rFonts w:ascii="Times New Roman" w:hAnsi="Times New Roman"/>
          <w:color w:val="000000" w:themeColor="text1"/>
          <w:sz w:val="24"/>
          <w:szCs w:val="24"/>
          <w:lang w:val="en-GB"/>
        </w:rPr>
        <w:t xml:space="preserve"> </w:t>
      </w:r>
      <w:r w:rsidR="00D034FF" w:rsidRPr="00D034FF">
        <w:rPr>
          <w:rFonts w:ascii="Times New Roman" w:hAnsi="Times New Roman"/>
          <w:color w:val="000000" w:themeColor="text1"/>
          <w:sz w:val="24"/>
          <w:szCs w:val="24"/>
          <w:lang w:val="en-GB"/>
        </w:rPr>
        <w:t>**</w:t>
      </w:r>
      <w:r w:rsidR="00D034FF" w:rsidRPr="00D034FF">
        <w:rPr>
          <w:rStyle w:val="s1"/>
          <w:rFonts w:ascii="Times New Roman" w:hAnsi="Times New Roman"/>
          <w:color w:val="000000" w:themeColor="text1"/>
          <w:sz w:val="24"/>
          <w:szCs w:val="24"/>
        </w:rPr>
        <w:t>Case C</w:t>
      </w:r>
      <w:r w:rsidR="00D034FF" w:rsidRPr="00D034FF">
        <w:rPr>
          <w:rStyle w:val="s1"/>
          <w:rFonts w:ascii="Times New Roman" w:hAnsi="Times New Roman"/>
          <w:color w:val="000000" w:themeColor="text1"/>
          <w:sz w:val="24"/>
          <w:szCs w:val="24"/>
        </w:rPr>
        <w:noBreakHyphen/>
        <w:t xml:space="preserve">106/16 </w:t>
      </w:r>
      <w:proofErr w:type="spellStart"/>
      <w:r w:rsidR="00D034FF" w:rsidRPr="00CB7AC6">
        <w:rPr>
          <w:rStyle w:val="s1"/>
          <w:rFonts w:ascii="Times New Roman" w:hAnsi="Times New Roman"/>
          <w:bCs/>
          <w:i/>
          <w:color w:val="000000" w:themeColor="text1"/>
          <w:sz w:val="24"/>
          <w:szCs w:val="24"/>
        </w:rPr>
        <w:t>Polbud</w:t>
      </w:r>
      <w:proofErr w:type="spellEnd"/>
      <w:r w:rsidR="00D034FF" w:rsidRPr="00D034FF">
        <w:rPr>
          <w:rStyle w:val="s1"/>
          <w:rFonts w:ascii="Times New Roman" w:hAnsi="Times New Roman"/>
          <w:bCs/>
          <w:color w:val="000000" w:themeColor="text1"/>
          <w:sz w:val="24"/>
          <w:szCs w:val="24"/>
        </w:rPr>
        <w:t xml:space="preserve"> </w:t>
      </w:r>
      <w:r w:rsidR="00D034FF" w:rsidRPr="00D034FF">
        <w:rPr>
          <w:rStyle w:val="s2"/>
          <w:rFonts w:ascii="Times New Roman" w:hAnsi="Times New Roman"/>
          <w:color w:val="000000" w:themeColor="text1"/>
          <w:sz w:val="24"/>
          <w:szCs w:val="24"/>
        </w:rPr>
        <w:t>ECLI:EU:C:2017:804 (cross-border conversion)</w:t>
      </w:r>
    </w:p>
    <w:p w14:paraId="6B664C84" w14:textId="2A216202" w:rsidR="00A35294" w:rsidRPr="00D034FF" w:rsidRDefault="00A35294" w:rsidP="005E0FDF">
      <w:pPr>
        <w:widowControl w:val="0"/>
        <w:autoSpaceDE w:val="0"/>
        <w:autoSpaceDN w:val="0"/>
        <w:adjustRightInd w:val="0"/>
        <w:spacing w:line="360" w:lineRule="auto"/>
        <w:ind w:left="360" w:right="-1"/>
        <w:jc w:val="both"/>
        <w:rPr>
          <w:b/>
          <w:bCs/>
          <w:smallCaps/>
          <w:lang w:val="en-GB"/>
        </w:rPr>
      </w:pPr>
    </w:p>
    <w:p w14:paraId="4E9244C3" w14:textId="77777777" w:rsidR="00FA7223" w:rsidRPr="00D034FF" w:rsidRDefault="00FA7223" w:rsidP="00D034FF">
      <w:pPr>
        <w:numPr>
          <w:ilvl w:val="0"/>
          <w:numId w:val="40"/>
        </w:numPr>
        <w:spacing w:line="360" w:lineRule="auto"/>
        <w:jc w:val="center"/>
        <w:rPr>
          <w:b/>
          <w:bCs/>
          <w:smallCaps/>
          <w:lang w:val="en-GB"/>
        </w:rPr>
      </w:pPr>
      <w:r w:rsidRPr="00D034FF">
        <w:rPr>
          <w:b/>
          <w:bCs/>
          <w:smallCaps/>
          <w:lang w:val="en-GB"/>
        </w:rPr>
        <w:t>Clash with fundamental social rights</w:t>
      </w:r>
    </w:p>
    <w:p w14:paraId="5C64BA64" w14:textId="77777777" w:rsidR="00FA7223" w:rsidRPr="00D034FF" w:rsidRDefault="00FA7223" w:rsidP="00D034FF">
      <w:pPr>
        <w:tabs>
          <w:tab w:val="num" w:pos="1260"/>
        </w:tabs>
        <w:spacing w:line="360" w:lineRule="auto"/>
        <w:jc w:val="both"/>
        <w:rPr>
          <w:b/>
          <w:bCs/>
          <w:smallCaps/>
          <w:lang w:val="en-GB"/>
        </w:rPr>
      </w:pPr>
    </w:p>
    <w:p w14:paraId="1F4F6818" w14:textId="77777777" w:rsidR="00FA7223" w:rsidRPr="00D034FF" w:rsidRDefault="00FA7223" w:rsidP="00D034FF">
      <w:pPr>
        <w:numPr>
          <w:ilvl w:val="0"/>
          <w:numId w:val="20"/>
        </w:numPr>
        <w:tabs>
          <w:tab w:val="clear" w:pos="720"/>
          <w:tab w:val="num" w:pos="360"/>
        </w:tabs>
        <w:spacing w:line="360" w:lineRule="auto"/>
        <w:ind w:left="360"/>
        <w:jc w:val="both"/>
        <w:rPr>
          <w:b/>
          <w:lang w:val="en-GB"/>
        </w:rPr>
      </w:pPr>
      <w:r w:rsidRPr="00D034FF">
        <w:rPr>
          <w:b/>
          <w:bCs/>
          <w:lang w:val="en-GB"/>
        </w:rPr>
        <w:t>The freedom to transfer the place of business might have some social dumping effects</w:t>
      </w:r>
      <w:r w:rsidRPr="00D034FF">
        <w:rPr>
          <w:bCs/>
          <w:lang w:val="en-GB"/>
        </w:rPr>
        <w:t xml:space="preserve"> </w:t>
      </w:r>
      <w:r w:rsidR="009878E5" w:rsidRPr="00D034FF">
        <w:rPr>
          <w:b/>
        </w:rPr>
        <w:sym w:font="Wingdings" w:char="F0E0"/>
      </w:r>
      <w:r w:rsidR="009878E5" w:rsidRPr="00D034FF">
        <w:rPr>
          <w:b/>
        </w:rPr>
        <w:t xml:space="preserve"> </w:t>
      </w:r>
      <w:r w:rsidRPr="00D034FF">
        <w:rPr>
          <w:lang w:val="en-GB"/>
        </w:rPr>
        <w:t>risk that the Treaty free movement rights might lead to social dumping and generally a race to the bottom of workers’ rights. This risk is enhanced by the possibility for businesses to provide services in another Member States whilst using their own labour force (so called posting of workers).</w:t>
      </w:r>
      <w:r w:rsidRPr="00D034FF">
        <w:rPr>
          <w:b/>
          <w:lang w:val="en-GB"/>
        </w:rPr>
        <w:t xml:space="preserve"> </w:t>
      </w:r>
      <w:r w:rsidRPr="00D034FF">
        <w:rPr>
          <w:lang w:val="en-GB"/>
        </w:rPr>
        <w:t xml:space="preserve">In order to avoid the possibility of excessive’ social dumping, Directive 96/71 (posted workers directive) allows the host Member State to apply some of its own labour legislation (including minimum wages) to host companies providing services in their territory whilst using their own labour force. </w:t>
      </w:r>
    </w:p>
    <w:p w14:paraId="44592B6C" w14:textId="77777777" w:rsidR="00FA7223" w:rsidRPr="00D034FF" w:rsidRDefault="00FA7223" w:rsidP="00D034FF">
      <w:pPr>
        <w:spacing w:line="360" w:lineRule="auto"/>
        <w:jc w:val="both"/>
        <w:rPr>
          <w:lang w:val="en-GB"/>
        </w:rPr>
      </w:pPr>
    </w:p>
    <w:p w14:paraId="2BE3ABBF" w14:textId="77777777" w:rsidR="00FA7223" w:rsidRPr="00D034FF" w:rsidRDefault="00FA7223" w:rsidP="00D034FF">
      <w:pPr>
        <w:spacing w:line="360" w:lineRule="auto"/>
        <w:ind w:left="360"/>
        <w:jc w:val="both"/>
        <w:rPr>
          <w:b/>
          <w:lang w:val="en-GB"/>
        </w:rPr>
      </w:pPr>
      <w:r w:rsidRPr="00D034FF">
        <w:rPr>
          <w:lang w:val="en-GB"/>
        </w:rPr>
        <w:t>Whilst pre-enlargement there had been very limited problems with social dumping (relocation was comparatively rare and not always towards the less regulated Member States), post-enlargement there is evidence suggesting this might become a problem given the significant differences in economic conditions between the EU8 + 2 (i.e. the Member States that joined in the 2004 enlargement minus Cyprus and Malta</w:t>
      </w:r>
      <w:r w:rsidR="002428D4" w:rsidRPr="00D034FF">
        <w:rPr>
          <w:lang w:val="en-GB"/>
        </w:rPr>
        <w:t>;</w:t>
      </w:r>
      <w:r w:rsidRPr="00D034FF">
        <w:rPr>
          <w:lang w:val="en-GB"/>
        </w:rPr>
        <w:t xml:space="preserve"> and Bulgaria and Romania). In particular two issues have recently been the subject of litigation in front of the ECJ:</w:t>
      </w:r>
    </w:p>
    <w:p w14:paraId="58408C3C" w14:textId="77777777" w:rsidR="00FA7223" w:rsidRPr="00D034FF" w:rsidRDefault="00FA7223" w:rsidP="00D034FF">
      <w:pPr>
        <w:spacing w:line="360" w:lineRule="auto"/>
        <w:jc w:val="both"/>
        <w:rPr>
          <w:b/>
          <w:lang w:val="en-GB"/>
        </w:rPr>
      </w:pPr>
    </w:p>
    <w:p w14:paraId="3F50CF6F" w14:textId="77777777" w:rsidR="00FA7223" w:rsidRPr="00D034FF" w:rsidRDefault="00FA7223" w:rsidP="00D034FF">
      <w:pPr>
        <w:numPr>
          <w:ilvl w:val="0"/>
          <w:numId w:val="21"/>
        </w:numPr>
        <w:tabs>
          <w:tab w:val="num" w:pos="1260"/>
        </w:tabs>
        <w:spacing w:line="360" w:lineRule="auto"/>
        <w:jc w:val="both"/>
        <w:rPr>
          <w:lang w:val="en-GB"/>
        </w:rPr>
      </w:pPr>
      <w:r w:rsidRPr="00D034FF">
        <w:rPr>
          <w:lang w:val="en-GB"/>
        </w:rPr>
        <w:t xml:space="preserve">The extent to which workers can engage in cross-border industrial action to attempt to block the relocation of business </w:t>
      </w:r>
      <w:r w:rsidRPr="00D034FF">
        <w:sym w:font="Wingdings" w:char="F0E0"/>
      </w:r>
      <w:r w:rsidRPr="00D034FF">
        <w:rPr>
          <w:lang w:val="en-GB"/>
        </w:rPr>
        <w:t xml:space="preserve"> **Case C-438/05 </w:t>
      </w:r>
      <w:r w:rsidRPr="00D034FF">
        <w:rPr>
          <w:i/>
          <w:lang w:val="en-GB"/>
        </w:rPr>
        <w:t>Viking</w:t>
      </w:r>
      <w:r w:rsidR="002428D4" w:rsidRPr="00D034FF">
        <w:rPr>
          <w:lang w:val="en-GB"/>
        </w:rPr>
        <w:t xml:space="preserve"> [2007] ECR I-10779.</w:t>
      </w:r>
    </w:p>
    <w:p w14:paraId="1A32B5E9" w14:textId="77777777" w:rsidR="00B5675C" w:rsidRPr="00D034FF" w:rsidRDefault="00FA7223" w:rsidP="00D034FF">
      <w:pPr>
        <w:numPr>
          <w:ilvl w:val="0"/>
          <w:numId w:val="21"/>
        </w:numPr>
        <w:tabs>
          <w:tab w:val="num" w:pos="1260"/>
        </w:tabs>
        <w:spacing w:line="360" w:lineRule="auto"/>
        <w:jc w:val="both"/>
        <w:rPr>
          <w:lang w:val="en-GB"/>
        </w:rPr>
      </w:pPr>
      <w:r w:rsidRPr="00D034FF">
        <w:rPr>
          <w:lang w:val="en-GB"/>
        </w:rPr>
        <w:lastRenderedPageBreak/>
        <w:t xml:space="preserve">And the extent to which workers can engage in industrial action in order to enforce ‘standard’ working conditions in relation to a host-company </w:t>
      </w:r>
      <w:r w:rsidRPr="00D034FF">
        <w:sym w:font="Wingdings" w:char="F0E0"/>
      </w:r>
      <w:r w:rsidRPr="00D034FF">
        <w:rPr>
          <w:lang w:val="en-GB"/>
        </w:rPr>
        <w:t xml:space="preserve"> **Case C-341/05 </w:t>
      </w:r>
      <w:r w:rsidRPr="00D034FF">
        <w:rPr>
          <w:i/>
          <w:lang w:val="en-GB"/>
        </w:rPr>
        <w:t>Laval</w:t>
      </w:r>
      <w:r w:rsidR="002428D4" w:rsidRPr="00D034FF">
        <w:rPr>
          <w:lang w:val="en-GB"/>
        </w:rPr>
        <w:t xml:space="preserve"> [2007] ECR I-11767</w:t>
      </w:r>
      <w:r w:rsidRPr="00D034FF">
        <w:rPr>
          <w:lang w:val="en-GB"/>
        </w:rPr>
        <w:t>.</w:t>
      </w:r>
    </w:p>
    <w:p w14:paraId="4E8321C6" w14:textId="5BEBF9E7" w:rsidR="00C759C7" w:rsidRPr="00C759C7" w:rsidRDefault="00C759C7" w:rsidP="00C759C7">
      <w:pPr>
        <w:tabs>
          <w:tab w:val="num" w:pos="720"/>
        </w:tabs>
        <w:spacing w:line="360" w:lineRule="auto"/>
        <w:jc w:val="both"/>
        <w:rPr>
          <w:lang w:val="en-GB"/>
        </w:rPr>
      </w:pPr>
    </w:p>
    <w:sectPr w:rsidR="00C759C7" w:rsidRPr="00C759C7">
      <w:footerReference w:type="even" r:id="rId12"/>
      <w:footerReference w:type="default" r:id="rId1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353847" w14:textId="77777777" w:rsidR="00254834" w:rsidRDefault="00254834">
      <w:r>
        <w:separator/>
      </w:r>
    </w:p>
  </w:endnote>
  <w:endnote w:type="continuationSeparator" w:id="0">
    <w:p w14:paraId="20F6AD8F" w14:textId="77777777" w:rsidR="00254834" w:rsidRDefault="002548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C87004" w14:textId="77777777" w:rsidR="008A2825" w:rsidRDefault="008A282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B7E08FE" w14:textId="77777777" w:rsidR="008A2825" w:rsidRDefault="008A28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567223" w14:textId="77777777" w:rsidR="008A2825" w:rsidRDefault="008A282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147C3">
      <w:rPr>
        <w:rStyle w:val="PageNumber"/>
        <w:noProof/>
      </w:rPr>
      <w:t>1</w:t>
    </w:r>
    <w:r>
      <w:rPr>
        <w:rStyle w:val="PageNumber"/>
      </w:rPr>
      <w:fldChar w:fldCharType="end"/>
    </w:r>
  </w:p>
  <w:p w14:paraId="40658CE5" w14:textId="77777777" w:rsidR="008A2825" w:rsidRDefault="008A28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B80B68" w14:textId="77777777" w:rsidR="00254834" w:rsidRDefault="00254834">
      <w:r>
        <w:separator/>
      </w:r>
    </w:p>
  </w:footnote>
  <w:footnote w:type="continuationSeparator" w:id="0">
    <w:p w14:paraId="271989D9" w14:textId="77777777" w:rsidR="00254834" w:rsidRDefault="002548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CB1ECC6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645242"/>
    <w:multiLevelType w:val="multilevel"/>
    <w:tmpl w:val="D76CFFB4"/>
    <w:lvl w:ilvl="0">
      <w:start w:val="2"/>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6D8494D"/>
    <w:multiLevelType w:val="hybridMultilevel"/>
    <w:tmpl w:val="0A1422D0"/>
    <w:lvl w:ilvl="0" w:tplc="C338EEB2">
      <w:start w:val="1"/>
      <w:numFmt w:val="decimal"/>
      <w:lvlText w:val="%1."/>
      <w:lvlJc w:val="left"/>
      <w:pPr>
        <w:tabs>
          <w:tab w:val="num" w:pos="1065"/>
        </w:tabs>
        <w:ind w:left="1065" w:hanging="705"/>
      </w:pPr>
      <w:rPr>
        <w:rFonts w:hint="default"/>
      </w:rPr>
    </w:lvl>
    <w:lvl w:ilvl="1" w:tplc="04100005">
      <w:start w:val="1"/>
      <w:numFmt w:val="bullet"/>
      <w:lvlText w:val=""/>
      <w:lvlJc w:val="left"/>
      <w:pPr>
        <w:tabs>
          <w:tab w:val="num" w:pos="1440"/>
        </w:tabs>
        <w:ind w:left="1440" w:hanging="360"/>
      </w:pPr>
      <w:rPr>
        <w:rFonts w:ascii="Wingdings" w:hAnsi="Wingdings" w:hint="default"/>
      </w:rPr>
    </w:lvl>
    <w:lvl w:ilvl="2" w:tplc="C9381238">
      <w:start w:val="1"/>
      <w:numFmt w:val="lowerRoman"/>
      <w:lvlText w:val="(%3)"/>
      <w:lvlJc w:val="left"/>
      <w:pPr>
        <w:tabs>
          <w:tab w:val="num" w:pos="2700"/>
        </w:tabs>
        <w:ind w:left="2700" w:hanging="720"/>
      </w:pPr>
      <w:rPr>
        <w:rFonts w:hint="default"/>
      </w:rPr>
    </w:lvl>
    <w:lvl w:ilvl="3" w:tplc="0410000F">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 w15:restartNumberingAfterBreak="0">
    <w:nsid w:val="06F763E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A8B2F32"/>
    <w:multiLevelType w:val="hybridMultilevel"/>
    <w:tmpl w:val="5EF6864A"/>
    <w:lvl w:ilvl="0" w:tplc="DC227D10">
      <w:start w:val="1"/>
      <w:numFmt w:val="lowerRoman"/>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C472AD2"/>
    <w:multiLevelType w:val="hybridMultilevel"/>
    <w:tmpl w:val="A89E23EA"/>
    <w:lvl w:ilvl="0" w:tplc="CBB6B596">
      <w:start w:val="1"/>
      <w:numFmt w:val="lowerRoman"/>
      <w:lvlText w:val="(%1)"/>
      <w:lvlJc w:val="left"/>
      <w:pPr>
        <w:tabs>
          <w:tab w:val="num" w:pos="1428"/>
        </w:tabs>
        <w:ind w:left="1428" w:hanging="720"/>
      </w:pPr>
      <w:rPr>
        <w:rFonts w:hint="default"/>
        <w:b w:val="0"/>
      </w:rPr>
    </w:lvl>
    <w:lvl w:ilvl="1" w:tplc="04100019" w:tentative="1">
      <w:start w:val="1"/>
      <w:numFmt w:val="lowerLetter"/>
      <w:lvlText w:val="%2."/>
      <w:lvlJc w:val="left"/>
      <w:pPr>
        <w:tabs>
          <w:tab w:val="num" w:pos="1788"/>
        </w:tabs>
        <w:ind w:left="1788" w:hanging="360"/>
      </w:pPr>
    </w:lvl>
    <w:lvl w:ilvl="2" w:tplc="0410001B" w:tentative="1">
      <w:start w:val="1"/>
      <w:numFmt w:val="lowerRoman"/>
      <w:lvlText w:val="%3."/>
      <w:lvlJc w:val="right"/>
      <w:pPr>
        <w:tabs>
          <w:tab w:val="num" w:pos="2508"/>
        </w:tabs>
        <w:ind w:left="2508" w:hanging="180"/>
      </w:pPr>
    </w:lvl>
    <w:lvl w:ilvl="3" w:tplc="0410000F" w:tentative="1">
      <w:start w:val="1"/>
      <w:numFmt w:val="decimal"/>
      <w:lvlText w:val="%4."/>
      <w:lvlJc w:val="left"/>
      <w:pPr>
        <w:tabs>
          <w:tab w:val="num" w:pos="3228"/>
        </w:tabs>
        <w:ind w:left="3228" w:hanging="360"/>
      </w:pPr>
    </w:lvl>
    <w:lvl w:ilvl="4" w:tplc="04100019" w:tentative="1">
      <w:start w:val="1"/>
      <w:numFmt w:val="lowerLetter"/>
      <w:lvlText w:val="%5."/>
      <w:lvlJc w:val="left"/>
      <w:pPr>
        <w:tabs>
          <w:tab w:val="num" w:pos="3948"/>
        </w:tabs>
        <w:ind w:left="3948" w:hanging="360"/>
      </w:pPr>
    </w:lvl>
    <w:lvl w:ilvl="5" w:tplc="0410001B" w:tentative="1">
      <w:start w:val="1"/>
      <w:numFmt w:val="lowerRoman"/>
      <w:lvlText w:val="%6."/>
      <w:lvlJc w:val="right"/>
      <w:pPr>
        <w:tabs>
          <w:tab w:val="num" w:pos="4668"/>
        </w:tabs>
        <w:ind w:left="4668" w:hanging="180"/>
      </w:pPr>
    </w:lvl>
    <w:lvl w:ilvl="6" w:tplc="0410000F" w:tentative="1">
      <w:start w:val="1"/>
      <w:numFmt w:val="decimal"/>
      <w:lvlText w:val="%7."/>
      <w:lvlJc w:val="left"/>
      <w:pPr>
        <w:tabs>
          <w:tab w:val="num" w:pos="5388"/>
        </w:tabs>
        <w:ind w:left="5388" w:hanging="360"/>
      </w:pPr>
    </w:lvl>
    <w:lvl w:ilvl="7" w:tplc="04100019" w:tentative="1">
      <w:start w:val="1"/>
      <w:numFmt w:val="lowerLetter"/>
      <w:lvlText w:val="%8."/>
      <w:lvlJc w:val="left"/>
      <w:pPr>
        <w:tabs>
          <w:tab w:val="num" w:pos="6108"/>
        </w:tabs>
        <w:ind w:left="6108" w:hanging="360"/>
      </w:pPr>
    </w:lvl>
    <w:lvl w:ilvl="8" w:tplc="0410001B" w:tentative="1">
      <w:start w:val="1"/>
      <w:numFmt w:val="lowerRoman"/>
      <w:lvlText w:val="%9."/>
      <w:lvlJc w:val="right"/>
      <w:pPr>
        <w:tabs>
          <w:tab w:val="num" w:pos="6828"/>
        </w:tabs>
        <w:ind w:left="6828" w:hanging="180"/>
      </w:pPr>
    </w:lvl>
  </w:abstractNum>
  <w:abstractNum w:abstractNumId="6" w15:restartNumberingAfterBreak="0">
    <w:nsid w:val="0D3C586C"/>
    <w:multiLevelType w:val="hybridMultilevel"/>
    <w:tmpl w:val="B9EC40B4"/>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BC60C6"/>
    <w:multiLevelType w:val="hybridMultilevel"/>
    <w:tmpl w:val="6DB6531E"/>
    <w:lvl w:ilvl="0" w:tplc="CE8E9666">
      <w:start w:val="1"/>
      <w:numFmt w:val="lowerRoman"/>
      <w:lvlText w:val="(%1)"/>
      <w:lvlJc w:val="left"/>
      <w:pPr>
        <w:tabs>
          <w:tab w:val="num" w:pos="1080"/>
        </w:tabs>
        <w:ind w:left="1080" w:hanging="720"/>
      </w:pPr>
      <w:rPr>
        <w:rFonts w:hint="default"/>
      </w:rPr>
    </w:lvl>
    <w:lvl w:ilvl="1" w:tplc="04100005">
      <w:start w:val="1"/>
      <w:numFmt w:val="bullet"/>
      <w:lvlText w:val=""/>
      <w:lvlJc w:val="left"/>
      <w:pPr>
        <w:tabs>
          <w:tab w:val="num" w:pos="1440"/>
        </w:tabs>
        <w:ind w:left="1440" w:hanging="360"/>
      </w:pPr>
      <w:rPr>
        <w:rFonts w:ascii="Wingdings" w:hAnsi="Wingdings"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8" w15:restartNumberingAfterBreak="0">
    <w:nsid w:val="1D99390F"/>
    <w:multiLevelType w:val="hybridMultilevel"/>
    <w:tmpl w:val="7734A49A"/>
    <w:lvl w:ilvl="0" w:tplc="08090001">
      <w:start w:val="1"/>
      <w:numFmt w:val="bullet"/>
      <w:lvlText w:val=""/>
      <w:lvlJc w:val="left"/>
      <w:pPr>
        <w:tabs>
          <w:tab w:val="num" w:pos="780"/>
        </w:tabs>
        <w:ind w:left="780" w:hanging="360"/>
      </w:pPr>
      <w:rPr>
        <w:rFonts w:ascii="Symbol" w:hAnsi="Symbol" w:hint="default"/>
      </w:rPr>
    </w:lvl>
    <w:lvl w:ilvl="1" w:tplc="08090003" w:tentative="1">
      <w:start w:val="1"/>
      <w:numFmt w:val="bullet"/>
      <w:lvlText w:val="o"/>
      <w:lvlJc w:val="left"/>
      <w:pPr>
        <w:tabs>
          <w:tab w:val="num" w:pos="1500"/>
        </w:tabs>
        <w:ind w:left="1500" w:hanging="360"/>
      </w:pPr>
      <w:rPr>
        <w:rFonts w:ascii="Courier New" w:hAnsi="Courier New" w:cs="Courier New" w:hint="default"/>
      </w:rPr>
    </w:lvl>
    <w:lvl w:ilvl="2" w:tplc="08090005" w:tentative="1">
      <w:start w:val="1"/>
      <w:numFmt w:val="bullet"/>
      <w:lvlText w:val=""/>
      <w:lvlJc w:val="left"/>
      <w:pPr>
        <w:tabs>
          <w:tab w:val="num" w:pos="2220"/>
        </w:tabs>
        <w:ind w:left="2220" w:hanging="360"/>
      </w:pPr>
      <w:rPr>
        <w:rFonts w:ascii="Wingdings" w:hAnsi="Wingdings" w:hint="default"/>
      </w:rPr>
    </w:lvl>
    <w:lvl w:ilvl="3" w:tplc="08090001" w:tentative="1">
      <w:start w:val="1"/>
      <w:numFmt w:val="bullet"/>
      <w:lvlText w:val=""/>
      <w:lvlJc w:val="left"/>
      <w:pPr>
        <w:tabs>
          <w:tab w:val="num" w:pos="2940"/>
        </w:tabs>
        <w:ind w:left="2940" w:hanging="360"/>
      </w:pPr>
      <w:rPr>
        <w:rFonts w:ascii="Symbol" w:hAnsi="Symbol" w:hint="default"/>
      </w:rPr>
    </w:lvl>
    <w:lvl w:ilvl="4" w:tplc="08090003" w:tentative="1">
      <w:start w:val="1"/>
      <w:numFmt w:val="bullet"/>
      <w:lvlText w:val="o"/>
      <w:lvlJc w:val="left"/>
      <w:pPr>
        <w:tabs>
          <w:tab w:val="num" w:pos="3660"/>
        </w:tabs>
        <w:ind w:left="3660" w:hanging="360"/>
      </w:pPr>
      <w:rPr>
        <w:rFonts w:ascii="Courier New" w:hAnsi="Courier New" w:cs="Courier New" w:hint="default"/>
      </w:rPr>
    </w:lvl>
    <w:lvl w:ilvl="5" w:tplc="08090005" w:tentative="1">
      <w:start w:val="1"/>
      <w:numFmt w:val="bullet"/>
      <w:lvlText w:val=""/>
      <w:lvlJc w:val="left"/>
      <w:pPr>
        <w:tabs>
          <w:tab w:val="num" w:pos="4380"/>
        </w:tabs>
        <w:ind w:left="4380" w:hanging="360"/>
      </w:pPr>
      <w:rPr>
        <w:rFonts w:ascii="Wingdings" w:hAnsi="Wingdings" w:hint="default"/>
      </w:rPr>
    </w:lvl>
    <w:lvl w:ilvl="6" w:tplc="08090001" w:tentative="1">
      <w:start w:val="1"/>
      <w:numFmt w:val="bullet"/>
      <w:lvlText w:val=""/>
      <w:lvlJc w:val="left"/>
      <w:pPr>
        <w:tabs>
          <w:tab w:val="num" w:pos="5100"/>
        </w:tabs>
        <w:ind w:left="5100" w:hanging="360"/>
      </w:pPr>
      <w:rPr>
        <w:rFonts w:ascii="Symbol" w:hAnsi="Symbol" w:hint="default"/>
      </w:rPr>
    </w:lvl>
    <w:lvl w:ilvl="7" w:tplc="08090003" w:tentative="1">
      <w:start w:val="1"/>
      <w:numFmt w:val="bullet"/>
      <w:lvlText w:val="o"/>
      <w:lvlJc w:val="left"/>
      <w:pPr>
        <w:tabs>
          <w:tab w:val="num" w:pos="5820"/>
        </w:tabs>
        <w:ind w:left="5820" w:hanging="360"/>
      </w:pPr>
      <w:rPr>
        <w:rFonts w:ascii="Courier New" w:hAnsi="Courier New" w:cs="Courier New" w:hint="default"/>
      </w:rPr>
    </w:lvl>
    <w:lvl w:ilvl="8" w:tplc="08090005" w:tentative="1">
      <w:start w:val="1"/>
      <w:numFmt w:val="bullet"/>
      <w:lvlText w:val=""/>
      <w:lvlJc w:val="left"/>
      <w:pPr>
        <w:tabs>
          <w:tab w:val="num" w:pos="6540"/>
        </w:tabs>
        <w:ind w:left="6540" w:hanging="360"/>
      </w:pPr>
      <w:rPr>
        <w:rFonts w:ascii="Wingdings" w:hAnsi="Wingdings" w:hint="default"/>
      </w:rPr>
    </w:lvl>
  </w:abstractNum>
  <w:abstractNum w:abstractNumId="9" w15:restartNumberingAfterBreak="0">
    <w:nsid w:val="1E4B5D4F"/>
    <w:multiLevelType w:val="multilevel"/>
    <w:tmpl w:val="C6ECFB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ED93406"/>
    <w:multiLevelType w:val="hybridMultilevel"/>
    <w:tmpl w:val="A78E7492"/>
    <w:lvl w:ilvl="0" w:tplc="0410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707D7F"/>
    <w:multiLevelType w:val="hybridMultilevel"/>
    <w:tmpl w:val="C6B493A2"/>
    <w:lvl w:ilvl="0" w:tplc="9AEE32C2">
      <w:start w:val="1"/>
      <w:numFmt w:val="lowerRoman"/>
      <w:lvlText w:val="(%1)"/>
      <w:lvlJc w:val="left"/>
      <w:pPr>
        <w:tabs>
          <w:tab w:val="num" w:pos="1080"/>
        </w:tabs>
        <w:ind w:left="1080" w:hanging="720"/>
      </w:pPr>
      <w:rPr>
        <w:rFonts w:hint="default"/>
      </w:rPr>
    </w:lvl>
    <w:lvl w:ilvl="1" w:tplc="04100005">
      <w:start w:val="1"/>
      <w:numFmt w:val="bullet"/>
      <w:lvlText w:val=""/>
      <w:lvlJc w:val="left"/>
      <w:pPr>
        <w:tabs>
          <w:tab w:val="num" w:pos="1440"/>
        </w:tabs>
        <w:ind w:left="1440" w:hanging="360"/>
      </w:pPr>
      <w:rPr>
        <w:rFonts w:ascii="Wingdings" w:hAnsi="Wingdings"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2" w15:restartNumberingAfterBreak="0">
    <w:nsid w:val="21E92956"/>
    <w:multiLevelType w:val="hybridMultilevel"/>
    <w:tmpl w:val="2BB414E0"/>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F803E4"/>
    <w:multiLevelType w:val="hybridMultilevel"/>
    <w:tmpl w:val="002E2432"/>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8CC678F"/>
    <w:multiLevelType w:val="hybridMultilevel"/>
    <w:tmpl w:val="4EFC6CC4"/>
    <w:lvl w:ilvl="0" w:tplc="04100005">
      <w:start w:val="1"/>
      <w:numFmt w:val="bullet"/>
      <w:lvlText w:val=""/>
      <w:lvlJc w:val="left"/>
      <w:pPr>
        <w:tabs>
          <w:tab w:val="num" w:pos="765"/>
        </w:tabs>
        <w:ind w:left="765" w:hanging="360"/>
      </w:pPr>
      <w:rPr>
        <w:rFonts w:ascii="Wingdings" w:hAnsi="Wingdings" w:hint="default"/>
      </w:rPr>
    </w:lvl>
    <w:lvl w:ilvl="1" w:tplc="04100003" w:tentative="1">
      <w:start w:val="1"/>
      <w:numFmt w:val="bullet"/>
      <w:lvlText w:val="o"/>
      <w:lvlJc w:val="left"/>
      <w:pPr>
        <w:tabs>
          <w:tab w:val="num" w:pos="1485"/>
        </w:tabs>
        <w:ind w:left="1485" w:hanging="360"/>
      </w:pPr>
      <w:rPr>
        <w:rFonts w:ascii="Courier New" w:hAnsi="Courier New" w:hint="default"/>
      </w:rPr>
    </w:lvl>
    <w:lvl w:ilvl="2" w:tplc="04100005" w:tentative="1">
      <w:start w:val="1"/>
      <w:numFmt w:val="bullet"/>
      <w:lvlText w:val=""/>
      <w:lvlJc w:val="left"/>
      <w:pPr>
        <w:tabs>
          <w:tab w:val="num" w:pos="2205"/>
        </w:tabs>
        <w:ind w:left="2205" w:hanging="360"/>
      </w:pPr>
      <w:rPr>
        <w:rFonts w:ascii="Wingdings" w:hAnsi="Wingdings" w:hint="default"/>
      </w:rPr>
    </w:lvl>
    <w:lvl w:ilvl="3" w:tplc="04100001" w:tentative="1">
      <w:start w:val="1"/>
      <w:numFmt w:val="bullet"/>
      <w:lvlText w:val=""/>
      <w:lvlJc w:val="left"/>
      <w:pPr>
        <w:tabs>
          <w:tab w:val="num" w:pos="2925"/>
        </w:tabs>
        <w:ind w:left="2925" w:hanging="360"/>
      </w:pPr>
      <w:rPr>
        <w:rFonts w:ascii="Symbol" w:hAnsi="Symbol" w:hint="default"/>
      </w:rPr>
    </w:lvl>
    <w:lvl w:ilvl="4" w:tplc="04100003" w:tentative="1">
      <w:start w:val="1"/>
      <w:numFmt w:val="bullet"/>
      <w:lvlText w:val="o"/>
      <w:lvlJc w:val="left"/>
      <w:pPr>
        <w:tabs>
          <w:tab w:val="num" w:pos="3645"/>
        </w:tabs>
        <w:ind w:left="3645" w:hanging="360"/>
      </w:pPr>
      <w:rPr>
        <w:rFonts w:ascii="Courier New" w:hAnsi="Courier New" w:hint="default"/>
      </w:rPr>
    </w:lvl>
    <w:lvl w:ilvl="5" w:tplc="04100005" w:tentative="1">
      <w:start w:val="1"/>
      <w:numFmt w:val="bullet"/>
      <w:lvlText w:val=""/>
      <w:lvlJc w:val="left"/>
      <w:pPr>
        <w:tabs>
          <w:tab w:val="num" w:pos="4365"/>
        </w:tabs>
        <w:ind w:left="4365" w:hanging="360"/>
      </w:pPr>
      <w:rPr>
        <w:rFonts w:ascii="Wingdings" w:hAnsi="Wingdings" w:hint="default"/>
      </w:rPr>
    </w:lvl>
    <w:lvl w:ilvl="6" w:tplc="04100001" w:tentative="1">
      <w:start w:val="1"/>
      <w:numFmt w:val="bullet"/>
      <w:lvlText w:val=""/>
      <w:lvlJc w:val="left"/>
      <w:pPr>
        <w:tabs>
          <w:tab w:val="num" w:pos="5085"/>
        </w:tabs>
        <w:ind w:left="5085" w:hanging="360"/>
      </w:pPr>
      <w:rPr>
        <w:rFonts w:ascii="Symbol" w:hAnsi="Symbol" w:hint="default"/>
      </w:rPr>
    </w:lvl>
    <w:lvl w:ilvl="7" w:tplc="04100003" w:tentative="1">
      <w:start w:val="1"/>
      <w:numFmt w:val="bullet"/>
      <w:lvlText w:val="o"/>
      <w:lvlJc w:val="left"/>
      <w:pPr>
        <w:tabs>
          <w:tab w:val="num" w:pos="5805"/>
        </w:tabs>
        <w:ind w:left="5805" w:hanging="360"/>
      </w:pPr>
      <w:rPr>
        <w:rFonts w:ascii="Courier New" w:hAnsi="Courier New" w:hint="default"/>
      </w:rPr>
    </w:lvl>
    <w:lvl w:ilvl="8" w:tplc="04100005" w:tentative="1">
      <w:start w:val="1"/>
      <w:numFmt w:val="bullet"/>
      <w:lvlText w:val=""/>
      <w:lvlJc w:val="left"/>
      <w:pPr>
        <w:tabs>
          <w:tab w:val="num" w:pos="6525"/>
        </w:tabs>
        <w:ind w:left="6525" w:hanging="360"/>
      </w:pPr>
      <w:rPr>
        <w:rFonts w:ascii="Wingdings" w:hAnsi="Wingdings" w:hint="default"/>
      </w:rPr>
    </w:lvl>
  </w:abstractNum>
  <w:abstractNum w:abstractNumId="15" w15:restartNumberingAfterBreak="0">
    <w:nsid w:val="2A621B5D"/>
    <w:multiLevelType w:val="hybridMultilevel"/>
    <w:tmpl w:val="C6ECF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552038"/>
    <w:multiLevelType w:val="hybridMultilevel"/>
    <w:tmpl w:val="ECDEB4C8"/>
    <w:lvl w:ilvl="0" w:tplc="08090015">
      <w:start w:val="1"/>
      <w:numFmt w:val="upperLetter"/>
      <w:lvlText w:val="%1."/>
      <w:lvlJc w:val="left"/>
      <w:pPr>
        <w:ind w:left="1065" w:hanging="360"/>
      </w:pPr>
      <w:rPr>
        <w:rFonts w:hint="default"/>
      </w:rPr>
    </w:lvl>
    <w:lvl w:ilvl="1" w:tplc="08090019" w:tentative="1">
      <w:start w:val="1"/>
      <w:numFmt w:val="lowerLetter"/>
      <w:lvlText w:val="%2."/>
      <w:lvlJc w:val="left"/>
      <w:pPr>
        <w:ind w:left="1785" w:hanging="360"/>
      </w:pPr>
    </w:lvl>
    <w:lvl w:ilvl="2" w:tplc="0809001B" w:tentative="1">
      <w:start w:val="1"/>
      <w:numFmt w:val="lowerRoman"/>
      <w:lvlText w:val="%3."/>
      <w:lvlJc w:val="right"/>
      <w:pPr>
        <w:ind w:left="2505" w:hanging="180"/>
      </w:pPr>
    </w:lvl>
    <w:lvl w:ilvl="3" w:tplc="0809000F" w:tentative="1">
      <w:start w:val="1"/>
      <w:numFmt w:val="decimal"/>
      <w:lvlText w:val="%4."/>
      <w:lvlJc w:val="left"/>
      <w:pPr>
        <w:ind w:left="3225" w:hanging="360"/>
      </w:pPr>
    </w:lvl>
    <w:lvl w:ilvl="4" w:tplc="08090019" w:tentative="1">
      <w:start w:val="1"/>
      <w:numFmt w:val="lowerLetter"/>
      <w:lvlText w:val="%5."/>
      <w:lvlJc w:val="left"/>
      <w:pPr>
        <w:ind w:left="3945" w:hanging="360"/>
      </w:pPr>
    </w:lvl>
    <w:lvl w:ilvl="5" w:tplc="0809001B" w:tentative="1">
      <w:start w:val="1"/>
      <w:numFmt w:val="lowerRoman"/>
      <w:lvlText w:val="%6."/>
      <w:lvlJc w:val="right"/>
      <w:pPr>
        <w:ind w:left="4665" w:hanging="180"/>
      </w:pPr>
    </w:lvl>
    <w:lvl w:ilvl="6" w:tplc="0809000F" w:tentative="1">
      <w:start w:val="1"/>
      <w:numFmt w:val="decimal"/>
      <w:lvlText w:val="%7."/>
      <w:lvlJc w:val="left"/>
      <w:pPr>
        <w:ind w:left="5385" w:hanging="360"/>
      </w:pPr>
    </w:lvl>
    <w:lvl w:ilvl="7" w:tplc="08090019" w:tentative="1">
      <w:start w:val="1"/>
      <w:numFmt w:val="lowerLetter"/>
      <w:lvlText w:val="%8."/>
      <w:lvlJc w:val="left"/>
      <w:pPr>
        <w:ind w:left="6105" w:hanging="360"/>
      </w:pPr>
    </w:lvl>
    <w:lvl w:ilvl="8" w:tplc="0809001B" w:tentative="1">
      <w:start w:val="1"/>
      <w:numFmt w:val="lowerRoman"/>
      <w:lvlText w:val="%9."/>
      <w:lvlJc w:val="right"/>
      <w:pPr>
        <w:ind w:left="6825" w:hanging="180"/>
      </w:pPr>
    </w:lvl>
  </w:abstractNum>
  <w:abstractNum w:abstractNumId="17" w15:restartNumberingAfterBreak="0">
    <w:nsid w:val="2B6D27DF"/>
    <w:multiLevelType w:val="hybridMultilevel"/>
    <w:tmpl w:val="1DC68DCA"/>
    <w:lvl w:ilvl="0" w:tplc="509243C4">
      <w:start w:val="1"/>
      <w:numFmt w:val="lowerRoman"/>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2C4509B0"/>
    <w:multiLevelType w:val="hybridMultilevel"/>
    <w:tmpl w:val="A1641BB0"/>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E082DD4"/>
    <w:multiLevelType w:val="hybridMultilevel"/>
    <w:tmpl w:val="FED603C6"/>
    <w:lvl w:ilvl="0" w:tplc="0410000F">
      <w:start w:val="1"/>
      <w:numFmt w:val="decimal"/>
      <w:lvlText w:val="%1."/>
      <w:lvlJc w:val="left"/>
      <w:pPr>
        <w:tabs>
          <w:tab w:val="num" w:pos="720"/>
        </w:tabs>
        <w:ind w:left="720" w:hanging="360"/>
      </w:pPr>
      <w:rPr>
        <w:rFonts w:hint="default"/>
      </w:rPr>
    </w:lvl>
    <w:lvl w:ilvl="1" w:tplc="11B80BB6">
      <w:start w:val="1"/>
      <w:numFmt w:val="lowerRoman"/>
      <w:lvlText w:val="(%2)"/>
      <w:lvlJc w:val="left"/>
      <w:pPr>
        <w:tabs>
          <w:tab w:val="num" w:pos="1800"/>
        </w:tabs>
        <w:ind w:left="1800" w:hanging="720"/>
      </w:pPr>
      <w:rPr>
        <w:rFonts w:hint="default"/>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0" w15:restartNumberingAfterBreak="0">
    <w:nsid w:val="36564028"/>
    <w:multiLevelType w:val="hybridMultilevel"/>
    <w:tmpl w:val="F7947F30"/>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7AE5161"/>
    <w:multiLevelType w:val="hybridMultilevel"/>
    <w:tmpl w:val="6A98BA74"/>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CE01DDE"/>
    <w:multiLevelType w:val="hybridMultilevel"/>
    <w:tmpl w:val="5F7A4FFE"/>
    <w:lvl w:ilvl="0" w:tplc="0410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E0E6CF4"/>
    <w:multiLevelType w:val="hybridMultilevel"/>
    <w:tmpl w:val="85D4A366"/>
    <w:lvl w:ilvl="0" w:tplc="8DD82B84">
      <w:start w:val="1"/>
      <w:numFmt w:val="lowerRoman"/>
      <w:lvlText w:val="(%1)"/>
      <w:lvlJc w:val="left"/>
      <w:pPr>
        <w:tabs>
          <w:tab w:val="num" w:pos="1080"/>
        </w:tabs>
        <w:ind w:left="1080" w:hanging="720"/>
      </w:pPr>
      <w:rPr>
        <w:rFonts w:hint="default"/>
      </w:rPr>
    </w:lvl>
    <w:lvl w:ilvl="1" w:tplc="08090001">
      <w:start w:val="1"/>
      <w:numFmt w:val="bullet"/>
      <w:lvlText w:val=""/>
      <w:lvlJc w:val="left"/>
      <w:pPr>
        <w:tabs>
          <w:tab w:val="num" w:pos="1440"/>
        </w:tabs>
        <w:ind w:left="1440" w:hanging="360"/>
      </w:pPr>
      <w:rPr>
        <w:rFonts w:ascii="Symbol" w:hAnsi="Symbol"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4" w15:restartNumberingAfterBreak="0">
    <w:nsid w:val="3E882589"/>
    <w:multiLevelType w:val="hybridMultilevel"/>
    <w:tmpl w:val="57769AC0"/>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F4F6C93"/>
    <w:multiLevelType w:val="hybridMultilevel"/>
    <w:tmpl w:val="506A52EC"/>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FA01258"/>
    <w:multiLevelType w:val="hybridMultilevel"/>
    <w:tmpl w:val="E03266E2"/>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34A2559"/>
    <w:multiLevelType w:val="hybridMultilevel"/>
    <w:tmpl w:val="ED9AAA54"/>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4E42BEB"/>
    <w:multiLevelType w:val="hybridMultilevel"/>
    <w:tmpl w:val="2B388E92"/>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60916AC"/>
    <w:multiLevelType w:val="hybridMultilevel"/>
    <w:tmpl w:val="FE4A206A"/>
    <w:lvl w:ilvl="0" w:tplc="08090017">
      <w:start w:val="1"/>
      <w:numFmt w:val="lowerLetter"/>
      <w:lvlText w:val="%1)"/>
      <w:lvlJc w:val="left"/>
      <w:pPr>
        <w:tabs>
          <w:tab w:val="num" w:pos="1080"/>
        </w:tabs>
        <w:ind w:left="1080" w:hanging="360"/>
      </w:pPr>
      <w:rPr>
        <w:rFonts w:hint="default"/>
      </w:rPr>
    </w:lvl>
    <w:lvl w:ilvl="1" w:tplc="C6286E92">
      <w:start w:val="2"/>
      <w:numFmt w:val="lowerLetter"/>
      <w:lvlText w:val="(%2)"/>
      <w:lvlJc w:val="left"/>
      <w:pPr>
        <w:tabs>
          <w:tab w:val="num" w:pos="1800"/>
        </w:tabs>
        <w:ind w:left="1800" w:hanging="360"/>
      </w:pPr>
      <w:rPr>
        <w:rFonts w:hint="default"/>
      </w:r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30" w15:restartNumberingAfterBreak="0">
    <w:nsid w:val="48BA5501"/>
    <w:multiLevelType w:val="hybridMultilevel"/>
    <w:tmpl w:val="380C9B7C"/>
    <w:lvl w:ilvl="0" w:tplc="CBE24A2E">
      <w:start w:val="1"/>
      <w:numFmt w:val="lowerRoman"/>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1" w15:restartNumberingAfterBreak="0">
    <w:nsid w:val="494802B2"/>
    <w:multiLevelType w:val="hybridMultilevel"/>
    <w:tmpl w:val="1138D3F2"/>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C2B5922"/>
    <w:multiLevelType w:val="hybridMultilevel"/>
    <w:tmpl w:val="0FE2C2DC"/>
    <w:lvl w:ilvl="0" w:tplc="18F4982A">
      <w:start w:val="1"/>
      <w:numFmt w:val="lowerRoman"/>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3" w15:restartNumberingAfterBreak="0">
    <w:nsid w:val="4CCF6C0C"/>
    <w:multiLevelType w:val="hybridMultilevel"/>
    <w:tmpl w:val="C2AE1D4A"/>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DE87F7D"/>
    <w:multiLevelType w:val="hybridMultilevel"/>
    <w:tmpl w:val="63228CD0"/>
    <w:lvl w:ilvl="0" w:tplc="3E2221E2">
      <w:start w:val="1"/>
      <w:numFmt w:val="lowerRoman"/>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5" w15:restartNumberingAfterBreak="0">
    <w:nsid w:val="52F3057A"/>
    <w:multiLevelType w:val="multilevel"/>
    <w:tmpl w:val="8C4CD110"/>
    <w:lvl w:ilvl="0">
      <w:start w:val="2"/>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6" w15:restartNumberingAfterBreak="0">
    <w:nsid w:val="53150185"/>
    <w:multiLevelType w:val="hybridMultilevel"/>
    <w:tmpl w:val="CB6EE376"/>
    <w:lvl w:ilvl="0" w:tplc="97ECCB9A">
      <w:start w:val="1"/>
      <w:numFmt w:val="lowerRoman"/>
      <w:lvlText w:val="(%1)"/>
      <w:lvlJc w:val="left"/>
      <w:pPr>
        <w:tabs>
          <w:tab w:val="num" w:pos="1080"/>
        </w:tabs>
        <w:ind w:left="1080" w:hanging="720"/>
      </w:pPr>
      <w:rPr>
        <w:rFonts w:hint="default"/>
      </w:rPr>
    </w:lvl>
    <w:lvl w:ilvl="1" w:tplc="08090001">
      <w:start w:val="1"/>
      <w:numFmt w:val="bullet"/>
      <w:lvlText w:val=""/>
      <w:lvlJc w:val="left"/>
      <w:pPr>
        <w:tabs>
          <w:tab w:val="num" w:pos="1440"/>
        </w:tabs>
        <w:ind w:left="1440" w:hanging="360"/>
      </w:pPr>
      <w:rPr>
        <w:rFonts w:ascii="Symbol" w:hAnsi="Symbol"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7" w15:restartNumberingAfterBreak="0">
    <w:nsid w:val="53565260"/>
    <w:multiLevelType w:val="hybridMultilevel"/>
    <w:tmpl w:val="2D36EB90"/>
    <w:lvl w:ilvl="0" w:tplc="4B382B30">
      <w:start w:val="1"/>
      <w:numFmt w:val="decimal"/>
      <w:lvlText w:val="%1."/>
      <w:lvlJc w:val="left"/>
      <w:pPr>
        <w:tabs>
          <w:tab w:val="num" w:pos="1065"/>
        </w:tabs>
        <w:ind w:left="1065" w:hanging="705"/>
      </w:pPr>
      <w:rPr>
        <w:rFonts w:hint="default"/>
      </w:rPr>
    </w:lvl>
    <w:lvl w:ilvl="1" w:tplc="4ECEBEB0">
      <w:start w:val="1"/>
      <w:numFmt w:val="upperLetter"/>
      <w:lvlText w:val="%2."/>
      <w:lvlJc w:val="left"/>
      <w:pPr>
        <w:tabs>
          <w:tab w:val="num" w:pos="1440"/>
        </w:tabs>
        <w:ind w:left="1440" w:hanging="360"/>
      </w:pPr>
      <w:rPr>
        <w:rFonts w:hint="default"/>
      </w:rPr>
    </w:lvl>
    <w:lvl w:ilvl="2" w:tplc="04100005">
      <w:start w:val="1"/>
      <w:numFmt w:val="bullet"/>
      <w:lvlText w:val=""/>
      <w:lvlJc w:val="left"/>
      <w:pPr>
        <w:tabs>
          <w:tab w:val="num" w:pos="2340"/>
        </w:tabs>
        <w:ind w:left="2340" w:hanging="360"/>
      </w:pPr>
      <w:rPr>
        <w:rFonts w:ascii="Wingdings" w:hAnsi="Wingdings" w:hint="default"/>
      </w:rPr>
    </w:lvl>
    <w:lvl w:ilvl="3" w:tplc="085AC150">
      <w:start w:val="1"/>
      <w:numFmt w:val="lowerRoman"/>
      <w:lvlText w:val="(%4)"/>
      <w:lvlJc w:val="left"/>
      <w:pPr>
        <w:tabs>
          <w:tab w:val="num" w:pos="3240"/>
        </w:tabs>
        <w:ind w:left="3240" w:hanging="720"/>
      </w:pPr>
      <w:rPr>
        <w:rFonts w:hint="default"/>
      </w:rPr>
    </w:lvl>
    <w:lvl w:ilvl="4" w:tplc="04100005">
      <w:start w:val="1"/>
      <w:numFmt w:val="bullet"/>
      <w:lvlText w:val=""/>
      <w:lvlJc w:val="left"/>
      <w:pPr>
        <w:tabs>
          <w:tab w:val="num" w:pos="3600"/>
        </w:tabs>
        <w:ind w:left="3600" w:hanging="360"/>
      </w:pPr>
      <w:rPr>
        <w:rFonts w:ascii="Wingdings" w:hAnsi="Wingdings" w:hint="default"/>
      </w:rPr>
    </w:lvl>
    <w:lvl w:ilvl="5" w:tplc="9B629102">
      <w:start w:val="1"/>
      <w:numFmt w:val="lowerLetter"/>
      <w:lvlText w:val="(%6)"/>
      <w:lvlJc w:val="left"/>
      <w:pPr>
        <w:tabs>
          <w:tab w:val="num" w:pos="4500"/>
        </w:tabs>
        <w:ind w:left="4500" w:hanging="360"/>
      </w:pPr>
      <w:rPr>
        <w:rFonts w:hint="default"/>
      </w:r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38" w15:restartNumberingAfterBreak="0">
    <w:nsid w:val="540E6109"/>
    <w:multiLevelType w:val="hybridMultilevel"/>
    <w:tmpl w:val="BDF4E53E"/>
    <w:lvl w:ilvl="0" w:tplc="09BE0A62">
      <w:start w:val="1"/>
      <w:numFmt w:val="lowerRoman"/>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9" w15:restartNumberingAfterBreak="0">
    <w:nsid w:val="5D530625"/>
    <w:multiLevelType w:val="hybridMultilevel"/>
    <w:tmpl w:val="C780022A"/>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6D41357"/>
    <w:multiLevelType w:val="hybridMultilevel"/>
    <w:tmpl w:val="574A294C"/>
    <w:lvl w:ilvl="0" w:tplc="04100005">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9541A4C"/>
    <w:multiLevelType w:val="hybridMultilevel"/>
    <w:tmpl w:val="FADA0072"/>
    <w:lvl w:ilvl="0" w:tplc="08090005">
      <w:start w:val="1"/>
      <w:numFmt w:val="bullet"/>
      <w:lvlText w:val=""/>
      <w:lvlJc w:val="left"/>
      <w:pPr>
        <w:tabs>
          <w:tab w:val="num" w:pos="720"/>
        </w:tabs>
        <w:ind w:left="720" w:hanging="360"/>
      </w:pPr>
      <w:rPr>
        <w:rFonts w:ascii="Wingdings" w:hAnsi="Wingdings"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BB00D34"/>
    <w:multiLevelType w:val="multilevel"/>
    <w:tmpl w:val="6D62CCF2"/>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BE626FA"/>
    <w:multiLevelType w:val="hybridMultilevel"/>
    <w:tmpl w:val="390874A0"/>
    <w:lvl w:ilvl="0" w:tplc="08090005">
      <w:start w:val="1"/>
      <w:numFmt w:val="bullet"/>
      <w:lvlText w:val=""/>
      <w:lvlJc w:val="left"/>
      <w:pPr>
        <w:ind w:left="360" w:hanging="360"/>
      </w:pPr>
      <w:rPr>
        <w:rFonts w:ascii="Wingdings" w:hAnsi="Wingding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6E836E71"/>
    <w:multiLevelType w:val="hybridMultilevel"/>
    <w:tmpl w:val="8DE0502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EA2198C"/>
    <w:multiLevelType w:val="hybridMultilevel"/>
    <w:tmpl w:val="774C2C6C"/>
    <w:lvl w:ilvl="0" w:tplc="08090005">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FAB47D6"/>
    <w:multiLevelType w:val="hybridMultilevel"/>
    <w:tmpl w:val="F482D132"/>
    <w:lvl w:ilvl="0" w:tplc="08090001">
      <w:start w:val="1"/>
      <w:numFmt w:val="bullet"/>
      <w:lvlText w:val=""/>
      <w:lvlJc w:val="left"/>
      <w:pPr>
        <w:tabs>
          <w:tab w:val="num" w:pos="720"/>
        </w:tabs>
        <w:ind w:left="720" w:hanging="360"/>
      </w:pPr>
      <w:rPr>
        <w:rFonts w:ascii="Symbol" w:hAnsi="Symbol" w:hint="default"/>
      </w:rPr>
    </w:lvl>
    <w:lvl w:ilvl="1" w:tplc="08090005">
      <w:start w:val="1"/>
      <w:numFmt w:val="bullet"/>
      <w:lvlText w:val=""/>
      <w:lvlJc w:val="left"/>
      <w:pPr>
        <w:tabs>
          <w:tab w:val="num" w:pos="1440"/>
        </w:tabs>
        <w:ind w:left="1440" w:hanging="360"/>
      </w:pPr>
      <w:rPr>
        <w:rFonts w:ascii="Wingdings" w:hAnsi="Wingding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809431F"/>
    <w:multiLevelType w:val="hybridMultilevel"/>
    <w:tmpl w:val="7244257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C2B42B0"/>
    <w:multiLevelType w:val="hybridMultilevel"/>
    <w:tmpl w:val="2626CA84"/>
    <w:lvl w:ilvl="0" w:tplc="F9280012">
      <w:start w:val="1"/>
      <w:numFmt w:val="lowerRoman"/>
      <w:lvlText w:val="(%1)"/>
      <w:lvlJc w:val="left"/>
      <w:pPr>
        <w:tabs>
          <w:tab w:val="num" w:pos="1080"/>
        </w:tabs>
        <w:ind w:left="1080" w:hanging="720"/>
      </w:pPr>
      <w:rPr>
        <w:rFonts w:hint="default"/>
        <w:b w:val="0"/>
      </w:rPr>
    </w:lvl>
    <w:lvl w:ilvl="1" w:tplc="08090001">
      <w:start w:val="1"/>
      <w:numFmt w:val="bullet"/>
      <w:lvlText w:val=""/>
      <w:lvlJc w:val="left"/>
      <w:pPr>
        <w:tabs>
          <w:tab w:val="num" w:pos="1440"/>
        </w:tabs>
        <w:ind w:left="1440" w:hanging="360"/>
      </w:pPr>
      <w:rPr>
        <w:rFonts w:ascii="Symbol" w:hAnsi="Symbol" w:hint="default"/>
        <w:b w:val="0"/>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855464448">
    <w:abstractNumId w:val="19"/>
  </w:num>
  <w:num w:numId="2" w16cid:durableId="295532591">
    <w:abstractNumId w:val="6"/>
  </w:num>
  <w:num w:numId="3" w16cid:durableId="6104991">
    <w:abstractNumId w:val="37"/>
  </w:num>
  <w:num w:numId="4" w16cid:durableId="491290533">
    <w:abstractNumId w:val="14"/>
  </w:num>
  <w:num w:numId="5" w16cid:durableId="1481577950">
    <w:abstractNumId w:val="40"/>
  </w:num>
  <w:num w:numId="6" w16cid:durableId="541675984">
    <w:abstractNumId w:val="1"/>
  </w:num>
  <w:num w:numId="7" w16cid:durableId="63531563">
    <w:abstractNumId w:val="13"/>
  </w:num>
  <w:num w:numId="8" w16cid:durableId="172378990">
    <w:abstractNumId w:val="2"/>
  </w:num>
  <w:num w:numId="9" w16cid:durableId="559246818">
    <w:abstractNumId w:val="18"/>
  </w:num>
  <w:num w:numId="10" w16cid:durableId="246425996">
    <w:abstractNumId w:val="35"/>
  </w:num>
  <w:num w:numId="11" w16cid:durableId="814025179">
    <w:abstractNumId w:val="26"/>
  </w:num>
  <w:num w:numId="12" w16cid:durableId="1142888773">
    <w:abstractNumId w:val="31"/>
  </w:num>
  <w:num w:numId="13" w16cid:durableId="1785153721">
    <w:abstractNumId w:val="24"/>
  </w:num>
  <w:num w:numId="14" w16cid:durableId="1994140212">
    <w:abstractNumId w:val="27"/>
  </w:num>
  <w:num w:numId="15" w16cid:durableId="17703008">
    <w:abstractNumId w:val="5"/>
  </w:num>
  <w:num w:numId="16" w16cid:durableId="363333312">
    <w:abstractNumId w:val="12"/>
  </w:num>
  <w:num w:numId="17" w16cid:durableId="1643845188">
    <w:abstractNumId w:val="11"/>
  </w:num>
  <w:num w:numId="18" w16cid:durableId="1506817673">
    <w:abstractNumId w:val="7"/>
  </w:num>
  <w:num w:numId="19" w16cid:durableId="2024478490">
    <w:abstractNumId w:val="28"/>
  </w:num>
  <w:num w:numId="20" w16cid:durableId="1064255023">
    <w:abstractNumId w:val="45"/>
  </w:num>
  <w:num w:numId="21" w16cid:durableId="1249391282">
    <w:abstractNumId w:val="4"/>
  </w:num>
  <w:num w:numId="22" w16cid:durableId="318995452">
    <w:abstractNumId w:val="36"/>
  </w:num>
  <w:num w:numId="23" w16cid:durableId="1055393560">
    <w:abstractNumId w:val="30"/>
  </w:num>
  <w:num w:numId="24" w16cid:durableId="169220069">
    <w:abstractNumId w:val="48"/>
  </w:num>
  <w:num w:numId="25" w16cid:durableId="1074861576">
    <w:abstractNumId w:val="38"/>
  </w:num>
  <w:num w:numId="26" w16cid:durableId="827331521">
    <w:abstractNumId w:val="46"/>
  </w:num>
  <w:num w:numId="27" w16cid:durableId="850417756">
    <w:abstractNumId w:val="23"/>
  </w:num>
  <w:num w:numId="28" w16cid:durableId="561329585">
    <w:abstractNumId w:val="8"/>
  </w:num>
  <w:num w:numId="29" w16cid:durableId="742605030">
    <w:abstractNumId w:val="17"/>
  </w:num>
  <w:num w:numId="30" w16cid:durableId="1158304244">
    <w:abstractNumId w:val="32"/>
  </w:num>
  <w:num w:numId="31" w16cid:durableId="1223708742">
    <w:abstractNumId w:val="44"/>
  </w:num>
  <w:num w:numId="32" w16cid:durableId="1470827735">
    <w:abstractNumId w:val="33"/>
  </w:num>
  <w:num w:numId="33" w16cid:durableId="1016034380">
    <w:abstractNumId w:val="25"/>
  </w:num>
  <w:num w:numId="34" w16cid:durableId="1990743936">
    <w:abstractNumId w:val="39"/>
  </w:num>
  <w:num w:numId="35" w16cid:durableId="1050305620">
    <w:abstractNumId w:val="20"/>
  </w:num>
  <w:num w:numId="36" w16cid:durableId="487210168">
    <w:abstractNumId w:val="41"/>
  </w:num>
  <w:num w:numId="37" w16cid:durableId="1914973179">
    <w:abstractNumId w:val="29"/>
  </w:num>
  <w:num w:numId="38" w16cid:durableId="577179679">
    <w:abstractNumId w:val="34"/>
  </w:num>
  <w:num w:numId="39" w16cid:durableId="1587769254">
    <w:abstractNumId w:val="0"/>
  </w:num>
  <w:num w:numId="40" w16cid:durableId="651833790">
    <w:abstractNumId w:val="16"/>
  </w:num>
  <w:num w:numId="41" w16cid:durableId="1647584762">
    <w:abstractNumId w:val="43"/>
  </w:num>
  <w:num w:numId="42" w16cid:durableId="143938273">
    <w:abstractNumId w:val="10"/>
  </w:num>
  <w:num w:numId="43" w16cid:durableId="452486298">
    <w:abstractNumId w:val="3"/>
  </w:num>
  <w:num w:numId="44" w16cid:durableId="1741097885">
    <w:abstractNumId w:val="42"/>
  </w:num>
  <w:num w:numId="45" w16cid:durableId="1034572680">
    <w:abstractNumId w:val="22"/>
  </w:num>
  <w:num w:numId="46" w16cid:durableId="1263103333">
    <w:abstractNumId w:val="15"/>
  </w:num>
  <w:num w:numId="47" w16cid:durableId="1327633930">
    <w:abstractNumId w:val="9"/>
  </w:num>
  <w:num w:numId="48" w16cid:durableId="437526148">
    <w:abstractNumId w:val="47"/>
  </w:num>
  <w:num w:numId="49" w16cid:durableId="184582720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75C"/>
    <w:rsid w:val="00000C93"/>
    <w:rsid w:val="0002363B"/>
    <w:rsid w:val="00027186"/>
    <w:rsid w:val="00036FCE"/>
    <w:rsid w:val="00040A0E"/>
    <w:rsid w:val="0004178F"/>
    <w:rsid w:val="00053EFF"/>
    <w:rsid w:val="000751CA"/>
    <w:rsid w:val="00085B6B"/>
    <w:rsid w:val="00086973"/>
    <w:rsid w:val="000869FC"/>
    <w:rsid w:val="000922FF"/>
    <w:rsid w:val="000E3334"/>
    <w:rsid w:val="001011A3"/>
    <w:rsid w:val="00113500"/>
    <w:rsid w:val="001471F4"/>
    <w:rsid w:val="001551FB"/>
    <w:rsid w:val="00172C3B"/>
    <w:rsid w:val="00174AFC"/>
    <w:rsid w:val="00183738"/>
    <w:rsid w:val="0019356D"/>
    <w:rsid w:val="00193856"/>
    <w:rsid w:val="00197F84"/>
    <w:rsid w:val="001A67C8"/>
    <w:rsid w:val="001B0100"/>
    <w:rsid w:val="001B46D6"/>
    <w:rsid w:val="001E31CA"/>
    <w:rsid w:val="001F2967"/>
    <w:rsid w:val="001F4CF8"/>
    <w:rsid w:val="001F58E0"/>
    <w:rsid w:val="00205E6B"/>
    <w:rsid w:val="00210BEE"/>
    <w:rsid w:val="002346CF"/>
    <w:rsid w:val="002428D4"/>
    <w:rsid w:val="00242A9F"/>
    <w:rsid w:val="00245F77"/>
    <w:rsid w:val="00254834"/>
    <w:rsid w:val="00286596"/>
    <w:rsid w:val="00286611"/>
    <w:rsid w:val="002934F3"/>
    <w:rsid w:val="002A4A99"/>
    <w:rsid w:val="002A597A"/>
    <w:rsid w:val="002D3F48"/>
    <w:rsid w:val="002D6518"/>
    <w:rsid w:val="0030367F"/>
    <w:rsid w:val="003131BD"/>
    <w:rsid w:val="00313C79"/>
    <w:rsid w:val="00324E7F"/>
    <w:rsid w:val="0036513E"/>
    <w:rsid w:val="003705C8"/>
    <w:rsid w:val="003732B7"/>
    <w:rsid w:val="00386F08"/>
    <w:rsid w:val="00393952"/>
    <w:rsid w:val="003A2CD2"/>
    <w:rsid w:val="003B7A3D"/>
    <w:rsid w:val="003C68EA"/>
    <w:rsid w:val="003E7D45"/>
    <w:rsid w:val="00403615"/>
    <w:rsid w:val="004147C3"/>
    <w:rsid w:val="00414A13"/>
    <w:rsid w:val="004242E0"/>
    <w:rsid w:val="0042738C"/>
    <w:rsid w:val="00436E47"/>
    <w:rsid w:val="004608CC"/>
    <w:rsid w:val="00497DB0"/>
    <w:rsid w:val="004D351C"/>
    <w:rsid w:val="004D7DA9"/>
    <w:rsid w:val="004F482A"/>
    <w:rsid w:val="00501952"/>
    <w:rsid w:val="005543B5"/>
    <w:rsid w:val="00566567"/>
    <w:rsid w:val="00575F02"/>
    <w:rsid w:val="0059167C"/>
    <w:rsid w:val="005A374D"/>
    <w:rsid w:val="005B2C8B"/>
    <w:rsid w:val="005B535D"/>
    <w:rsid w:val="005B7979"/>
    <w:rsid w:val="005E0FDF"/>
    <w:rsid w:val="005F5CC4"/>
    <w:rsid w:val="00607D2B"/>
    <w:rsid w:val="006116A1"/>
    <w:rsid w:val="00613F7A"/>
    <w:rsid w:val="00615900"/>
    <w:rsid w:val="0062741E"/>
    <w:rsid w:val="006308A5"/>
    <w:rsid w:val="0064026B"/>
    <w:rsid w:val="006425BE"/>
    <w:rsid w:val="006622D9"/>
    <w:rsid w:val="00674E38"/>
    <w:rsid w:val="00684CCD"/>
    <w:rsid w:val="00685791"/>
    <w:rsid w:val="00687C47"/>
    <w:rsid w:val="00694191"/>
    <w:rsid w:val="006B022C"/>
    <w:rsid w:val="006B0C87"/>
    <w:rsid w:val="006F58CC"/>
    <w:rsid w:val="00705E45"/>
    <w:rsid w:val="00723800"/>
    <w:rsid w:val="0073279B"/>
    <w:rsid w:val="0073293E"/>
    <w:rsid w:val="007546EF"/>
    <w:rsid w:val="00761171"/>
    <w:rsid w:val="00770AE9"/>
    <w:rsid w:val="00794CF6"/>
    <w:rsid w:val="007B35FA"/>
    <w:rsid w:val="007C1E33"/>
    <w:rsid w:val="007C777A"/>
    <w:rsid w:val="007E372A"/>
    <w:rsid w:val="007E5543"/>
    <w:rsid w:val="007E5E78"/>
    <w:rsid w:val="007F3B13"/>
    <w:rsid w:val="007F5092"/>
    <w:rsid w:val="00846605"/>
    <w:rsid w:val="0085573D"/>
    <w:rsid w:val="00856127"/>
    <w:rsid w:val="008666DF"/>
    <w:rsid w:val="00870FE5"/>
    <w:rsid w:val="00871FC4"/>
    <w:rsid w:val="00875F4C"/>
    <w:rsid w:val="0088570A"/>
    <w:rsid w:val="00893ED3"/>
    <w:rsid w:val="00895588"/>
    <w:rsid w:val="008A2825"/>
    <w:rsid w:val="008B7A17"/>
    <w:rsid w:val="008D4881"/>
    <w:rsid w:val="008F7CD4"/>
    <w:rsid w:val="00907CF0"/>
    <w:rsid w:val="009123BD"/>
    <w:rsid w:val="00913B3E"/>
    <w:rsid w:val="00920BC3"/>
    <w:rsid w:val="009408FB"/>
    <w:rsid w:val="009703D8"/>
    <w:rsid w:val="00971F2E"/>
    <w:rsid w:val="00982666"/>
    <w:rsid w:val="009878E5"/>
    <w:rsid w:val="0099300B"/>
    <w:rsid w:val="009A5ADB"/>
    <w:rsid w:val="009A5E81"/>
    <w:rsid w:val="009A7E78"/>
    <w:rsid w:val="009B4ED1"/>
    <w:rsid w:val="009C0121"/>
    <w:rsid w:val="009C5EB6"/>
    <w:rsid w:val="009D6559"/>
    <w:rsid w:val="009F618E"/>
    <w:rsid w:val="00A0331F"/>
    <w:rsid w:val="00A05C0B"/>
    <w:rsid w:val="00A16D53"/>
    <w:rsid w:val="00A172A3"/>
    <w:rsid w:val="00A271E1"/>
    <w:rsid w:val="00A2728B"/>
    <w:rsid w:val="00A35294"/>
    <w:rsid w:val="00A4470B"/>
    <w:rsid w:val="00A471A8"/>
    <w:rsid w:val="00A50C30"/>
    <w:rsid w:val="00A57512"/>
    <w:rsid w:val="00A72F5B"/>
    <w:rsid w:val="00A95F18"/>
    <w:rsid w:val="00AA2E95"/>
    <w:rsid w:val="00AD1DC4"/>
    <w:rsid w:val="00AE4BFB"/>
    <w:rsid w:val="00AF4DFC"/>
    <w:rsid w:val="00AF67E6"/>
    <w:rsid w:val="00B00EBC"/>
    <w:rsid w:val="00B0713F"/>
    <w:rsid w:val="00B10D9B"/>
    <w:rsid w:val="00B14FBE"/>
    <w:rsid w:val="00B2061C"/>
    <w:rsid w:val="00B51266"/>
    <w:rsid w:val="00B5675C"/>
    <w:rsid w:val="00B62C64"/>
    <w:rsid w:val="00B924F2"/>
    <w:rsid w:val="00B97F24"/>
    <w:rsid w:val="00BA0610"/>
    <w:rsid w:val="00BB1DE2"/>
    <w:rsid w:val="00BB5BA0"/>
    <w:rsid w:val="00BD351B"/>
    <w:rsid w:val="00C02AF7"/>
    <w:rsid w:val="00C0494A"/>
    <w:rsid w:val="00C05477"/>
    <w:rsid w:val="00C07FF3"/>
    <w:rsid w:val="00C34028"/>
    <w:rsid w:val="00C3793A"/>
    <w:rsid w:val="00C4499C"/>
    <w:rsid w:val="00C4660D"/>
    <w:rsid w:val="00C53585"/>
    <w:rsid w:val="00C56B58"/>
    <w:rsid w:val="00C65171"/>
    <w:rsid w:val="00C66F91"/>
    <w:rsid w:val="00C70AF2"/>
    <w:rsid w:val="00C71E20"/>
    <w:rsid w:val="00C759C7"/>
    <w:rsid w:val="00C9360F"/>
    <w:rsid w:val="00CA43C3"/>
    <w:rsid w:val="00CB7AC6"/>
    <w:rsid w:val="00CC0DEB"/>
    <w:rsid w:val="00CC25D7"/>
    <w:rsid w:val="00CF04A9"/>
    <w:rsid w:val="00CF1370"/>
    <w:rsid w:val="00CF2DE5"/>
    <w:rsid w:val="00CF3B7A"/>
    <w:rsid w:val="00D034FF"/>
    <w:rsid w:val="00D146D5"/>
    <w:rsid w:val="00D22497"/>
    <w:rsid w:val="00D2633E"/>
    <w:rsid w:val="00D442C3"/>
    <w:rsid w:val="00D50190"/>
    <w:rsid w:val="00D570EF"/>
    <w:rsid w:val="00D72CD9"/>
    <w:rsid w:val="00D80455"/>
    <w:rsid w:val="00DB0A0E"/>
    <w:rsid w:val="00DD3A59"/>
    <w:rsid w:val="00DE32EA"/>
    <w:rsid w:val="00DF5C08"/>
    <w:rsid w:val="00E10A24"/>
    <w:rsid w:val="00E128ED"/>
    <w:rsid w:val="00E16903"/>
    <w:rsid w:val="00E16B5A"/>
    <w:rsid w:val="00E17023"/>
    <w:rsid w:val="00E20202"/>
    <w:rsid w:val="00E63AD9"/>
    <w:rsid w:val="00E67907"/>
    <w:rsid w:val="00E70F06"/>
    <w:rsid w:val="00E74CE0"/>
    <w:rsid w:val="00E95DD5"/>
    <w:rsid w:val="00EA1079"/>
    <w:rsid w:val="00EB7579"/>
    <w:rsid w:val="00F108DB"/>
    <w:rsid w:val="00F44582"/>
    <w:rsid w:val="00F51FE3"/>
    <w:rsid w:val="00F656A2"/>
    <w:rsid w:val="00F83214"/>
    <w:rsid w:val="00F8658A"/>
    <w:rsid w:val="00FA4C08"/>
    <w:rsid w:val="00FA7223"/>
    <w:rsid w:val="00FC0D0E"/>
    <w:rsid w:val="00FC5CCB"/>
    <w:rsid w:val="00FD148F"/>
    <w:rsid w:val="00FD4EA7"/>
    <w:rsid w:val="00FF1064"/>
    <w:rsid w:val="00FF777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2F1FB4"/>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DE32EA"/>
    <w:rPr>
      <w:sz w:val="24"/>
      <w:szCs w:val="24"/>
      <w:lang w:val="it-IT" w:eastAsia="it-IT"/>
    </w:rPr>
  </w:style>
  <w:style w:type="paragraph" w:styleId="Heading1">
    <w:name w:val="heading 1"/>
    <w:basedOn w:val="Normal"/>
    <w:next w:val="Normal"/>
    <w:qFormat/>
    <w:rsid w:val="00B5675C"/>
    <w:pPr>
      <w:keepNext/>
      <w:outlineLvl w:val="0"/>
    </w:pPr>
    <w:rPr>
      <w:b/>
      <w:bCs/>
    </w:rPr>
  </w:style>
  <w:style w:type="paragraph" w:styleId="Heading2">
    <w:name w:val="heading 2"/>
    <w:basedOn w:val="Normal"/>
    <w:next w:val="Normal"/>
    <w:qFormat/>
    <w:rsid w:val="00B5675C"/>
    <w:pPr>
      <w:keepNext/>
      <w:spacing w:line="360" w:lineRule="auto"/>
      <w:jc w:val="both"/>
      <w:outlineLvl w:val="1"/>
    </w:pPr>
    <w:rPr>
      <w:b/>
      <w:bCs/>
      <w:lang w:val="en-GB"/>
    </w:rPr>
  </w:style>
  <w:style w:type="paragraph" w:styleId="Heading3">
    <w:name w:val="heading 3"/>
    <w:basedOn w:val="Normal"/>
    <w:next w:val="Normal"/>
    <w:qFormat/>
    <w:rsid w:val="00B5675C"/>
    <w:pPr>
      <w:keepNext/>
      <w:spacing w:line="360" w:lineRule="auto"/>
      <w:jc w:val="center"/>
      <w:outlineLvl w:val="2"/>
    </w:pPr>
    <w:rPr>
      <w:b/>
      <w:b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B5675C"/>
    <w:pPr>
      <w:spacing w:line="360" w:lineRule="auto"/>
      <w:jc w:val="center"/>
    </w:pPr>
    <w:rPr>
      <w:b/>
      <w:bCs/>
      <w:smallCaps/>
    </w:rPr>
  </w:style>
  <w:style w:type="paragraph" w:styleId="Subtitle">
    <w:name w:val="Subtitle"/>
    <w:basedOn w:val="Normal"/>
    <w:qFormat/>
    <w:rsid w:val="00B5675C"/>
    <w:pPr>
      <w:spacing w:line="360" w:lineRule="auto"/>
      <w:jc w:val="both"/>
    </w:pPr>
    <w:rPr>
      <w:b/>
      <w:bCs/>
      <w:lang w:val="en-GB"/>
    </w:rPr>
  </w:style>
  <w:style w:type="paragraph" w:styleId="BodyText">
    <w:name w:val="Body Text"/>
    <w:basedOn w:val="Normal"/>
    <w:rsid w:val="00B5675C"/>
    <w:pPr>
      <w:jc w:val="both"/>
    </w:pPr>
    <w:rPr>
      <w:lang w:val="en-GB"/>
    </w:rPr>
  </w:style>
  <w:style w:type="paragraph" w:styleId="BodyTextIndent">
    <w:name w:val="Body Text Indent"/>
    <w:basedOn w:val="Normal"/>
    <w:rsid w:val="00B5675C"/>
    <w:pPr>
      <w:spacing w:line="360" w:lineRule="auto"/>
      <w:ind w:left="2520" w:hanging="396"/>
      <w:jc w:val="both"/>
    </w:pPr>
    <w:rPr>
      <w:lang w:val="en-GB"/>
    </w:rPr>
  </w:style>
  <w:style w:type="paragraph" w:styleId="Footer">
    <w:name w:val="footer"/>
    <w:basedOn w:val="Normal"/>
    <w:rsid w:val="00B5675C"/>
    <w:pPr>
      <w:tabs>
        <w:tab w:val="center" w:pos="4819"/>
        <w:tab w:val="right" w:pos="9638"/>
      </w:tabs>
    </w:pPr>
  </w:style>
  <w:style w:type="paragraph" w:styleId="FootnoteText">
    <w:name w:val="footnote text"/>
    <w:basedOn w:val="Normal"/>
    <w:link w:val="FootnoteTextChar"/>
    <w:uiPriority w:val="99"/>
    <w:rsid w:val="00B5675C"/>
    <w:rPr>
      <w:sz w:val="20"/>
      <w:szCs w:val="20"/>
    </w:rPr>
  </w:style>
  <w:style w:type="character" w:styleId="FootnoteReference">
    <w:name w:val="footnote reference"/>
    <w:rsid w:val="00B5675C"/>
    <w:rPr>
      <w:vertAlign w:val="superscript"/>
    </w:rPr>
  </w:style>
  <w:style w:type="paragraph" w:styleId="Header">
    <w:name w:val="header"/>
    <w:basedOn w:val="Normal"/>
    <w:rsid w:val="00B5675C"/>
    <w:pPr>
      <w:tabs>
        <w:tab w:val="center" w:pos="4819"/>
        <w:tab w:val="right" w:pos="9638"/>
      </w:tabs>
    </w:pPr>
  </w:style>
  <w:style w:type="character" w:styleId="PageNumber">
    <w:name w:val="page number"/>
    <w:basedOn w:val="DefaultParagraphFont"/>
    <w:rsid w:val="00B5675C"/>
  </w:style>
  <w:style w:type="paragraph" w:styleId="BalloonText">
    <w:name w:val="Balloon Text"/>
    <w:basedOn w:val="Normal"/>
    <w:semiHidden/>
    <w:rsid w:val="006622D9"/>
    <w:rPr>
      <w:rFonts w:ascii="Tahoma" w:hAnsi="Tahoma" w:cs="Tahoma"/>
      <w:sz w:val="16"/>
      <w:szCs w:val="16"/>
    </w:rPr>
  </w:style>
  <w:style w:type="paragraph" w:styleId="ListParagraph">
    <w:name w:val="List Paragraph"/>
    <w:basedOn w:val="Normal"/>
    <w:uiPriority w:val="34"/>
    <w:qFormat/>
    <w:rsid w:val="009703D8"/>
    <w:pPr>
      <w:ind w:left="720"/>
    </w:pPr>
  </w:style>
  <w:style w:type="paragraph" w:styleId="NormalWeb">
    <w:name w:val="Normal (Web)"/>
    <w:basedOn w:val="Normal"/>
    <w:uiPriority w:val="99"/>
    <w:unhideWhenUsed/>
    <w:rsid w:val="00B2061C"/>
    <w:pPr>
      <w:spacing w:before="100" w:beforeAutospacing="1" w:after="100" w:afterAutospacing="1"/>
    </w:pPr>
    <w:rPr>
      <w:lang w:val="en-GB" w:eastAsia="en-GB"/>
    </w:rPr>
  </w:style>
  <w:style w:type="paragraph" w:customStyle="1" w:styleId="p1">
    <w:name w:val="p1"/>
    <w:basedOn w:val="Normal"/>
    <w:rsid w:val="00D034FF"/>
    <w:rPr>
      <w:rFonts w:ascii="Verdana" w:hAnsi="Verdana"/>
      <w:color w:val="323333"/>
      <w:sz w:val="18"/>
      <w:szCs w:val="18"/>
      <w:lang w:val="en-US" w:eastAsia="en-US"/>
    </w:rPr>
  </w:style>
  <w:style w:type="character" w:customStyle="1" w:styleId="s2">
    <w:name w:val="s2"/>
    <w:basedOn w:val="DefaultParagraphFont"/>
    <w:rsid w:val="00D034FF"/>
    <w:rPr>
      <w:color w:val="666666"/>
    </w:rPr>
  </w:style>
  <w:style w:type="character" w:customStyle="1" w:styleId="s1">
    <w:name w:val="s1"/>
    <w:basedOn w:val="DefaultParagraphFont"/>
    <w:rsid w:val="00D034FF"/>
  </w:style>
  <w:style w:type="character" w:styleId="Hyperlink">
    <w:name w:val="Hyperlink"/>
    <w:uiPriority w:val="99"/>
    <w:rsid w:val="005E0FDF"/>
    <w:rPr>
      <w:color w:val="0000FF"/>
      <w:u w:val="single"/>
    </w:rPr>
  </w:style>
  <w:style w:type="character" w:customStyle="1" w:styleId="FootnoteTextChar">
    <w:name w:val="Footnote Text Char"/>
    <w:link w:val="FootnoteText"/>
    <w:uiPriority w:val="99"/>
    <w:rsid w:val="00086973"/>
    <w:rPr>
      <w:lang w:val="it-IT" w:eastAsia="it-IT"/>
    </w:rPr>
  </w:style>
  <w:style w:type="character" w:customStyle="1" w:styleId="ft7">
    <w:name w:val="ft7"/>
    <w:basedOn w:val="DefaultParagraphFont"/>
    <w:rsid w:val="00086973"/>
  </w:style>
  <w:style w:type="paragraph" w:styleId="Revision">
    <w:name w:val="Revision"/>
    <w:hidden/>
    <w:uiPriority w:val="71"/>
    <w:semiHidden/>
    <w:rsid w:val="00A271E1"/>
    <w:rPr>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0341322">
      <w:bodyDiv w:val="1"/>
      <w:marLeft w:val="0"/>
      <w:marRight w:val="0"/>
      <w:marTop w:val="0"/>
      <w:marBottom w:val="0"/>
      <w:divBdr>
        <w:top w:val="none" w:sz="0" w:space="0" w:color="auto"/>
        <w:left w:val="none" w:sz="0" w:space="0" w:color="auto"/>
        <w:bottom w:val="none" w:sz="0" w:space="0" w:color="auto"/>
        <w:right w:val="none" w:sz="0" w:space="0" w:color="auto"/>
      </w:divBdr>
      <w:divsChild>
        <w:div w:id="379520868">
          <w:marLeft w:val="450"/>
          <w:marRight w:val="450"/>
          <w:marTop w:val="0"/>
          <w:marBottom w:val="150"/>
          <w:divBdr>
            <w:top w:val="single" w:sz="6" w:space="8" w:color="112449"/>
            <w:left w:val="single" w:sz="6" w:space="8" w:color="112449"/>
            <w:bottom w:val="single" w:sz="6" w:space="8" w:color="112449"/>
            <w:right w:val="single" w:sz="6" w:space="8" w:color="112449"/>
          </w:divBdr>
        </w:div>
      </w:divsChild>
    </w:div>
    <w:div w:id="1426539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eanmonnetprogram.org/archive/papers/01/012701.htm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09A4B24C251BCD4291F2C2F3A608C810" ma:contentTypeVersion="9" ma:contentTypeDescription="Create a new document." ma:contentTypeScope="" ma:versionID="65e6d05ec05cb74dd9706b1e5cf7fbb0">
  <xsd:schema xmlns:xsd="http://www.w3.org/2001/XMLSchema" xmlns:xs="http://www.w3.org/2001/XMLSchema" xmlns:p="http://schemas.microsoft.com/office/2006/metadata/properties" xmlns:ns3="3cc0b812-7f7d-4aca-acca-000f424f7da7" targetNamespace="http://schemas.microsoft.com/office/2006/metadata/properties" ma:root="true" ma:fieldsID="d26e22a320b4c5202789874931af9409" ns3:_="">
    <xsd:import namespace="3cc0b812-7f7d-4aca-acca-000f424f7da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c0b812-7f7d-4aca-acca-000f424f7da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4FB17E-71AC-475E-BB02-6D4755D3343F}">
  <ds:schemaRefs>
    <ds:schemaRef ds:uri="http://schemas.microsoft.com/sharepoint/v3/contenttype/forms"/>
  </ds:schemaRefs>
</ds:datastoreItem>
</file>

<file path=customXml/itemProps2.xml><?xml version="1.0" encoding="utf-8"?>
<ds:datastoreItem xmlns:ds="http://schemas.openxmlformats.org/officeDocument/2006/customXml" ds:itemID="{B99D9079-E886-4FF0-93E0-E69FFE2B61D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8568A8A-B273-4A4E-B07F-BFDA89A752E8}">
  <ds:schemaRefs>
    <ds:schemaRef ds:uri="http://schemas.openxmlformats.org/officeDocument/2006/bibliography"/>
  </ds:schemaRefs>
</ds:datastoreItem>
</file>

<file path=customXml/itemProps4.xml><?xml version="1.0" encoding="utf-8"?>
<ds:datastoreItem xmlns:ds="http://schemas.openxmlformats.org/officeDocument/2006/customXml" ds:itemID="{309B9C3D-29F4-46C5-9163-915652FDD5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c0b812-7f7d-4aca-acca-000f424f7d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3096</Words>
  <Characters>17653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vt:lpstr>
    </vt:vector>
  </TitlesOfParts>
  <Company>University of Durham</Company>
  <LinksUpToDate>false</LinksUpToDate>
  <CharactersWithSpaces>20708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dla0es</dc:creator>
  <cp:keywords/>
  <cp:lastModifiedBy>TSANG, AGNES H.L. (Student)</cp:lastModifiedBy>
  <cp:revision>7</cp:revision>
  <cp:lastPrinted>2015-02-02T10:29:00Z</cp:lastPrinted>
  <dcterms:created xsi:type="dcterms:W3CDTF">2025-02-05T11:01:00Z</dcterms:created>
  <dcterms:modified xsi:type="dcterms:W3CDTF">2025-03-13T10:19:00Z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0x01010009A4B24C251BCD4291F2C2F3A608C810</vt:lpwstr>
  </property>
</Properties>
</file>