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CAE2C" w14:textId="77777777" w:rsidR="003374E8" w:rsidRPr="006E28E4" w:rsidRDefault="003374E8" w:rsidP="006E28E4">
      <w:pPr>
        <w:spacing w:before="240" w:after="240" w:line="360" w:lineRule="auto"/>
        <w:outlineLvl w:val="3"/>
        <w:rPr>
          <w:rFonts w:ascii="Times New Roman" w:hAnsi="Times New Roman"/>
          <w:b/>
          <w:bCs/>
          <w:u w:val="single"/>
          <w:lang w:val="en-HK"/>
        </w:rPr>
      </w:pPr>
      <w:r w:rsidRPr="006E28E4">
        <w:rPr>
          <w:rFonts w:ascii="Times New Roman" w:hAnsi="Times New Roman"/>
          <w:b/>
          <w:bCs/>
          <w:u w:val="single"/>
          <w:lang w:val="en-HK"/>
        </w:rPr>
        <w:t>Primary EU Law Provisions</w:t>
      </w:r>
    </w:p>
    <w:p w14:paraId="1E72C8B8" w14:textId="77777777" w:rsidR="003374E8" w:rsidRPr="006E28E4" w:rsidRDefault="003374E8" w:rsidP="006E28E4">
      <w:pPr>
        <w:numPr>
          <w:ilvl w:val="0"/>
          <w:numId w:val="14"/>
        </w:numPr>
        <w:spacing w:before="240" w:after="240" w:line="360" w:lineRule="auto"/>
        <w:rPr>
          <w:rFonts w:ascii="Times New Roman" w:hAnsi="Times New Roman"/>
          <w:lang w:val="en-HK"/>
        </w:rPr>
      </w:pPr>
      <w:r w:rsidRPr="006E28E4">
        <w:rPr>
          <w:rFonts w:ascii="Times New Roman" w:hAnsi="Times New Roman"/>
          <w:b/>
          <w:bCs/>
          <w:lang w:val="en-HK"/>
        </w:rPr>
        <w:t>Article 12 EC</w:t>
      </w:r>
      <w:r w:rsidRPr="006E28E4">
        <w:rPr>
          <w:rFonts w:ascii="Times New Roman" w:hAnsi="Times New Roman"/>
          <w:lang w:val="en-HK"/>
        </w:rPr>
        <w:t>:</w:t>
      </w:r>
    </w:p>
    <w:p w14:paraId="348B028D"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Provision</w:t>
      </w:r>
      <w:r w:rsidRPr="006E28E4">
        <w:rPr>
          <w:rFonts w:ascii="Times New Roman" w:hAnsi="Times New Roman"/>
          <w:lang w:val="en-HK"/>
        </w:rPr>
        <w:t xml:space="preserve">: Prohibits </w:t>
      </w:r>
      <w:r w:rsidRPr="006E28E4">
        <w:rPr>
          <w:rFonts w:ascii="Times New Roman" w:hAnsi="Times New Roman"/>
          <w:b/>
          <w:bCs/>
          <w:lang w:val="en-HK"/>
        </w:rPr>
        <w:t>discrimination on grounds of nationality</w:t>
      </w:r>
      <w:r w:rsidRPr="006E28E4">
        <w:rPr>
          <w:rFonts w:ascii="Times New Roman" w:hAnsi="Times New Roman"/>
          <w:lang w:val="en-HK"/>
        </w:rPr>
        <w:t xml:space="preserve"> within the scope of the Treaty.</w:t>
      </w:r>
    </w:p>
    <w:p w14:paraId="53EDAE8B"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Application</w:t>
      </w:r>
      <w:r w:rsidRPr="006E28E4">
        <w:rPr>
          <w:rFonts w:ascii="Times New Roman" w:hAnsi="Times New Roman"/>
          <w:lang w:val="en-HK"/>
        </w:rPr>
        <w:t>: This article is frequently invoked alongside other Treaty provisions (e.g., Article 18 EC) to challenge national rules that disadvantage Union citizens.</w:t>
      </w:r>
    </w:p>
    <w:p w14:paraId="604DE3BC"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Cases</w:t>
      </w:r>
      <w:r w:rsidRPr="006E28E4">
        <w:rPr>
          <w:rFonts w:ascii="Times New Roman" w:hAnsi="Times New Roman"/>
          <w:lang w:val="en-HK"/>
        </w:rPr>
        <w:t>:</w:t>
      </w:r>
    </w:p>
    <w:p w14:paraId="272689F3" w14:textId="77777777" w:rsidR="003374E8" w:rsidRPr="006E28E4" w:rsidRDefault="003374E8" w:rsidP="006E28E4">
      <w:pPr>
        <w:numPr>
          <w:ilvl w:val="2"/>
          <w:numId w:val="14"/>
        </w:numPr>
        <w:spacing w:before="240" w:after="240" w:line="360" w:lineRule="auto"/>
        <w:rPr>
          <w:rFonts w:ascii="Times New Roman" w:hAnsi="Times New Roman"/>
          <w:lang w:val="en-HK"/>
        </w:rPr>
      </w:pPr>
      <w:r w:rsidRPr="006E28E4">
        <w:rPr>
          <w:rFonts w:ascii="Times New Roman" w:hAnsi="Times New Roman"/>
          <w:b/>
          <w:bCs/>
          <w:lang w:val="en-HK"/>
        </w:rPr>
        <w:t>Bidar</w:t>
      </w:r>
      <w:r w:rsidRPr="006E28E4">
        <w:rPr>
          <w:rFonts w:ascii="Times New Roman" w:hAnsi="Times New Roman"/>
          <w:lang w:val="en-HK"/>
        </w:rPr>
        <w:t>: Used to challenge student loan rules.</w:t>
      </w:r>
    </w:p>
    <w:p w14:paraId="0C870347" w14:textId="77777777" w:rsidR="003374E8" w:rsidRPr="006E28E4" w:rsidRDefault="003374E8" w:rsidP="006E28E4">
      <w:pPr>
        <w:numPr>
          <w:ilvl w:val="2"/>
          <w:numId w:val="14"/>
        </w:numPr>
        <w:spacing w:before="240" w:after="240" w:line="360" w:lineRule="auto"/>
        <w:rPr>
          <w:rFonts w:ascii="Times New Roman" w:hAnsi="Times New Roman"/>
          <w:lang w:val="en-HK"/>
        </w:rPr>
      </w:pPr>
      <w:r w:rsidRPr="006E28E4">
        <w:rPr>
          <w:rFonts w:ascii="Times New Roman" w:hAnsi="Times New Roman"/>
          <w:b/>
          <w:bCs/>
          <w:lang w:val="en-HK"/>
        </w:rPr>
        <w:t xml:space="preserve">Garcia </w:t>
      </w:r>
      <w:proofErr w:type="spellStart"/>
      <w:r w:rsidRPr="006E28E4">
        <w:rPr>
          <w:rFonts w:ascii="Times New Roman" w:hAnsi="Times New Roman"/>
          <w:b/>
          <w:bCs/>
          <w:lang w:val="en-HK"/>
        </w:rPr>
        <w:t>Avello</w:t>
      </w:r>
      <w:proofErr w:type="spellEnd"/>
      <w:r w:rsidRPr="006E28E4">
        <w:rPr>
          <w:rFonts w:ascii="Times New Roman" w:hAnsi="Times New Roman"/>
          <w:lang w:val="en-HK"/>
        </w:rPr>
        <w:t>: Applied to family naming conventions.</w:t>
      </w:r>
    </w:p>
    <w:p w14:paraId="32955FA9"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Significance</w:t>
      </w:r>
      <w:r w:rsidRPr="006E28E4">
        <w:rPr>
          <w:rFonts w:ascii="Times New Roman" w:hAnsi="Times New Roman"/>
          <w:lang w:val="en-HK"/>
        </w:rPr>
        <w:t>: Highlights the overarching principle of non-discrimination as central to Union citizenship.</w:t>
      </w:r>
    </w:p>
    <w:p w14:paraId="278397F5" w14:textId="77777777" w:rsidR="003374E8" w:rsidRPr="006E28E4" w:rsidRDefault="003374E8" w:rsidP="006E28E4">
      <w:pPr>
        <w:numPr>
          <w:ilvl w:val="0"/>
          <w:numId w:val="14"/>
        </w:numPr>
        <w:spacing w:before="240" w:after="240" w:line="360" w:lineRule="auto"/>
        <w:rPr>
          <w:rFonts w:ascii="Times New Roman" w:hAnsi="Times New Roman"/>
          <w:lang w:val="en-HK"/>
        </w:rPr>
      </w:pPr>
      <w:r w:rsidRPr="006E28E4">
        <w:rPr>
          <w:rFonts w:ascii="Times New Roman" w:hAnsi="Times New Roman"/>
          <w:b/>
          <w:bCs/>
          <w:lang w:val="en-HK"/>
        </w:rPr>
        <w:t>Article 17 EC</w:t>
      </w:r>
      <w:r w:rsidRPr="006E28E4">
        <w:rPr>
          <w:rFonts w:ascii="Times New Roman" w:hAnsi="Times New Roman"/>
          <w:lang w:val="en-HK"/>
        </w:rPr>
        <w:t>:</w:t>
      </w:r>
    </w:p>
    <w:p w14:paraId="7E69695E"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Provision</w:t>
      </w:r>
      <w:r w:rsidRPr="006E28E4">
        <w:rPr>
          <w:rFonts w:ascii="Times New Roman" w:hAnsi="Times New Roman"/>
          <w:lang w:val="en-HK"/>
        </w:rPr>
        <w:t xml:space="preserve">: </w:t>
      </w:r>
      <w:r w:rsidRPr="006E28E4">
        <w:rPr>
          <w:rFonts w:ascii="Times New Roman" w:hAnsi="Times New Roman"/>
          <w:b/>
          <w:bCs/>
          <w:lang w:val="en-HK"/>
        </w:rPr>
        <w:t>Establishes Union citizenship</w:t>
      </w:r>
      <w:r w:rsidRPr="006E28E4">
        <w:rPr>
          <w:rFonts w:ascii="Times New Roman" w:hAnsi="Times New Roman"/>
          <w:lang w:val="en-HK"/>
        </w:rPr>
        <w:t xml:space="preserve"> for all nationals of Member States.</w:t>
      </w:r>
    </w:p>
    <w:p w14:paraId="2CFC3369"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Application</w:t>
      </w:r>
      <w:r w:rsidRPr="006E28E4">
        <w:rPr>
          <w:rFonts w:ascii="Times New Roman" w:hAnsi="Times New Roman"/>
          <w:lang w:val="en-HK"/>
        </w:rPr>
        <w:t>: Forms the basis for accessing EU rights irrespective of migration or economic activity.</w:t>
      </w:r>
    </w:p>
    <w:p w14:paraId="624D0B26"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Cases</w:t>
      </w:r>
      <w:r w:rsidRPr="006E28E4">
        <w:rPr>
          <w:rFonts w:ascii="Times New Roman" w:hAnsi="Times New Roman"/>
          <w:lang w:val="en-HK"/>
        </w:rPr>
        <w:t>:</w:t>
      </w:r>
    </w:p>
    <w:p w14:paraId="40B1A000" w14:textId="77777777" w:rsidR="003374E8" w:rsidRPr="006E28E4" w:rsidRDefault="003374E8" w:rsidP="006E28E4">
      <w:pPr>
        <w:numPr>
          <w:ilvl w:val="2"/>
          <w:numId w:val="14"/>
        </w:numPr>
        <w:spacing w:before="240" w:after="240" w:line="360" w:lineRule="auto"/>
        <w:rPr>
          <w:rFonts w:ascii="Times New Roman" w:hAnsi="Times New Roman"/>
          <w:lang w:val="en-HK"/>
        </w:rPr>
      </w:pPr>
      <w:r w:rsidRPr="006E28E4">
        <w:rPr>
          <w:rFonts w:ascii="Times New Roman" w:hAnsi="Times New Roman"/>
          <w:b/>
          <w:bCs/>
          <w:lang w:val="en-HK"/>
        </w:rPr>
        <w:t>Martínez Sala</w:t>
      </w:r>
      <w:r w:rsidRPr="006E28E4">
        <w:rPr>
          <w:rFonts w:ascii="Times New Roman" w:hAnsi="Times New Roman"/>
          <w:lang w:val="en-HK"/>
        </w:rPr>
        <w:t>: Used to assert rights without reliance on mobility.</w:t>
      </w:r>
    </w:p>
    <w:p w14:paraId="7953E8C1" w14:textId="77777777" w:rsidR="003374E8" w:rsidRPr="006E28E4" w:rsidRDefault="003374E8" w:rsidP="006E28E4">
      <w:pPr>
        <w:numPr>
          <w:ilvl w:val="2"/>
          <w:numId w:val="14"/>
        </w:num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 Confirmed the constitutional significance of Union citizenship.</w:t>
      </w:r>
    </w:p>
    <w:p w14:paraId="23151C44"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Significance</w:t>
      </w:r>
      <w:r w:rsidRPr="006E28E4">
        <w:rPr>
          <w:rFonts w:ascii="Times New Roman" w:hAnsi="Times New Roman"/>
          <w:lang w:val="en-HK"/>
        </w:rPr>
        <w:t>: Shifts the focus from economic activity to nationality as the criterion for EU protections.</w:t>
      </w:r>
    </w:p>
    <w:p w14:paraId="7BEA229C" w14:textId="77777777" w:rsidR="003374E8" w:rsidRPr="006E28E4" w:rsidRDefault="003374E8" w:rsidP="006E28E4">
      <w:pPr>
        <w:numPr>
          <w:ilvl w:val="0"/>
          <w:numId w:val="14"/>
        </w:numPr>
        <w:spacing w:before="240" w:after="240" w:line="360" w:lineRule="auto"/>
        <w:rPr>
          <w:rFonts w:ascii="Times New Roman" w:hAnsi="Times New Roman"/>
          <w:lang w:val="en-HK"/>
        </w:rPr>
      </w:pPr>
      <w:r w:rsidRPr="006E28E4">
        <w:rPr>
          <w:rFonts w:ascii="Times New Roman" w:hAnsi="Times New Roman"/>
          <w:b/>
          <w:bCs/>
          <w:lang w:val="en-HK"/>
        </w:rPr>
        <w:t>Article 18 EC</w:t>
      </w:r>
      <w:r w:rsidRPr="006E28E4">
        <w:rPr>
          <w:rFonts w:ascii="Times New Roman" w:hAnsi="Times New Roman"/>
          <w:lang w:val="en-HK"/>
        </w:rPr>
        <w:t>:</w:t>
      </w:r>
    </w:p>
    <w:p w14:paraId="603EA691"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Provision</w:t>
      </w:r>
      <w:r w:rsidRPr="006E28E4">
        <w:rPr>
          <w:rFonts w:ascii="Times New Roman" w:hAnsi="Times New Roman"/>
          <w:lang w:val="en-HK"/>
        </w:rPr>
        <w:t xml:space="preserve">: Confers </w:t>
      </w:r>
      <w:r w:rsidRPr="006E28E4">
        <w:rPr>
          <w:rFonts w:ascii="Times New Roman" w:hAnsi="Times New Roman"/>
          <w:b/>
          <w:bCs/>
          <w:lang w:val="en-HK"/>
        </w:rPr>
        <w:t>directly effective rights</w:t>
      </w:r>
      <w:r w:rsidRPr="006E28E4">
        <w:rPr>
          <w:rFonts w:ascii="Times New Roman" w:hAnsi="Times New Roman"/>
          <w:lang w:val="en-HK"/>
        </w:rPr>
        <w:t xml:space="preserve"> to move and reside freely in any Member State.</w:t>
      </w:r>
    </w:p>
    <w:p w14:paraId="5E88F818"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lastRenderedPageBreak/>
        <w:t>Application</w:t>
      </w:r>
      <w:r w:rsidRPr="006E28E4">
        <w:rPr>
          <w:rFonts w:ascii="Times New Roman" w:hAnsi="Times New Roman"/>
          <w:lang w:val="en-HK"/>
        </w:rPr>
        <w:t>: Often paired with proportionality tests to assess the legitimacy of national restrictions.</w:t>
      </w:r>
    </w:p>
    <w:p w14:paraId="47A28E61"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Cases</w:t>
      </w:r>
      <w:r w:rsidRPr="006E28E4">
        <w:rPr>
          <w:rFonts w:ascii="Times New Roman" w:hAnsi="Times New Roman"/>
          <w:lang w:val="en-HK"/>
        </w:rPr>
        <w:t>:</w:t>
      </w:r>
    </w:p>
    <w:p w14:paraId="423CFB07" w14:textId="77777777" w:rsidR="003374E8" w:rsidRPr="006E28E4" w:rsidRDefault="003374E8" w:rsidP="006E28E4">
      <w:pPr>
        <w:numPr>
          <w:ilvl w:val="2"/>
          <w:numId w:val="14"/>
        </w:num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 Direct effect recognized even when secondary conditions were not met.</w:t>
      </w:r>
    </w:p>
    <w:p w14:paraId="38770293" w14:textId="77777777" w:rsidR="003374E8" w:rsidRPr="006E28E4" w:rsidRDefault="003374E8" w:rsidP="006E28E4">
      <w:pPr>
        <w:numPr>
          <w:ilvl w:val="2"/>
          <w:numId w:val="14"/>
        </w:numPr>
        <w:spacing w:before="240" w:after="240" w:line="360" w:lineRule="auto"/>
        <w:rPr>
          <w:rFonts w:ascii="Times New Roman" w:hAnsi="Times New Roman"/>
          <w:lang w:val="en-HK"/>
        </w:rPr>
      </w:pPr>
      <w:r w:rsidRPr="006E28E4">
        <w:rPr>
          <w:rFonts w:ascii="Times New Roman" w:hAnsi="Times New Roman"/>
          <w:b/>
          <w:bCs/>
          <w:lang w:val="en-HK"/>
        </w:rPr>
        <w:t>Tas-Hagen</w:t>
      </w:r>
      <w:r w:rsidRPr="006E28E4">
        <w:rPr>
          <w:rFonts w:ascii="Times New Roman" w:hAnsi="Times New Roman"/>
          <w:lang w:val="en-HK"/>
        </w:rPr>
        <w:t>: Invoked to challenge residence conditions for war pensions.</w:t>
      </w:r>
    </w:p>
    <w:p w14:paraId="48AAA2BC"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Significance</w:t>
      </w:r>
      <w:r w:rsidRPr="006E28E4">
        <w:rPr>
          <w:rFonts w:ascii="Times New Roman" w:hAnsi="Times New Roman"/>
          <w:lang w:val="en-HK"/>
        </w:rPr>
        <w:t>: Central to extending the material scope of EU law into areas like welfare and tax.</w:t>
      </w:r>
    </w:p>
    <w:p w14:paraId="5531DE43" w14:textId="77777777" w:rsidR="003374E8" w:rsidRPr="006E28E4" w:rsidRDefault="003374E8" w:rsidP="006E28E4">
      <w:pPr>
        <w:numPr>
          <w:ilvl w:val="0"/>
          <w:numId w:val="14"/>
        </w:numPr>
        <w:spacing w:before="240" w:after="240" w:line="360" w:lineRule="auto"/>
        <w:rPr>
          <w:rFonts w:ascii="Times New Roman" w:hAnsi="Times New Roman"/>
          <w:lang w:val="en-HK"/>
        </w:rPr>
      </w:pPr>
      <w:r w:rsidRPr="006E28E4">
        <w:rPr>
          <w:rFonts w:ascii="Times New Roman" w:hAnsi="Times New Roman"/>
          <w:b/>
          <w:bCs/>
          <w:lang w:val="en-HK"/>
        </w:rPr>
        <w:t>Article 39 EC</w:t>
      </w:r>
      <w:r w:rsidRPr="006E28E4">
        <w:rPr>
          <w:rFonts w:ascii="Times New Roman" w:hAnsi="Times New Roman"/>
          <w:lang w:val="en-HK"/>
        </w:rPr>
        <w:t>:</w:t>
      </w:r>
    </w:p>
    <w:p w14:paraId="7528939E"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Provision</w:t>
      </w:r>
      <w:r w:rsidRPr="006E28E4">
        <w:rPr>
          <w:rFonts w:ascii="Times New Roman" w:hAnsi="Times New Roman"/>
          <w:lang w:val="en-HK"/>
        </w:rPr>
        <w:t xml:space="preserve">: Protects </w:t>
      </w:r>
      <w:r w:rsidRPr="006E28E4">
        <w:rPr>
          <w:rFonts w:ascii="Times New Roman" w:hAnsi="Times New Roman"/>
          <w:b/>
          <w:bCs/>
          <w:lang w:val="en-HK"/>
        </w:rPr>
        <w:t>free movement of workers</w:t>
      </w:r>
      <w:r w:rsidRPr="006E28E4">
        <w:rPr>
          <w:rFonts w:ascii="Times New Roman" w:hAnsi="Times New Roman"/>
          <w:lang w:val="en-HK"/>
        </w:rPr>
        <w:t>, prohibiting nationality-based discrimination.</w:t>
      </w:r>
    </w:p>
    <w:p w14:paraId="30B40817"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Application</w:t>
      </w:r>
      <w:r w:rsidRPr="006E28E4">
        <w:rPr>
          <w:rFonts w:ascii="Times New Roman" w:hAnsi="Times New Roman"/>
          <w:lang w:val="en-HK"/>
        </w:rPr>
        <w:t>: Distinguishes the material and personal scope of the Treaty in employment contexts.</w:t>
      </w:r>
    </w:p>
    <w:p w14:paraId="05A71F38"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Cases</w:t>
      </w:r>
      <w:r w:rsidRPr="006E28E4">
        <w:rPr>
          <w:rFonts w:ascii="Times New Roman" w:hAnsi="Times New Roman"/>
          <w:lang w:val="en-HK"/>
        </w:rPr>
        <w:t>:</w:t>
      </w:r>
    </w:p>
    <w:p w14:paraId="7765580B"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b/>
          <w:bCs/>
          <w:lang w:val="en-HK"/>
        </w:rPr>
        <w:t>Ferlini</w:t>
      </w:r>
      <w:proofErr w:type="spellEnd"/>
      <w:r w:rsidRPr="006E28E4">
        <w:rPr>
          <w:rFonts w:ascii="Times New Roman" w:hAnsi="Times New Roman"/>
          <w:lang w:val="en-HK"/>
        </w:rPr>
        <w:t>: Relied on Article 12 EC after finding Article 39 EC inapplicable to employment disputes involving EU institutions.</w:t>
      </w:r>
    </w:p>
    <w:p w14:paraId="05EFA0C0"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Significance</w:t>
      </w:r>
      <w:r w:rsidRPr="006E28E4">
        <w:rPr>
          <w:rFonts w:ascii="Times New Roman" w:hAnsi="Times New Roman"/>
          <w:lang w:val="en-HK"/>
        </w:rPr>
        <w:t>: Previously dominant in free movement jurisprudence but now increasingly supplemented by broader citizenship rights.</w:t>
      </w:r>
    </w:p>
    <w:p w14:paraId="54F697E0"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12E3116C">
          <v:rect id="_x0000_i1040" alt="" style="width:451.3pt;height:.05pt;mso-width-percent:0;mso-height-percent:0;mso-width-percent:0;mso-height-percent:0" o:hralign="center" o:hrstd="t" o:hr="t" fillcolor="#a0a0a0" stroked="f"/>
        </w:pict>
      </w:r>
    </w:p>
    <w:p w14:paraId="132D5A13" w14:textId="77777777" w:rsidR="003374E8" w:rsidRPr="006E28E4" w:rsidRDefault="003374E8" w:rsidP="006E28E4">
      <w:pPr>
        <w:spacing w:before="240" w:after="240" w:line="360" w:lineRule="auto"/>
        <w:outlineLvl w:val="3"/>
        <w:rPr>
          <w:rFonts w:ascii="Times New Roman" w:hAnsi="Times New Roman"/>
          <w:b/>
          <w:bCs/>
          <w:u w:val="single"/>
          <w:lang w:val="en-HK"/>
        </w:rPr>
      </w:pPr>
      <w:r w:rsidRPr="006E28E4">
        <w:rPr>
          <w:rFonts w:ascii="Times New Roman" w:hAnsi="Times New Roman"/>
          <w:b/>
          <w:bCs/>
          <w:u w:val="single"/>
          <w:lang w:val="en-HK"/>
        </w:rPr>
        <w:t>Secondary Legislation</w:t>
      </w:r>
    </w:p>
    <w:p w14:paraId="47D69771" w14:textId="77777777" w:rsidR="00316AAE" w:rsidRPr="006E28E4" w:rsidRDefault="00316AAE"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1. Directive 2004/38/EC (Free Movement Directive)</w:t>
      </w:r>
    </w:p>
    <w:p w14:paraId="0E7C9941" w14:textId="77777777" w:rsidR="00316AAE" w:rsidRPr="006E28E4" w:rsidRDefault="00316AAE"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Provision and Context:</w:t>
      </w:r>
    </w:p>
    <w:p w14:paraId="5D1005DD" w14:textId="77777777" w:rsidR="00316AAE" w:rsidRPr="006E28E4" w:rsidRDefault="00316AAE" w:rsidP="006E28E4">
      <w:pPr>
        <w:spacing w:before="240" w:after="240" w:line="360" w:lineRule="auto"/>
        <w:rPr>
          <w:rFonts w:ascii="Times New Roman" w:hAnsi="Times New Roman"/>
          <w:lang w:val="en-HK"/>
        </w:rPr>
      </w:pPr>
      <w:r w:rsidRPr="006E28E4">
        <w:rPr>
          <w:rFonts w:ascii="Times New Roman" w:hAnsi="Times New Roman"/>
          <w:b/>
          <w:bCs/>
          <w:lang w:val="en-HK"/>
        </w:rPr>
        <w:t>Directive 2004/38/EC</w:t>
      </w:r>
      <w:r w:rsidRPr="006E28E4">
        <w:rPr>
          <w:rFonts w:ascii="Times New Roman" w:hAnsi="Times New Roman"/>
          <w:lang w:val="en-HK"/>
        </w:rPr>
        <w:t xml:space="preserve"> codifies the </w:t>
      </w:r>
      <w:r w:rsidRPr="006E28E4">
        <w:rPr>
          <w:rFonts w:ascii="Times New Roman" w:hAnsi="Times New Roman"/>
          <w:b/>
          <w:bCs/>
          <w:lang w:val="en-HK"/>
        </w:rPr>
        <w:t>rights of Union citizens</w:t>
      </w:r>
      <w:r w:rsidRPr="006E28E4">
        <w:rPr>
          <w:rFonts w:ascii="Times New Roman" w:hAnsi="Times New Roman"/>
          <w:lang w:val="en-HK"/>
        </w:rPr>
        <w:t xml:space="preserve"> and their family members to </w:t>
      </w:r>
      <w:r w:rsidRPr="006E28E4">
        <w:rPr>
          <w:rFonts w:ascii="Times New Roman" w:hAnsi="Times New Roman"/>
          <w:b/>
          <w:bCs/>
          <w:lang w:val="en-HK"/>
        </w:rPr>
        <w:t>move and reside freely within the EU</w:t>
      </w:r>
      <w:r w:rsidRPr="006E28E4">
        <w:rPr>
          <w:rFonts w:ascii="Times New Roman" w:hAnsi="Times New Roman"/>
          <w:lang w:val="en-HK"/>
        </w:rPr>
        <w:t>.</w:t>
      </w:r>
    </w:p>
    <w:p w14:paraId="4ABDD26A" w14:textId="77777777" w:rsidR="00316AAE" w:rsidRPr="006E28E4" w:rsidRDefault="00316AAE" w:rsidP="006E28E4">
      <w:pPr>
        <w:spacing w:before="240" w:after="240" w:line="360" w:lineRule="auto"/>
        <w:rPr>
          <w:rFonts w:ascii="Times New Roman" w:hAnsi="Times New Roman"/>
          <w:lang w:val="en-HK"/>
        </w:rPr>
      </w:pPr>
      <w:r w:rsidRPr="006E28E4">
        <w:rPr>
          <w:rFonts w:ascii="Times New Roman" w:hAnsi="Times New Roman"/>
          <w:lang w:val="en-HK"/>
        </w:rPr>
        <w:t xml:space="preserve">The Directive builds upon </w:t>
      </w:r>
      <w:r w:rsidRPr="006E28E4">
        <w:rPr>
          <w:rFonts w:ascii="Times New Roman" w:hAnsi="Times New Roman"/>
          <w:b/>
          <w:bCs/>
          <w:lang w:val="en-HK"/>
        </w:rPr>
        <w:t>Article 18 EC</w:t>
      </w:r>
      <w:r w:rsidRPr="006E28E4">
        <w:rPr>
          <w:rFonts w:ascii="Times New Roman" w:hAnsi="Times New Roman"/>
          <w:lang w:val="en-HK"/>
        </w:rPr>
        <w:t xml:space="preserve"> and introduces conditions for </w:t>
      </w:r>
      <w:r w:rsidRPr="006E28E4">
        <w:rPr>
          <w:rFonts w:ascii="Times New Roman" w:hAnsi="Times New Roman"/>
          <w:b/>
          <w:bCs/>
          <w:lang w:val="en-HK"/>
        </w:rPr>
        <w:t xml:space="preserve">residence beyond </w:t>
      </w:r>
      <w:r w:rsidRPr="006E28E4">
        <w:rPr>
          <w:rFonts w:ascii="Times New Roman" w:hAnsi="Times New Roman"/>
          <w:b/>
          <w:bCs/>
          <w:highlight w:val="yellow"/>
          <w:lang w:val="en-HK"/>
        </w:rPr>
        <w:t>three months</w:t>
      </w:r>
      <w:r w:rsidRPr="006E28E4">
        <w:rPr>
          <w:rFonts w:ascii="Times New Roman" w:hAnsi="Times New Roman"/>
          <w:lang w:val="en-HK"/>
        </w:rPr>
        <w:t>, specifically:</w:t>
      </w:r>
    </w:p>
    <w:p w14:paraId="6F3E1242" w14:textId="77777777" w:rsidR="00316AAE" w:rsidRPr="006E28E4" w:rsidRDefault="00316AAE" w:rsidP="006E28E4">
      <w:pPr>
        <w:numPr>
          <w:ilvl w:val="1"/>
          <w:numId w:val="37"/>
        </w:numPr>
        <w:spacing w:before="240" w:after="240" w:line="360" w:lineRule="auto"/>
        <w:rPr>
          <w:rFonts w:ascii="Times New Roman" w:hAnsi="Times New Roman"/>
          <w:lang w:val="en-HK"/>
        </w:rPr>
      </w:pPr>
      <w:r w:rsidRPr="006E28E4">
        <w:rPr>
          <w:rFonts w:ascii="Times New Roman" w:hAnsi="Times New Roman"/>
          <w:b/>
          <w:bCs/>
          <w:lang w:val="en-HK"/>
        </w:rPr>
        <w:lastRenderedPageBreak/>
        <w:t>Sufficient resources</w:t>
      </w:r>
      <w:r w:rsidRPr="006E28E4">
        <w:rPr>
          <w:rFonts w:ascii="Times New Roman" w:hAnsi="Times New Roman"/>
          <w:lang w:val="en-HK"/>
        </w:rPr>
        <w:t>, ensuring that individuals do not become a financial burden on the host Member State.</w:t>
      </w:r>
    </w:p>
    <w:p w14:paraId="3B4F6171" w14:textId="77777777" w:rsidR="00316AAE" w:rsidRPr="006E28E4" w:rsidRDefault="00316AAE" w:rsidP="006E28E4">
      <w:pPr>
        <w:numPr>
          <w:ilvl w:val="1"/>
          <w:numId w:val="37"/>
        </w:numPr>
        <w:spacing w:before="240" w:after="240" w:line="360" w:lineRule="auto"/>
        <w:rPr>
          <w:rFonts w:ascii="Times New Roman" w:hAnsi="Times New Roman"/>
          <w:lang w:val="en-HK"/>
        </w:rPr>
      </w:pPr>
      <w:r w:rsidRPr="006E28E4">
        <w:rPr>
          <w:rFonts w:ascii="Times New Roman" w:hAnsi="Times New Roman"/>
          <w:b/>
          <w:bCs/>
          <w:lang w:val="en-HK"/>
        </w:rPr>
        <w:t>Comprehensive health insurance</w:t>
      </w:r>
      <w:r w:rsidRPr="006E28E4">
        <w:rPr>
          <w:rFonts w:ascii="Times New Roman" w:hAnsi="Times New Roman"/>
          <w:lang w:val="en-HK"/>
        </w:rPr>
        <w:t>, which is necessary to safeguard the welfare systems of the host state.</w:t>
      </w:r>
    </w:p>
    <w:p w14:paraId="6F5A0271" w14:textId="77777777" w:rsidR="00316AAE" w:rsidRPr="006E28E4" w:rsidRDefault="00316AAE" w:rsidP="006E28E4">
      <w:pPr>
        <w:spacing w:before="240" w:after="240" w:line="360" w:lineRule="auto"/>
        <w:rPr>
          <w:rFonts w:ascii="Times New Roman" w:hAnsi="Times New Roman"/>
          <w:lang w:val="en-HK"/>
        </w:rPr>
      </w:pPr>
      <w:r w:rsidRPr="006E28E4">
        <w:rPr>
          <w:rFonts w:ascii="Times New Roman" w:hAnsi="Times New Roman"/>
          <w:lang w:val="en-HK"/>
        </w:rPr>
        <w:t xml:space="preserve">This Directive strengthens </w:t>
      </w:r>
      <w:r w:rsidRPr="006E28E4">
        <w:rPr>
          <w:rFonts w:ascii="Times New Roman" w:hAnsi="Times New Roman"/>
          <w:b/>
          <w:bCs/>
          <w:lang w:val="en-HK"/>
        </w:rPr>
        <w:t>EU citizenship rights</w:t>
      </w:r>
      <w:r w:rsidRPr="006E28E4">
        <w:rPr>
          <w:rFonts w:ascii="Times New Roman" w:hAnsi="Times New Roman"/>
          <w:lang w:val="en-HK"/>
        </w:rPr>
        <w:t xml:space="preserve"> while allowing </w:t>
      </w:r>
      <w:r w:rsidRPr="006E28E4">
        <w:rPr>
          <w:rFonts w:ascii="Times New Roman" w:hAnsi="Times New Roman"/>
          <w:b/>
          <w:bCs/>
          <w:lang w:val="en-HK"/>
        </w:rPr>
        <w:t>Member States</w:t>
      </w:r>
      <w:r w:rsidRPr="006E28E4">
        <w:rPr>
          <w:rFonts w:ascii="Times New Roman" w:hAnsi="Times New Roman"/>
          <w:lang w:val="en-HK"/>
        </w:rPr>
        <w:t xml:space="preserve"> to maintain control over their social systems, balancing rights with the need to avoid welfare dependency. It applies not just to economically active citizens but also to </w:t>
      </w:r>
      <w:r w:rsidRPr="006E28E4">
        <w:rPr>
          <w:rFonts w:ascii="Times New Roman" w:hAnsi="Times New Roman"/>
          <w:b/>
          <w:bCs/>
          <w:lang w:val="en-HK"/>
        </w:rPr>
        <w:t>non-economically active citizens</w:t>
      </w:r>
      <w:r w:rsidRPr="006E28E4">
        <w:rPr>
          <w:rFonts w:ascii="Times New Roman" w:hAnsi="Times New Roman"/>
          <w:lang w:val="en-HK"/>
        </w:rPr>
        <w:t>, such as retirees, students, or family members, who must meet certain criteria (sufficient resources and health insurance) to exercise their free movement rights.</w:t>
      </w:r>
    </w:p>
    <w:p w14:paraId="6B1C9372" w14:textId="77777777" w:rsidR="00316AAE" w:rsidRPr="006E28E4" w:rsidRDefault="00316AAE"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Application in Cases:</w:t>
      </w:r>
    </w:p>
    <w:p w14:paraId="11D9DE64" w14:textId="77777777" w:rsidR="00316AAE" w:rsidRPr="006E28E4" w:rsidRDefault="00316AAE" w:rsidP="006E28E4">
      <w:pPr>
        <w:numPr>
          <w:ilvl w:val="0"/>
          <w:numId w:val="38"/>
        </w:num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w:t>
      </w:r>
    </w:p>
    <w:p w14:paraId="437B6586" w14:textId="017C51F0" w:rsidR="00316AAE" w:rsidRPr="006E28E4" w:rsidRDefault="00316AAE" w:rsidP="006E28E4">
      <w:pPr>
        <w:pStyle w:val="ListParagraph"/>
        <w:numPr>
          <w:ilvl w:val="1"/>
          <w:numId w:val="38"/>
        </w:numPr>
        <w:spacing w:before="240" w:after="240" w:line="360" w:lineRule="auto"/>
        <w:rPr>
          <w:rFonts w:ascii="Times New Roman" w:hAnsi="Times New Roman"/>
          <w:lang w:val="en-HK"/>
        </w:rPr>
      </w:pPr>
      <w:r w:rsidRPr="006E28E4">
        <w:rPr>
          <w:rFonts w:ascii="Times New Roman" w:hAnsi="Times New Roman"/>
          <w:lang w:val="en-HK"/>
        </w:rPr>
        <w:t xml:space="preserve">In the </w:t>
      </w:r>
      <w:proofErr w:type="spellStart"/>
      <w:r w:rsidRPr="006E28E4">
        <w:rPr>
          <w:rFonts w:ascii="Times New Roman" w:hAnsi="Times New Roman"/>
          <w:b/>
          <w:bCs/>
          <w:lang w:val="en-HK"/>
        </w:rPr>
        <w:t>Baumbast</w:t>
      </w:r>
      <w:proofErr w:type="spellEnd"/>
      <w:r w:rsidRPr="006E28E4">
        <w:rPr>
          <w:rFonts w:ascii="Times New Roman" w:hAnsi="Times New Roman"/>
          <w:lang w:val="en-HK"/>
        </w:rPr>
        <w:t xml:space="preserve"> case, </w:t>
      </w:r>
      <w:r w:rsidRPr="006E28E4">
        <w:rPr>
          <w:rFonts w:ascii="Times New Roman" w:hAnsi="Times New Roman"/>
          <w:b/>
          <w:bCs/>
          <w:lang w:val="en-HK"/>
        </w:rPr>
        <w:t>proportionality</w:t>
      </w:r>
      <w:r w:rsidRPr="006E28E4">
        <w:rPr>
          <w:rFonts w:ascii="Times New Roman" w:hAnsi="Times New Roman"/>
          <w:lang w:val="en-HK"/>
        </w:rPr>
        <w:t xml:space="preserve"> was a key principle in assessing the requirement for </w:t>
      </w:r>
      <w:r w:rsidRPr="006E28E4">
        <w:rPr>
          <w:rFonts w:ascii="Times New Roman" w:hAnsi="Times New Roman"/>
          <w:b/>
          <w:bCs/>
          <w:lang w:val="en-HK"/>
        </w:rPr>
        <w:t>comprehensive health insurance</w:t>
      </w:r>
      <w:r w:rsidRPr="006E28E4">
        <w:rPr>
          <w:rFonts w:ascii="Times New Roman" w:hAnsi="Times New Roman"/>
          <w:lang w:val="en-HK"/>
        </w:rPr>
        <w:t xml:space="preserve"> for </w:t>
      </w:r>
      <w:proofErr w:type="spellStart"/>
      <w:r w:rsidRPr="006E28E4">
        <w:rPr>
          <w:rFonts w:ascii="Times New Roman" w:hAnsi="Times New Roman"/>
          <w:lang w:val="en-HK"/>
        </w:rPr>
        <w:t>Baumbast’s</w:t>
      </w:r>
      <w:proofErr w:type="spellEnd"/>
      <w:r w:rsidRPr="006E28E4">
        <w:rPr>
          <w:rFonts w:ascii="Times New Roman" w:hAnsi="Times New Roman"/>
          <w:lang w:val="en-HK"/>
        </w:rPr>
        <w:t xml:space="preserve"> family, despite their financial self-sufficiency.</w:t>
      </w:r>
    </w:p>
    <w:p w14:paraId="6FF2A3A3" w14:textId="6267863D" w:rsidR="00316AAE" w:rsidRPr="006E28E4" w:rsidRDefault="00316AAE" w:rsidP="006E28E4">
      <w:pPr>
        <w:pStyle w:val="ListParagraph"/>
        <w:numPr>
          <w:ilvl w:val="1"/>
          <w:numId w:val="38"/>
        </w:numPr>
        <w:spacing w:before="240" w:after="240" w:line="360" w:lineRule="auto"/>
        <w:rPr>
          <w:rFonts w:ascii="Times New Roman" w:hAnsi="Times New Roman"/>
          <w:lang w:val="en-HK"/>
        </w:rPr>
      </w:pPr>
      <w:r w:rsidRPr="006E28E4">
        <w:rPr>
          <w:rFonts w:ascii="Times New Roman" w:hAnsi="Times New Roman"/>
          <w:lang w:val="en-HK"/>
        </w:rPr>
        <w:t xml:space="preserve">The </w:t>
      </w:r>
      <w:r w:rsidRPr="006E28E4">
        <w:rPr>
          <w:rFonts w:ascii="Times New Roman" w:hAnsi="Times New Roman"/>
          <w:b/>
          <w:bCs/>
          <w:lang w:val="en-HK"/>
        </w:rPr>
        <w:t>CJEU ruled</w:t>
      </w:r>
      <w:r w:rsidRPr="006E28E4">
        <w:rPr>
          <w:rFonts w:ascii="Times New Roman" w:hAnsi="Times New Roman"/>
          <w:lang w:val="en-HK"/>
        </w:rPr>
        <w:t xml:space="preserve"> that the </w:t>
      </w:r>
      <w:r w:rsidRPr="006E28E4">
        <w:rPr>
          <w:rFonts w:ascii="Times New Roman" w:hAnsi="Times New Roman"/>
          <w:b/>
          <w:bCs/>
          <w:lang w:val="en-HK"/>
        </w:rPr>
        <w:t>health insurance requirement</w:t>
      </w:r>
      <w:r w:rsidRPr="006E28E4">
        <w:rPr>
          <w:rFonts w:ascii="Times New Roman" w:hAnsi="Times New Roman"/>
          <w:lang w:val="en-HK"/>
        </w:rPr>
        <w:t xml:space="preserve"> was </w:t>
      </w:r>
      <w:r w:rsidRPr="006E28E4">
        <w:rPr>
          <w:rFonts w:ascii="Times New Roman" w:hAnsi="Times New Roman"/>
          <w:b/>
          <w:bCs/>
          <w:lang w:val="en-HK"/>
        </w:rPr>
        <w:t>disproportionate</w:t>
      </w:r>
      <w:r w:rsidRPr="006E28E4">
        <w:rPr>
          <w:rFonts w:ascii="Times New Roman" w:hAnsi="Times New Roman"/>
          <w:lang w:val="en-HK"/>
        </w:rPr>
        <w:t xml:space="preserve"> because it was not necessary to achieve the goal of avoiding dependency on the host state's welfare system, as </w:t>
      </w:r>
      <w:proofErr w:type="spellStart"/>
      <w:r w:rsidRPr="006E28E4">
        <w:rPr>
          <w:rFonts w:ascii="Times New Roman" w:hAnsi="Times New Roman"/>
          <w:lang w:val="en-HK"/>
        </w:rPr>
        <w:t>Baumbast’s</w:t>
      </w:r>
      <w:proofErr w:type="spellEnd"/>
      <w:r w:rsidRPr="006E28E4">
        <w:rPr>
          <w:rFonts w:ascii="Times New Roman" w:hAnsi="Times New Roman"/>
          <w:lang w:val="en-HK"/>
        </w:rPr>
        <w:t xml:space="preserve"> family was self-sufficient and did not rely on the state's resources.</w:t>
      </w:r>
    </w:p>
    <w:p w14:paraId="4A7C9BE0" w14:textId="52D9D990" w:rsidR="00316AAE" w:rsidRPr="006E28E4" w:rsidRDefault="00316AAE" w:rsidP="006E28E4">
      <w:pPr>
        <w:pStyle w:val="ListParagraph"/>
        <w:numPr>
          <w:ilvl w:val="1"/>
          <w:numId w:val="38"/>
        </w:numPr>
        <w:spacing w:before="240" w:after="240" w:line="360" w:lineRule="auto"/>
        <w:rPr>
          <w:rFonts w:ascii="Times New Roman" w:hAnsi="Times New Roman"/>
          <w:lang w:val="en-HK"/>
        </w:rPr>
      </w:pPr>
      <w:r w:rsidRPr="006E28E4">
        <w:rPr>
          <w:rFonts w:ascii="Times New Roman" w:hAnsi="Times New Roman"/>
          <w:b/>
          <w:bCs/>
          <w:lang w:val="en-HK"/>
        </w:rPr>
        <w:t>Implication</w:t>
      </w:r>
      <w:r w:rsidRPr="006E28E4">
        <w:rPr>
          <w:rFonts w:ascii="Times New Roman" w:hAnsi="Times New Roman"/>
          <w:lang w:val="en-HK"/>
        </w:rPr>
        <w:t xml:space="preserve">: The Court used </w:t>
      </w:r>
      <w:r w:rsidRPr="006E28E4">
        <w:rPr>
          <w:rFonts w:ascii="Times New Roman" w:hAnsi="Times New Roman"/>
          <w:b/>
          <w:bCs/>
          <w:lang w:val="en-HK"/>
        </w:rPr>
        <w:t>proportionality</w:t>
      </w:r>
      <w:r w:rsidRPr="006E28E4">
        <w:rPr>
          <w:rFonts w:ascii="Times New Roman" w:hAnsi="Times New Roman"/>
          <w:lang w:val="en-HK"/>
        </w:rPr>
        <w:t xml:space="preserve"> to evaluate whether the </w:t>
      </w:r>
      <w:r w:rsidRPr="006E28E4">
        <w:rPr>
          <w:rFonts w:ascii="Times New Roman" w:hAnsi="Times New Roman"/>
          <w:b/>
          <w:bCs/>
          <w:lang w:val="en-HK"/>
        </w:rPr>
        <w:t>restriction on residency</w:t>
      </w:r>
      <w:r w:rsidRPr="006E28E4">
        <w:rPr>
          <w:rFonts w:ascii="Times New Roman" w:hAnsi="Times New Roman"/>
          <w:lang w:val="en-HK"/>
        </w:rPr>
        <w:t xml:space="preserve"> (due to health insurance) was an appropriate and necessary measure, ensuring that the restriction did not go beyond what was needed to achieve the legitimate aim (i.e., avoiding reliance on state welfare).</w:t>
      </w:r>
    </w:p>
    <w:p w14:paraId="556CA49C" w14:textId="77777777" w:rsidR="00316AAE" w:rsidRPr="006E28E4" w:rsidRDefault="00316AAE" w:rsidP="006E28E4">
      <w:pPr>
        <w:numPr>
          <w:ilvl w:val="1"/>
          <w:numId w:val="38"/>
        </w:numPr>
        <w:spacing w:before="240" w:after="240" w:line="360" w:lineRule="auto"/>
        <w:rPr>
          <w:rFonts w:ascii="Times New Roman" w:hAnsi="Times New Roman"/>
          <w:lang w:val="en-HK"/>
        </w:rPr>
      </w:pPr>
      <w:r w:rsidRPr="006E28E4">
        <w:rPr>
          <w:rFonts w:ascii="Times New Roman" w:hAnsi="Times New Roman"/>
          <w:b/>
          <w:bCs/>
          <w:lang w:val="en-HK"/>
        </w:rPr>
        <w:t>Economic Inactivity Rule</w:t>
      </w:r>
      <w:r w:rsidRPr="006E28E4">
        <w:rPr>
          <w:rFonts w:ascii="Times New Roman" w:hAnsi="Times New Roman"/>
          <w:lang w:val="en-HK"/>
        </w:rPr>
        <w:t xml:space="preserve">: The case also illustrated how the Court applied the </w:t>
      </w:r>
      <w:r w:rsidRPr="006E28E4">
        <w:rPr>
          <w:rFonts w:ascii="Times New Roman" w:hAnsi="Times New Roman"/>
          <w:b/>
          <w:bCs/>
          <w:lang w:val="en-HK"/>
        </w:rPr>
        <w:t>economic inactivity rule</w:t>
      </w:r>
      <w:r w:rsidRPr="006E28E4">
        <w:rPr>
          <w:rFonts w:ascii="Times New Roman" w:hAnsi="Times New Roman"/>
          <w:lang w:val="en-HK"/>
        </w:rPr>
        <w:t xml:space="preserve">—non-economically active citizens (like retirees or family members) can still move freely within the EU if they meet the conditions of </w:t>
      </w:r>
      <w:r w:rsidRPr="006E28E4">
        <w:rPr>
          <w:rFonts w:ascii="Times New Roman" w:hAnsi="Times New Roman"/>
          <w:b/>
          <w:bCs/>
          <w:lang w:val="en-HK"/>
        </w:rPr>
        <w:t>self-sufficiency</w:t>
      </w:r>
      <w:r w:rsidRPr="006E28E4">
        <w:rPr>
          <w:rFonts w:ascii="Times New Roman" w:hAnsi="Times New Roman"/>
          <w:lang w:val="en-HK"/>
        </w:rPr>
        <w:t xml:space="preserve"> and </w:t>
      </w:r>
      <w:r w:rsidRPr="006E28E4">
        <w:rPr>
          <w:rFonts w:ascii="Times New Roman" w:hAnsi="Times New Roman"/>
          <w:b/>
          <w:bCs/>
          <w:lang w:val="en-HK"/>
        </w:rPr>
        <w:t>health insurance</w:t>
      </w:r>
      <w:r w:rsidRPr="006E28E4">
        <w:rPr>
          <w:rFonts w:ascii="Times New Roman" w:hAnsi="Times New Roman"/>
          <w:lang w:val="en-HK"/>
        </w:rPr>
        <w:t>.</w:t>
      </w:r>
    </w:p>
    <w:p w14:paraId="43F3CA04" w14:textId="77777777" w:rsidR="00316AAE" w:rsidRPr="006E28E4" w:rsidRDefault="00316AAE" w:rsidP="006E28E4">
      <w:pPr>
        <w:numPr>
          <w:ilvl w:val="0"/>
          <w:numId w:val="38"/>
        </w:numPr>
        <w:spacing w:before="240" w:after="240" w:line="360" w:lineRule="auto"/>
        <w:rPr>
          <w:rFonts w:ascii="Times New Roman" w:hAnsi="Times New Roman"/>
          <w:lang w:val="en-HK"/>
        </w:rPr>
      </w:pPr>
      <w:r w:rsidRPr="006E28E4">
        <w:rPr>
          <w:rFonts w:ascii="Times New Roman" w:hAnsi="Times New Roman"/>
          <w:b/>
          <w:bCs/>
          <w:lang w:val="en-HK"/>
        </w:rPr>
        <w:t>Chen</w:t>
      </w:r>
      <w:r w:rsidRPr="006E28E4">
        <w:rPr>
          <w:rFonts w:ascii="Times New Roman" w:hAnsi="Times New Roman"/>
          <w:lang w:val="en-HK"/>
        </w:rPr>
        <w:t>:</w:t>
      </w:r>
    </w:p>
    <w:p w14:paraId="7A99D105" w14:textId="77777777" w:rsidR="00316AAE" w:rsidRPr="006E28E4" w:rsidRDefault="00316AAE" w:rsidP="006E28E4">
      <w:pPr>
        <w:numPr>
          <w:ilvl w:val="1"/>
          <w:numId w:val="38"/>
        </w:numPr>
        <w:spacing w:before="240" w:after="240" w:line="360" w:lineRule="auto"/>
        <w:rPr>
          <w:rFonts w:ascii="Times New Roman" w:hAnsi="Times New Roman"/>
          <w:lang w:val="en-HK"/>
        </w:rPr>
      </w:pPr>
      <w:r w:rsidRPr="006E28E4">
        <w:rPr>
          <w:rFonts w:ascii="Times New Roman" w:hAnsi="Times New Roman"/>
          <w:lang w:val="en-HK"/>
        </w:rPr>
        <w:lastRenderedPageBreak/>
        <w:t xml:space="preserve">In </w:t>
      </w:r>
      <w:r w:rsidRPr="006E28E4">
        <w:rPr>
          <w:rFonts w:ascii="Times New Roman" w:hAnsi="Times New Roman"/>
          <w:b/>
          <w:bCs/>
          <w:lang w:val="en-HK"/>
        </w:rPr>
        <w:t>Chen</w:t>
      </w:r>
      <w:r w:rsidRPr="006E28E4">
        <w:rPr>
          <w:rFonts w:ascii="Times New Roman" w:hAnsi="Times New Roman"/>
          <w:lang w:val="en-HK"/>
        </w:rPr>
        <w:t xml:space="preserve">, the case involved </w:t>
      </w:r>
      <w:r w:rsidRPr="006E28E4">
        <w:rPr>
          <w:rFonts w:ascii="Times New Roman" w:hAnsi="Times New Roman"/>
          <w:b/>
          <w:bCs/>
          <w:lang w:val="en-HK"/>
        </w:rPr>
        <w:t>relying on third-party resources</w:t>
      </w:r>
      <w:r w:rsidRPr="006E28E4">
        <w:rPr>
          <w:rFonts w:ascii="Times New Roman" w:hAnsi="Times New Roman"/>
          <w:lang w:val="en-HK"/>
        </w:rPr>
        <w:t xml:space="preserve"> for residency. Catherine Zhu, born in Ireland to non-EU parents, was an Irish citizen. Her family relied on her citizenship and the resources of her parents to claim residency in the UK.</w:t>
      </w:r>
    </w:p>
    <w:p w14:paraId="79F49749" w14:textId="77777777" w:rsidR="00316AAE" w:rsidRPr="006E28E4" w:rsidRDefault="00316AAE" w:rsidP="006E28E4">
      <w:pPr>
        <w:numPr>
          <w:ilvl w:val="1"/>
          <w:numId w:val="38"/>
        </w:numPr>
        <w:spacing w:before="240" w:after="240" w:line="360" w:lineRule="auto"/>
        <w:rPr>
          <w:rFonts w:ascii="Times New Roman" w:hAnsi="Times New Roman"/>
          <w:lang w:val="en-HK"/>
        </w:rPr>
      </w:pPr>
      <w:r w:rsidRPr="006E28E4">
        <w:rPr>
          <w:rFonts w:ascii="Times New Roman" w:hAnsi="Times New Roman"/>
          <w:lang w:val="en-HK"/>
        </w:rPr>
        <w:t xml:space="preserve">The </w:t>
      </w:r>
      <w:r w:rsidRPr="006E28E4">
        <w:rPr>
          <w:rFonts w:ascii="Times New Roman" w:hAnsi="Times New Roman"/>
          <w:b/>
          <w:bCs/>
          <w:lang w:val="en-HK"/>
        </w:rPr>
        <w:t xml:space="preserve">CJEU ruled in </w:t>
      </w:r>
      <w:proofErr w:type="spellStart"/>
      <w:r w:rsidRPr="006E28E4">
        <w:rPr>
          <w:rFonts w:ascii="Times New Roman" w:hAnsi="Times New Roman"/>
          <w:b/>
          <w:bCs/>
          <w:lang w:val="en-HK"/>
        </w:rPr>
        <w:t>favor</w:t>
      </w:r>
      <w:proofErr w:type="spellEnd"/>
      <w:r w:rsidRPr="006E28E4">
        <w:rPr>
          <w:rFonts w:ascii="Times New Roman" w:hAnsi="Times New Roman"/>
          <w:b/>
          <w:bCs/>
          <w:lang w:val="en-HK"/>
        </w:rPr>
        <w:t xml:space="preserve"> of Chen</w:t>
      </w:r>
      <w:r w:rsidRPr="006E28E4">
        <w:rPr>
          <w:rFonts w:ascii="Times New Roman" w:hAnsi="Times New Roman"/>
          <w:lang w:val="en-HK"/>
        </w:rPr>
        <w:t xml:space="preserve">, affirming that reliance on </w:t>
      </w:r>
      <w:r w:rsidRPr="006E28E4">
        <w:rPr>
          <w:rFonts w:ascii="Times New Roman" w:hAnsi="Times New Roman"/>
          <w:b/>
          <w:bCs/>
          <w:lang w:val="en-HK"/>
        </w:rPr>
        <w:t>third-party resources</w:t>
      </w:r>
      <w:r w:rsidRPr="006E28E4">
        <w:rPr>
          <w:rFonts w:ascii="Times New Roman" w:hAnsi="Times New Roman"/>
          <w:lang w:val="en-HK"/>
        </w:rPr>
        <w:t xml:space="preserve"> did not undermine the right to residence as long as </w:t>
      </w:r>
      <w:r w:rsidRPr="006E28E4">
        <w:rPr>
          <w:rFonts w:ascii="Times New Roman" w:hAnsi="Times New Roman"/>
          <w:b/>
          <w:bCs/>
          <w:lang w:val="en-HK"/>
        </w:rPr>
        <w:t>sufficient resources</w:t>
      </w:r>
      <w:r w:rsidRPr="006E28E4">
        <w:rPr>
          <w:rFonts w:ascii="Times New Roman" w:hAnsi="Times New Roman"/>
          <w:lang w:val="en-HK"/>
        </w:rPr>
        <w:t xml:space="preserve"> were provided to meet the </w:t>
      </w:r>
      <w:r w:rsidRPr="006E28E4">
        <w:rPr>
          <w:rFonts w:ascii="Times New Roman" w:hAnsi="Times New Roman"/>
          <w:b/>
          <w:bCs/>
          <w:lang w:val="en-HK"/>
        </w:rPr>
        <w:t>self-sufficiency</w:t>
      </w:r>
      <w:r w:rsidRPr="006E28E4">
        <w:rPr>
          <w:rFonts w:ascii="Times New Roman" w:hAnsi="Times New Roman"/>
          <w:lang w:val="en-HK"/>
        </w:rPr>
        <w:t xml:space="preserve"> requirement.</w:t>
      </w:r>
    </w:p>
    <w:p w14:paraId="375CD012" w14:textId="77777777" w:rsidR="00316AAE" w:rsidRPr="006E28E4" w:rsidRDefault="00316AAE" w:rsidP="006E28E4">
      <w:pPr>
        <w:numPr>
          <w:ilvl w:val="1"/>
          <w:numId w:val="38"/>
        </w:numPr>
        <w:spacing w:before="240" w:after="240" w:line="360" w:lineRule="auto"/>
        <w:rPr>
          <w:rFonts w:ascii="Times New Roman" w:hAnsi="Times New Roman"/>
          <w:lang w:val="en-HK"/>
        </w:rPr>
      </w:pPr>
      <w:r w:rsidRPr="006E28E4">
        <w:rPr>
          <w:rFonts w:ascii="Times New Roman" w:hAnsi="Times New Roman"/>
          <w:b/>
          <w:bCs/>
          <w:lang w:val="en-HK"/>
        </w:rPr>
        <w:t>Economic Inactivity Rule</w:t>
      </w:r>
      <w:r w:rsidRPr="006E28E4">
        <w:rPr>
          <w:rFonts w:ascii="Times New Roman" w:hAnsi="Times New Roman"/>
          <w:lang w:val="en-HK"/>
        </w:rPr>
        <w:t xml:space="preserve">: This case again highlighted that </w:t>
      </w:r>
      <w:r w:rsidRPr="006E28E4">
        <w:rPr>
          <w:rFonts w:ascii="Times New Roman" w:hAnsi="Times New Roman"/>
          <w:b/>
          <w:bCs/>
          <w:lang w:val="en-HK"/>
        </w:rPr>
        <w:t>non-economically active Union citizens</w:t>
      </w:r>
      <w:r w:rsidRPr="006E28E4">
        <w:rPr>
          <w:rFonts w:ascii="Times New Roman" w:hAnsi="Times New Roman"/>
          <w:lang w:val="en-HK"/>
        </w:rPr>
        <w:t xml:space="preserve"> (such as family members of Union citizens) could rely on their family members’ resources, provided they meet the necessary conditions, reinforcing the </w:t>
      </w:r>
      <w:r w:rsidRPr="006E28E4">
        <w:rPr>
          <w:rFonts w:ascii="Times New Roman" w:hAnsi="Times New Roman"/>
          <w:b/>
          <w:bCs/>
          <w:lang w:val="en-HK"/>
        </w:rPr>
        <w:t>economic inactivity rule</w:t>
      </w:r>
      <w:r w:rsidRPr="006E28E4">
        <w:rPr>
          <w:rFonts w:ascii="Times New Roman" w:hAnsi="Times New Roman"/>
          <w:lang w:val="en-HK"/>
        </w:rPr>
        <w:t>.</w:t>
      </w:r>
    </w:p>
    <w:p w14:paraId="7EA70273" w14:textId="77777777" w:rsidR="00316AAE" w:rsidRPr="006E28E4" w:rsidRDefault="00316AAE"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Significance:</w:t>
      </w:r>
    </w:p>
    <w:p w14:paraId="6815F3A8" w14:textId="77777777" w:rsidR="00316AAE" w:rsidRPr="006E28E4" w:rsidRDefault="00316AAE" w:rsidP="006E28E4">
      <w:pPr>
        <w:numPr>
          <w:ilvl w:val="0"/>
          <w:numId w:val="39"/>
        </w:numPr>
        <w:spacing w:before="240" w:after="240" w:line="360" w:lineRule="auto"/>
        <w:rPr>
          <w:rFonts w:ascii="Times New Roman" w:hAnsi="Times New Roman"/>
          <w:lang w:val="en-HK"/>
        </w:rPr>
      </w:pPr>
      <w:r w:rsidRPr="006E28E4">
        <w:rPr>
          <w:rFonts w:ascii="Times New Roman" w:hAnsi="Times New Roman"/>
          <w:b/>
          <w:bCs/>
          <w:lang w:val="en-HK"/>
        </w:rPr>
        <w:t>Directive 2004/38/EC</w:t>
      </w:r>
      <w:r w:rsidRPr="006E28E4">
        <w:rPr>
          <w:rFonts w:ascii="Times New Roman" w:hAnsi="Times New Roman"/>
          <w:lang w:val="en-HK"/>
        </w:rPr>
        <w:t xml:space="preserve"> is recognized in the document as a </w:t>
      </w:r>
      <w:r w:rsidRPr="006E28E4">
        <w:rPr>
          <w:rFonts w:ascii="Times New Roman" w:hAnsi="Times New Roman"/>
          <w:b/>
          <w:bCs/>
          <w:lang w:val="en-HK"/>
        </w:rPr>
        <w:t>cornerstone of Union citizenship law</w:t>
      </w:r>
      <w:r w:rsidRPr="006E28E4">
        <w:rPr>
          <w:rFonts w:ascii="Times New Roman" w:hAnsi="Times New Roman"/>
          <w:lang w:val="en-HK"/>
        </w:rPr>
        <w:t xml:space="preserve">. It ensures that the </w:t>
      </w:r>
      <w:r w:rsidRPr="006E28E4">
        <w:rPr>
          <w:rFonts w:ascii="Times New Roman" w:hAnsi="Times New Roman"/>
          <w:b/>
          <w:bCs/>
          <w:lang w:val="en-HK"/>
        </w:rPr>
        <w:t>rights to free movement</w:t>
      </w:r>
      <w:r w:rsidRPr="006E28E4">
        <w:rPr>
          <w:rFonts w:ascii="Times New Roman" w:hAnsi="Times New Roman"/>
          <w:lang w:val="en-HK"/>
        </w:rPr>
        <w:t xml:space="preserve"> and </w:t>
      </w:r>
      <w:r w:rsidRPr="006E28E4">
        <w:rPr>
          <w:rFonts w:ascii="Times New Roman" w:hAnsi="Times New Roman"/>
          <w:b/>
          <w:bCs/>
          <w:lang w:val="en-HK"/>
        </w:rPr>
        <w:t>residence</w:t>
      </w:r>
      <w:r w:rsidRPr="006E28E4">
        <w:rPr>
          <w:rFonts w:ascii="Times New Roman" w:hAnsi="Times New Roman"/>
          <w:lang w:val="en-HK"/>
        </w:rPr>
        <w:t xml:space="preserve"> are safeguarded, even for </w:t>
      </w:r>
      <w:r w:rsidRPr="006E28E4">
        <w:rPr>
          <w:rFonts w:ascii="Times New Roman" w:hAnsi="Times New Roman"/>
          <w:b/>
          <w:bCs/>
          <w:lang w:val="en-HK"/>
        </w:rPr>
        <w:t>non-economically active citizens</w:t>
      </w:r>
      <w:r w:rsidRPr="006E28E4">
        <w:rPr>
          <w:rFonts w:ascii="Times New Roman" w:hAnsi="Times New Roman"/>
          <w:lang w:val="en-HK"/>
        </w:rPr>
        <w:t>.</w:t>
      </w:r>
    </w:p>
    <w:p w14:paraId="2D3153DE" w14:textId="77777777" w:rsidR="00316AAE" w:rsidRPr="006E28E4" w:rsidRDefault="00316AAE" w:rsidP="006E28E4">
      <w:pPr>
        <w:numPr>
          <w:ilvl w:val="0"/>
          <w:numId w:val="39"/>
        </w:numPr>
        <w:spacing w:before="240" w:after="240" w:line="360" w:lineRule="auto"/>
        <w:rPr>
          <w:rFonts w:ascii="Times New Roman" w:hAnsi="Times New Roman"/>
          <w:lang w:val="en-HK"/>
        </w:rPr>
      </w:pPr>
      <w:r w:rsidRPr="006E28E4">
        <w:rPr>
          <w:rFonts w:ascii="Times New Roman" w:hAnsi="Times New Roman"/>
          <w:lang w:val="en-HK"/>
        </w:rPr>
        <w:t xml:space="preserve">The </w:t>
      </w:r>
      <w:r w:rsidRPr="006E28E4">
        <w:rPr>
          <w:rFonts w:ascii="Times New Roman" w:hAnsi="Times New Roman"/>
          <w:b/>
          <w:bCs/>
          <w:lang w:val="en-HK"/>
        </w:rPr>
        <w:t>Directive strikes a balance</w:t>
      </w:r>
      <w:r w:rsidRPr="006E28E4">
        <w:rPr>
          <w:rFonts w:ascii="Times New Roman" w:hAnsi="Times New Roman"/>
          <w:lang w:val="en-HK"/>
        </w:rPr>
        <w:t xml:space="preserve"> between </w:t>
      </w:r>
      <w:r w:rsidRPr="006E28E4">
        <w:rPr>
          <w:rFonts w:ascii="Times New Roman" w:hAnsi="Times New Roman"/>
          <w:b/>
          <w:bCs/>
          <w:lang w:val="en-HK"/>
        </w:rPr>
        <w:t>individual rights</w:t>
      </w:r>
      <w:r w:rsidRPr="006E28E4">
        <w:rPr>
          <w:rFonts w:ascii="Times New Roman" w:hAnsi="Times New Roman"/>
          <w:lang w:val="en-HK"/>
        </w:rPr>
        <w:t xml:space="preserve"> (ensuring citizens can move freely across the EU) and </w:t>
      </w:r>
      <w:r w:rsidRPr="006E28E4">
        <w:rPr>
          <w:rFonts w:ascii="Times New Roman" w:hAnsi="Times New Roman"/>
          <w:b/>
          <w:bCs/>
          <w:lang w:val="en-HK"/>
        </w:rPr>
        <w:t>Member State interests</w:t>
      </w:r>
      <w:r w:rsidRPr="006E28E4">
        <w:rPr>
          <w:rFonts w:ascii="Times New Roman" w:hAnsi="Times New Roman"/>
          <w:lang w:val="en-HK"/>
        </w:rPr>
        <w:t xml:space="preserve"> (ensuring welfare systems are not strained by those who are not self-sufficient). It highlights the importance of ensuring that economically inactive citizens, such as retirees or students, can still benefit from </w:t>
      </w:r>
      <w:r w:rsidRPr="006E28E4">
        <w:rPr>
          <w:rFonts w:ascii="Times New Roman" w:hAnsi="Times New Roman"/>
          <w:b/>
          <w:bCs/>
          <w:lang w:val="en-HK"/>
        </w:rPr>
        <w:t>Union citizenship</w:t>
      </w:r>
      <w:r w:rsidRPr="006E28E4">
        <w:rPr>
          <w:rFonts w:ascii="Times New Roman" w:hAnsi="Times New Roman"/>
          <w:lang w:val="en-HK"/>
        </w:rPr>
        <w:t xml:space="preserve"> rights as long as they meet the conditions of having </w:t>
      </w:r>
      <w:r w:rsidRPr="006E28E4">
        <w:rPr>
          <w:rFonts w:ascii="Times New Roman" w:hAnsi="Times New Roman"/>
          <w:b/>
          <w:bCs/>
          <w:lang w:val="en-HK"/>
        </w:rPr>
        <w:t>sufficient resources</w:t>
      </w:r>
      <w:r w:rsidRPr="006E28E4">
        <w:rPr>
          <w:rFonts w:ascii="Times New Roman" w:hAnsi="Times New Roman"/>
          <w:lang w:val="en-HK"/>
        </w:rPr>
        <w:t xml:space="preserve"> and </w:t>
      </w:r>
      <w:r w:rsidRPr="006E28E4">
        <w:rPr>
          <w:rFonts w:ascii="Times New Roman" w:hAnsi="Times New Roman"/>
          <w:b/>
          <w:bCs/>
          <w:lang w:val="en-HK"/>
        </w:rPr>
        <w:t>comprehensive health insurance</w:t>
      </w:r>
      <w:r w:rsidRPr="006E28E4">
        <w:rPr>
          <w:rFonts w:ascii="Times New Roman" w:hAnsi="Times New Roman"/>
          <w:lang w:val="en-HK"/>
        </w:rPr>
        <w:t>.</w:t>
      </w:r>
    </w:p>
    <w:p w14:paraId="0A9DC3A7" w14:textId="77777777" w:rsidR="007424FB" w:rsidRPr="006E28E4" w:rsidRDefault="007424FB" w:rsidP="006E28E4">
      <w:pPr>
        <w:spacing w:before="240" w:after="240" w:line="360" w:lineRule="auto"/>
        <w:rPr>
          <w:rFonts w:ascii="Times New Roman" w:hAnsi="Times New Roman"/>
          <w:b/>
          <w:bCs/>
          <w:lang w:val="en-HK"/>
        </w:rPr>
      </w:pPr>
    </w:p>
    <w:p w14:paraId="607104FF" w14:textId="77777777" w:rsidR="007424FB" w:rsidRPr="006E28E4" w:rsidRDefault="007424FB" w:rsidP="006E28E4">
      <w:pPr>
        <w:spacing w:before="240" w:after="240" w:line="360" w:lineRule="auto"/>
        <w:rPr>
          <w:rFonts w:ascii="Times New Roman" w:hAnsi="Times New Roman"/>
          <w:b/>
          <w:bCs/>
          <w:lang w:val="en-HK"/>
        </w:rPr>
      </w:pPr>
    </w:p>
    <w:p w14:paraId="36A4E385" w14:textId="77777777" w:rsidR="007424FB" w:rsidRPr="006E28E4" w:rsidRDefault="007424FB" w:rsidP="006E28E4">
      <w:pPr>
        <w:spacing w:before="240" w:after="240" w:line="360" w:lineRule="auto"/>
        <w:rPr>
          <w:rFonts w:ascii="Times New Roman" w:hAnsi="Times New Roman"/>
          <w:b/>
          <w:bCs/>
          <w:lang w:val="en-HK"/>
        </w:rPr>
      </w:pPr>
    </w:p>
    <w:p w14:paraId="4FA26247" w14:textId="77777777" w:rsidR="007424FB" w:rsidRPr="006E28E4" w:rsidRDefault="007424FB" w:rsidP="006E28E4">
      <w:pPr>
        <w:spacing w:before="240" w:after="240" w:line="360" w:lineRule="auto"/>
        <w:rPr>
          <w:rFonts w:ascii="Times New Roman" w:hAnsi="Times New Roman"/>
          <w:b/>
          <w:bCs/>
          <w:lang w:val="en-HK"/>
        </w:rPr>
      </w:pPr>
    </w:p>
    <w:p w14:paraId="7698AD92" w14:textId="77777777" w:rsidR="007424FB" w:rsidRPr="006E28E4" w:rsidRDefault="007424FB" w:rsidP="006E28E4">
      <w:pPr>
        <w:spacing w:before="240" w:after="240" w:line="360" w:lineRule="auto"/>
        <w:rPr>
          <w:rFonts w:ascii="Times New Roman" w:hAnsi="Times New Roman"/>
          <w:b/>
          <w:bCs/>
          <w:lang w:val="en-HK"/>
        </w:rPr>
      </w:pPr>
    </w:p>
    <w:p w14:paraId="0D05AB2B" w14:textId="77777777" w:rsidR="007424FB" w:rsidRPr="006E28E4" w:rsidRDefault="007424FB" w:rsidP="006E28E4">
      <w:pPr>
        <w:spacing w:before="240" w:after="240" w:line="360" w:lineRule="auto"/>
        <w:rPr>
          <w:rFonts w:ascii="Times New Roman" w:hAnsi="Times New Roman"/>
          <w:b/>
          <w:bCs/>
          <w:lang w:val="en-HK"/>
        </w:rPr>
      </w:pPr>
    </w:p>
    <w:p w14:paraId="499C3D91" w14:textId="77777777" w:rsidR="007424FB" w:rsidRPr="006E28E4" w:rsidRDefault="007424FB" w:rsidP="006E28E4">
      <w:pPr>
        <w:spacing w:before="240" w:after="240" w:line="360" w:lineRule="auto"/>
        <w:rPr>
          <w:rFonts w:ascii="Times New Roman" w:hAnsi="Times New Roman"/>
          <w:b/>
          <w:bCs/>
          <w:lang w:val="en-HK"/>
        </w:rPr>
      </w:pPr>
    </w:p>
    <w:p w14:paraId="76590DAB" w14:textId="2D845ACD" w:rsidR="007424FB" w:rsidRPr="006E28E4" w:rsidRDefault="007424FB" w:rsidP="006E28E4">
      <w:pPr>
        <w:spacing w:before="240" w:after="240" w:line="360" w:lineRule="auto"/>
        <w:rPr>
          <w:rFonts w:ascii="Times New Roman" w:hAnsi="Times New Roman"/>
          <w:b/>
          <w:bCs/>
          <w:lang w:val="en-HK"/>
        </w:rPr>
      </w:pPr>
      <w:r w:rsidRPr="006E28E4">
        <w:rPr>
          <w:rFonts w:ascii="Times New Roman" w:hAnsi="Times New Roman"/>
          <w:b/>
          <w:bCs/>
          <w:lang w:val="en-HK"/>
        </w:rPr>
        <w:lastRenderedPageBreak/>
        <w:t xml:space="preserve">Within 3 months vs after 3 months </w:t>
      </w:r>
    </w:p>
    <w:p w14:paraId="46F5CFA5" w14:textId="1688DC79" w:rsidR="007424FB" w:rsidRPr="006E28E4" w:rsidRDefault="007424FB" w:rsidP="006E28E4">
      <w:pPr>
        <w:spacing w:before="240" w:after="240" w:line="360" w:lineRule="auto"/>
        <w:rPr>
          <w:rFonts w:ascii="Times New Roman" w:hAnsi="Times New Roman"/>
          <w:b/>
          <w:bCs/>
          <w:lang w:val="en-HK"/>
        </w:rPr>
      </w:pPr>
      <w:r w:rsidRPr="006E28E4">
        <w:rPr>
          <w:rFonts w:ascii="Times New Roman" w:hAnsi="Times New Roman"/>
          <w:b/>
          <w:bCs/>
          <w:noProof/>
          <w:lang w:val="en-HK"/>
        </w:rPr>
        <w:drawing>
          <wp:inline distT="0" distB="0" distL="0" distR="0" wp14:anchorId="1B7EDE6F" wp14:editId="28F1D94D">
            <wp:extent cx="5077188" cy="4563693"/>
            <wp:effectExtent l="0" t="0" r="3175" b="0"/>
            <wp:docPr id="21135455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555" name="Picture 1" descr="A screenshot of a table&#10;&#10;Description automatically generated"/>
                    <pic:cNvPicPr/>
                  </pic:nvPicPr>
                  <pic:blipFill rotWithShape="1">
                    <a:blip r:embed="rId5"/>
                    <a:srcRect l="7077"/>
                    <a:stretch/>
                  </pic:blipFill>
                  <pic:spPr bwMode="auto">
                    <a:xfrm>
                      <a:off x="0" y="0"/>
                      <a:ext cx="5080647" cy="4566802"/>
                    </a:xfrm>
                    <a:prstGeom prst="rect">
                      <a:avLst/>
                    </a:prstGeom>
                    <a:ln>
                      <a:noFill/>
                    </a:ln>
                    <a:extLst>
                      <a:ext uri="{53640926-AAD7-44D8-BBD7-CCE9431645EC}">
                        <a14:shadowObscured xmlns:a14="http://schemas.microsoft.com/office/drawing/2010/main"/>
                      </a:ext>
                    </a:extLst>
                  </pic:spPr>
                </pic:pic>
              </a:graphicData>
            </a:graphic>
          </wp:inline>
        </w:drawing>
      </w:r>
    </w:p>
    <w:p w14:paraId="1076DEA6" w14:textId="0559E713" w:rsidR="00BD4E37" w:rsidRPr="006E28E4" w:rsidRDefault="00BC37A0" w:rsidP="006E28E4">
      <w:pPr>
        <w:spacing w:before="240" w:after="240" w:line="360" w:lineRule="auto"/>
        <w:rPr>
          <w:rFonts w:ascii="Times New Roman" w:hAnsi="Times New Roman"/>
          <w:lang w:val="en-HK"/>
        </w:rPr>
      </w:pPr>
      <w:r w:rsidRPr="006E28E4">
        <w:rPr>
          <w:rFonts w:ascii="Times New Roman" w:hAnsi="Times New Roman"/>
        </w:rPr>
        <w:t>- E</w:t>
      </w:r>
      <w:r w:rsidRPr="006E28E4">
        <w:rPr>
          <w:rFonts w:ascii="Times New Roman" w:hAnsi="Times New Roman"/>
        </w:rPr>
        <w:t xml:space="preserve">ven for </w:t>
      </w:r>
      <w:r w:rsidRPr="006E28E4">
        <w:rPr>
          <w:rStyle w:val="Strong"/>
          <w:rFonts w:ascii="Times New Roman" w:eastAsiaTheme="majorEastAsia" w:hAnsi="Times New Roman"/>
        </w:rPr>
        <w:t>non-economically active citizens</w:t>
      </w:r>
      <w:r w:rsidRPr="006E28E4">
        <w:rPr>
          <w:rFonts w:ascii="Times New Roman" w:hAnsi="Times New Roman"/>
        </w:rPr>
        <w:t xml:space="preserve"> (such as retirees, students, or family members), once they have lived in the host Member State for </w:t>
      </w:r>
      <w:r w:rsidRPr="006E28E4">
        <w:rPr>
          <w:rStyle w:val="Strong"/>
          <w:rFonts w:ascii="Times New Roman" w:eastAsiaTheme="majorEastAsia" w:hAnsi="Times New Roman"/>
        </w:rPr>
        <w:t>five continuous years</w:t>
      </w:r>
      <w:r w:rsidRPr="006E28E4">
        <w:rPr>
          <w:rFonts w:ascii="Times New Roman" w:hAnsi="Times New Roman"/>
        </w:rPr>
        <w:t xml:space="preserve">, they acquire the </w:t>
      </w:r>
      <w:r w:rsidRPr="006E28E4">
        <w:rPr>
          <w:rStyle w:val="Strong"/>
          <w:rFonts w:ascii="Times New Roman" w:eastAsiaTheme="majorEastAsia" w:hAnsi="Times New Roman"/>
        </w:rPr>
        <w:t>right to permanent residence</w:t>
      </w:r>
      <w:r w:rsidRPr="006E28E4">
        <w:rPr>
          <w:rFonts w:ascii="Times New Roman" w:hAnsi="Times New Roman"/>
        </w:rPr>
        <w:t xml:space="preserve"> under </w:t>
      </w:r>
      <w:r w:rsidRPr="006E28E4">
        <w:rPr>
          <w:rStyle w:val="Strong"/>
          <w:rFonts w:ascii="Times New Roman" w:eastAsiaTheme="majorEastAsia" w:hAnsi="Times New Roman"/>
          <w:u w:val="single"/>
        </w:rPr>
        <w:t>Article 16 of Directive 2004/38/EC</w:t>
      </w:r>
      <w:r w:rsidRPr="006E28E4">
        <w:rPr>
          <w:rFonts w:ascii="Times New Roman" w:hAnsi="Times New Roman"/>
        </w:rPr>
        <w:t>.</w:t>
      </w:r>
      <w:r w:rsidR="000930AF" w:rsidRPr="000930AF">
        <w:rPr>
          <w:rFonts w:ascii="Times New Roman" w:hAnsi="Times New Roman"/>
          <w:noProof/>
          <w:lang w:val="en-HK"/>
          <w14:ligatures w14:val="standardContextual"/>
        </w:rPr>
        <w:pict w14:anchorId="1E774579">
          <v:rect id="_x0000_i1039" alt="" style="width:451.3pt;height:.05pt;mso-width-percent:0;mso-height-percent:0;mso-width-percent:0;mso-height-percent:0" o:hralign="center" o:hrstd="t" o:hr="t" fillcolor="#a0a0a0" stroked="f"/>
        </w:pict>
      </w:r>
    </w:p>
    <w:p w14:paraId="3B484F6F" w14:textId="77777777" w:rsidR="00BD4E37" w:rsidRPr="006E28E4" w:rsidRDefault="00BD4E37"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2. Regulation 1612/68/EEC (Rights of Migrant Workers)</w:t>
      </w:r>
    </w:p>
    <w:p w14:paraId="601C39F4" w14:textId="77777777" w:rsidR="00BD4E37" w:rsidRPr="006E28E4" w:rsidRDefault="00BD4E37"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Provision and Context:</w:t>
      </w:r>
    </w:p>
    <w:p w14:paraId="35E81D4F"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lang w:val="en-HK"/>
        </w:rPr>
        <w:t xml:space="preserve">Regulation 1612/68/EEC protects the rights of </w:t>
      </w:r>
      <w:r w:rsidRPr="006E28E4">
        <w:rPr>
          <w:rFonts w:ascii="Times New Roman" w:hAnsi="Times New Roman"/>
          <w:b/>
          <w:bCs/>
          <w:lang w:val="en-HK"/>
        </w:rPr>
        <w:t>economically active individuals</w:t>
      </w:r>
      <w:r w:rsidRPr="006E28E4">
        <w:rPr>
          <w:rFonts w:ascii="Times New Roman" w:hAnsi="Times New Roman"/>
          <w:lang w:val="en-HK"/>
        </w:rPr>
        <w:t xml:space="preserve">, ensuring they receive </w:t>
      </w:r>
      <w:r w:rsidRPr="006E28E4">
        <w:rPr>
          <w:rFonts w:ascii="Times New Roman" w:hAnsi="Times New Roman"/>
          <w:b/>
          <w:bCs/>
          <w:lang w:val="en-HK"/>
        </w:rPr>
        <w:t>equal treatment</w:t>
      </w:r>
      <w:r w:rsidRPr="006E28E4">
        <w:rPr>
          <w:rFonts w:ascii="Times New Roman" w:hAnsi="Times New Roman"/>
          <w:lang w:val="en-HK"/>
        </w:rPr>
        <w:t xml:space="preserve"> in employment and </w:t>
      </w:r>
      <w:r w:rsidRPr="006E28E4">
        <w:rPr>
          <w:rFonts w:ascii="Times New Roman" w:hAnsi="Times New Roman"/>
          <w:b/>
          <w:bCs/>
          <w:lang w:val="en-HK"/>
        </w:rPr>
        <w:t>access to social benefits</w:t>
      </w:r>
      <w:r w:rsidRPr="006E28E4">
        <w:rPr>
          <w:rFonts w:ascii="Times New Roman" w:hAnsi="Times New Roman"/>
          <w:lang w:val="en-HK"/>
        </w:rPr>
        <w:t xml:space="preserve"> in host Member States.</w:t>
      </w:r>
    </w:p>
    <w:p w14:paraId="24B9271C" w14:textId="749F55A3" w:rsidR="00BD4E37" w:rsidRPr="006E28E4" w:rsidRDefault="00BD4E37" w:rsidP="006E28E4">
      <w:pPr>
        <w:pStyle w:val="ListParagraph"/>
        <w:numPr>
          <w:ilvl w:val="0"/>
          <w:numId w:val="25"/>
        </w:numPr>
        <w:spacing w:before="240" w:after="240" w:line="360" w:lineRule="auto"/>
        <w:rPr>
          <w:rFonts w:ascii="Times New Roman" w:hAnsi="Times New Roman"/>
          <w:lang w:val="en-HK"/>
        </w:rPr>
      </w:pPr>
      <w:r w:rsidRPr="006E28E4">
        <w:rPr>
          <w:rFonts w:ascii="Times New Roman" w:hAnsi="Times New Roman"/>
          <w:lang w:val="en-HK"/>
        </w:rPr>
        <w:t>It predates the formal establishment of Union citizenship and focuses on migrant workers’ rights within the internal market framework.</w:t>
      </w:r>
    </w:p>
    <w:p w14:paraId="6E1E149E" w14:textId="77777777" w:rsidR="00BD4E37" w:rsidRPr="006E28E4" w:rsidRDefault="00BD4E37"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lastRenderedPageBreak/>
        <w:t>Application in Cases:</w:t>
      </w:r>
    </w:p>
    <w:p w14:paraId="1309DB20" w14:textId="77777777" w:rsidR="00BD4E37" w:rsidRPr="006E28E4" w:rsidRDefault="00BD4E37" w:rsidP="006E28E4">
      <w:pPr>
        <w:numPr>
          <w:ilvl w:val="0"/>
          <w:numId w:val="27"/>
        </w:numPr>
        <w:spacing w:before="240" w:after="240" w:line="360" w:lineRule="auto"/>
        <w:rPr>
          <w:rFonts w:ascii="Times New Roman" w:hAnsi="Times New Roman"/>
          <w:lang w:val="en-HK"/>
        </w:rPr>
      </w:pPr>
      <w:r w:rsidRPr="006E28E4">
        <w:rPr>
          <w:rFonts w:ascii="Times New Roman" w:hAnsi="Times New Roman"/>
          <w:b/>
          <w:bCs/>
          <w:lang w:val="en-HK"/>
        </w:rPr>
        <w:t>Martínez Sala</w:t>
      </w:r>
      <w:r w:rsidRPr="006E28E4">
        <w:rPr>
          <w:rFonts w:ascii="Times New Roman" w:hAnsi="Times New Roman"/>
          <w:lang w:val="en-HK"/>
        </w:rPr>
        <w:t>:</w:t>
      </w:r>
    </w:p>
    <w:p w14:paraId="7C28197D" w14:textId="77777777" w:rsidR="00BD4E37" w:rsidRPr="006E28E4" w:rsidRDefault="00BD4E37" w:rsidP="006E28E4">
      <w:pPr>
        <w:numPr>
          <w:ilvl w:val="1"/>
          <w:numId w:val="27"/>
        </w:numPr>
        <w:spacing w:before="240" w:after="240" w:line="360" w:lineRule="auto"/>
        <w:rPr>
          <w:rFonts w:ascii="Times New Roman" w:hAnsi="Times New Roman"/>
          <w:lang w:val="en-HK"/>
        </w:rPr>
      </w:pPr>
      <w:r w:rsidRPr="006E28E4">
        <w:rPr>
          <w:rFonts w:ascii="Times New Roman" w:hAnsi="Times New Roman"/>
          <w:lang w:val="en-HK"/>
        </w:rPr>
        <w:t xml:space="preserve">This case exemplifies the </w:t>
      </w:r>
      <w:r w:rsidRPr="006E28E4">
        <w:rPr>
          <w:rFonts w:ascii="Times New Roman" w:hAnsi="Times New Roman"/>
          <w:b/>
          <w:bCs/>
          <w:lang w:val="en-HK"/>
        </w:rPr>
        <w:t>transition from reliance on worker status</w:t>
      </w:r>
      <w:r w:rsidRPr="006E28E4">
        <w:rPr>
          <w:rFonts w:ascii="Times New Roman" w:hAnsi="Times New Roman"/>
          <w:lang w:val="en-HK"/>
        </w:rPr>
        <w:t xml:space="preserve"> to broader citizenship rights.</w:t>
      </w:r>
    </w:p>
    <w:p w14:paraId="2966B976" w14:textId="77777777" w:rsidR="00BD4E37" w:rsidRPr="006E28E4" w:rsidRDefault="00BD4E37" w:rsidP="006E28E4">
      <w:pPr>
        <w:numPr>
          <w:ilvl w:val="1"/>
          <w:numId w:val="27"/>
        </w:numPr>
        <w:spacing w:before="240" w:after="240" w:line="360" w:lineRule="auto"/>
        <w:rPr>
          <w:rFonts w:ascii="Times New Roman" w:hAnsi="Times New Roman"/>
          <w:lang w:val="en-HK"/>
        </w:rPr>
      </w:pPr>
      <w:r w:rsidRPr="006E28E4">
        <w:rPr>
          <w:rFonts w:ascii="Times New Roman" w:hAnsi="Times New Roman"/>
          <w:lang w:val="en-HK"/>
        </w:rPr>
        <w:t>Martínez Sala, a Spanish national, sought a German child-raising allowance despite not being economically active at the time.</w:t>
      </w:r>
    </w:p>
    <w:p w14:paraId="64E5B0AB" w14:textId="77777777" w:rsidR="00BD4E37" w:rsidRPr="006E28E4" w:rsidRDefault="00BD4E37" w:rsidP="006E28E4">
      <w:pPr>
        <w:numPr>
          <w:ilvl w:val="1"/>
          <w:numId w:val="27"/>
        </w:numPr>
        <w:spacing w:before="240" w:after="240" w:line="360" w:lineRule="auto"/>
        <w:rPr>
          <w:rFonts w:ascii="Times New Roman" w:hAnsi="Times New Roman"/>
          <w:lang w:val="en-HK"/>
        </w:rPr>
      </w:pPr>
      <w:r w:rsidRPr="006E28E4">
        <w:rPr>
          <w:rFonts w:ascii="Times New Roman" w:hAnsi="Times New Roman"/>
          <w:lang w:val="en-HK"/>
        </w:rPr>
        <w:t xml:space="preserve">The Court invoked </w:t>
      </w:r>
      <w:r w:rsidRPr="006E28E4">
        <w:rPr>
          <w:rFonts w:ascii="Times New Roman" w:hAnsi="Times New Roman"/>
          <w:b/>
          <w:bCs/>
          <w:lang w:val="en-HK"/>
        </w:rPr>
        <w:t>Regulation 1612/68</w:t>
      </w:r>
      <w:r w:rsidRPr="006E28E4">
        <w:rPr>
          <w:rFonts w:ascii="Times New Roman" w:hAnsi="Times New Roman"/>
          <w:lang w:val="en-HK"/>
        </w:rPr>
        <w:t xml:space="preserve"> to highlight her right to equal treatment, despite her lack of worker status. It expanded the material scope of EU law to include benefits unrelated to economic activity.</w:t>
      </w:r>
    </w:p>
    <w:p w14:paraId="5AB770ED" w14:textId="77777777" w:rsidR="00BD4E37" w:rsidRPr="006E28E4" w:rsidRDefault="00BD4E37" w:rsidP="006E28E4">
      <w:pPr>
        <w:numPr>
          <w:ilvl w:val="1"/>
          <w:numId w:val="27"/>
        </w:numPr>
        <w:spacing w:before="240" w:after="240" w:line="360" w:lineRule="auto"/>
        <w:rPr>
          <w:rFonts w:ascii="Times New Roman" w:hAnsi="Times New Roman"/>
          <w:lang w:val="en-HK"/>
        </w:rPr>
      </w:pPr>
      <w:r w:rsidRPr="006E28E4">
        <w:rPr>
          <w:rFonts w:ascii="Times New Roman" w:hAnsi="Times New Roman"/>
          <w:lang w:val="en-HK"/>
        </w:rPr>
        <w:t xml:space="preserve">This case marked a shift in the Court's reasoning, from basing rights solely on worker status to embracing </w:t>
      </w:r>
      <w:r w:rsidRPr="006E28E4">
        <w:rPr>
          <w:rFonts w:ascii="Times New Roman" w:hAnsi="Times New Roman"/>
          <w:b/>
          <w:bCs/>
          <w:lang w:val="en-HK"/>
        </w:rPr>
        <w:t>Union citizenship as a broader legal concept</w:t>
      </w:r>
      <w:r w:rsidRPr="006E28E4">
        <w:rPr>
          <w:rFonts w:ascii="Times New Roman" w:hAnsi="Times New Roman"/>
          <w:lang w:val="en-HK"/>
        </w:rPr>
        <w:t>.</w:t>
      </w:r>
    </w:p>
    <w:p w14:paraId="4A742803" w14:textId="77777777" w:rsidR="00BD4E37" w:rsidRPr="006E28E4" w:rsidRDefault="00BD4E37"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Significance:</w:t>
      </w:r>
    </w:p>
    <w:p w14:paraId="652FD4DA" w14:textId="77777777" w:rsidR="00BD4E37" w:rsidRPr="006E28E4" w:rsidRDefault="00BD4E37" w:rsidP="006E28E4">
      <w:pPr>
        <w:numPr>
          <w:ilvl w:val="0"/>
          <w:numId w:val="28"/>
        </w:numPr>
        <w:spacing w:before="240" w:after="240" w:line="360" w:lineRule="auto"/>
        <w:rPr>
          <w:rFonts w:ascii="Times New Roman" w:hAnsi="Times New Roman"/>
          <w:lang w:val="en-HK"/>
        </w:rPr>
      </w:pPr>
      <w:r w:rsidRPr="006E28E4">
        <w:rPr>
          <w:rFonts w:ascii="Times New Roman" w:hAnsi="Times New Roman"/>
          <w:lang w:val="en-HK"/>
        </w:rPr>
        <w:t xml:space="preserve">The document positions Regulation 1612/68/EEC as foundational for the </w:t>
      </w:r>
      <w:r w:rsidRPr="006E28E4">
        <w:rPr>
          <w:rFonts w:ascii="Times New Roman" w:hAnsi="Times New Roman"/>
          <w:b/>
          <w:bCs/>
          <w:lang w:val="en-HK"/>
        </w:rPr>
        <w:t>early development of EU law on free movement</w:t>
      </w:r>
      <w:r w:rsidRPr="006E28E4">
        <w:rPr>
          <w:rFonts w:ascii="Times New Roman" w:hAnsi="Times New Roman"/>
          <w:lang w:val="en-HK"/>
        </w:rPr>
        <w:t>.</w:t>
      </w:r>
    </w:p>
    <w:p w14:paraId="7705A042" w14:textId="77777777" w:rsidR="00BD4E37" w:rsidRPr="006E28E4" w:rsidRDefault="00BD4E37" w:rsidP="006E28E4">
      <w:pPr>
        <w:numPr>
          <w:ilvl w:val="0"/>
          <w:numId w:val="28"/>
        </w:numPr>
        <w:spacing w:before="240" w:after="240" w:line="360" w:lineRule="auto"/>
        <w:rPr>
          <w:rFonts w:ascii="Times New Roman" w:hAnsi="Times New Roman"/>
          <w:lang w:val="en-HK"/>
        </w:rPr>
      </w:pPr>
      <w:r w:rsidRPr="006E28E4">
        <w:rPr>
          <w:rFonts w:ascii="Times New Roman" w:hAnsi="Times New Roman"/>
          <w:lang w:val="en-HK"/>
        </w:rPr>
        <w:t xml:space="preserve">However, its application has evolved, becoming </w:t>
      </w:r>
      <w:r w:rsidRPr="006E28E4">
        <w:rPr>
          <w:rFonts w:ascii="Times New Roman" w:hAnsi="Times New Roman"/>
          <w:b/>
          <w:bCs/>
          <w:lang w:val="en-HK"/>
        </w:rPr>
        <w:t>contextualized within the broader framework of Union citizenship</w:t>
      </w:r>
      <w:r w:rsidRPr="006E28E4">
        <w:rPr>
          <w:rFonts w:ascii="Times New Roman" w:hAnsi="Times New Roman"/>
          <w:lang w:val="en-HK"/>
        </w:rPr>
        <w:t>. It now complements citizenship rights rather than serving as the sole basis for them.</w:t>
      </w:r>
    </w:p>
    <w:p w14:paraId="118B47DD" w14:textId="193DCFBF" w:rsidR="00BD4E37" w:rsidRPr="006E28E4" w:rsidRDefault="00BD4E37"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3. Regulation 1408/71/EEC in the Document</w:t>
      </w:r>
    </w:p>
    <w:p w14:paraId="2750A4DB"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Context of Mention</w:t>
      </w:r>
      <w:r w:rsidRPr="006E28E4">
        <w:rPr>
          <w:rFonts w:ascii="Times New Roman" w:hAnsi="Times New Roman"/>
          <w:lang w:val="en-HK"/>
        </w:rPr>
        <w:t>:</w:t>
      </w:r>
    </w:p>
    <w:p w14:paraId="5BD1288B" w14:textId="77777777" w:rsidR="00BD4E37" w:rsidRPr="006E28E4" w:rsidRDefault="00BD4E37" w:rsidP="006E28E4">
      <w:pPr>
        <w:numPr>
          <w:ilvl w:val="1"/>
          <w:numId w:val="19"/>
        </w:numPr>
        <w:spacing w:before="240" w:after="240" w:line="360" w:lineRule="auto"/>
        <w:rPr>
          <w:rFonts w:ascii="Times New Roman" w:hAnsi="Times New Roman"/>
          <w:lang w:val="en-HK"/>
        </w:rPr>
      </w:pPr>
      <w:r w:rsidRPr="006E28E4">
        <w:rPr>
          <w:rFonts w:ascii="Times New Roman" w:hAnsi="Times New Roman"/>
          <w:b/>
          <w:bCs/>
          <w:lang w:val="en-HK"/>
        </w:rPr>
        <w:t>Regulation 1408/71</w:t>
      </w:r>
      <w:r w:rsidRPr="006E28E4">
        <w:rPr>
          <w:rFonts w:ascii="Times New Roman" w:hAnsi="Times New Roman"/>
          <w:lang w:val="en-HK"/>
        </w:rPr>
        <w:t xml:space="preserve"> is discussed in relation to cases such as </w:t>
      </w:r>
      <w:r w:rsidRPr="006E28E4">
        <w:rPr>
          <w:rFonts w:ascii="Times New Roman" w:hAnsi="Times New Roman"/>
          <w:b/>
          <w:bCs/>
          <w:lang w:val="en-HK"/>
        </w:rPr>
        <w:t>Martínez Sala</w:t>
      </w:r>
      <w:r w:rsidRPr="006E28E4">
        <w:rPr>
          <w:rFonts w:ascii="Times New Roman" w:hAnsi="Times New Roman"/>
          <w:lang w:val="en-HK"/>
        </w:rPr>
        <w:t xml:space="preserve"> and </w:t>
      </w:r>
      <w:proofErr w:type="spellStart"/>
      <w:r w:rsidRPr="006E28E4">
        <w:rPr>
          <w:rFonts w:ascii="Times New Roman" w:hAnsi="Times New Roman"/>
          <w:b/>
          <w:bCs/>
          <w:lang w:val="en-HK"/>
        </w:rPr>
        <w:t>Gaumain-Cerri</w:t>
      </w:r>
      <w:proofErr w:type="spellEnd"/>
      <w:r w:rsidRPr="006E28E4">
        <w:rPr>
          <w:rFonts w:ascii="Times New Roman" w:hAnsi="Times New Roman"/>
          <w:lang w:val="en-HK"/>
        </w:rPr>
        <w:t>, where the issue revolved around access to social security benefits and whether these fell within the material scope of EU law.</w:t>
      </w:r>
    </w:p>
    <w:p w14:paraId="020D452D" w14:textId="77777777" w:rsidR="00BD4E37" w:rsidRPr="006E28E4" w:rsidRDefault="00BD4E37" w:rsidP="006E28E4">
      <w:pPr>
        <w:numPr>
          <w:ilvl w:val="1"/>
          <w:numId w:val="19"/>
        </w:numPr>
        <w:spacing w:before="240" w:after="240" w:line="360" w:lineRule="auto"/>
        <w:rPr>
          <w:rFonts w:ascii="Times New Roman" w:hAnsi="Times New Roman"/>
          <w:lang w:val="en-HK"/>
        </w:rPr>
      </w:pPr>
      <w:r w:rsidRPr="006E28E4">
        <w:rPr>
          <w:rFonts w:ascii="Times New Roman" w:hAnsi="Times New Roman"/>
          <w:lang w:val="en-HK"/>
        </w:rPr>
        <w:t xml:space="preserve">In </w:t>
      </w:r>
      <w:r w:rsidRPr="006E28E4">
        <w:rPr>
          <w:rFonts w:ascii="Times New Roman" w:hAnsi="Times New Roman"/>
          <w:b/>
          <w:bCs/>
          <w:lang w:val="en-HK"/>
        </w:rPr>
        <w:t>Martínez Sala</w:t>
      </w:r>
      <w:r w:rsidRPr="006E28E4">
        <w:rPr>
          <w:rFonts w:ascii="Times New Roman" w:hAnsi="Times New Roman"/>
          <w:lang w:val="en-HK"/>
        </w:rPr>
        <w:t>, the Court considered whether non-contributory social security benefits could fall within the regulation’s scope, despite the claimant not being economically active.</w:t>
      </w:r>
    </w:p>
    <w:p w14:paraId="5223794F" w14:textId="6428E666"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Explanation</w:t>
      </w:r>
      <w:r w:rsidRPr="006E28E4">
        <w:rPr>
          <w:rFonts w:ascii="Times New Roman" w:hAnsi="Times New Roman"/>
          <w:lang w:val="en-HK"/>
        </w:rPr>
        <w:t>:</w:t>
      </w:r>
    </w:p>
    <w:p w14:paraId="35F19AC0" w14:textId="77777777" w:rsidR="00BD4E37" w:rsidRPr="006E28E4" w:rsidRDefault="00BD4E37" w:rsidP="006E28E4">
      <w:pPr>
        <w:numPr>
          <w:ilvl w:val="1"/>
          <w:numId w:val="19"/>
        </w:numPr>
        <w:spacing w:before="240" w:after="240" w:line="360" w:lineRule="auto"/>
        <w:rPr>
          <w:rFonts w:ascii="Times New Roman" w:hAnsi="Times New Roman"/>
          <w:lang w:val="en-HK"/>
        </w:rPr>
      </w:pPr>
      <w:r w:rsidRPr="006E28E4">
        <w:rPr>
          <w:rFonts w:ascii="Times New Roman" w:hAnsi="Times New Roman"/>
          <w:lang w:val="en-HK"/>
        </w:rPr>
        <w:lastRenderedPageBreak/>
        <w:t>The regulation is cited to demonstrate how specific benefits, when linked to movement between Member States, can be brought under the material scope of EU law. For example:</w:t>
      </w:r>
    </w:p>
    <w:p w14:paraId="10CA9A6F" w14:textId="77777777" w:rsidR="00BD4E37" w:rsidRPr="006E28E4" w:rsidRDefault="00BD4E37" w:rsidP="006E28E4">
      <w:pPr>
        <w:numPr>
          <w:ilvl w:val="2"/>
          <w:numId w:val="19"/>
        </w:numPr>
        <w:spacing w:before="240" w:after="240" w:line="360" w:lineRule="auto"/>
        <w:rPr>
          <w:rFonts w:ascii="Times New Roman" w:hAnsi="Times New Roman"/>
          <w:lang w:val="en-HK"/>
        </w:rPr>
      </w:pPr>
      <w:r w:rsidRPr="006E28E4">
        <w:rPr>
          <w:rFonts w:ascii="Times New Roman" w:hAnsi="Times New Roman"/>
          <w:lang w:val="en-HK"/>
        </w:rPr>
        <w:t xml:space="preserve">In </w:t>
      </w:r>
      <w:r w:rsidRPr="006E28E4">
        <w:rPr>
          <w:rFonts w:ascii="Times New Roman" w:hAnsi="Times New Roman"/>
          <w:b/>
          <w:bCs/>
          <w:lang w:val="en-HK"/>
        </w:rPr>
        <w:t>Martínez Sala</w:t>
      </w:r>
      <w:r w:rsidRPr="006E28E4">
        <w:rPr>
          <w:rFonts w:ascii="Times New Roman" w:hAnsi="Times New Roman"/>
          <w:lang w:val="en-HK"/>
        </w:rPr>
        <w:t>, the Court tied the claimant’s ability to claim equal treatment to the social security benefits coordinated under the regulation.</w:t>
      </w:r>
    </w:p>
    <w:p w14:paraId="47935044" w14:textId="77777777" w:rsidR="00BD4E37" w:rsidRPr="006E28E4" w:rsidRDefault="00BD4E37" w:rsidP="006E28E4">
      <w:pPr>
        <w:numPr>
          <w:ilvl w:val="2"/>
          <w:numId w:val="19"/>
        </w:numPr>
        <w:spacing w:before="240" w:after="240" w:line="360" w:lineRule="auto"/>
        <w:rPr>
          <w:rFonts w:ascii="Times New Roman" w:hAnsi="Times New Roman"/>
          <w:lang w:val="en-HK"/>
        </w:rPr>
      </w:pPr>
      <w:r w:rsidRPr="006E28E4">
        <w:rPr>
          <w:rFonts w:ascii="Times New Roman" w:hAnsi="Times New Roman"/>
          <w:lang w:val="en-HK"/>
        </w:rPr>
        <w:t xml:space="preserve">In </w:t>
      </w:r>
      <w:proofErr w:type="spellStart"/>
      <w:r w:rsidRPr="006E28E4">
        <w:rPr>
          <w:rFonts w:ascii="Times New Roman" w:hAnsi="Times New Roman"/>
          <w:b/>
          <w:bCs/>
          <w:lang w:val="en-HK"/>
        </w:rPr>
        <w:t>Gaumain-Cerri</w:t>
      </w:r>
      <w:proofErr w:type="spellEnd"/>
      <w:r w:rsidRPr="006E28E4">
        <w:rPr>
          <w:rFonts w:ascii="Times New Roman" w:hAnsi="Times New Roman"/>
          <w:lang w:val="en-HK"/>
        </w:rPr>
        <w:t>, the regulation provided the framework to evaluate residence requirements for benefits.</w:t>
      </w:r>
    </w:p>
    <w:p w14:paraId="797B2687"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Significance in the Document</w:t>
      </w:r>
      <w:r w:rsidRPr="006E28E4">
        <w:rPr>
          <w:rFonts w:ascii="Times New Roman" w:hAnsi="Times New Roman"/>
          <w:lang w:val="en-HK"/>
        </w:rPr>
        <w:t>:</w:t>
      </w:r>
    </w:p>
    <w:p w14:paraId="0482037B" w14:textId="77777777" w:rsidR="00BD4E37" w:rsidRPr="006E28E4" w:rsidRDefault="00BD4E37" w:rsidP="006E28E4">
      <w:pPr>
        <w:numPr>
          <w:ilvl w:val="1"/>
          <w:numId w:val="19"/>
        </w:num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discusses </w:t>
      </w:r>
      <w:r w:rsidRPr="006E28E4">
        <w:rPr>
          <w:rFonts w:ascii="Times New Roman" w:hAnsi="Times New Roman"/>
          <w:b/>
          <w:bCs/>
          <w:lang w:val="en-HK"/>
        </w:rPr>
        <w:t>Regulation 1408/71</w:t>
      </w:r>
      <w:r w:rsidRPr="006E28E4">
        <w:rPr>
          <w:rFonts w:ascii="Times New Roman" w:hAnsi="Times New Roman"/>
          <w:lang w:val="en-HK"/>
        </w:rPr>
        <w:t xml:space="preserve"> as a mechanism that bridges the gap between national social security systems and EU free movement rights.</w:t>
      </w:r>
    </w:p>
    <w:p w14:paraId="0ACC3185" w14:textId="77777777" w:rsidR="00BD4E37" w:rsidRPr="006E28E4" w:rsidRDefault="00BD4E37" w:rsidP="006E28E4">
      <w:pPr>
        <w:numPr>
          <w:ilvl w:val="1"/>
          <w:numId w:val="19"/>
        </w:numPr>
        <w:spacing w:before="240" w:after="240" w:line="360" w:lineRule="auto"/>
        <w:rPr>
          <w:rFonts w:ascii="Times New Roman" w:hAnsi="Times New Roman"/>
          <w:lang w:val="en-HK"/>
        </w:rPr>
      </w:pPr>
      <w:r w:rsidRPr="006E28E4">
        <w:rPr>
          <w:rFonts w:ascii="Times New Roman" w:hAnsi="Times New Roman"/>
          <w:lang w:val="en-HK"/>
        </w:rPr>
        <w:t>It reflects how the material scope of EU law is expanded through the application of this regulation, particularly when mobility or cross-border activity is involved.</w:t>
      </w:r>
    </w:p>
    <w:p w14:paraId="28553225" w14:textId="7CB12D70"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4. Framework Decision 2001/220/JHA (Victims in Criminal Proceedings)</w:t>
      </w:r>
    </w:p>
    <w:p w14:paraId="763D01DE" w14:textId="161063CD" w:rsidR="00BD4E37" w:rsidRPr="006E28E4" w:rsidRDefault="00BD4E37" w:rsidP="006E28E4">
      <w:pPr>
        <w:spacing w:before="240" w:after="240" w:line="360" w:lineRule="auto"/>
        <w:outlineLvl w:val="2"/>
        <w:rPr>
          <w:rFonts w:ascii="Times New Roman" w:hAnsi="Times New Roman"/>
          <w:lang w:val="en-HK"/>
        </w:rPr>
      </w:pPr>
      <w:r w:rsidRPr="006E28E4">
        <w:rPr>
          <w:rFonts w:ascii="Times New Roman" w:hAnsi="Times New Roman"/>
          <w:b/>
          <w:bCs/>
          <w:lang w:val="en-HK"/>
        </w:rPr>
        <w:t>Provision and Context</w:t>
      </w:r>
      <w:r w:rsidRPr="006E28E4">
        <w:rPr>
          <w:rFonts w:ascii="Times New Roman" w:hAnsi="Times New Roman"/>
          <w:lang w:val="en-HK"/>
        </w:rPr>
        <w:t>:</w:t>
      </w:r>
    </w:p>
    <w:p w14:paraId="1D7D9E2F"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lang w:val="en-HK"/>
        </w:rPr>
        <w:t>The Framework Decision is mentioned as a legal instrument aimed at ensuring uniform protections and minimum standards for victims across the Member States in criminal proceedings. Its primary objective is to strengthen the procedural rights of victims within the EU's criminal justice systems.</w:t>
      </w:r>
    </w:p>
    <w:p w14:paraId="772A2033"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Application and Indirect Effects</w:t>
      </w:r>
      <w:r w:rsidRPr="006E28E4">
        <w:rPr>
          <w:rFonts w:ascii="Times New Roman" w:hAnsi="Times New Roman"/>
          <w:lang w:val="en-HK"/>
        </w:rPr>
        <w:t>:</w:t>
      </w:r>
    </w:p>
    <w:p w14:paraId="26224E66"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lang w:val="en-HK"/>
        </w:rPr>
        <w:t xml:space="preserve">The document discusses the </w:t>
      </w:r>
      <w:r w:rsidRPr="006E28E4">
        <w:rPr>
          <w:rFonts w:ascii="Times New Roman" w:hAnsi="Times New Roman"/>
          <w:b/>
          <w:bCs/>
          <w:lang w:val="en-HK"/>
        </w:rPr>
        <w:t>indirect effects</w:t>
      </w:r>
      <w:r w:rsidRPr="006E28E4">
        <w:rPr>
          <w:rFonts w:ascii="Times New Roman" w:hAnsi="Times New Roman"/>
          <w:lang w:val="en-HK"/>
        </w:rPr>
        <w:t xml:space="preserve"> of this Framework Decision, particularly when applied to </w:t>
      </w:r>
      <w:r w:rsidRPr="006E28E4">
        <w:rPr>
          <w:rFonts w:ascii="Times New Roman" w:hAnsi="Times New Roman"/>
          <w:b/>
          <w:bCs/>
          <w:lang w:val="en-HK"/>
        </w:rPr>
        <w:t>non-natural persons</w:t>
      </w:r>
      <w:r w:rsidRPr="006E28E4">
        <w:rPr>
          <w:rFonts w:ascii="Times New Roman" w:hAnsi="Times New Roman"/>
          <w:lang w:val="en-HK"/>
        </w:rPr>
        <w:t xml:space="preserve"> (i.e., legal entities rather than individuals).</w:t>
      </w:r>
    </w:p>
    <w:p w14:paraId="0D265AED"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lang w:val="en-HK"/>
        </w:rPr>
        <w:t xml:space="preserve">In </w:t>
      </w:r>
      <w:proofErr w:type="spellStart"/>
      <w:r w:rsidRPr="006E28E4">
        <w:rPr>
          <w:rFonts w:ascii="Times New Roman" w:hAnsi="Times New Roman"/>
          <w:b/>
          <w:bCs/>
          <w:lang w:val="en-HK"/>
        </w:rPr>
        <w:t>Dell’Orto</w:t>
      </w:r>
      <w:proofErr w:type="spellEnd"/>
      <w:r w:rsidRPr="006E28E4">
        <w:rPr>
          <w:rFonts w:ascii="Times New Roman" w:hAnsi="Times New Roman"/>
          <w:lang w:val="en-HK"/>
        </w:rPr>
        <w:t xml:space="preserve">, the Court considered the applicability of citizenship principles to cases involving victims who were legal persons. This case highlighted the inherent </w:t>
      </w:r>
      <w:r w:rsidRPr="006E28E4">
        <w:rPr>
          <w:rFonts w:ascii="Times New Roman" w:hAnsi="Times New Roman"/>
          <w:b/>
          <w:bCs/>
          <w:lang w:val="en-HK"/>
        </w:rPr>
        <w:t>limitations of EU citizenship principles</w:t>
      </w:r>
      <w:r w:rsidRPr="006E28E4">
        <w:rPr>
          <w:rFonts w:ascii="Times New Roman" w:hAnsi="Times New Roman"/>
          <w:lang w:val="en-HK"/>
        </w:rPr>
        <w:t xml:space="preserve"> when addressing rights tied to legal entities, as citizenship is inherently tied to natural persons.</w:t>
      </w:r>
    </w:p>
    <w:p w14:paraId="137AEE99"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Case Mentioned</w:t>
      </w:r>
      <w:r w:rsidRPr="006E28E4">
        <w:rPr>
          <w:rFonts w:ascii="Times New Roman" w:hAnsi="Times New Roman"/>
          <w:lang w:val="en-HK"/>
        </w:rPr>
        <w:t xml:space="preserve"> - </w:t>
      </w:r>
      <w:proofErr w:type="spellStart"/>
      <w:r w:rsidRPr="006E28E4">
        <w:rPr>
          <w:rFonts w:ascii="Times New Roman" w:hAnsi="Times New Roman"/>
          <w:b/>
          <w:bCs/>
          <w:lang w:val="en-HK"/>
        </w:rPr>
        <w:t>Dell’Orto</w:t>
      </w:r>
      <w:proofErr w:type="spellEnd"/>
      <w:r w:rsidRPr="006E28E4">
        <w:rPr>
          <w:rFonts w:ascii="Times New Roman" w:hAnsi="Times New Roman"/>
          <w:lang w:val="en-HK"/>
        </w:rPr>
        <w:t>:</w:t>
      </w:r>
    </w:p>
    <w:p w14:paraId="6E201568"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lang w:val="en-HK"/>
        </w:rPr>
        <w:lastRenderedPageBreak/>
        <w:t xml:space="preserve">The Framework Decision was invoked in the </w:t>
      </w:r>
      <w:proofErr w:type="spellStart"/>
      <w:r w:rsidRPr="006E28E4">
        <w:rPr>
          <w:rFonts w:ascii="Times New Roman" w:hAnsi="Times New Roman"/>
          <w:b/>
          <w:bCs/>
          <w:lang w:val="en-HK"/>
        </w:rPr>
        <w:t>Dell’Orto</w:t>
      </w:r>
      <w:proofErr w:type="spellEnd"/>
      <w:r w:rsidRPr="006E28E4">
        <w:rPr>
          <w:rFonts w:ascii="Times New Roman" w:hAnsi="Times New Roman"/>
          <w:b/>
          <w:bCs/>
          <w:lang w:val="en-HK"/>
        </w:rPr>
        <w:t xml:space="preserve"> case</w:t>
      </w:r>
      <w:r w:rsidRPr="006E28E4">
        <w:rPr>
          <w:rFonts w:ascii="Times New Roman" w:hAnsi="Times New Roman"/>
          <w:lang w:val="en-HK"/>
        </w:rPr>
        <w:t xml:space="preserve"> to explore whether its provisions could extend protections to entities other than natural persons. The case reflects the tension between personal and material scope in EU citizenship law.</w:t>
      </w:r>
    </w:p>
    <w:p w14:paraId="5FE22EF7"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lang w:val="en-HK"/>
        </w:rPr>
        <w:t>It illustrated that while the EU legal order provides robust protections for individuals, extending these to non-natural persons under instruments like the Framework Decision remains highly restricted.</w:t>
      </w:r>
    </w:p>
    <w:p w14:paraId="0330A110" w14:textId="77777777" w:rsidR="00BD4E37" w:rsidRPr="006E28E4" w:rsidRDefault="00BD4E37" w:rsidP="006E28E4">
      <w:pPr>
        <w:spacing w:before="240" w:after="240" w:line="360" w:lineRule="auto"/>
        <w:rPr>
          <w:rFonts w:ascii="Times New Roman" w:hAnsi="Times New Roman"/>
          <w:lang w:val="en-HK"/>
        </w:rPr>
      </w:pPr>
      <w:r w:rsidRPr="006E28E4">
        <w:rPr>
          <w:rFonts w:ascii="Times New Roman" w:hAnsi="Times New Roman"/>
          <w:b/>
          <w:bCs/>
          <w:lang w:val="en-HK"/>
        </w:rPr>
        <w:t>Significance in EU Citizenship</w:t>
      </w:r>
      <w:r w:rsidRPr="006E28E4">
        <w:rPr>
          <w:rFonts w:ascii="Times New Roman" w:hAnsi="Times New Roman"/>
          <w:lang w:val="en-HK"/>
        </w:rPr>
        <w:t>:</w:t>
      </w:r>
    </w:p>
    <w:p w14:paraId="7B9F826E"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b/>
          <w:bCs/>
          <w:lang w:val="en-HK"/>
        </w:rPr>
        <w:t>Framework Decision 2001/220/JHA</w:t>
      </w:r>
      <w:r w:rsidRPr="006E28E4">
        <w:rPr>
          <w:rFonts w:ascii="Times New Roman" w:hAnsi="Times New Roman"/>
          <w:lang w:val="en-HK"/>
        </w:rPr>
        <w:t xml:space="preserve"> underscores a </w:t>
      </w:r>
      <w:r w:rsidRPr="006E28E4">
        <w:rPr>
          <w:rFonts w:ascii="Times New Roman" w:hAnsi="Times New Roman"/>
          <w:b/>
          <w:bCs/>
          <w:lang w:val="en-HK"/>
        </w:rPr>
        <w:t>jurisdictional limit</w:t>
      </w:r>
      <w:r w:rsidRPr="006E28E4">
        <w:rPr>
          <w:rFonts w:ascii="Times New Roman" w:hAnsi="Times New Roman"/>
          <w:lang w:val="en-HK"/>
        </w:rPr>
        <w:t xml:space="preserve"> in applying Union citizenship principles. The document highlights this Framework Decision as an example where rights and protections fail to encompass </w:t>
      </w:r>
      <w:r w:rsidRPr="006E28E4">
        <w:rPr>
          <w:rFonts w:ascii="Times New Roman" w:hAnsi="Times New Roman"/>
          <w:b/>
          <w:bCs/>
          <w:lang w:val="en-HK"/>
        </w:rPr>
        <w:t>non-natural persons</w:t>
      </w:r>
      <w:r w:rsidRPr="006E28E4">
        <w:rPr>
          <w:rFonts w:ascii="Times New Roman" w:hAnsi="Times New Roman"/>
          <w:lang w:val="en-HK"/>
        </w:rPr>
        <w:t>, reflecting the narrower personal scope of such protections.</w:t>
      </w:r>
    </w:p>
    <w:p w14:paraId="315BA8D4" w14:textId="77777777" w:rsidR="00BD4E37" w:rsidRPr="006E28E4" w:rsidRDefault="00BD4E37" w:rsidP="006E28E4">
      <w:pPr>
        <w:numPr>
          <w:ilvl w:val="1"/>
          <w:numId w:val="22"/>
        </w:numPr>
        <w:spacing w:before="240" w:after="240" w:line="360" w:lineRule="auto"/>
        <w:rPr>
          <w:rFonts w:ascii="Times New Roman" w:hAnsi="Times New Roman"/>
          <w:lang w:val="en-HK"/>
        </w:rPr>
      </w:pPr>
      <w:r w:rsidRPr="006E28E4">
        <w:rPr>
          <w:rFonts w:ascii="Times New Roman" w:hAnsi="Times New Roman"/>
          <w:lang w:val="en-HK"/>
        </w:rPr>
        <w:t xml:space="preserve">The nuanced distinction between </w:t>
      </w:r>
      <w:r w:rsidRPr="006E28E4">
        <w:rPr>
          <w:rFonts w:ascii="Times New Roman" w:hAnsi="Times New Roman"/>
          <w:b/>
          <w:bCs/>
          <w:lang w:val="en-HK"/>
        </w:rPr>
        <w:t>personal and material scope</w:t>
      </w:r>
      <w:r w:rsidRPr="006E28E4">
        <w:rPr>
          <w:rFonts w:ascii="Times New Roman" w:hAnsi="Times New Roman"/>
          <w:lang w:val="en-HK"/>
        </w:rPr>
        <w:t xml:space="preserve"> emerges prominently, reaffirming that EU citizenship rights are designed primarily for individuals rather than corporations or other legal persons.</w:t>
      </w:r>
    </w:p>
    <w:p w14:paraId="5302811E"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2C200945">
          <v:rect id="_x0000_i1038" alt="" style="width:451.3pt;height:.05pt;mso-width-percent:0;mso-height-percent:0;mso-width-percent:0;mso-height-percent:0" o:hralign="center" o:hrstd="t" o:hr="t" fillcolor="#a0a0a0" stroked="f"/>
        </w:pict>
      </w:r>
    </w:p>
    <w:p w14:paraId="69052DCE" w14:textId="7C46C762" w:rsidR="00316AAE" w:rsidRPr="006E28E4" w:rsidRDefault="00316AAE" w:rsidP="006E28E4">
      <w:pPr>
        <w:spacing w:before="240" w:after="240" w:line="360" w:lineRule="auto"/>
        <w:outlineLvl w:val="2"/>
        <w:rPr>
          <w:rFonts w:ascii="Times New Roman" w:hAnsi="Times New Roman"/>
          <w:b/>
          <w:bCs/>
          <w:u w:val="single"/>
          <w:lang w:val="en-HK"/>
        </w:rPr>
      </w:pPr>
      <w:r w:rsidRPr="006E28E4">
        <w:rPr>
          <w:rFonts w:ascii="Times New Roman" w:hAnsi="Times New Roman"/>
          <w:b/>
          <w:bCs/>
          <w:u w:val="single"/>
          <w:lang w:val="en-HK"/>
        </w:rPr>
        <w:t>Other instruments</w:t>
      </w:r>
    </w:p>
    <w:p w14:paraId="76222570" w14:textId="195B9238" w:rsidR="00316AAE" w:rsidRPr="006E28E4" w:rsidRDefault="00316AAE"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1. Directive 90/364/EEC (Right of Residence)</w:t>
      </w:r>
    </w:p>
    <w:p w14:paraId="17032553" w14:textId="77777777" w:rsidR="00316AAE" w:rsidRPr="006E28E4" w:rsidRDefault="00316AAE"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Provision and Context:</w:t>
      </w:r>
    </w:p>
    <w:p w14:paraId="6EBBA4F6" w14:textId="77777777" w:rsidR="00316AAE" w:rsidRPr="006E28E4" w:rsidRDefault="00316AAE" w:rsidP="006E28E4">
      <w:pPr>
        <w:spacing w:before="240" w:after="240" w:line="360" w:lineRule="auto"/>
        <w:rPr>
          <w:rFonts w:ascii="Times New Roman" w:hAnsi="Times New Roman"/>
          <w:lang w:val="en-HK"/>
        </w:rPr>
      </w:pPr>
      <w:r w:rsidRPr="006E28E4">
        <w:rPr>
          <w:rFonts w:ascii="Times New Roman" w:hAnsi="Times New Roman"/>
          <w:lang w:val="en-HK"/>
        </w:rPr>
        <w:t xml:space="preserve">Directive 90/364/EEC provided </w:t>
      </w:r>
      <w:r w:rsidRPr="006E28E4">
        <w:rPr>
          <w:rFonts w:ascii="Times New Roman" w:hAnsi="Times New Roman"/>
          <w:b/>
          <w:bCs/>
          <w:lang w:val="en-HK"/>
        </w:rPr>
        <w:t>residence rights</w:t>
      </w:r>
      <w:r w:rsidRPr="006E28E4">
        <w:rPr>
          <w:rFonts w:ascii="Times New Roman" w:hAnsi="Times New Roman"/>
          <w:lang w:val="en-HK"/>
        </w:rPr>
        <w:t xml:space="preserve"> for EU nationals and their family members who could demonstrate </w:t>
      </w:r>
      <w:r w:rsidRPr="006E28E4">
        <w:rPr>
          <w:rFonts w:ascii="Times New Roman" w:hAnsi="Times New Roman"/>
          <w:b/>
          <w:bCs/>
          <w:lang w:val="en-HK"/>
        </w:rPr>
        <w:t>sufficient resources</w:t>
      </w:r>
      <w:r w:rsidRPr="006E28E4">
        <w:rPr>
          <w:rFonts w:ascii="Times New Roman" w:hAnsi="Times New Roman"/>
          <w:lang w:val="en-HK"/>
        </w:rPr>
        <w:t xml:space="preserve"> and </w:t>
      </w:r>
      <w:r w:rsidRPr="006E28E4">
        <w:rPr>
          <w:rFonts w:ascii="Times New Roman" w:hAnsi="Times New Roman"/>
          <w:b/>
          <w:bCs/>
          <w:lang w:val="en-HK"/>
        </w:rPr>
        <w:t>health insurance</w:t>
      </w:r>
      <w:r w:rsidRPr="006E28E4">
        <w:rPr>
          <w:rFonts w:ascii="Times New Roman" w:hAnsi="Times New Roman"/>
          <w:lang w:val="en-HK"/>
        </w:rPr>
        <w:t>. This directive was foundational in defining the conditions under which Union citizens could reside in Member States beyond a temporary stay.</w:t>
      </w:r>
    </w:p>
    <w:p w14:paraId="2FB459F8" w14:textId="2BCA8549" w:rsidR="00316AAE" w:rsidRPr="006E28E4" w:rsidRDefault="00316AAE" w:rsidP="006E28E4">
      <w:pPr>
        <w:pStyle w:val="ListParagraph"/>
        <w:numPr>
          <w:ilvl w:val="1"/>
          <w:numId w:val="22"/>
        </w:numPr>
        <w:spacing w:before="240" w:after="240" w:line="360" w:lineRule="auto"/>
        <w:rPr>
          <w:rFonts w:ascii="Times New Roman" w:hAnsi="Times New Roman"/>
          <w:lang w:val="en-HK"/>
        </w:rPr>
      </w:pPr>
      <w:r w:rsidRPr="006E28E4">
        <w:rPr>
          <w:rFonts w:ascii="Times New Roman" w:hAnsi="Times New Roman"/>
          <w:lang w:val="en-HK"/>
        </w:rPr>
        <w:t xml:space="preserve">It set out that an individual could reside in another Member State if they were self-sufficient and </w:t>
      </w:r>
      <w:r w:rsidRPr="006E28E4">
        <w:rPr>
          <w:rFonts w:ascii="Times New Roman" w:hAnsi="Times New Roman"/>
          <w:b/>
          <w:bCs/>
          <w:lang w:val="en-HK"/>
        </w:rPr>
        <w:t>not a burden on the welfare system of that state</w:t>
      </w:r>
      <w:r w:rsidRPr="006E28E4">
        <w:rPr>
          <w:rFonts w:ascii="Times New Roman" w:hAnsi="Times New Roman"/>
          <w:lang w:val="en-HK"/>
        </w:rPr>
        <w:t xml:space="preserve">. However, </w:t>
      </w:r>
      <w:r w:rsidRPr="006E28E4">
        <w:rPr>
          <w:rFonts w:ascii="Times New Roman" w:hAnsi="Times New Roman"/>
          <w:b/>
          <w:bCs/>
          <w:lang w:val="en-HK"/>
        </w:rPr>
        <w:t>Directive 90/364</w:t>
      </w:r>
      <w:r w:rsidRPr="006E28E4">
        <w:rPr>
          <w:rFonts w:ascii="Times New Roman" w:hAnsi="Times New Roman"/>
          <w:lang w:val="en-HK"/>
        </w:rPr>
        <w:t xml:space="preserve"> was eventually </w:t>
      </w:r>
      <w:r w:rsidRPr="006E28E4">
        <w:rPr>
          <w:rFonts w:ascii="Times New Roman" w:hAnsi="Times New Roman"/>
          <w:b/>
          <w:bCs/>
          <w:lang w:val="en-HK"/>
        </w:rPr>
        <w:t>superseded by Directive 2004/38</w:t>
      </w:r>
      <w:r w:rsidRPr="006E28E4">
        <w:rPr>
          <w:rFonts w:ascii="Times New Roman" w:hAnsi="Times New Roman"/>
          <w:lang w:val="en-HK"/>
        </w:rPr>
        <w:t>.</w:t>
      </w:r>
    </w:p>
    <w:p w14:paraId="34EC4873" w14:textId="77777777" w:rsidR="00316AAE" w:rsidRPr="006E28E4" w:rsidRDefault="00316AAE"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Application in Cases:</w:t>
      </w:r>
    </w:p>
    <w:p w14:paraId="67A436F2" w14:textId="77777777" w:rsidR="00316AAE" w:rsidRPr="006E28E4" w:rsidRDefault="00316AAE" w:rsidP="006E28E4">
      <w:p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w:t>
      </w:r>
    </w:p>
    <w:p w14:paraId="21DCD395" w14:textId="77777777" w:rsidR="00316AAE" w:rsidRPr="006E28E4" w:rsidRDefault="00316AAE" w:rsidP="006E28E4">
      <w:pPr>
        <w:numPr>
          <w:ilvl w:val="1"/>
          <w:numId w:val="30"/>
        </w:numPr>
        <w:spacing w:before="240" w:after="240" w:line="360" w:lineRule="auto"/>
        <w:rPr>
          <w:rFonts w:ascii="Times New Roman" w:hAnsi="Times New Roman"/>
          <w:lang w:val="en-HK"/>
        </w:rPr>
      </w:pPr>
      <w:r w:rsidRPr="006E28E4">
        <w:rPr>
          <w:rFonts w:ascii="Times New Roman" w:hAnsi="Times New Roman"/>
          <w:lang w:val="en-HK"/>
        </w:rPr>
        <w:lastRenderedPageBreak/>
        <w:t xml:space="preserve">In the </w:t>
      </w:r>
      <w:proofErr w:type="spellStart"/>
      <w:r w:rsidRPr="006E28E4">
        <w:rPr>
          <w:rFonts w:ascii="Times New Roman" w:hAnsi="Times New Roman"/>
          <w:b/>
          <w:bCs/>
          <w:lang w:val="en-HK"/>
        </w:rPr>
        <w:t>Baumbast</w:t>
      </w:r>
      <w:proofErr w:type="spellEnd"/>
      <w:r w:rsidRPr="006E28E4">
        <w:rPr>
          <w:rFonts w:ascii="Times New Roman" w:hAnsi="Times New Roman"/>
          <w:lang w:val="en-HK"/>
        </w:rPr>
        <w:t xml:space="preserve"> case, the </w:t>
      </w:r>
      <w:r w:rsidRPr="006E28E4">
        <w:rPr>
          <w:rFonts w:ascii="Times New Roman" w:hAnsi="Times New Roman"/>
          <w:b/>
          <w:bCs/>
          <w:lang w:val="en-HK"/>
        </w:rPr>
        <w:t>proportionality</w:t>
      </w:r>
      <w:r w:rsidRPr="006E28E4">
        <w:rPr>
          <w:rFonts w:ascii="Times New Roman" w:hAnsi="Times New Roman"/>
          <w:lang w:val="en-HK"/>
        </w:rPr>
        <w:t xml:space="preserve"> of residency requirements under Directive 90/364 was challenged.</w:t>
      </w:r>
    </w:p>
    <w:p w14:paraId="2FADC3A9" w14:textId="77777777" w:rsidR="00316AAE" w:rsidRPr="006E28E4" w:rsidRDefault="00316AAE" w:rsidP="006E28E4">
      <w:pPr>
        <w:numPr>
          <w:ilvl w:val="1"/>
          <w:numId w:val="30"/>
        </w:numPr>
        <w:spacing w:before="240" w:after="240" w:line="360" w:lineRule="auto"/>
        <w:rPr>
          <w:rFonts w:ascii="Times New Roman" w:hAnsi="Times New Roman"/>
          <w:lang w:val="en-HK"/>
        </w:rPr>
      </w:pPr>
      <w:r w:rsidRPr="006E28E4">
        <w:rPr>
          <w:rFonts w:ascii="Times New Roman" w:hAnsi="Times New Roman"/>
          <w:lang w:val="en-HK"/>
        </w:rPr>
        <w:t>The case questioned whether the requirement for comprehensive health insurance was too restrictive when balanced against the individual’s right to reside freely within the EU.</w:t>
      </w:r>
    </w:p>
    <w:p w14:paraId="3837FDA4" w14:textId="77777777" w:rsidR="00316AAE" w:rsidRPr="006E28E4" w:rsidRDefault="00316AAE" w:rsidP="006E28E4">
      <w:pPr>
        <w:numPr>
          <w:ilvl w:val="1"/>
          <w:numId w:val="30"/>
        </w:numPr>
        <w:spacing w:before="240" w:after="240" w:line="360" w:lineRule="auto"/>
        <w:rPr>
          <w:rFonts w:ascii="Times New Roman" w:hAnsi="Times New Roman"/>
          <w:lang w:val="en-HK"/>
        </w:rPr>
      </w:pPr>
      <w:r w:rsidRPr="006E28E4">
        <w:rPr>
          <w:rFonts w:ascii="Times New Roman" w:hAnsi="Times New Roman"/>
          <w:lang w:val="en-HK"/>
        </w:rPr>
        <w:t xml:space="preserve">The </w:t>
      </w:r>
      <w:r w:rsidRPr="006E28E4">
        <w:rPr>
          <w:rFonts w:ascii="Times New Roman" w:hAnsi="Times New Roman"/>
          <w:b/>
          <w:bCs/>
          <w:lang w:val="en-HK"/>
        </w:rPr>
        <w:t>CJEU</w:t>
      </w:r>
      <w:r w:rsidRPr="006E28E4">
        <w:rPr>
          <w:rFonts w:ascii="Times New Roman" w:hAnsi="Times New Roman"/>
          <w:lang w:val="en-HK"/>
        </w:rPr>
        <w:t xml:space="preserve"> clarified that the principle of </w:t>
      </w:r>
      <w:r w:rsidRPr="006E28E4">
        <w:rPr>
          <w:rFonts w:ascii="Times New Roman" w:hAnsi="Times New Roman"/>
          <w:b/>
          <w:bCs/>
          <w:lang w:val="en-HK"/>
        </w:rPr>
        <w:t>proportionality</w:t>
      </w:r>
      <w:r w:rsidRPr="006E28E4">
        <w:rPr>
          <w:rFonts w:ascii="Times New Roman" w:hAnsi="Times New Roman"/>
          <w:lang w:val="en-HK"/>
        </w:rPr>
        <w:t xml:space="preserve"> must be applied, emphasizing that the residence rights of Union citizens cannot be disproportionately restricted by Member States' health insurance requirements, as long as the person is not a burden on the state's social system.</w:t>
      </w:r>
    </w:p>
    <w:p w14:paraId="5A04495F" w14:textId="77777777" w:rsidR="006E28E4" w:rsidRPr="006E28E4" w:rsidRDefault="006E28E4" w:rsidP="006E28E4">
      <w:pPr>
        <w:spacing w:before="240" w:after="100" w:afterAutospacing="1" w:line="360" w:lineRule="auto"/>
        <w:outlineLvl w:val="2"/>
        <w:rPr>
          <w:rFonts w:ascii="Times New Roman" w:hAnsi="Times New Roman"/>
          <w:b/>
          <w:bCs/>
          <w:lang w:val="en-HK"/>
        </w:rPr>
      </w:pPr>
      <w:r w:rsidRPr="006E28E4">
        <w:rPr>
          <w:rFonts w:ascii="Times New Roman" w:hAnsi="Times New Roman"/>
          <w:b/>
          <w:bCs/>
          <w:lang w:val="en-HK"/>
        </w:rPr>
        <w:t>2. Council Regulation 883/2004 (Coordination of Social Security Systems)</w:t>
      </w:r>
    </w:p>
    <w:p w14:paraId="717FB6D9" w14:textId="77777777" w:rsidR="006E28E4" w:rsidRPr="006E28E4" w:rsidRDefault="006E28E4" w:rsidP="006E28E4">
      <w:pPr>
        <w:spacing w:before="240" w:after="100" w:afterAutospacing="1" w:line="360" w:lineRule="auto"/>
        <w:outlineLvl w:val="3"/>
        <w:rPr>
          <w:rFonts w:ascii="Times New Roman" w:hAnsi="Times New Roman"/>
          <w:b/>
          <w:bCs/>
          <w:lang w:val="en-HK"/>
        </w:rPr>
      </w:pPr>
      <w:r w:rsidRPr="006E28E4">
        <w:rPr>
          <w:rFonts w:ascii="Times New Roman" w:hAnsi="Times New Roman"/>
          <w:b/>
          <w:bCs/>
          <w:lang w:val="en-HK"/>
        </w:rPr>
        <w:t>Provision and Context:</w:t>
      </w:r>
    </w:p>
    <w:p w14:paraId="4B968DE7" w14:textId="77777777" w:rsidR="006E28E4" w:rsidRPr="006E28E4" w:rsidRDefault="006E28E4" w:rsidP="006E28E4">
      <w:pPr>
        <w:spacing w:before="240" w:after="100" w:afterAutospacing="1" w:line="360" w:lineRule="auto"/>
        <w:rPr>
          <w:rFonts w:ascii="Times New Roman" w:hAnsi="Times New Roman"/>
          <w:lang w:val="en-HK"/>
        </w:rPr>
      </w:pPr>
      <w:r w:rsidRPr="006E28E4">
        <w:rPr>
          <w:rFonts w:ascii="Times New Roman" w:hAnsi="Times New Roman"/>
          <w:lang w:val="en-HK"/>
        </w:rPr>
        <w:t xml:space="preserve">Council Regulation 883/2004 replaces Regulation 1408/71 and coordinates </w:t>
      </w:r>
      <w:r w:rsidRPr="006E28E4">
        <w:rPr>
          <w:rFonts w:ascii="Times New Roman" w:hAnsi="Times New Roman"/>
          <w:b/>
          <w:bCs/>
          <w:lang w:val="en-HK"/>
        </w:rPr>
        <w:t>social security systems</w:t>
      </w:r>
      <w:r w:rsidRPr="006E28E4">
        <w:rPr>
          <w:rFonts w:ascii="Times New Roman" w:hAnsi="Times New Roman"/>
          <w:lang w:val="en-HK"/>
        </w:rPr>
        <w:t xml:space="preserve"> for all individuals moving within the EU, including </w:t>
      </w:r>
      <w:r w:rsidRPr="006E28E4">
        <w:rPr>
          <w:rFonts w:ascii="Times New Roman" w:hAnsi="Times New Roman"/>
          <w:b/>
          <w:bCs/>
          <w:lang w:val="en-HK"/>
        </w:rPr>
        <w:t>non-economically active citizens</w:t>
      </w:r>
      <w:r w:rsidRPr="006E28E4">
        <w:rPr>
          <w:rFonts w:ascii="Times New Roman" w:hAnsi="Times New Roman"/>
          <w:lang w:val="en-HK"/>
        </w:rPr>
        <w:t xml:space="preserve"> (retirees, students, family members). It ensures that these individuals do not lose their </w:t>
      </w:r>
      <w:r w:rsidRPr="006E28E4">
        <w:rPr>
          <w:rFonts w:ascii="Times New Roman" w:hAnsi="Times New Roman"/>
          <w:b/>
          <w:bCs/>
          <w:lang w:val="en-HK"/>
        </w:rPr>
        <w:t>social security benefits</w:t>
      </w:r>
      <w:r w:rsidRPr="006E28E4">
        <w:rPr>
          <w:rFonts w:ascii="Times New Roman" w:hAnsi="Times New Roman"/>
          <w:lang w:val="en-HK"/>
        </w:rPr>
        <w:t xml:space="preserve"> when they move between Member States, guaranteeing continuity of benefits like </w:t>
      </w:r>
      <w:r w:rsidRPr="006E28E4">
        <w:rPr>
          <w:rFonts w:ascii="Times New Roman" w:hAnsi="Times New Roman"/>
          <w:b/>
          <w:bCs/>
          <w:lang w:val="en-HK"/>
        </w:rPr>
        <w:t>healthcare</w:t>
      </w:r>
      <w:r w:rsidRPr="006E28E4">
        <w:rPr>
          <w:rFonts w:ascii="Times New Roman" w:hAnsi="Times New Roman"/>
          <w:lang w:val="en-HK"/>
        </w:rPr>
        <w:t xml:space="preserve"> and </w:t>
      </w:r>
      <w:r w:rsidRPr="006E28E4">
        <w:rPr>
          <w:rFonts w:ascii="Times New Roman" w:hAnsi="Times New Roman"/>
          <w:b/>
          <w:bCs/>
          <w:lang w:val="en-HK"/>
        </w:rPr>
        <w:t>pensions</w:t>
      </w:r>
      <w:r w:rsidRPr="006E28E4">
        <w:rPr>
          <w:rFonts w:ascii="Times New Roman" w:hAnsi="Times New Roman"/>
          <w:lang w:val="en-HK"/>
        </w:rPr>
        <w:t>, and preventing discrimination.</w:t>
      </w:r>
    </w:p>
    <w:p w14:paraId="69CEC67C" w14:textId="77777777" w:rsidR="006E28E4" w:rsidRPr="006E28E4" w:rsidRDefault="006E28E4" w:rsidP="006E28E4">
      <w:pPr>
        <w:spacing w:before="240" w:after="100" w:afterAutospacing="1" w:line="360" w:lineRule="auto"/>
        <w:outlineLvl w:val="3"/>
        <w:rPr>
          <w:rFonts w:ascii="Times New Roman" w:hAnsi="Times New Roman"/>
          <w:b/>
          <w:bCs/>
          <w:lang w:val="en-HK"/>
        </w:rPr>
      </w:pPr>
      <w:r w:rsidRPr="006E28E4">
        <w:rPr>
          <w:rFonts w:ascii="Times New Roman" w:hAnsi="Times New Roman"/>
          <w:b/>
          <w:bCs/>
          <w:lang w:val="en-HK"/>
        </w:rPr>
        <w:t>Application in Cases:</w:t>
      </w:r>
    </w:p>
    <w:p w14:paraId="3CA16EA5" w14:textId="77777777" w:rsidR="006E28E4" w:rsidRPr="006E28E4" w:rsidRDefault="006E28E4" w:rsidP="006E28E4">
      <w:pPr>
        <w:spacing w:before="240" w:after="100" w:afterAutospacing="1" w:line="360" w:lineRule="auto"/>
        <w:rPr>
          <w:rFonts w:ascii="Times New Roman" w:hAnsi="Times New Roman"/>
          <w:lang w:val="en-HK"/>
        </w:rPr>
      </w:pPr>
      <w:proofErr w:type="spellStart"/>
      <w:r w:rsidRPr="006E28E4">
        <w:rPr>
          <w:rFonts w:ascii="Times New Roman" w:hAnsi="Times New Roman"/>
          <w:b/>
          <w:bCs/>
          <w:lang w:val="en-HK"/>
        </w:rPr>
        <w:t>Gaumain-Cerri</w:t>
      </w:r>
      <w:proofErr w:type="spellEnd"/>
      <w:r w:rsidRPr="006E28E4">
        <w:rPr>
          <w:rFonts w:ascii="Times New Roman" w:hAnsi="Times New Roman"/>
          <w:lang w:val="en-HK"/>
        </w:rPr>
        <w:t xml:space="preserve">: The CJEU emphasized that Regulation 883/2004 ensures </w:t>
      </w:r>
      <w:r w:rsidRPr="006E28E4">
        <w:rPr>
          <w:rFonts w:ascii="Times New Roman" w:hAnsi="Times New Roman"/>
          <w:b/>
          <w:bCs/>
          <w:lang w:val="en-HK"/>
        </w:rPr>
        <w:t>continuity of social security benefits</w:t>
      </w:r>
      <w:r w:rsidRPr="006E28E4">
        <w:rPr>
          <w:rFonts w:ascii="Times New Roman" w:hAnsi="Times New Roman"/>
          <w:lang w:val="en-HK"/>
        </w:rPr>
        <w:t xml:space="preserve"> across Member States, reinforcing the principle of </w:t>
      </w:r>
      <w:r w:rsidRPr="006E28E4">
        <w:rPr>
          <w:rFonts w:ascii="Times New Roman" w:hAnsi="Times New Roman"/>
          <w:b/>
          <w:bCs/>
          <w:lang w:val="en-HK"/>
        </w:rPr>
        <w:t>equal treatment</w:t>
      </w:r>
      <w:r w:rsidRPr="006E28E4">
        <w:rPr>
          <w:rFonts w:ascii="Times New Roman" w:hAnsi="Times New Roman"/>
          <w:lang w:val="en-HK"/>
        </w:rPr>
        <w:t xml:space="preserve"> for individuals, including non-economically active citizens.</w:t>
      </w:r>
    </w:p>
    <w:p w14:paraId="181E837D" w14:textId="77777777" w:rsidR="006E28E4" w:rsidRPr="006E28E4" w:rsidRDefault="006E28E4" w:rsidP="006E28E4">
      <w:pPr>
        <w:spacing w:before="240" w:after="100" w:afterAutospacing="1" w:line="360" w:lineRule="auto"/>
        <w:outlineLvl w:val="3"/>
        <w:rPr>
          <w:rFonts w:ascii="Times New Roman" w:hAnsi="Times New Roman"/>
          <w:b/>
          <w:bCs/>
          <w:lang w:val="en-HK"/>
        </w:rPr>
      </w:pPr>
      <w:r w:rsidRPr="006E28E4">
        <w:rPr>
          <w:rFonts w:ascii="Times New Roman" w:hAnsi="Times New Roman"/>
          <w:b/>
          <w:bCs/>
          <w:lang w:val="en-HK"/>
        </w:rPr>
        <w:t>Examples of Non-Economically Active Citizens:</w:t>
      </w:r>
    </w:p>
    <w:p w14:paraId="65A71A31" w14:textId="77777777" w:rsidR="006E28E4" w:rsidRPr="006E28E4" w:rsidRDefault="006E28E4" w:rsidP="006E28E4">
      <w:pPr>
        <w:numPr>
          <w:ilvl w:val="0"/>
          <w:numId w:val="42"/>
        </w:numPr>
        <w:spacing w:before="240" w:after="100" w:afterAutospacing="1" w:line="360" w:lineRule="auto"/>
        <w:rPr>
          <w:rFonts w:ascii="Times New Roman" w:hAnsi="Times New Roman"/>
          <w:lang w:val="en-HK"/>
        </w:rPr>
      </w:pPr>
      <w:r w:rsidRPr="006E28E4">
        <w:rPr>
          <w:rFonts w:ascii="Times New Roman" w:hAnsi="Times New Roman"/>
          <w:b/>
          <w:bCs/>
          <w:lang w:val="en-HK"/>
        </w:rPr>
        <w:t>Retired Persons</w:t>
      </w:r>
      <w:r w:rsidRPr="006E28E4">
        <w:rPr>
          <w:rFonts w:ascii="Times New Roman" w:hAnsi="Times New Roman"/>
          <w:lang w:val="en-HK"/>
        </w:rPr>
        <w:t xml:space="preserve">: Retirees maintain their </w:t>
      </w:r>
      <w:r w:rsidRPr="006E28E4">
        <w:rPr>
          <w:rFonts w:ascii="Times New Roman" w:hAnsi="Times New Roman"/>
          <w:b/>
          <w:bCs/>
          <w:lang w:val="en-HK"/>
        </w:rPr>
        <w:t>pension rights</w:t>
      </w:r>
      <w:r w:rsidRPr="006E28E4">
        <w:rPr>
          <w:rFonts w:ascii="Times New Roman" w:hAnsi="Times New Roman"/>
          <w:lang w:val="en-HK"/>
        </w:rPr>
        <w:t xml:space="preserve"> even if they move to another Member State.</w:t>
      </w:r>
    </w:p>
    <w:p w14:paraId="56A4A417" w14:textId="77777777" w:rsidR="006E28E4" w:rsidRPr="006E28E4" w:rsidRDefault="006E28E4" w:rsidP="006E28E4">
      <w:pPr>
        <w:numPr>
          <w:ilvl w:val="0"/>
          <w:numId w:val="42"/>
        </w:numPr>
        <w:spacing w:before="240" w:after="100" w:afterAutospacing="1" w:line="360" w:lineRule="auto"/>
        <w:rPr>
          <w:rFonts w:ascii="Times New Roman" w:hAnsi="Times New Roman"/>
          <w:lang w:val="en-HK"/>
        </w:rPr>
      </w:pPr>
      <w:r w:rsidRPr="006E28E4">
        <w:rPr>
          <w:rFonts w:ascii="Times New Roman" w:hAnsi="Times New Roman"/>
          <w:b/>
          <w:bCs/>
          <w:lang w:val="en-HK"/>
        </w:rPr>
        <w:t>Students</w:t>
      </w:r>
      <w:r w:rsidRPr="006E28E4">
        <w:rPr>
          <w:rFonts w:ascii="Times New Roman" w:hAnsi="Times New Roman"/>
          <w:lang w:val="en-HK"/>
        </w:rPr>
        <w:t xml:space="preserve">: Non-economically active students can move freely within the EU if they meet conditions like having </w:t>
      </w:r>
      <w:r w:rsidRPr="006E28E4">
        <w:rPr>
          <w:rFonts w:ascii="Times New Roman" w:hAnsi="Times New Roman"/>
          <w:b/>
          <w:bCs/>
          <w:lang w:val="en-HK"/>
        </w:rPr>
        <w:t>sufficient resources</w:t>
      </w:r>
      <w:r w:rsidRPr="006E28E4">
        <w:rPr>
          <w:rFonts w:ascii="Times New Roman" w:hAnsi="Times New Roman"/>
          <w:lang w:val="en-HK"/>
        </w:rPr>
        <w:t xml:space="preserve"> and </w:t>
      </w:r>
      <w:r w:rsidRPr="006E28E4">
        <w:rPr>
          <w:rFonts w:ascii="Times New Roman" w:hAnsi="Times New Roman"/>
          <w:b/>
          <w:bCs/>
          <w:lang w:val="en-HK"/>
        </w:rPr>
        <w:t>health insurance</w:t>
      </w:r>
      <w:r w:rsidRPr="006E28E4">
        <w:rPr>
          <w:rFonts w:ascii="Times New Roman" w:hAnsi="Times New Roman"/>
          <w:lang w:val="en-HK"/>
        </w:rPr>
        <w:t>.</w:t>
      </w:r>
    </w:p>
    <w:p w14:paraId="0537DB7A" w14:textId="77777777" w:rsidR="006E28E4" w:rsidRPr="006E28E4" w:rsidRDefault="006E28E4" w:rsidP="006E28E4">
      <w:pPr>
        <w:numPr>
          <w:ilvl w:val="0"/>
          <w:numId w:val="42"/>
        </w:numPr>
        <w:spacing w:before="240" w:after="100" w:afterAutospacing="1" w:line="360" w:lineRule="auto"/>
        <w:rPr>
          <w:rFonts w:ascii="Times New Roman" w:hAnsi="Times New Roman"/>
          <w:lang w:val="en-HK"/>
        </w:rPr>
      </w:pPr>
      <w:r w:rsidRPr="006E28E4">
        <w:rPr>
          <w:rFonts w:ascii="Times New Roman" w:hAnsi="Times New Roman"/>
          <w:b/>
          <w:bCs/>
          <w:lang w:val="en-HK"/>
        </w:rPr>
        <w:t>Family Members</w:t>
      </w:r>
      <w:r w:rsidRPr="006E28E4">
        <w:rPr>
          <w:rFonts w:ascii="Times New Roman" w:hAnsi="Times New Roman"/>
          <w:lang w:val="en-HK"/>
        </w:rPr>
        <w:t>: Family members of Union citizens (spouses, dependent children) also retain rights to reside and access social security benefits under the Free Movement Directive, and Regulation 883/2004 coordinates these benefits across Member States.</w:t>
      </w:r>
    </w:p>
    <w:p w14:paraId="4AEB97FC" w14:textId="77777777" w:rsidR="006E28E4" w:rsidRPr="006E28E4" w:rsidRDefault="006E28E4" w:rsidP="006E28E4">
      <w:pPr>
        <w:spacing w:before="240" w:after="100" w:afterAutospacing="1" w:line="360" w:lineRule="auto"/>
        <w:outlineLvl w:val="3"/>
        <w:rPr>
          <w:rFonts w:ascii="Times New Roman" w:hAnsi="Times New Roman"/>
          <w:b/>
          <w:bCs/>
          <w:lang w:val="en-HK"/>
        </w:rPr>
      </w:pPr>
      <w:r w:rsidRPr="006E28E4">
        <w:rPr>
          <w:rFonts w:ascii="Times New Roman" w:hAnsi="Times New Roman"/>
          <w:b/>
          <w:bCs/>
          <w:lang w:val="en-HK"/>
        </w:rPr>
        <w:lastRenderedPageBreak/>
        <w:t>Requirements for Non-Economically Active Citizens:</w:t>
      </w:r>
    </w:p>
    <w:p w14:paraId="4B326F05" w14:textId="77777777" w:rsidR="006E28E4" w:rsidRPr="006E28E4" w:rsidRDefault="006E28E4" w:rsidP="006E28E4">
      <w:pPr>
        <w:numPr>
          <w:ilvl w:val="0"/>
          <w:numId w:val="43"/>
        </w:numPr>
        <w:spacing w:before="240" w:after="100" w:afterAutospacing="1" w:line="360" w:lineRule="auto"/>
        <w:rPr>
          <w:rFonts w:ascii="Times New Roman" w:hAnsi="Times New Roman"/>
          <w:lang w:val="en-HK"/>
        </w:rPr>
      </w:pPr>
      <w:r w:rsidRPr="006E28E4">
        <w:rPr>
          <w:rFonts w:ascii="Times New Roman" w:hAnsi="Times New Roman"/>
          <w:b/>
          <w:bCs/>
          <w:lang w:val="en-HK"/>
        </w:rPr>
        <w:t>Legal Residence</w:t>
      </w:r>
      <w:r w:rsidRPr="006E28E4">
        <w:rPr>
          <w:rFonts w:ascii="Times New Roman" w:hAnsi="Times New Roman"/>
          <w:lang w:val="en-HK"/>
        </w:rPr>
        <w:t>: Proof of legal residence in the host Member State.</w:t>
      </w:r>
    </w:p>
    <w:p w14:paraId="68D9EFCD" w14:textId="77777777" w:rsidR="006E28E4" w:rsidRPr="006E28E4" w:rsidRDefault="006E28E4" w:rsidP="006E28E4">
      <w:pPr>
        <w:numPr>
          <w:ilvl w:val="0"/>
          <w:numId w:val="43"/>
        </w:numPr>
        <w:spacing w:before="240" w:after="100" w:afterAutospacing="1" w:line="360" w:lineRule="auto"/>
        <w:rPr>
          <w:rFonts w:ascii="Times New Roman" w:hAnsi="Times New Roman"/>
          <w:lang w:val="en-HK"/>
        </w:rPr>
      </w:pPr>
      <w:r w:rsidRPr="006E28E4">
        <w:rPr>
          <w:rFonts w:ascii="Times New Roman" w:hAnsi="Times New Roman"/>
          <w:b/>
          <w:bCs/>
          <w:lang w:val="en-HK"/>
        </w:rPr>
        <w:t>Sufficient Resources</w:t>
      </w:r>
      <w:r w:rsidRPr="006E28E4">
        <w:rPr>
          <w:rFonts w:ascii="Times New Roman" w:hAnsi="Times New Roman"/>
          <w:lang w:val="en-HK"/>
        </w:rPr>
        <w:t>: Must demonstrate self-sufficiency to avoid becoming a burden on the welfare system.</w:t>
      </w:r>
    </w:p>
    <w:p w14:paraId="0BD17546" w14:textId="77777777" w:rsidR="006E28E4" w:rsidRPr="006E28E4" w:rsidRDefault="006E28E4" w:rsidP="006E28E4">
      <w:pPr>
        <w:numPr>
          <w:ilvl w:val="0"/>
          <w:numId w:val="43"/>
        </w:numPr>
        <w:spacing w:before="240" w:after="100" w:afterAutospacing="1" w:line="360" w:lineRule="auto"/>
        <w:rPr>
          <w:rFonts w:ascii="Times New Roman" w:hAnsi="Times New Roman"/>
          <w:lang w:val="en-HK"/>
        </w:rPr>
      </w:pPr>
      <w:r w:rsidRPr="006E28E4">
        <w:rPr>
          <w:rFonts w:ascii="Times New Roman" w:hAnsi="Times New Roman"/>
          <w:b/>
          <w:bCs/>
          <w:lang w:val="en-HK"/>
        </w:rPr>
        <w:t>Health Insurance</w:t>
      </w:r>
      <w:r w:rsidRPr="006E28E4">
        <w:rPr>
          <w:rFonts w:ascii="Times New Roman" w:hAnsi="Times New Roman"/>
          <w:lang w:val="en-HK"/>
        </w:rPr>
        <w:t>: Must have comprehensive health insurance unless covered by the host country’s system.</w:t>
      </w:r>
    </w:p>
    <w:p w14:paraId="61AD8692" w14:textId="26EFB63D"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641055E9">
          <v:rect id="_x0000_i1037" alt="" style="width:451.3pt;height:.05pt;mso-width-percent:0;mso-height-percent:0;mso-width-percent:0;mso-height-percent:0" o:hralign="center" o:hrstd="t" o:hr="t" fillcolor="#a0a0a0" stroked="f"/>
        </w:pict>
      </w:r>
    </w:p>
    <w:p w14:paraId="118C8D4A" w14:textId="39B7F7E3"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Union Citizenship's Impact</w:t>
      </w:r>
    </w:p>
    <w:p w14:paraId="581515F1" w14:textId="77777777" w:rsidR="003374E8" w:rsidRPr="006E28E4" w:rsidRDefault="003374E8" w:rsidP="006E28E4">
      <w:pPr>
        <w:numPr>
          <w:ilvl w:val="0"/>
          <w:numId w:val="9"/>
        </w:numPr>
        <w:spacing w:before="240" w:after="240" w:line="360" w:lineRule="auto"/>
        <w:rPr>
          <w:rFonts w:ascii="Times New Roman" w:hAnsi="Times New Roman"/>
          <w:lang w:val="en-HK"/>
        </w:rPr>
      </w:pPr>
      <w:r w:rsidRPr="006E28E4">
        <w:rPr>
          <w:rFonts w:ascii="Times New Roman" w:hAnsi="Times New Roman"/>
          <w:b/>
          <w:bCs/>
          <w:lang w:val="en-HK"/>
        </w:rPr>
        <w:t>Broadened Scope</w:t>
      </w:r>
      <w:r w:rsidRPr="006E28E4">
        <w:rPr>
          <w:rFonts w:ascii="Times New Roman" w:hAnsi="Times New Roman"/>
          <w:lang w:val="en-HK"/>
        </w:rPr>
        <w:t>:</w:t>
      </w:r>
    </w:p>
    <w:p w14:paraId="3BF79205" w14:textId="77777777" w:rsidR="003374E8" w:rsidRPr="006E28E4" w:rsidRDefault="003374E8" w:rsidP="006E28E4">
      <w:pPr>
        <w:numPr>
          <w:ilvl w:val="1"/>
          <w:numId w:val="9"/>
        </w:numPr>
        <w:spacing w:before="240" w:after="240" w:line="360" w:lineRule="auto"/>
        <w:rPr>
          <w:rFonts w:ascii="Times New Roman" w:hAnsi="Times New Roman"/>
          <w:lang w:val="en-HK"/>
        </w:rPr>
      </w:pPr>
      <w:r w:rsidRPr="006E28E4">
        <w:rPr>
          <w:rFonts w:ascii="Times New Roman" w:hAnsi="Times New Roman"/>
          <w:lang w:val="en-HK"/>
        </w:rPr>
        <w:t>Union citizenship has redefined both the personal and material scope of EU law by moving beyond the traditional focus on economic activities and cross-border migration.</w:t>
      </w:r>
    </w:p>
    <w:p w14:paraId="23A9B0FF" w14:textId="77777777" w:rsidR="003374E8" w:rsidRPr="006E28E4" w:rsidRDefault="003374E8" w:rsidP="006E28E4">
      <w:pPr>
        <w:numPr>
          <w:ilvl w:val="1"/>
          <w:numId w:val="9"/>
        </w:numPr>
        <w:spacing w:before="240" w:after="240" w:line="360" w:lineRule="auto"/>
        <w:rPr>
          <w:rFonts w:ascii="Times New Roman" w:hAnsi="Times New Roman"/>
          <w:lang w:val="en-HK"/>
        </w:rPr>
      </w:pPr>
      <w:r w:rsidRPr="006E28E4">
        <w:rPr>
          <w:rFonts w:ascii="Times New Roman" w:hAnsi="Times New Roman"/>
          <w:lang w:val="en-HK"/>
        </w:rPr>
        <w:t xml:space="preserve">It challenges the </w:t>
      </w:r>
      <w:r w:rsidRPr="006E28E4">
        <w:rPr>
          <w:rFonts w:ascii="Times New Roman" w:hAnsi="Times New Roman"/>
          <w:b/>
          <w:bCs/>
          <w:lang w:val="en-HK"/>
        </w:rPr>
        <w:t>economic paradigm</w:t>
      </w:r>
      <w:r w:rsidRPr="006E28E4">
        <w:rPr>
          <w:rFonts w:ascii="Times New Roman" w:hAnsi="Times New Roman"/>
          <w:lang w:val="en-HK"/>
        </w:rPr>
        <w:t xml:space="preserve"> of EU law, which previously required claimants to prove economic activity or migration to fall within the Treaty’s scope.</w:t>
      </w:r>
    </w:p>
    <w:p w14:paraId="3FF7DEAF" w14:textId="77777777" w:rsidR="003374E8" w:rsidRPr="006E28E4" w:rsidRDefault="003374E8" w:rsidP="006E28E4">
      <w:pPr>
        <w:numPr>
          <w:ilvl w:val="0"/>
          <w:numId w:val="9"/>
        </w:numPr>
        <w:spacing w:before="240" w:after="240" w:line="360" w:lineRule="auto"/>
        <w:rPr>
          <w:rFonts w:ascii="Times New Roman" w:hAnsi="Times New Roman"/>
          <w:lang w:val="en-HK"/>
        </w:rPr>
      </w:pPr>
      <w:r w:rsidRPr="006E28E4">
        <w:rPr>
          <w:rFonts w:ascii="Times New Roman" w:hAnsi="Times New Roman"/>
          <w:b/>
          <w:bCs/>
          <w:lang w:val="en-HK"/>
        </w:rPr>
        <w:t>Shift from Migration Dependency</w:t>
      </w:r>
      <w:r w:rsidRPr="006E28E4">
        <w:rPr>
          <w:rFonts w:ascii="Times New Roman" w:hAnsi="Times New Roman"/>
          <w:lang w:val="en-HK"/>
        </w:rPr>
        <w:t>:</w:t>
      </w:r>
    </w:p>
    <w:p w14:paraId="2326B452"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lang w:val="en-HK"/>
        </w:rPr>
        <w:t xml:space="preserve">Earlier jurisprudence linked the applicability of EU rights to migration or economic activity. The introduction of Union citizenship under </w:t>
      </w:r>
      <w:r w:rsidRPr="006E28E4">
        <w:rPr>
          <w:rFonts w:ascii="Times New Roman" w:hAnsi="Times New Roman"/>
          <w:b/>
          <w:bCs/>
          <w:lang w:val="en-HK"/>
        </w:rPr>
        <w:t>Article 17 EC</w:t>
      </w:r>
      <w:r w:rsidRPr="006E28E4">
        <w:rPr>
          <w:rFonts w:ascii="Times New Roman" w:hAnsi="Times New Roman"/>
          <w:lang w:val="en-HK"/>
        </w:rPr>
        <w:t xml:space="preserve"> has removed this requirement, extending rights to all nationals of Member States.</w:t>
      </w:r>
    </w:p>
    <w:p w14:paraId="1EE071FA" w14:textId="77777777" w:rsidR="003374E8" w:rsidRPr="006E28E4" w:rsidRDefault="003374E8" w:rsidP="006E28E4">
      <w:pPr>
        <w:numPr>
          <w:ilvl w:val="0"/>
          <w:numId w:val="9"/>
        </w:numPr>
        <w:spacing w:before="240" w:after="240" w:line="360" w:lineRule="auto"/>
        <w:rPr>
          <w:rFonts w:ascii="Times New Roman" w:hAnsi="Times New Roman"/>
          <w:lang w:val="en-HK"/>
        </w:rPr>
      </w:pPr>
      <w:r w:rsidRPr="006E28E4">
        <w:rPr>
          <w:rFonts w:ascii="Times New Roman" w:hAnsi="Times New Roman"/>
          <w:b/>
          <w:bCs/>
          <w:lang w:val="en-HK"/>
        </w:rPr>
        <w:t>Jurisprudential Development</w:t>
      </w:r>
      <w:r w:rsidRPr="006E28E4">
        <w:rPr>
          <w:rFonts w:ascii="Times New Roman" w:hAnsi="Times New Roman"/>
          <w:lang w:val="en-HK"/>
        </w:rPr>
        <w:t>:</w:t>
      </w:r>
    </w:p>
    <w:p w14:paraId="2381428A" w14:textId="77777777" w:rsidR="003374E8" w:rsidRPr="006E28E4" w:rsidRDefault="003374E8" w:rsidP="006E28E4">
      <w:pPr>
        <w:numPr>
          <w:ilvl w:val="1"/>
          <w:numId w:val="9"/>
        </w:numPr>
        <w:spacing w:before="240" w:after="240" w:line="360" w:lineRule="auto"/>
        <w:rPr>
          <w:rFonts w:ascii="Times New Roman" w:hAnsi="Times New Roman"/>
          <w:lang w:val="en-HK"/>
        </w:rPr>
      </w:pPr>
      <w:r w:rsidRPr="006E28E4">
        <w:rPr>
          <w:rFonts w:ascii="Times New Roman" w:hAnsi="Times New Roman"/>
          <w:lang w:val="en-HK"/>
        </w:rPr>
        <w:t xml:space="preserve">Initial cases, such as </w:t>
      </w:r>
      <w:r w:rsidRPr="006E28E4">
        <w:rPr>
          <w:rFonts w:ascii="Times New Roman" w:hAnsi="Times New Roman"/>
          <w:b/>
          <w:bCs/>
          <w:lang w:val="en-HK"/>
        </w:rPr>
        <w:t>Martínez Sala</w:t>
      </w:r>
      <w:r w:rsidRPr="006E28E4">
        <w:rPr>
          <w:rFonts w:ascii="Times New Roman" w:hAnsi="Times New Roman"/>
          <w:lang w:val="en-HK"/>
        </w:rPr>
        <w:t>, demonstrated the Court’s willingness to apply Union citizenship even in scenarios without economic or cross-border links.</w:t>
      </w:r>
    </w:p>
    <w:p w14:paraId="30E25CE2" w14:textId="77777777" w:rsidR="003374E8" w:rsidRPr="006E28E4" w:rsidRDefault="003374E8" w:rsidP="006E28E4">
      <w:pPr>
        <w:numPr>
          <w:ilvl w:val="1"/>
          <w:numId w:val="9"/>
        </w:numPr>
        <w:spacing w:before="240" w:after="240" w:line="360" w:lineRule="auto"/>
        <w:rPr>
          <w:rFonts w:ascii="Times New Roman" w:hAnsi="Times New Roman"/>
          <w:lang w:val="en-HK"/>
        </w:rPr>
      </w:pPr>
      <w:r w:rsidRPr="006E28E4">
        <w:rPr>
          <w:rFonts w:ascii="Times New Roman" w:hAnsi="Times New Roman"/>
          <w:lang w:val="en-HK"/>
        </w:rPr>
        <w:t xml:space="preserve">The progression of case law, including </w:t>
      </w:r>
      <w:proofErr w:type="spellStart"/>
      <w:r w:rsidRPr="006E28E4">
        <w:rPr>
          <w:rFonts w:ascii="Times New Roman" w:hAnsi="Times New Roman"/>
          <w:b/>
          <w:bCs/>
          <w:lang w:val="en-HK"/>
        </w:rPr>
        <w:t>Baumbast</w:t>
      </w:r>
      <w:proofErr w:type="spellEnd"/>
      <w:r w:rsidRPr="006E28E4">
        <w:rPr>
          <w:rFonts w:ascii="Times New Roman" w:hAnsi="Times New Roman"/>
          <w:lang w:val="en-HK"/>
        </w:rPr>
        <w:t>, reveals the Court’s embrace of a broader rights-based approach, ensuring protections for all EU citizens, regardless of their status or movement.</w:t>
      </w:r>
    </w:p>
    <w:p w14:paraId="77121F24" w14:textId="77777777" w:rsidR="003374E8" w:rsidRPr="006E28E4" w:rsidRDefault="003374E8" w:rsidP="006E28E4">
      <w:pPr>
        <w:numPr>
          <w:ilvl w:val="0"/>
          <w:numId w:val="9"/>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w:t>
      </w:r>
    </w:p>
    <w:p w14:paraId="0D41AE81" w14:textId="77777777" w:rsidR="003374E8" w:rsidRPr="006E28E4" w:rsidRDefault="003374E8" w:rsidP="006E28E4">
      <w:pPr>
        <w:numPr>
          <w:ilvl w:val="1"/>
          <w:numId w:val="9"/>
        </w:numPr>
        <w:spacing w:before="240" w:after="240" w:line="360" w:lineRule="auto"/>
        <w:rPr>
          <w:rFonts w:ascii="Times New Roman" w:hAnsi="Times New Roman"/>
          <w:lang w:val="en-HK"/>
        </w:rPr>
      </w:pPr>
      <w:proofErr w:type="spellStart"/>
      <w:r w:rsidRPr="006E28E4">
        <w:rPr>
          <w:rFonts w:ascii="Times New Roman" w:hAnsi="Times New Roman"/>
          <w:lang w:val="en-HK"/>
        </w:rPr>
        <w:lastRenderedPageBreak/>
        <w:t>Spaventa</w:t>
      </w:r>
      <w:proofErr w:type="spellEnd"/>
      <w:r w:rsidRPr="006E28E4">
        <w:rPr>
          <w:rFonts w:ascii="Times New Roman" w:hAnsi="Times New Roman"/>
          <w:lang w:val="en-HK"/>
        </w:rPr>
        <w:t xml:space="preserve"> emphasizes that this expansion represents a shift in the balance of power between the EU and Member States. It subjects previously domestic matters, such as welfare and tax policies, to EU law scrutiny when they interfere with Union citizenship rights.</w:t>
      </w:r>
    </w:p>
    <w:p w14:paraId="2BD03918"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364B316A">
          <v:rect id="_x0000_i1036" alt="" style="width:451.3pt;height:.05pt;mso-width-percent:0;mso-height-percent:0;mso-width-percent:0;mso-height-percent:0" o:hralign="center" o:hrstd="t" o:hr="t" fillcolor="#a0a0a0" stroked="f"/>
        </w:pict>
      </w:r>
    </w:p>
    <w:p w14:paraId="6E2B2A54" w14:textId="77777777"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Personal Scope</w:t>
      </w:r>
    </w:p>
    <w:p w14:paraId="0903C5D7" w14:textId="77777777" w:rsidR="003374E8" w:rsidRPr="006E28E4" w:rsidRDefault="003374E8" w:rsidP="006E28E4">
      <w:pPr>
        <w:numPr>
          <w:ilvl w:val="0"/>
          <w:numId w:val="10"/>
        </w:numPr>
        <w:spacing w:before="240" w:after="240" w:line="360" w:lineRule="auto"/>
        <w:rPr>
          <w:rFonts w:ascii="Times New Roman" w:hAnsi="Times New Roman"/>
          <w:lang w:val="en-HK"/>
        </w:rPr>
      </w:pPr>
      <w:r w:rsidRPr="006E28E4">
        <w:rPr>
          <w:rFonts w:ascii="Times New Roman" w:hAnsi="Times New Roman"/>
          <w:b/>
          <w:bCs/>
          <w:lang w:val="en-HK"/>
        </w:rPr>
        <w:t>Nationality as the Sole Condition</w:t>
      </w:r>
      <w:r w:rsidRPr="006E28E4">
        <w:rPr>
          <w:rFonts w:ascii="Times New Roman" w:hAnsi="Times New Roman"/>
          <w:lang w:val="en-HK"/>
        </w:rPr>
        <w:t>:</w:t>
      </w:r>
    </w:p>
    <w:p w14:paraId="70C97D2E"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lang w:val="en-HK"/>
        </w:rPr>
        <w:t>Article 17 EC establishes that nationality of a Member State is the only condition for Union citizenship. Unlike economic free movement provisions, there is no requirement for an economic or cross-border link.</w:t>
      </w:r>
    </w:p>
    <w:p w14:paraId="7CD430C3" w14:textId="77777777" w:rsidR="003374E8" w:rsidRPr="006E28E4" w:rsidRDefault="003374E8" w:rsidP="006E28E4">
      <w:pPr>
        <w:numPr>
          <w:ilvl w:val="0"/>
          <w:numId w:val="10"/>
        </w:numPr>
        <w:spacing w:before="240" w:after="240" w:line="360" w:lineRule="auto"/>
        <w:rPr>
          <w:rFonts w:ascii="Times New Roman" w:hAnsi="Times New Roman"/>
          <w:lang w:val="en-HK"/>
        </w:rPr>
      </w:pPr>
      <w:r w:rsidRPr="006E28E4">
        <w:rPr>
          <w:rFonts w:ascii="Times New Roman" w:hAnsi="Times New Roman"/>
          <w:b/>
          <w:bCs/>
          <w:lang w:val="en-HK"/>
        </w:rPr>
        <w:t>Legal Evolution</w:t>
      </w:r>
      <w:r w:rsidRPr="006E28E4">
        <w:rPr>
          <w:rFonts w:ascii="Times New Roman" w:hAnsi="Times New Roman"/>
          <w:lang w:val="en-HK"/>
        </w:rPr>
        <w:t>:</w:t>
      </w:r>
    </w:p>
    <w:p w14:paraId="735FADFC" w14:textId="77777777" w:rsidR="003374E8" w:rsidRPr="006E28E4" w:rsidRDefault="003374E8" w:rsidP="006E28E4">
      <w:pPr>
        <w:numPr>
          <w:ilvl w:val="1"/>
          <w:numId w:val="10"/>
        </w:numPr>
        <w:spacing w:before="240" w:after="240" w:line="360" w:lineRule="auto"/>
        <w:rPr>
          <w:rFonts w:ascii="Times New Roman" w:hAnsi="Times New Roman"/>
          <w:lang w:val="en-HK"/>
        </w:rPr>
      </w:pPr>
      <w:r w:rsidRPr="006E28E4">
        <w:rPr>
          <w:rFonts w:ascii="Times New Roman" w:hAnsi="Times New Roman"/>
          <w:b/>
          <w:bCs/>
          <w:lang w:val="en-HK"/>
        </w:rPr>
        <w:t>Early Approach</w:t>
      </w:r>
      <w:r w:rsidRPr="006E28E4">
        <w:rPr>
          <w:rFonts w:ascii="Times New Roman" w:hAnsi="Times New Roman"/>
          <w:lang w:val="en-HK"/>
        </w:rPr>
        <w:t>: The Court’s initial approach emphasized the "migrant paradigm" where cross-border activity was essential to invoke EU law rights.</w:t>
      </w:r>
    </w:p>
    <w:p w14:paraId="38A29435" w14:textId="77777777" w:rsidR="003374E8" w:rsidRPr="006E28E4" w:rsidRDefault="003374E8" w:rsidP="006E28E4">
      <w:pPr>
        <w:numPr>
          <w:ilvl w:val="1"/>
          <w:numId w:val="10"/>
        </w:numPr>
        <w:spacing w:before="240" w:after="240" w:line="360" w:lineRule="auto"/>
        <w:rPr>
          <w:rFonts w:ascii="Times New Roman" w:hAnsi="Times New Roman"/>
          <w:lang w:val="en-HK"/>
        </w:rPr>
      </w:pPr>
      <w:r w:rsidRPr="006E28E4">
        <w:rPr>
          <w:rFonts w:ascii="Times New Roman" w:hAnsi="Times New Roman"/>
          <w:b/>
          <w:bCs/>
          <w:lang w:val="en-HK"/>
        </w:rPr>
        <w:t>Current Approach</w:t>
      </w:r>
      <w:r w:rsidRPr="006E28E4">
        <w:rPr>
          <w:rFonts w:ascii="Times New Roman" w:hAnsi="Times New Roman"/>
          <w:lang w:val="en-HK"/>
        </w:rPr>
        <w:t xml:space="preserve">: Recent cases, such as </w:t>
      </w:r>
      <w:r w:rsidRPr="006E28E4">
        <w:rPr>
          <w:rFonts w:ascii="Times New Roman" w:hAnsi="Times New Roman"/>
          <w:b/>
          <w:bCs/>
          <w:lang w:val="en-HK"/>
        </w:rPr>
        <w:t>Tas-Hagen</w:t>
      </w:r>
      <w:r w:rsidRPr="006E28E4">
        <w:rPr>
          <w:rFonts w:ascii="Times New Roman" w:hAnsi="Times New Roman"/>
          <w:lang w:val="en-HK"/>
        </w:rPr>
        <w:t>, affirm that nationality alone suffices to trigger EU protections, extending the personal scope of Union citizenship.</w:t>
      </w:r>
    </w:p>
    <w:p w14:paraId="501C923D" w14:textId="77777777" w:rsidR="003374E8" w:rsidRPr="006E28E4" w:rsidRDefault="003374E8" w:rsidP="006E28E4">
      <w:pPr>
        <w:numPr>
          <w:ilvl w:val="0"/>
          <w:numId w:val="10"/>
        </w:numPr>
        <w:spacing w:before="240" w:after="240" w:line="360" w:lineRule="auto"/>
        <w:rPr>
          <w:rFonts w:ascii="Times New Roman" w:hAnsi="Times New Roman"/>
          <w:lang w:val="en-HK"/>
        </w:rPr>
      </w:pPr>
      <w:r w:rsidRPr="006E28E4">
        <w:rPr>
          <w:rFonts w:ascii="Times New Roman" w:hAnsi="Times New Roman"/>
          <w:b/>
          <w:bCs/>
          <w:lang w:val="en-HK"/>
        </w:rPr>
        <w:t>Key Cases</w:t>
      </w:r>
      <w:r w:rsidRPr="006E28E4">
        <w:rPr>
          <w:rFonts w:ascii="Times New Roman" w:hAnsi="Times New Roman"/>
          <w:lang w:val="en-HK"/>
        </w:rPr>
        <w:t>:</w:t>
      </w:r>
    </w:p>
    <w:p w14:paraId="732317F5" w14:textId="77777777" w:rsidR="003374E8" w:rsidRPr="006E28E4" w:rsidRDefault="003374E8" w:rsidP="006E28E4">
      <w:pPr>
        <w:numPr>
          <w:ilvl w:val="1"/>
          <w:numId w:val="10"/>
        </w:num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 Union citizenship was applied even though the claimant did not fully meet secondary legislation conditions (comprehensive medical insurance).</w:t>
      </w:r>
    </w:p>
    <w:p w14:paraId="245AFE21" w14:textId="77777777" w:rsidR="003374E8" w:rsidRPr="006E28E4" w:rsidRDefault="003374E8" w:rsidP="006E28E4">
      <w:pPr>
        <w:numPr>
          <w:ilvl w:val="1"/>
          <w:numId w:val="10"/>
        </w:numPr>
        <w:spacing w:before="240" w:after="240" w:line="360" w:lineRule="auto"/>
        <w:rPr>
          <w:rFonts w:ascii="Times New Roman" w:hAnsi="Times New Roman"/>
          <w:lang w:val="en-HK"/>
        </w:rPr>
      </w:pPr>
      <w:r w:rsidRPr="006E28E4">
        <w:rPr>
          <w:rFonts w:ascii="Times New Roman" w:hAnsi="Times New Roman"/>
          <w:b/>
          <w:bCs/>
          <w:lang w:val="en-HK"/>
        </w:rPr>
        <w:t>Martínez Sala</w:t>
      </w:r>
      <w:r w:rsidRPr="006E28E4">
        <w:rPr>
          <w:rFonts w:ascii="Times New Roman" w:hAnsi="Times New Roman"/>
          <w:lang w:val="en-HK"/>
        </w:rPr>
        <w:t>: The Court explicitly derived rights from Article 17 EC based solely on her status as a Union citizen.</w:t>
      </w:r>
    </w:p>
    <w:p w14:paraId="51D3EFA9" w14:textId="77777777" w:rsidR="003374E8" w:rsidRPr="006E28E4" w:rsidRDefault="003374E8" w:rsidP="006E28E4">
      <w:pPr>
        <w:numPr>
          <w:ilvl w:val="0"/>
          <w:numId w:val="10"/>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w:t>
      </w:r>
    </w:p>
    <w:p w14:paraId="4A9DFEA9"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notes that this broadening challenges the idea that migration is a precondition for Union citizenship rights, calling it a step towards equal treatment for all nationals.</w:t>
      </w:r>
    </w:p>
    <w:p w14:paraId="2A3F7230"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7DB375CA">
          <v:rect id="_x0000_i1035" alt="" style="width:451.3pt;height:.05pt;mso-width-percent:0;mso-height-percent:0;mso-width-percent:0;mso-height-percent:0" o:hralign="center" o:hrstd="t" o:hr="t" fillcolor="#a0a0a0" stroked="f"/>
        </w:pict>
      </w:r>
    </w:p>
    <w:p w14:paraId="5F0C5847" w14:textId="77777777"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Material Scope</w:t>
      </w:r>
    </w:p>
    <w:p w14:paraId="77A38883" w14:textId="77777777" w:rsidR="003374E8" w:rsidRPr="006E28E4" w:rsidRDefault="003374E8" w:rsidP="006E28E4">
      <w:pPr>
        <w:numPr>
          <w:ilvl w:val="0"/>
          <w:numId w:val="11"/>
        </w:numPr>
        <w:spacing w:before="240" w:after="240" w:line="360" w:lineRule="auto"/>
        <w:rPr>
          <w:rFonts w:ascii="Times New Roman" w:hAnsi="Times New Roman"/>
          <w:lang w:val="en-HK"/>
        </w:rPr>
      </w:pPr>
      <w:r w:rsidRPr="006E28E4">
        <w:rPr>
          <w:rFonts w:ascii="Times New Roman" w:hAnsi="Times New Roman"/>
          <w:b/>
          <w:bCs/>
          <w:lang w:val="en-HK"/>
        </w:rPr>
        <w:lastRenderedPageBreak/>
        <w:t>Expanded Rights</w:t>
      </w:r>
      <w:r w:rsidRPr="006E28E4">
        <w:rPr>
          <w:rFonts w:ascii="Times New Roman" w:hAnsi="Times New Roman"/>
          <w:lang w:val="en-HK"/>
        </w:rPr>
        <w:t>:</w:t>
      </w:r>
    </w:p>
    <w:p w14:paraId="57B8F8EF" w14:textId="77777777" w:rsidR="003374E8" w:rsidRPr="006E28E4" w:rsidRDefault="003374E8" w:rsidP="006E28E4">
      <w:pPr>
        <w:numPr>
          <w:ilvl w:val="1"/>
          <w:numId w:val="11"/>
        </w:numPr>
        <w:spacing w:before="240" w:after="240" w:line="360" w:lineRule="auto"/>
        <w:rPr>
          <w:rFonts w:ascii="Times New Roman" w:hAnsi="Times New Roman"/>
          <w:lang w:val="en-HK"/>
        </w:rPr>
      </w:pPr>
      <w:r w:rsidRPr="006E28E4">
        <w:rPr>
          <w:rFonts w:ascii="Times New Roman" w:hAnsi="Times New Roman"/>
          <w:lang w:val="en-HK"/>
        </w:rPr>
        <w:t>Union citizenship provisions now cover areas such as welfare, tax benefits, and even personal naming conventions, which traditionally fell outside EU law.</w:t>
      </w:r>
    </w:p>
    <w:p w14:paraId="6E32BF84" w14:textId="77777777" w:rsidR="003374E8" w:rsidRPr="006E28E4" w:rsidRDefault="003374E8" w:rsidP="006E28E4">
      <w:pPr>
        <w:numPr>
          <w:ilvl w:val="1"/>
          <w:numId w:val="11"/>
        </w:numPr>
        <w:spacing w:before="240" w:after="240" w:line="360" w:lineRule="auto"/>
        <w:rPr>
          <w:rFonts w:ascii="Times New Roman" w:hAnsi="Times New Roman"/>
          <w:lang w:val="en-HK"/>
        </w:rPr>
      </w:pPr>
      <w:r w:rsidRPr="006E28E4">
        <w:rPr>
          <w:rFonts w:ascii="Times New Roman" w:hAnsi="Times New Roman"/>
          <w:b/>
          <w:bCs/>
          <w:lang w:val="en-HK"/>
        </w:rPr>
        <w:t>Key Provision</w:t>
      </w:r>
      <w:r w:rsidRPr="006E28E4">
        <w:rPr>
          <w:rFonts w:ascii="Times New Roman" w:hAnsi="Times New Roman"/>
          <w:lang w:val="en-HK"/>
        </w:rPr>
        <w:t>: Article 18(1) EC confers the right to move and reside in any Member State, while Article 12 EC prohibits discrimination on grounds of nationality in matters falling within the scope of the Treaty.</w:t>
      </w:r>
    </w:p>
    <w:p w14:paraId="2BEA0ADD" w14:textId="77777777" w:rsidR="003374E8" w:rsidRPr="006E28E4" w:rsidRDefault="003374E8" w:rsidP="006E28E4">
      <w:pPr>
        <w:numPr>
          <w:ilvl w:val="0"/>
          <w:numId w:val="11"/>
        </w:numPr>
        <w:spacing w:before="240" w:after="240" w:line="360" w:lineRule="auto"/>
        <w:rPr>
          <w:rFonts w:ascii="Times New Roman" w:hAnsi="Times New Roman"/>
          <w:lang w:val="en-HK"/>
        </w:rPr>
      </w:pPr>
      <w:r w:rsidRPr="006E28E4">
        <w:rPr>
          <w:rFonts w:ascii="Times New Roman" w:hAnsi="Times New Roman"/>
          <w:b/>
          <w:bCs/>
          <w:lang w:val="en-HK"/>
        </w:rPr>
        <w:t>Impact of the Right to Move and Reside</w:t>
      </w:r>
      <w:r w:rsidRPr="006E28E4">
        <w:rPr>
          <w:rFonts w:ascii="Times New Roman" w:hAnsi="Times New Roman"/>
          <w:lang w:val="en-HK"/>
        </w:rPr>
        <w:t>:</w:t>
      </w:r>
    </w:p>
    <w:p w14:paraId="4CAF86F1" w14:textId="77777777" w:rsidR="003374E8" w:rsidRPr="006E28E4" w:rsidRDefault="003374E8" w:rsidP="006E28E4">
      <w:pPr>
        <w:numPr>
          <w:ilvl w:val="1"/>
          <w:numId w:val="11"/>
        </w:numPr>
        <w:spacing w:before="240" w:after="240" w:line="360" w:lineRule="auto"/>
        <w:rPr>
          <w:rFonts w:ascii="Times New Roman" w:hAnsi="Times New Roman"/>
          <w:lang w:val="en-HK"/>
        </w:rPr>
      </w:pPr>
      <w:r w:rsidRPr="006E28E4">
        <w:rPr>
          <w:rFonts w:ascii="Times New Roman" w:hAnsi="Times New Roman"/>
          <w:lang w:val="en-HK"/>
        </w:rPr>
        <w:t xml:space="preserve">Cases like </w:t>
      </w:r>
      <w:r w:rsidRPr="006E28E4">
        <w:rPr>
          <w:rFonts w:ascii="Times New Roman" w:hAnsi="Times New Roman"/>
          <w:b/>
          <w:bCs/>
          <w:lang w:val="en-HK"/>
        </w:rPr>
        <w:t>Tas-Hagen</w:t>
      </w:r>
      <w:r w:rsidRPr="006E28E4">
        <w:rPr>
          <w:rFonts w:ascii="Times New Roman" w:hAnsi="Times New Roman"/>
          <w:lang w:val="en-HK"/>
        </w:rPr>
        <w:t xml:space="preserve"> and </w:t>
      </w:r>
      <w:r w:rsidRPr="006E28E4">
        <w:rPr>
          <w:rFonts w:ascii="Times New Roman" w:hAnsi="Times New Roman"/>
          <w:b/>
          <w:bCs/>
          <w:lang w:val="en-HK"/>
        </w:rPr>
        <w:t>Bidar</w:t>
      </w:r>
      <w:r w:rsidRPr="006E28E4">
        <w:rPr>
          <w:rFonts w:ascii="Times New Roman" w:hAnsi="Times New Roman"/>
          <w:lang w:val="en-HK"/>
        </w:rPr>
        <w:t xml:space="preserve"> demonstrate how national rules affecting the right to move or reside are now subject to EU law proportionality tests.</w:t>
      </w:r>
    </w:p>
    <w:p w14:paraId="04D8B068" w14:textId="77777777" w:rsidR="003374E8" w:rsidRPr="006E28E4" w:rsidRDefault="003374E8" w:rsidP="006E28E4">
      <w:pPr>
        <w:numPr>
          <w:ilvl w:val="1"/>
          <w:numId w:val="11"/>
        </w:numPr>
        <w:spacing w:before="240" w:after="240" w:line="360" w:lineRule="auto"/>
        <w:rPr>
          <w:rFonts w:ascii="Times New Roman" w:hAnsi="Times New Roman"/>
          <w:lang w:val="en-HK"/>
        </w:rPr>
      </w:pPr>
      <w:r w:rsidRPr="006E28E4">
        <w:rPr>
          <w:rFonts w:ascii="Times New Roman" w:hAnsi="Times New Roman"/>
          <w:lang w:val="en-HK"/>
        </w:rPr>
        <w:t>Welfare and tax rules with territorial elements are increasingly scrutinized for their impact on free movement rights.</w:t>
      </w:r>
    </w:p>
    <w:p w14:paraId="07F44BFE" w14:textId="77777777" w:rsidR="003374E8" w:rsidRPr="006E28E4" w:rsidRDefault="003374E8" w:rsidP="006E28E4">
      <w:pPr>
        <w:numPr>
          <w:ilvl w:val="0"/>
          <w:numId w:val="11"/>
        </w:numPr>
        <w:spacing w:before="240" w:after="240" w:line="360" w:lineRule="auto"/>
        <w:rPr>
          <w:rFonts w:ascii="Times New Roman" w:hAnsi="Times New Roman"/>
          <w:lang w:val="en-HK"/>
        </w:rPr>
      </w:pPr>
      <w:r w:rsidRPr="006E28E4">
        <w:rPr>
          <w:rFonts w:ascii="Times New Roman" w:hAnsi="Times New Roman"/>
          <w:b/>
          <w:bCs/>
          <w:lang w:val="en-HK"/>
        </w:rPr>
        <w:t>Key Cases</w:t>
      </w:r>
      <w:r w:rsidRPr="006E28E4">
        <w:rPr>
          <w:rFonts w:ascii="Times New Roman" w:hAnsi="Times New Roman"/>
          <w:lang w:val="en-HK"/>
        </w:rPr>
        <w:t>:</w:t>
      </w:r>
    </w:p>
    <w:p w14:paraId="42140A51"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Tas-Hagen</w:t>
      </w:r>
      <w:r w:rsidRPr="006E28E4">
        <w:rPr>
          <w:rFonts w:ascii="Times New Roman" w:hAnsi="Times New Roman"/>
          <w:lang w:val="en-HK"/>
        </w:rPr>
        <w:t>: The Court found that a residence requirement for war pensions restricted free movement, bringing it within EU law’s material scope.</w:t>
      </w:r>
    </w:p>
    <w:p w14:paraId="15DCA45D"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Bidar</w:t>
      </w:r>
      <w:r w:rsidRPr="006E28E4">
        <w:rPr>
          <w:rFonts w:ascii="Times New Roman" w:hAnsi="Times New Roman"/>
          <w:lang w:val="en-HK"/>
        </w:rPr>
        <w:t>: Rules denying student loans based on insufficient integration in the host state were struck down for breaching proportionality.</w:t>
      </w:r>
    </w:p>
    <w:p w14:paraId="4C9A3C95"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 xml:space="preserve">Garcia </w:t>
      </w:r>
      <w:proofErr w:type="spellStart"/>
      <w:r w:rsidRPr="006E28E4">
        <w:rPr>
          <w:rFonts w:ascii="Times New Roman" w:hAnsi="Times New Roman"/>
          <w:b/>
          <w:bCs/>
          <w:lang w:val="en-HK"/>
        </w:rPr>
        <w:t>Avello</w:t>
      </w:r>
      <w:proofErr w:type="spellEnd"/>
      <w:r w:rsidRPr="006E28E4">
        <w:rPr>
          <w:rFonts w:ascii="Times New Roman" w:hAnsi="Times New Roman"/>
          <w:lang w:val="en-HK"/>
        </w:rPr>
        <w:t>: EU law extended to family naming conventions due to the potential cross-border implications of dual nationality.</w:t>
      </w:r>
    </w:p>
    <w:p w14:paraId="5412EDD4" w14:textId="77777777" w:rsidR="003374E8" w:rsidRPr="006E28E4" w:rsidRDefault="003374E8" w:rsidP="006E28E4">
      <w:pPr>
        <w:numPr>
          <w:ilvl w:val="0"/>
          <w:numId w:val="11"/>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w:t>
      </w:r>
    </w:p>
    <w:p w14:paraId="753AC5B7"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highlights that the material scope of EU law has broadened to cover "static citizens" and challenges purely domestic matters, especially where territorial rules affect mobility.</w:t>
      </w:r>
    </w:p>
    <w:p w14:paraId="6ABFE64E"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68BAAEC1">
          <v:rect id="_x0000_i1034" alt="" style="width:451.3pt;height:.05pt;mso-width-percent:0;mso-height-percent:0;mso-width-percent:0;mso-height-percent:0" o:hralign="center" o:hrstd="t" o:hr="t" fillcolor="#a0a0a0" stroked="f"/>
        </w:pict>
      </w:r>
    </w:p>
    <w:p w14:paraId="5EF31CAB" w14:textId="229EF0FE"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Proportionality and Fundamental Rights</w:t>
      </w:r>
    </w:p>
    <w:p w14:paraId="2F9FC043" w14:textId="77777777" w:rsidR="003374E8" w:rsidRPr="006E28E4" w:rsidRDefault="003374E8" w:rsidP="006E28E4">
      <w:pPr>
        <w:numPr>
          <w:ilvl w:val="0"/>
          <w:numId w:val="12"/>
        </w:numPr>
        <w:spacing w:before="240" w:after="240" w:line="360" w:lineRule="auto"/>
        <w:rPr>
          <w:rFonts w:ascii="Times New Roman" w:hAnsi="Times New Roman"/>
          <w:lang w:val="en-HK"/>
        </w:rPr>
      </w:pPr>
      <w:r w:rsidRPr="006E28E4">
        <w:rPr>
          <w:rFonts w:ascii="Times New Roman" w:hAnsi="Times New Roman"/>
          <w:b/>
          <w:bCs/>
          <w:lang w:val="en-HK"/>
        </w:rPr>
        <w:t>Central Principle</w:t>
      </w:r>
      <w:r w:rsidRPr="006E28E4">
        <w:rPr>
          <w:rFonts w:ascii="Times New Roman" w:hAnsi="Times New Roman"/>
          <w:lang w:val="en-HK"/>
        </w:rPr>
        <w:t>:</w:t>
      </w:r>
    </w:p>
    <w:p w14:paraId="1E9F92A6" w14:textId="77777777" w:rsidR="003374E8" w:rsidRPr="006E28E4" w:rsidRDefault="003374E8" w:rsidP="006E28E4">
      <w:pPr>
        <w:numPr>
          <w:ilvl w:val="1"/>
          <w:numId w:val="12"/>
        </w:numPr>
        <w:spacing w:before="240" w:after="240" w:line="360" w:lineRule="auto"/>
        <w:rPr>
          <w:rFonts w:ascii="Times New Roman" w:hAnsi="Times New Roman"/>
          <w:lang w:val="en-HK"/>
        </w:rPr>
      </w:pPr>
      <w:r w:rsidRPr="006E28E4">
        <w:rPr>
          <w:rFonts w:ascii="Times New Roman" w:hAnsi="Times New Roman"/>
          <w:lang w:val="en-HK"/>
        </w:rPr>
        <w:lastRenderedPageBreak/>
        <w:t>Proportionality is critical in assessing whether restrictions on Union citizenship rights, such as residence requirements, are justified.</w:t>
      </w:r>
    </w:p>
    <w:p w14:paraId="6AC9A8A5" w14:textId="77777777" w:rsidR="003374E8" w:rsidRPr="006E28E4" w:rsidRDefault="003374E8" w:rsidP="006E28E4">
      <w:pPr>
        <w:numPr>
          <w:ilvl w:val="1"/>
          <w:numId w:val="12"/>
        </w:numPr>
        <w:spacing w:before="240" w:after="240" w:line="360" w:lineRule="auto"/>
        <w:rPr>
          <w:rFonts w:ascii="Times New Roman" w:hAnsi="Times New Roman"/>
          <w:lang w:val="en-HK"/>
        </w:rPr>
      </w:pPr>
      <w:r w:rsidRPr="006E28E4">
        <w:rPr>
          <w:rFonts w:ascii="Times New Roman" w:hAnsi="Times New Roman"/>
          <w:lang w:val="en-HK"/>
        </w:rPr>
        <w:t>Fundamental rights principles ensure that Member States cannot impose disproportionate barriers on free movement or deny rights arbitrarily.</w:t>
      </w:r>
    </w:p>
    <w:p w14:paraId="5557A093" w14:textId="77777777" w:rsidR="003374E8" w:rsidRPr="006E28E4" w:rsidRDefault="003374E8" w:rsidP="006E28E4">
      <w:pPr>
        <w:numPr>
          <w:ilvl w:val="0"/>
          <w:numId w:val="12"/>
        </w:numPr>
        <w:spacing w:before="240" w:after="240" w:line="360" w:lineRule="auto"/>
        <w:rPr>
          <w:rFonts w:ascii="Times New Roman" w:hAnsi="Times New Roman"/>
          <w:lang w:val="en-HK"/>
        </w:rPr>
      </w:pPr>
      <w:r w:rsidRPr="006E28E4">
        <w:rPr>
          <w:rFonts w:ascii="Times New Roman" w:hAnsi="Times New Roman"/>
          <w:b/>
          <w:bCs/>
          <w:lang w:val="en-HK"/>
        </w:rPr>
        <w:t>Application in Case Law</w:t>
      </w:r>
      <w:r w:rsidRPr="006E28E4">
        <w:rPr>
          <w:rFonts w:ascii="Times New Roman" w:hAnsi="Times New Roman"/>
          <w:lang w:val="en-HK"/>
        </w:rPr>
        <w:t>:</w:t>
      </w:r>
    </w:p>
    <w:p w14:paraId="1DB81121"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b/>
          <w:bCs/>
          <w:lang w:val="en-HK"/>
        </w:rPr>
        <w:t>Baumbast</w:t>
      </w:r>
      <w:proofErr w:type="spellEnd"/>
      <w:r w:rsidRPr="006E28E4">
        <w:rPr>
          <w:rFonts w:ascii="Times New Roman" w:hAnsi="Times New Roman"/>
          <w:lang w:val="en-HK"/>
        </w:rPr>
        <w:t>: The Court ruled that denying residence based on non-comprehensive insurance was disproportionate given the claimant’s self-sufficiency and insurance coverage in another Member State.</w:t>
      </w:r>
    </w:p>
    <w:p w14:paraId="3975DDC7"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b/>
          <w:bCs/>
          <w:lang w:val="en-HK"/>
        </w:rPr>
        <w:t>Chen</w:t>
      </w:r>
      <w:r w:rsidRPr="006E28E4">
        <w:rPr>
          <w:rFonts w:ascii="Times New Roman" w:hAnsi="Times New Roman"/>
          <w:lang w:val="en-HK"/>
        </w:rPr>
        <w:t>: The Court applied proportionality to prevent denial of residence rights for a minor relying on her mother’s resources.</w:t>
      </w:r>
    </w:p>
    <w:p w14:paraId="79C9FD5F" w14:textId="77777777" w:rsidR="003374E8" w:rsidRPr="006E28E4" w:rsidRDefault="003374E8" w:rsidP="006E28E4">
      <w:pPr>
        <w:numPr>
          <w:ilvl w:val="0"/>
          <w:numId w:val="12"/>
        </w:numPr>
        <w:spacing w:before="240" w:after="240" w:line="360" w:lineRule="auto"/>
        <w:rPr>
          <w:rFonts w:ascii="Times New Roman" w:hAnsi="Times New Roman"/>
          <w:lang w:val="en-HK"/>
        </w:rPr>
      </w:pPr>
      <w:r w:rsidRPr="006E28E4">
        <w:rPr>
          <w:rFonts w:ascii="Times New Roman" w:hAnsi="Times New Roman"/>
          <w:b/>
          <w:bCs/>
          <w:lang w:val="en-HK"/>
        </w:rPr>
        <w:t>Residency and Welfare Benefits</w:t>
      </w:r>
      <w:r w:rsidRPr="006E28E4">
        <w:rPr>
          <w:rFonts w:ascii="Times New Roman" w:hAnsi="Times New Roman"/>
          <w:lang w:val="en-HK"/>
        </w:rPr>
        <w:t>:</w:t>
      </w:r>
    </w:p>
    <w:p w14:paraId="550A1CCC" w14:textId="77777777" w:rsidR="003374E8" w:rsidRPr="006E28E4" w:rsidRDefault="003374E8" w:rsidP="006E28E4">
      <w:pPr>
        <w:spacing w:before="240" w:after="240" w:line="360" w:lineRule="auto"/>
        <w:rPr>
          <w:rFonts w:ascii="Times New Roman" w:hAnsi="Times New Roman"/>
          <w:lang w:val="en-HK"/>
        </w:rPr>
      </w:pPr>
      <w:r w:rsidRPr="006E28E4">
        <w:rPr>
          <w:rFonts w:ascii="Times New Roman" w:hAnsi="Times New Roman"/>
          <w:lang w:val="en-HK"/>
        </w:rPr>
        <w:t xml:space="preserve">The Court has ruled that reliance on welfare provisions cannot automatically lead to termination of residence rights, as seen in </w:t>
      </w:r>
      <w:proofErr w:type="spellStart"/>
      <w:r w:rsidRPr="006E28E4">
        <w:rPr>
          <w:rFonts w:ascii="Times New Roman" w:hAnsi="Times New Roman"/>
          <w:b/>
          <w:bCs/>
          <w:lang w:val="en-HK"/>
        </w:rPr>
        <w:t>Grzelczyk</w:t>
      </w:r>
      <w:proofErr w:type="spellEnd"/>
      <w:r w:rsidRPr="006E28E4">
        <w:rPr>
          <w:rFonts w:ascii="Times New Roman" w:hAnsi="Times New Roman"/>
          <w:lang w:val="en-HK"/>
        </w:rPr>
        <w:t xml:space="preserve"> and </w:t>
      </w:r>
      <w:proofErr w:type="spellStart"/>
      <w:r w:rsidRPr="006E28E4">
        <w:rPr>
          <w:rFonts w:ascii="Times New Roman" w:hAnsi="Times New Roman"/>
          <w:b/>
          <w:bCs/>
          <w:lang w:val="en-HK"/>
        </w:rPr>
        <w:t>Trojani</w:t>
      </w:r>
      <w:proofErr w:type="spellEnd"/>
      <w:r w:rsidRPr="006E28E4">
        <w:rPr>
          <w:rFonts w:ascii="Times New Roman" w:hAnsi="Times New Roman"/>
          <w:lang w:val="en-HK"/>
        </w:rPr>
        <w:t>.</w:t>
      </w:r>
    </w:p>
    <w:p w14:paraId="7FFF9E8A" w14:textId="77777777" w:rsidR="003374E8" w:rsidRPr="006E28E4" w:rsidRDefault="003374E8" w:rsidP="006E28E4">
      <w:pPr>
        <w:numPr>
          <w:ilvl w:val="0"/>
          <w:numId w:val="12"/>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w:t>
      </w:r>
    </w:p>
    <w:p w14:paraId="0C720B92"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argues that proportionality tests enable a balance between national welfare protection and the inclusive spirit of Union citizenship. However, this balance often generates tension between EU principles and national sovereignty.</w:t>
      </w:r>
    </w:p>
    <w:p w14:paraId="0E32A80C"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5CCF235D">
          <v:rect id="_x0000_i1033" alt="" style="width:451.3pt;height:.05pt;mso-width-percent:0;mso-height-percent:0;mso-width-percent:0;mso-height-percent:0" o:hralign="center" o:hrstd="t" o:hr="t" fillcolor="#a0a0a0" stroked="f"/>
        </w:pict>
      </w:r>
    </w:p>
    <w:p w14:paraId="48659D31" w14:textId="77777777"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Constitutional Effects</w:t>
      </w:r>
    </w:p>
    <w:p w14:paraId="7D4C298E" w14:textId="77777777" w:rsidR="003374E8" w:rsidRPr="006E28E4" w:rsidRDefault="003374E8" w:rsidP="006E28E4">
      <w:pPr>
        <w:numPr>
          <w:ilvl w:val="0"/>
          <w:numId w:val="13"/>
        </w:numPr>
        <w:spacing w:before="240" w:after="240" w:line="360" w:lineRule="auto"/>
        <w:rPr>
          <w:rFonts w:ascii="Times New Roman" w:hAnsi="Times New Roman"/>
          <w:lang w:val="en-HK"/>
        </w:rPr>
      </w:pPr>
      <w:r w:rsidRPr="006E28E4">
        <w:rPr>
          <w:rFonts w:ascii="Times New Roman" w:hAnsi="Times New Roman"/>
          <w:b/>
          <w:bCs/>
          <w:lang w:val="en-HK"/>
        </w:rPr>
        <w:t>Impact on National Systems</w:t>
      </w:r>
      <w:r w:rsidRPr="006E28E4">
        <w:rPr>
          <w:rFonts w:ascii="Times New Roman" w:hAnsi="Times New Roman"/>
          <w:lang w:val="en-HK"/>
        </w:rPr>
        <w:t>:</w:t>
      </w:r>
    </w:p>
    <w:p w14:paraId="6DE314BC" w14:textId="77777777" w:rsidR="003374E8" w:rsidRPr="006E28E4" w:rsidRDefault="003374E8" w:rsidP="006E28E4">
      <w:pPr>
        <w:numPr>
          <w:ilvl w:val="1"/>
          <w:numId w:val="13"/>
        </w:numPr>
        <w:spacing w:before="240" w:after="240" w:line="360" w:lineRule="auto"/>
        <w:rPr>
          <w:rFonts w:ascii="Times New Roman" w:hAnsi="Times New Roman"/>
          <w:lang w:val="en-HK"/>
        </w:rPr>
      </w:pPr>
      <w:r w:rsidRPr="006E28E4">
        <w:rPr>
          <w:rFonts w:ascii="Times New Roman" w:hAnsi="Times New Roman"/>
          <w:lang w:val="en-HK"/>
        </w:rPr>
        <w:t>Union citizenship imposes new obligations on national courts to align domestic laws with EU principles, particularly in ensuring proportionality and equal treatment.</w:t>
      </w:r>
    </w:p>
    <w:p w14:paraId="3B9F5C92" w14:textId="77777777" w:rsidR="003374E8" w:rsidRPr="006E28E4" w:rsidRDefault="003374E8" w:rsidP="006E28E4">
      <w:pPr>
        <w:numPr>
          <w:ilvl w:val="1"/>
          <w:numId w:val="13"/>
        </w:numPr>
        <w:spacing w:before="240" w:after="240" w:line="360" w:lineRule="auto"/>
        <w:rPr>
          <w:rFonts w:ascii="Times New Roman" w:hAnsi="Times New Roman"/>
          <w:lang w:val="en-HK"/>
        </w:rPr>
      </w:pPr>
      <w:r w:rsidRPr="006E28E4">
        <w:rPr>
          <w:rFonts w:ascii="Times New Roman" w:hAnsi="Times New Roman"/>
          <w:lang w:val="en-HK"/>
        </w:rPr>
        <w:t xml:space="preserve">The rulings in </w:t>
      </w:r>
      <w:r w:rsidRPr="006E28E4">
        <w:rPr>
          <w:rFonts w:ascii="Times New Roman" w:hAnsi="Times New Roman"/>
          <w:b/>
          <w:bCs/>
          <w:lang w:val="en-HK"/>
        </w:rPr>
        <w:t>Tas-Hagen</w:t>
      </w:r>
      <w:r w:rsidRPr="006E28E4">
        <w:rPr>
          <w:rFonts w:ascii="Times New Roman" w:hAnsi="Times New Roman"/>
          <w:lang w:val="en-HK"/>
        </w:rPr>
        <w:t xml:space="preserve"> and </w:t>
      </w:r>
      <w:r w:rsidRPr="006E28E4">
        <w:rPr>
          <w:rFonts w:ascii="Times New Roman" w:hAnsi="Times New Roman"/>
          <w:b/>
          <w:bCs/>
          <w:lang w:val="en-HK"/>
        </w:rPr>
        <w:t>Schempp</w:t>
      </w:r>
      <w:r w:rsidRPr="006E28E4">
        <w:rPr>
          <w:rFonts w:ascii="Times New Roman" w:hAnsi="Times New Roman"/>
          <w:lang w:val="en-HK"/>
        </w:rPr>
        <w:t xml:space="preserve"> demonstrate how national welfare and tax policies must comply with EU law when they affect citizenship rights.</w:t>
      </w:r>
    </w:p>
    <w:p w14:paraId="6BAF12A5" w14:textId="77777777" w:rsidR="003374E8" w:rsidRPr="006E28E4" w:rsidRDefault="003374E8" w:rsidP="006E28E4">
      <w:pPr>
        <w:numPr>
          <w:ilvl w:val="0"/>
          <w:numId w:val="13"/>
        </w:numPr>
        <w:spacing w:before="240" w:after="240" w:line="360" w:lineRule="auto"/>
        <w:rPr>
          <w:rFonts w:ascii="Times New Roman" w:hAnsi="Times New Roman"/>
          <w:lang w:val="en-HK"/>
        </w:rPr>
      </w:pPr>
      <w:r w:rsidRPr="006E28E4">
        <w:rPr>
          <w:rFonts w:ascii="Times New Roman" w:hAnsi="Times New Roman"/>
          <w:b/>
          <w:bCs/>
          <w:lang w:val="en-HK"/>
        </w:rPr>
        <w:t>Judicial Activism</w:t>
      </w:r>
      <w:r w:rsidRPr="006E28E4">
        <w:rPr>
          <w:rFonts w:ascii="Times New Roman" w:hAnsi="Times New Roman"/>
          <w:lang w:val="en-HK"/>
        </w:rPr>
        <w:t>:</w:t>
      </w:r>
    </w:p>
    <w:p w14:paraId="366B3A54" w14:textId="77777777" w:rsidR="003374E8" w:rsidRPr="006E28E4" w:rsidRDefault="003374E8" w:rsidP="006E28E4">
      <w:pPr>
        <w:numPr>
          <w:ilvl w:val="1"/>
          <w:numId w:val="13"/>
        </w:numPr>
        <w:spacing w:before="240" w:after="240" w:line="360" w:lineRule="auto"/>
        <w:rPr>
          <w:rFonts w:ascii="Times New Roman" w:hAnsi="Times New Roman"/>
          <w:lang w:val="en-HK"/>
        </w:rPr>
      </w:pPr>
      <w:r w:rsidRPr="006E28E4">
        <w:rPr>
          <w:rFonts w:ascii="Times New Roman" w:hAnsi="Times New Roman"/>
          <w:lang w:val="en-HK"/>
        </w:rPr>
        <w:lastRenderedPageBreak/>
        <w:t>The CJEU has reinterpreted traditional areas of national competence, such as social solidarity and family law, through the lens of Union citizenship. For example:</w:t>
      </w:r>
    </w:p>
    <w:p w14:paraId="4AA9820E" w14:textId="77777777" w:rsidR="003374E8" w:rsidRPr="006E28E4" w:rsidRDefault="003374E8" w:rsidP="006E28E4">
      <w:pPr>
        <w:numPr>
          <w:ilvl w:val="2"/>
          <w:numId w:val="13"/>
        </w:numPr>
        <w:spacing w:before="240" w:after="240" w:line="360" w:lineRule="auto"/>
        <w:rPr>
          <w:rFonts w:ascii="Times New Roman" w:hAnsi="Times New Roman"/>
          <w:lang w:val="en-HK"/>
        </w:rPr>
      </w:pPr>
      <w:r w:rsidRPr="006E28E4">
        <w:rPr>
          <w:rFonts w:ascii="Times New Roman" w:hAnsi="Times New Roman"/>
          <w:b/>
          <w:bCs/>
          <w:lang w:val="en-HK"/>
        </w:rPr>
        <w:t xml:space="preserve">Garcia </w:t>
      </w:r>
      <w:proofErr w:type="spellStart"/>
      <w:r w:rsidRPr="006E28E4">
        <w:rPr>
          <w:rFonts w:ascii="Times New Roman" w:hAnsi="Times New Roman"/>
          <w:b/>
          <w:bCs/>
          <w:lang w:val="en-HK"/>
        </w:rPr>
        <w:t>Avello</w:t>
      </w:r>
      <w:proofErr w:type="spellEnd"/>
      <w:r w:rsidRPr="006E28E4">
        <w:rPr>
          <w:rFonts w:ascii="Times New Roman" w:hAnsi="Times New Roman"/>
          <w:lang w:val="en-HK"/>
        </w:rPr>
        <w:t>: Domestic naming laws were overridden to respect cross-border citizenship rights.</w:t>
      </w:r>
    </w:p>
    <w:p w14:paraId="63EF2F3F" w14:textId="77777777" w:rsidR="003374E8" w:rsidRPr="006E28E4" w:rsidRDefault="003374E8" w:rsidP="006E28E4">
      <w:pPr>
        <w:numPr>
          <w:ilvl w:val="2"/>
          <w:numId w:val="13"/>
        </w:numPr>
        <w:spacing w:before="240" w:after="240" w:line="360" w:lineRule="auto"/>
        <w:rPr>
          <w:rFonts w:ascii="Times New Roman" w:hAnsi="Times New Roman"/>
          <w:lang w:val="en-HK"/>
        </w:rPr>
      </w:pPr>
      <w:r w:rsidRPr="006E28E4">
        <w:rPr>
          <w:rFonts w:ascii="Times New Roman" w:hAnsi="Times New Roman"/>
          <w:b/>
          <w:bCs/>
          <w:lang w:val="en-HK"/>
        </w:rPr>
        <w:t>Tas-Hagen</w:t>
      </w:r>
      <w:r w:rsidRPr="006E28E4">
        <w:rPr>
          <w:rFonts w:ascii="Times New Roman" w:hAnsi="Times New Roman"/>
          <w:lang w:val="en-HK"/>
        </w:rPr>
        <w:t>: Pension rules were scrutinized under free movement principles.</w:t>
      </w:r>
    </w:p>
    <w:p w14:paraId="69F46DC2" w14:textId="77777777" w:rsidR="003374E8" w:rsidRPr="006E28E4" w:rsidRDefault="003374E8" w:rsidP="006E28E4">
      <w:pPr>
        <w:numPr>
          <w:ilvl w:val="0"/>
          <w:numId w:val="13"/>
        </w:numPr>
        <w:spacing w:before="240" w:after="240" w:line="360" w:lineRule="auto"/>
        <w:rPr>
          <w:rFonts w:ascii="Times New Roman" w:hAnsi="Times New Roman"/>
          <w:lang w:val="en-HK"/>
        </w:rPr>
      </w:pPr>
      <w:r w:rsidRPr="006E28E4">
        <w:rPr>
          <w:rFonts w:ascii="Times New Roman" w:hAnsi="Times New Roman"/>
          <w:b/>
          <w:bCs/>
          <w:lang w:val="en-HK"/>
        </w:rPr>
        <w:t>Broader Implications</w:t>
      </w:r>
      <w:r w:rsidRPr="006E28E4">
        <w:rPr>
          <w:rFonts w:ascii="Times New Roman" w:hAnsi="Times New Roman"/>
          <w:lang w:val="en-HK"/>
        </w:rPr>
        <w:t>:</w:t>
      </w:r>
    </w:p>
    <w:p w14:paraId="61239E91" w14:textId="77777777" w:rsidR="003374E8" w:rsidRPr="006E28E4" w:rsidRDefault="003374E8" w:rsidP="006E28E4">
      <w:pPr>
        <w:numPr>
          <w:ilvl w:val="1"/>
          <w:numId w:val="13"/>
        </w:numPr>
        <w:spacing w:before="240" w:after="240" w:line="360" w:lineRule="auto"/>
        <w:rPr>
          <w:rFonts w:ascii="Times New Roman" w:hAnsi="Times New Roman"/>
          <w:lang w:val="en-HK"/>
        </w:rPr>
      </w:pPr>
      <w:r w:rsidRPr="006E28E4">
        <w:rPr>
          <w:rFonts w:ascii="Times New Roman" w:hAnsi="Times New Roman"/>
          <w:lang w:val="en-HK"/>
        </w:rPr>
        <w:t xml:space="preserve">The jurisprudence reflects a </w:t>
      </w:r>
      <w:proofErr w:type="spellStart"/>
      <w:r w:rsidRPr="006E28E4">
        <w:rPr>
          <w:rFonts w:ascii="Times New Roman" w:hAnsi="Times New Roman"/>
          <w:lang w:val="en-HK"/>
        </w:rPr>
        <w:t>constitutionalization</w:t>
      </w:r>
      <w:proofErr w:type="spellEnd"/>
      <w:r w:rsidRPr="006E28E4">
        <w:rPr>
          <w:rFonts w:ascii="Times New Roman" w:hAnsi="Times New Roman"/>
          <w:lang w:val="en-HK"/>
        </w:rPr>
        <w:t xml:space="preserve"> of EU citizenship, where the Treaty provisions on citizenship serve as a tool to enhance integration and enforce fundamental rights.</w:t>
      </w:r>
    </w:p>
    <w:p w14:paraId="2E86FA84" w14:textId="77777777" w:rsidR="003374E8" w:rsidRPr="006E28E4" w:rsidRDefault="003374E8" w:rsidP="006E28E4">
      <w:pPr>
        <w:numPr>
          <w:ilvl w:val="1"/>
          <w:numId w:val="13"/>
        </w:numPr>
        <w:spacing w:before="240" w:after="240" w:line="360" w:lineRule="auto"/>
        <w:rPr>
          <w:rFonts w:ascii="Times New Roman" w:hAnsi="Times New Roman"/>
          <w:lang w:val="en-HK"/>
        </w:rPr>
      </w:pPr>
      <w:r w:rsidRPr="006E28E4">
        <w:rPr>
          <w:rFonts w:ascii="Times New Roman" w:hAnsi="Times New Roman"/>
          <w:lang w:val="en-HK"/>
        </w:rPr>
        <w:t>Union citizenship is increasingly seen as a "fundamental status," emphasizing equality and dignity for all EU nationals, regardless of economic or migratory status.</w:t>
      </w:r>
    </w:p>
    <w:p w14:paraId="0B456BA1" w14:textId="77777777" w:rsidR="003374E8" w:rsidRPr="006E28E4" w:rsidRDefault="003374E8" w:rsidP="006E28E4">
      <w:pPr>
        <w:numPr>
          <w:ilvl w:val="0"/>
          <w:numId w:val="13"/>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w:t>
      </w:r>
    </w:p>
    <w:p w14:paraId="013EB285" w14:textId="77777777" w:rsidR="003374E8" w:rsidRPr="006E28E4" w:rsidRDefault="003374E8" w:rsidP="006E28E4">
      <w:p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views these developments as transformative but warns of challenges in reconciling the constitutional ambitions of Union citizenship with the realities of national sovereignty and resource limitations.</w:t>
      </w:r>
    </w:p>
    <w:p w14:paraId="68437497" w14:textId="5418037C" w:rsidR="003374E8" w:rsidRPr="006E28E4" w:rsidRDefault="000930AF" w:rsidP="006E28E4">
      <w:pPr>
        <w:spacing w:before="240" w:after="240" w:line="360" w:lineRule="auto"/>
        <w:outlineLvl w:val="2"/>
        <w:rPr>
          <w:rFonts w:ascii="Times New Roman" w:hAnsi="Times New Roman"/>
          <w:b/>
          <w:bCs/>
          <w:lang w:val="en-HK"/>
        </w:rPr>
      </w:pPr>
      <w:r w:rsidRPr="000930AF">
        <w:rPr>
          <w:rFonts w:ascii="Times New Roman" w:hAnsi="Times New Roman"/>
          <w:noProof/>
          <w:lang w:val="en-HK"/>
          <w14:ligatures w14:val="standardContextual"/>
        </w:rPr>
        <w:pict w14:anchorId="384A8729">
          <v:rect id="_x0000_i1032" alt="" style="width:451.3pt;height:.05pt;mso-width-percent:0;mso-height-percent:0;mso-width-percent:0;mso-height-percent:0" o:hralign="center" o:hrstd="t" o:hr="t" fillcolor="#a0a0a0" stroked="f"/>
        </w:pict>
      </w:r>
    </w:p>
    <w:p w14:paraId="4AF589CC" w14:textId="46FCB89F"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Detailed Case Summaries</w:t>
      </w:r>
    </w:p>
    <w:p w14:paraId="48B4463A"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 xml:space="preserve">1. </w:t>
      </w:r>
      <w:proofErr w:type="spellStart"/>
      <w:r w:rsidRPr="006E28E4">
        <w:rPr>
          <w:rFonts w:ascii="Times New Roman" w:hAnsi="Times New Roman"/>
          <w:b/>
          <w:bCs/>
          <w:lang w:val="en-HK"/>
        </w:rPr>
        <w:t>Baumbast</w:t>
      </w:r>
      <w:proofErr w:type="spellEnd"/>
      <w:r w:rsidRPr="006E28E4">
        <w:rPr>
          <w:rFonts w:ascii="Times New Roman" w:hAnsi="Times New Roman"/>
          <w:b/>
          <w:bCs/>
          <w:lang w:val="en-HK"/>
        </w:rPr>
        <w:t xml:space="preserve"> and R v. Secretary of State for the Home Department (Case C-413/99)</w:t>
      </w:r>
    </w:p>
    <w:p w14:paraId="46F70738" w14:textId="77777777" w:rsidR="003374E8" w:rsidRPr="006E28E4" w:rsidRDefault="003374E8" w:rsidP="006E28E4">
      <w:pPr>
        <w:numPr>
          <w:ilvl w:val="0"/>
          <w:numId w:val="1"/>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xml:space="preserve">: Mr. </w:t>
      </w:r>
      <w:proofErr w:type="spellStart"/>
      <w:r w:rsidRPr="006E28E4">
        <w:rPr>
          <w:rFonts w:ascii="Times New Roman" w:hAnsi="Times New Roman"/>
          <w:lang w:val="en-HK"/>
        </w:rPr>
        <w:t>Baumbast</w:t>
      </w:r>
      <w:proofErr w:type="spellEnd"/>
      <w:r w:rsidRPr="006E28E4">
        <w:rPr>
          <w:rFonts w:ascii="Times New Roman" w:hAnsi="Times New Roman"/>
          <w:lang w:val="en-HK"/>
        </w:rPr>
        <w:t xml:space="preserve">, a Union citizen, had resided in the UK with his family for years. He did not </w:t>
      </w:r>
      <w:proofErr w:type="spellStart"/>
      <w:r w:rsidRPr="006E28E4">
        <w:rPr>
          <w:rFonts w:ascii="Times New Roman" w:hAnsi="Times New Roman"/>
          <w:lang w:val="en-HK"/>
        </w:rPr>
        <w:t>fulfill</w:t>
      </w:r>
      <w:proofErr w:type="spellEnd"/>
      <w:r w:rsidRPr="006E28E4">
        <w:rPr>
          <w:rFonts w:ascii="Times New Roman" w:hAnsi="Times New Roman"/>
          <w:lang w:val="en-HK"/>
        </w:rPr>
        <w:t xml:space="preserve"> the requirement of comprehensive medical insurance under Directive 90/364, as his coverage did not include emergency treatment.</w:t>
      </w:r>
    </w:p>
    <w:p w14:paraId="0DDCDB9E" w14:textId="77777777" w:rsidR="003374E8" w:rsidRPr="006E28E4" w:rsidRDefault="003374E8" w:rsidP="006E28E4">
      <w:pPr>
        <w:numPr>
          <w:ilvl w:val="0"/>
          <w:numId w:val="1"/>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xml:space="preserve">: The Court ruled that Article 18 EC conferred directly effective rights to Union citizens. Denying Mr. </w:t>
      </w:r>
      <w:proofErr w:type="spellStart"/>
      <w:r w:rsidRPr="006E28E4">
        <w:rPr>
          <w:rFonts w:ascii="Times New Roman" w:hAnsi="Times New Roman"/>
          <w:lang w:val="en-HK"/>
        </w:rPr>
        <w:t>Baumbast’s</w:t>
      </w:r>
      <w:proofErr w:type="spellEnd"/>
      <w:r w:rsidRPr="006E28E4">
        <w:rPr>
          <w:rFonts w:ascii="Times New Roman" w:hAnsi="Times New Roman"/>
          <w:lang w:val="en-HK"/>
        </w:rPr>
        <w:t xml:space="preserve"> residence right was disproportionate, given his family’s long residence, self-sufficiency, and insurance coverage in another Member State.</w:t>
      </w:r>
    </w:p>
    <w:p w14:paraId="6CE201EE" w14:textId="77777777" w:rsidR="003374E8" w:rsidRPr="006E28E4" w:rsidRDefault="003374E8" w:rsidP="006E28E4">
      <w:pPr>
        <w:numPr>
          <w:ilvl w:val="0"/>
          <w:numId w:val="1"/>
        </w:numPr>
        <w:spacing w:before="240" w:after="240" w:line="360" w:lineRule="auto"/>
        <w:rPr>
          <w:rFonts w:ascii="Times New Roman" w:hAnsi="Times New Roman"/>
          <w:lang w:val="en-HK"/>
        </w:rPr>
      </w:pPr>
      <w:r w:rsidRPr="006E28E4">
        <w:rPr>
          <w:rFonts w:ascii="Times New Roman" w:hAnsi="Times New Roman"/>
          <w:b/>
          <w:bCs/>
          <w:lang w:val="en-HK"/>
        </w:rPr>
        <w:lastRenderedPageBreak/>
        <w:t>Implications</w:t>
      </w:r>
      <w:r w:rsidRPr="006E28E4">
        <w:rPr>
          <w:rFonts w:ascii="Times New Roman" w:hAnsi="Times New Roman"/>
          <w:lang w:val="en-HK"/>
        </w:rPr>
        <w:t>: This case established that proportionality must be considered when applying restrictions under Article 18 EC. The judgment demonstrated the transformative power of Union citizenship in extending residence rights.</w:t>
      </w:r>
    </w:p>
    <w:p w14:paraId="3570F6E1" w14:textId="77777777" w:rsidR="003374E8" w:rsidRPr="006E28E4" w:rsidRDefault="003374E8" w:rsidP="006E28E4">
      <w:pPr>
        <w:numPr>
          <w:ilvl w:val="0"/>
          <w:numId w:val="1"/>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notes this case as pivotal in confirming Union citizenship’s constitutional impact, particularly in ensuring rights even when secondary legislation conditions are unmet.</w:t>
      </w:r>
    </w:p>
    <w:p w14:paraId="49BBF379"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43EE524C">
          <v:rect id="_x0000_i1031" alt="" style="width:451.3pt;height:.05pt;mso-width-percent:0;mso-height-percent:0;mso-width-percent:0;mso-height-percent:0" o:hralign="center" o:hrstd="t" o:hr="t" fillcolor="#a0a0a0" stroked="f"/>
        </w:pict>
      </w:r>
    </w:p>
    <w:p w14:paraId="4A784BB6"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 xml:space="preserve">2. Martínez Sala v. </w:t>
      </w:r>
      <w:proofErr w:type="spellStart"/>
      <w:r w:rsidRPr="006E28E4">
        <w:rPr>
          <w:rFonts w:ascii="Times New Roman" w:hAnsi="Times New Roman"/>
          <w:b/>
          <w:bCs/>
          <w:lang w:val="en-HK"/>
        </w:rPr>
        <w:t>Freistaat</w:t>
      </w:r>
      <w:proofErr w:type="spellEnd"/>
      <w:r w:rsidRPr="006E28E4">
        <w:rPr>
          <w:rFonts w:ascii="Times New Roman" w:hAnsi="Times New Roman"/>
          <w:b/>
          <w:bCs/>
          <w:lang w:val="en-HK"/>
        </w:rPr>
        <w:t xml:space="preserve"> Bayern (Case C-85/96)</w:t>
      </w:r>
    </w:p>
    <w:p w14:paraId="03FD6E65" w14:textId="77777777" w:rsidR="003374E8" w:rsidRPr="006E28E4" w:rsidRDefault="003374E8" w:rsidP="006E28E4">
      <w:pPr>
        <w:numPr>
          <w:ilvl w:val="0"/>
          <w:numId w:val="2"/>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A Spanish national, Ms. Martínez Sala, lawfully residing in Germany, was denied a non-contributory child-raising allowance on grounds of nationality.</w:t>
      </w:r>
    </w:p>
    <w:p w14:paraId="2C80D409" w14:textId="77777777" w:rsidR="003374E8" w:rsidRPr="006E28E4" w:rsidRDefault="003374E8" w:rsidP="006E28E4">
      <w:pPr>
        <w:numPr>
          <w:ilvl w:val="0"/>
          <w:numId w:val="2"/>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The Court ruled that, as a Union citizen (Article 17 EC), Ms. Martínez Sala was entitled to equal treatment under Article 12 EC, irrespective of her migration status or economic activity.</w:t>
      </w:r>
    </w:p>
    <w:p w14:paraId="655331B6" w14:textId="77777777" w:rsidR="003374E8" w:rsidRPr="006E28E4" w:rsidRDefault="003374E8" w:rsidP="006E28E4">
      <w:pPr>
        <w:numPr>
          <w:ilvl w:val="0"/>
          <w:numId w:val="2"/>
        </w:numPr>
        <w:spacing w:before="240" w:after="240" w:line="360" w:lineRule="auto"/>
        <w:rPr>
          <w:rFonts w:ascii="Times New Roman" w:hAnsi="Times New Roman"/>
          <w:lang w:val="en-HK"/>
        </w:rPr>
      </w:pPr>
      <w:r w:rsidRPr="006E28E4">
        <w:rPr>
          <w:rFonts w:ascii="Times New Roman" w:hAnsi="Times New Roman"/>
          <w:b/>
          <w:bCs/>
          <w:lang w:val="en-HK"/>
        </w:rPr>
        <w:t>Implications</w:t>
      </w:r>
      <w:r w:rsidRPr="006E28E4">
        <w:rPr>
          <w:rFonts w:ascii="Times New Roman" w:hAnsi="Times New Roman"/>
          <w:lang w:val="en-HK"/>
        </w:rPr>
        <w:t>: This case shifted focus from economic activity to citizenship as the basis for equal treatment, laying the groundwork for extending EU law's reach beyond cross-border elements.</w:t>
      </w:r>
    </w:p>
    <w:p w14:paraId="43A70828" w14:textId="77777777" w:rsidR="003374E8" w:rsidRPr="006E28E4" w:rsidRDefault="003374E8" w:rsidP="006E28E4">
      <w:pPr>
        <w:numPr>
          <w:ilvl w:val="0"/>
          <w:numId w:val="2"/>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highlights this as a case where the Court implicitly recognized Article 17 EC's direct legal effects, separating personal scope (nationality) from material scope (economic activity or movement).</w:t>
      </w:r>
    </w:p>
    <w:p w14:paraId="79F0B5BA"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28D812C4">
          <v:rect id="_x0000_i1030" alt="" style="width:451.3pt;height:.05pt;mso-width-percent:0;mso-height-percent:0;mso-width-percent:0;mso-height-percent:0" o:hralign="center" o:hrstd="t" o:hr="t" fillcolor="#a0a0a0" stroked="f"/>
        </w:pict>
      </w:r>
    </w:p>
    <w:p w14:paraId="2278A08D"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 xml:space="preserve">3. </w:t>
      </w:r>
      <w:proofErr w:type="spellStart"/>
      <w:r w:rsidRPr="006E28E4">
        <w:rPr>
          <w:rFonts w:ascii="Times New Roman" w:hAnsi="Times New Roman"/>
          <w:b/>
          <w:bCs/>
          <w:lang w:val="en-HK"/>
        </w:rPr>
        <w:t>D’Hoop</w:t>
      </w:r>
      <w:proofErr w:type="spellEnd"/>
      <w:r w:rsidRPr="006E28E4">
        <w:rPr>
          <w:rFonts w:ascii="Times New Roman" w:hAnsi="Times New Roman"/>
          <w:b/>
          <w:bCs/>
          <w:lang w:val="en-HK"/>
        </w:rPr>
        <w:t xml:space="preserve"> v. Office National de </w:t>
      </w:r>
      <w:proofErr w:type="spellStart"/>
      <w:r w:rsidRPr="006E28E4">
        <w:rPr>
          <w:rFonts w:ascii="Times New Roman" w:hAnsi="Times New Roman"/>
          <w:b/>
          <w:bCs/>
          <w:lang w:val="en-HK"/>
        </w:rPr>
        <w:t>l’Emploi</w:t>
      </w:r>
      <w:proofErr w:type="spellEnd"/>
      <w:r w:rsidRPr="006E28E4">
        <w:rPr>
          <w:rFonts w:ascii="Times New Roman" w:hAnsi="Times New Roman"/>
          <w:b/>
          <w:bCs/>
          <w:lang w:val="en-HK"/>
        </w:rPr>
        <w:t xml:space="preserve"> (Case C-224/98)</w:t>
      </w:r>
    </w:p>
    <w:p w14:paraId="08B3FDFE" w14:textId="77777777" w:rsidR="003374E8" w:rsidRPr="006E28E4" w:rsidRDefault="003374E8" w:rsidP="006E28E4">
      <w:pPr>
        <w:numPr>
          <w:ilvl w:val="0"/>
          <w:numId w:val="3"/>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xml:space="preserve">: Ms. </w:t>
      </w:r>
      <w:proofErr w:type="spellStart"/>
      <w:r w:rsidRPr="006E28E4">
        <w:rPr>
          <w:rFonts w:ascii="Times New Roman" w:hAnsi="Times New Roman"/>
          <w:lang w:val="en-HK"/>
        </w:rPr>
        <w:t>D’Hoop</w:t>
      </w:r>
      <w:proofErr w:type="spellEnd"/>
      <w:r w:rsidRPr="006E28E4">
        <w:rPr>
          <w:rFonts w:ascii="Times New Roman" w:hAnsi="Times New Roman"/>
          <w:lang w:val="en-HK"/>
        </w:rPr>
        <w:t>, a Belgian national, was denied unemployment benefits because her studies were completed in France, not Belgium.</w:t>
      </w:r>
    </w:p>
    <w:p w14:paraId="7C23B8A9" w14:textId="77777777" w:rsidR="003374E8" w:rsidRPr="006E28E4" w:rsidRDefault="003374E8" w:rsidP="006E28E4">
      <w:pPr>
        <w:numPr>
          <w:ilvl w:val="0"/>
          <w:numId w:val="3"/>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xml:space="preserve">: The Court held that denying benefits based on movement violated the principle of </w:t>
      </w:r>
      <w:r w:rsidRPr="006E28E4">
        <w:rPr>
          <w:rFonts w:ascii="Times New Roman" w:hAnsi="Times New Roman"/>
          <w:b/>
          <w:bCs/>
          <w:lang w:val="en-HK"/>
        </w:rPr>
        <w:t>non-discrimination under Articles 12 and 18 EC</w:t>
      </w:r>
      <w:r w:rsidRPr="006E28E4">
        <w:rPr>
          <w:rFonts w:ascii="Times New Roman" w:hAnsi="Times New Roman"/>
          <w:lang w:val="en-HK"/>
        </w:rPr>
        <w:t>.</w:t>
      </w:r>
    </w:p>
    <w:p w14:paraId="01701EDD" w14:textId="77777777" w:rsidR="003374E8" w:rsidRPr="006E28E4" w:rsidRDefault="003374E8" w:rsidP="006E28E4">
      <w:pPr>
        <w:numPr>
          <w:ilvl w:val="0"/>
          <w:numId w:val="3"/>
        </w:numPr>
        <w:spacing w:before="240" w:after="240" w:line="360" w:lineRule="auto"/>
        <w:rPr>
          <w:rFonts w:ascii="Times New Roman" w:hAnsi="Times New Roman"/>
          <w:lang w:val="en-HK"/>
        </w:rPr>
      </w:pPr>
      <w:r w:rsidRPr="006E28E4">
        <w:rPr>
          <w:rFonts w:ascii="Times New Roman" w:hAnsi="Times New Roman"/>
          <w:b/>
          <w:bCs/>
          <w:lang w:val="en-HK"/>
        </w:rPr>
        <w:lastRenderedPageBreak/>
        <w:t>Implications</w:t>
      </w:r>
      <w:r w:rsidRPr="006E28E4">
        <w:rPr>
          <w:rFonts w:ascii="Times New Roman" w:hAnsi="Times New Roman"/>
          <w:lang w:val="en-HK"/>
        </w:rPr>
        <w:t>: The judgment affirmed that national rules disadvantaging citizens for exercising mobility rights contravene EU principles. It also illustrated how Article 18 EC extends beyond economic concerns to protect fundamental citizenship rights.</w:t>
      </w:r>
    </w:p>
    <w:p w14:paraId="455CB450" w14:textId="77777777" w:rsidR="003374E8" w:rsidRPr="006E28E4" w:rsidRDefault="003374E8" w:rsidP="006E28E4">
      <w:pPr>
        <w:numPr>
          <w:ilvl w:val="0"/>
          <w:numId w:val="3"/>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interprets this case as a challenge to the "migrant paradigm," emphasizing that citizenship rights transcend the need for migration.</w:t>
      </w:r>
    </w:p>
    <w:p w14:paraId="107E4B77"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0454A4ED">
          <v:rect id="_x0000_i1029" alt="" style="width:451.3pt;height:.05pt;mso-width-percent:0;mso-height-percent:0;mso-width-percent:0;mso-height-percent:0" o:hralign="center" o:hrstd="t" o:hr="t" fillcolor="#a0a0a0" stroked="f"/>
        </w:pict>
      </w:r>
    </w:p>
    <w:p w14:paraId="5821D079"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4. Tas-Hagen and Tas (Case C-192/05)</w:t>
      </w:r>
    </w:p>
    <w:p w14:paraId="24478D4C" w14:textId="77777777" w:rsidR="003374E8" w:rsidRPr="006E28E4" w:rsidRDefault="003374E8" w:rsidP="006E28E4">
      <w:pPr>
        <w:numPr>
          <w:ilvl w:val="0"/>
          <w:numId w:val="4"/>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Dutch nationals Ms. Tas-Hagen and Mr. Tas were denied civilian war pensions because they lived outside the Netherlands.</w:t>
      </w:r>
    </w:p>
    <w:p w14:paraId="68046031" w14:textId="77777777" w:rsidR="003374E8" w:rsidRPr="006E28E4" w:rsidRDefault="003374E8" w:rsidP="006E28E4">
      <w:pPr>
        <w:numPr>
          <w:ilvl w:val="0"/>
          <w:numId w:val="4"/>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The Court ruled that the residence condition breached Article 18(1) EC since it hindered their right to move and reside freely.</w:t>
      </w:r>
    </w:p>
    <w:p w14:paraId="0AEB31DD" w14:textId="77777777" w:rsidR="003374E8" w:rsidRPr="006E28E4" w:rsidRDefault="003374E8" w:rsidP="006E28E4">
      <w:pPr>
        <w:numPr>
          <w:ilvl w:val="0"/>
          <w:numId w:val="4"/>
        </w:numPr>
        <w:spacing w:before="240" w:after="240" w:line="360" w:lineRule="auto"/>
        <w:rPr>
          <w:rFonts w:ascii="Times New Roman" w:hAnsi="Times New Roman"/>
          <w:lang w:val="en-HK"/>
        </w:rPr>
      </w:pPr>
      <w:r w:rsidRPr="006E28E4">
        <w:rPr>
          <w:rFonts w:ascii="Times New Roman" w:hAnsi="Times New Roman"/>
          <w:b/>
          <w:bCs/>
          <w:lang w:val="en-HK"/>
        </w:rPr>
        <w:t>Implications</w:t>
      </w:r>
      <w:r w:rsidRPr="006E28E4">
        <w:rPr>
          <w:rFonts w:ascii="Times New Roman" w:hAnsi="Times New Roman"/>
          <w:lang w:val="en-HK"/>
        </w:rPr>
        <w:t>: The case broadened the scope of EU law to include benefits traditionally deemed outside its purview (e.g., war pensions), provided they restricted free movement.</w:t>
      </w:r>
    </w:p>
    <w:p w14:paraId="7BE49AA3" w14:textId="77777777" w:rsidR="003374E8" w:rsidRPr="006E28E4" w:rsidRDefault="003374E8" w:rsidP="006E28E4">
      <w:pPr>
        <w:numPr>
          <w:ilvl w:val="0"/>
          <w:numId w:val="4"/>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stresses the significance of this ruling in integrating residence requirements into EU law’s proportionality analysis.</w:t>
      </w:r>
    </w:p>
    <w:p w14:paraId="0C0D57A1"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3E47C2A8">
          <v:rect id="_x0000_i1028" alt="" style="width:451.3pt;height:.05pt;mso-width-percent:0;mso-height-percent:0;mso-width-percent:0;mso-height-percent:0" o:hralign="center" o:hrstd="t" o:hr="t" fillcolor="#a0a0a0" stroked="f"/>
        </w:pict>
      </w:r>
    </w:p>
    <w:p w14:paraId="76E76B11"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5. Schempp (Case C-403/03)</w:t>
      </w:r>
    </w:p>
    <w:p w14:paraId="27035221" w14:textId="77777777" w:rsidR="003374E8" w:rsidRPr="006E28E4" w:rsidRDefault="003374E8" w:rsidP="006E28E4">
      <w:pPr>
        <w:numPr>
          <w:ilvl w:val="0"/>
          <w:numId w:val="5"/>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xml:space="preserve">: Mr. Schempp, a German resident, faced </w:t>
      </w:r>
      <w:proofErr w:type="spellStart"/>
      <w:r w:rsidRPr="006E28E4">
        <w:rPr>
          <w:rFonts w:ascii="Times New Roman" w:hAnsi="Times New Roman"/>
          <w:lang w:val="en-HK"/>
        </w:rPr>
        <w:t>unfavorable</w:t>
      </w:r>
      <w:proofErr w:type="spellEnd"/>
      <w:r w:rsidRPr="006E28E4">
        <w:rPr>
          <w:rFonts w:ascii="Times New Roman" w:hAnsi="Times New Roman"/>
          <w:lang w:val="en-HK"/>
        </w:rPr>
        <w:t xml:space="preserve"> tax treatment because his ex-wife moved to Austria. Germany argued the case was purely internal.</w:t>
      </w:r>
    </w:p>
    <w:p w14:paraId="4572857E" w14:textId="77777777" w:rsidR="003374E8" w:rsidRPr="006E28E4" w:rsidRDefault="003374E8" w:rsidP="006E28E4">
      <w:pPr>
        <w:numPr>
          <w:ilvl w:val="0"/>
          <w:numId w:val="5"/>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The Court found that the movement of Mr. Schempp’s ex-wife brought the case within the scope of EU law, allowing reliance on Article 12 EC.</w:t>
      </w:r>
    </w:p>
    <w:p w14:paraId="557813E1" w14:textId="77777777" w:rsidR="003374E8" w:rsidRPr="006E28E4" w:rsidRDefault="003374E8" w:rsidP="006E28E4">
      <w:pPr>
        <w:numPr>
          <w:ilvl w:val="0"/>
          <w:numId w:val="5"/>
        </w:numPr>
        <w:spacing w:before="240" w:after="240" w:line="360" w:lineRule="auto"/>
        <w:rPr>
          <w:rFonts w:ascii="Times New Roman" w:hAnsi="Times New Roman"/>
          <w:lang w:val="en-HK"/>
        </w:rPr>
      </w:pPr>
      <w:r w:rsidRPr="006E28E4">
        <w:rPr>
          <w:rFonts w:ascii="Times New Roman" w:hAnsi="Times New Roman"/>
          <w:b/>
          <w:bCs/>
          <w:lang w:val="en-HK"/>
        </w:rPr>
        <w:t>Implications</w:t>
      </w:r>
      <w:r w:rsidRPr="006E28E4">
        <w:rPr>
          <w:rFonts w:ascii="Times New Roman" w:hAnsi="Times New Roman"/>
          <w:lang w:val="en-HK"/>
        </w:rPr>
        <w:t>: This decision expanded the concept of cross-border links, showing that movement by one party could trigger EU law applicability for another.</w:t>
      </w:r>
    </w:p>
    <w:p w14:paraId="7A9F8829" w14:textId="77777777" w:rsidR="003374E8" w:rsidRPr="006E28E4" w:rsidRDefault="003374E8" w:rsidP="006E28E4">
      <w:pPr>
        <w:numPr>
          <w:ilvl w:val="0"/>
          <w:numId w:val="5"/>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critiques the Court's reasoning, calling it "artificial," as it hinges on the ex-wife’s nationality and movement rather than Mr. Schempp’s.</w:t>
      </w:r>
    </w:p>
    <w:p w14:paraId="55377C89"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lastRenderedPageBreak/>
        <w:pict w14:anchorId="62038776">
          <v:rect id="_x0000_i1027" alt="" style="width:451.3pt;height:.05pt;mso-width-percent:0;mso-height-percent:0;mso-width-percent:0;mso-height-percent:0" o:hralign="center" o:hrstd="t" o:hr="t" fillcolor="#a0a0a0" stroked="f"/>
        </w:pict>
      </w:r>
    </w:p>
    <w:p w14:paraId="4CB18656"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6. Bidar (Case C-209/03)</w:t>
      </w:r>
    </w:p>
    <w:p w14:paraId="517B60AA" w14:textId="77777777" w:rsidR="003374E8" w:rsidRPr="006E28E4" w:rsidRDefault="003374E8" w:rsidP="006E28E4">
      <w:pPr>
        <w:numPr>
          <w:ilvl w:val="0"/>
          <w:numId w:val="6"/>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Mr. Bidar, a French student in the UK, was denied access to student loans due to insufficient integration in the UK.</w:t>
      </w:r>
    </w:p>
    <w:p w14:paraId="05384848" w14:textId="77777777" w:rsidR="003374E8" w:rsidRPr="006E28E4" w:rsidRDefault="003374E8" w:rsidP="006E28E4">
      <w:pPr>
        <w:numPr>
          <w:ilvl w:val="0"/>
          <w:numId w:val="6"/>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The Court held that while Member States could require integration for student loan eligibility, rigid residence criteria violated Articles 12 and 18 EC.</w:t>
      </w:r>
    </w:p>
    <w:p w14:paraId="5B39A28F" w14:textId="77777777" w:rsidR="003374E8" w:rsidRPr="006E28E4" w:rsidRDefault="003374E8" w:rsidP="006E28E4">
      <w:pPr>
        <w:numPr>
          <w:ilvl w:val="0"/>
          <w:numId w:val="6"/>
        </w:numPr>
        <w:spacing w:before="240" w:after="240" w:line="360" w:lineRule="auto"/>
        <w:rPr>
          <w:rFonts w:ascii="Times New Roman" w:hAnsi="Times New Roman"/>
          <w:lang w:val="en-HK"/>
        </w:rPr>
      </w:pPr>
      <w:r w:rsidRPr="006E28E4">
        <w:rPr>
          <w:rFonts w:ascii="Times New Roman" w:hAnsi="Times New Roman"/>
          <w:b/>
          <w:bCs/>
          <w:lang w:val="en-HK"/>
        </w:rPr>
        <w:t>Implications</w:t>
      </w:r>
      <w:r w:rsidRPr="006E28E4">
        <w:rPr>
          <w:rFonts w:ascii="Times New Roman" w:hAnsi="Times New Roman"/>
          <w:lang w:val="en-HK"/>
        </w:rPr>
        <w:t>: The ruling clarified that proportionality applies to residency conditions for accessing social benefits, further reinforcing citizenship as the basis for equal treatment.</w:t>
      </w:r>
    </w:p>
    <w:p w14:paraId="4D1E2ED3" w14:textId="77777777" w:rsidR="003374E8" w:rsidRPr="006E28E4" w:rsidRDefault="003374E8" w:rsidP="006E28E4">
      <w:pPr>
        <w:numPr>
          <w:ilvl w:val="0"/>
          <w:numId w:val="6"/>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views this case as evidence of the Court’s move towards a "quantitative approach" in determining integration levels, focusing on residence duration.</w:t>
      </w:r>
    </w:p>
    <w:p w14:paraId="19F73D8E"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3C70B14E">
          <v:rect id="_x0000_i1026" alt="" style="width:451.3pt;height:.05pt;mso-width-percent:0;mso-height-percent:0;mso-width-percent:0;mso-height-percent:0" o:hralign="center" o:hrstd="t" o:hr="t" fillcolor="#a0a0a0" stroked="f"/>
        </w:pict>
      </w:r>
    </w:p>
    <w:p w14:paraId="3D012F74" w14:textId="77777777" w:rsidR="003374E8" w:rsidRPr="006E28E4" w:rsidRDefault="003374E8" w:rsidP="006E28E4">
      <w:pPr>
        <w:spacing w:before="240" w:after="240" w:line="360" w:lineRule="auto"/>
        <w:outlineLvl w:val="3"/>
        <w:rPr>
          <w:rFonts w:ascii="Times New Roman" w:hAnsi="Times New Roman"/>
          <w:b/>
          <w:bCs/>
          <w:lang w:val="en-HK"/>
        </w:rPr>
      </w:pPr>
      <w:r w:rsidRPr="006E28E4">
        <w:rPr>
          <w:rFonts w:ascii="Times New Roman" w:hAnsi="Times New Roman"/>
          <w:b/>
          <w:bCs/>
          <w:lang w:val="en-HK"/>
        </w:rPr>
        <w:t xml:space="preserve">7. García </w:t>
      </w:r>
      <w:proofErr w:type="spellStart"/>
      <w:r w:rsidRPr="006E28E4">
        <w:rPr>
          <w:rFonts w:ascii="Times New Roman" w:hAnsi="Times New Roman"/>
          <w:b/>
          <w:bCs/>
          <w:lang w:val="en-HK"/>
        </w:rPr>
        <w:t>Avello</w:t>
      </w:r>
      <w:proofErr w:type="spellEnd"/>
      <w:r w:rsidRPr="006E28E4">
        <w:rPr>
          <w:rFonts w:ascii="Times New Roman" w:hAnsi="Times New Roman"/>
          <w:b/>
          <w:bCs/>
          <w:lang w:val="en-HK"/>
        </w:rPr>
        <w:t xml:space="preserve"> (Case C-148/02)</w:t>
      </w:r>
    </w:p>
    <w:p w14:paraId="718637D3" w14:textId="77777777" w:rsidR="003374E8" w:rsidRPr="006E28E4" w:rsidRDefault="003374E8" w:rsidP="006E28E4">
      <w:pPr>
        <w:numPr>
          <w:ilvl w:val="0"/>
          <w:numId w:val="7"/>
        </w:numPr>
        <w:spacing w:before="240" w:after="240" w:line="360" w:lineRule="auto"/>
        <w:rPr>
          <w:rFonts w:ascii="Times New Roman" w:hAnsi="Times New Roman"/>
          <w:lang w:val="en-HK"/>
        </w:rPr>
      </w:pPr>
      <w:r w:rsidRPr="006E28E4">
        <w:rPr>
          <w:rFonts w:ascii="Times New Roman" w:hAnsi="Times New Roman"/>
          <w:b/>
          <w:bCs/>
          <w:lang w:val="en-HK"/>
        </w:rPr>
        <w:t>Facts</w:t>
      </w:r>
      <w:r w:rsidRPr="006E28E4">
        <w:rPr>
          <w:rFonts w:ascii="Times New Roman" w:hAnsi="Times New Roman"/>
          <w:lang w:val="en-HK"/>
        </w:rPr>
        <w:t>: Dual Spanish-Belgian children sought to adopt Spanish naming conventions, contrary to Belgian law.</w:t>
      </w:r>
    </w:p>
    <w:p w14:paraId="45188CD1" w14:textId="77777777" w:rsidR="003374E8" w:rsidRPr="006E28E4" w:rsidRDefault="003374E8" w:rsidP="006E28E4">
      <w:pPr>
        <w:numPr>
          <w:ilvl w:val="0"/>
          <w:numId w:val="7"/>
        </w:numPr>
        <w:spacing w:before="240" w:after="240" w:line="360" w:lineRule="auto"/>
        <w:rPr>
          <w:rFonts w:ascii="Times New Roman" w:hAnsi="Times New Roman"/>
          <w:lang w:val="en-HK"/>
        </w:rPr>
      </w:pPr>
      <w:r w:rsidRPr="006E28E4">
        <w:rPr>
          <w:rFonts w:ascii="Times New Roman" w:hAnsi="Times New Roman"/>
          <w:b/>
          <w:bCs/>
          <w:lang w:val="en-HK"/>
        </w:rPr>
        <w:t>Held</w:t>
      </w:r>
      <w:r w:rsidRPr="006E28E4">
        <w:rPr>
          <w:rFonts w:ascii="Times New Roman" w:hAnsi="Times New Roman"/>
          <w:lang w:val="en-HK"/>
        </w:rPr>
        <w:t>: The Court found that denying the requested surname violated Article 12 EC, as it disproportionately impacted cross-border citizens' rights.</w:t>
      </w:r>
    </w:p>
    <w:p w14:paraId="59DF0ECF" w14:textId="77777777" w:rsidR="003374E8" w:rsidRPr="006E28E4" w:rsidRDefault="003374E8" w:rsidP="006E28E4">
      <w:pPr>
        <w:numPr>
          <w:ilvl w:val="0"/>
          <w:numId w:val="7"/>
        </w:numPr>
        <w:spacing w:before="240" w:after="240" w:line="360" w:lineRule="auto"/>
        <w:rPr>
          <w:rFonts w:ascii="Times New Roman" w:hAnsi="Times New Roman"/>
          <w:lang w:val="en-HK"/>
        </w:rPr>
      </w:pPr>
      <w:r w:rsidRPr="006E28E4">
        <w:rPr>
          <w:rFonts w:ascii="Times New Roman" w:hAnsi="Times New Roman"/>
          <w:b/>
          <w:bCs/>
          <w:lang w:val="en-HK"/>
        </w:rPr>
        <w:t>Implications</w:t>
      </w:r>
      <w:r w:rsidRPr="006E28E4">
        <w:rPr>
          <w:rFonts w:ascii="Times New Roman" w:hAnsi="Times New Roman"/>
          <w:lang w:val="en-HK"/>
        </w:rPr>
        <w:t>: The case highlighted Union citizenship’s capacity to influence purely domestic legal rules when they affect cross-border links or dual nationals.</w:t>
      </w:r>
    </w:p>
    <w:p w14:paraId="5D47EFB8" w14:textId="77777777" w:rsidR="003374E8" w:rsidRPr="006E28E4" w:rsidRDefault="003374E8" w:rsidP="006E28E4">
      <w:pPr>
        <w:numPr>
          <w:ilvl w:val="0"/>
          <w:numId w:val="7"/>
        </w:numPr>
        <w:spacing w:before="240" w:after="240" w:line="360" w:lineRule="auto"/>
        <w:rPr>
          <w:rFonts w:ascii="Times New Roman" w:hAnsi="Times New Roman"/>
          <w:lang w:val="en-HK"/>
        </w:rPr>
      </w:pPr>
      <w:r w:rsidRPr="006E28E4">
        <w:rPr>
          <w:rFonts w:ascii="Times New Roman" w:hAnsi="Times New Roman"/>
          <w:b/>
          <w:bCs/>
          <w:lang w:val="en-HK"/>
        </w:rPr>
        <w:t>Scholarly Commentary</w:t>
      </w:r>
      <w:r w:rsidRPr="006E28E4">
        <w:rPr>
          <w:rFonts w:ascii="Times New Roman" w:hAnsi="Times New Roman"/>
          <w:lang w:val="en-HK"/>
        </w:rPr>
        <w:t xml:space="preserve">: </w:t>
      </w: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calls this case a landmark in demonstrating the pervasive reach of Union citizenship into private and family law matters.</w:t>
      </w:r>
    </w:p>
    <w:p w14:paraId="2BC43B7D" w14:textId="77777777" w:rsidR="003374E8" w:rsidRPr="006E28E4" w:rsidRDefault="000930AF" w:rsidP="006E28E4">
      <w:pPr>
        <w:spacing w:before="240" w:after="240" w:line="360" w:lineRule="auto"/>
        <w:rPr>
          <w:rFonts w:ascii="Times New Roman" w:hAnsi="Times New Roman"/>
          <w:lang w:val="en-HK"/>
        </w:rPr>
      </w:pPr>
      <w:r w:rsidRPr="000930AF">
        <w:rPr>
          <w:rFonts w:ascii="Times New Roman" w:hAnsi="Times New Roman"/>
          <w:noProof/>
          <w:lang w:val="en-HK"/>
          <w14:ligatures w14:val="standardContextual"/>
        </w:rPr>
        <w:pict w14:anchorId="4A4EC557">
          <v:rect id="_x0000_i1025" alt="" style="width:451.3pt;height:.05pt;mso-width-percent:0;mso-height-percent:0;mso-width-percent:0;mso-height-percent:0" o:hralign="center" o:hrstd="t" o:hr="t" fillcolor="#a0a0a0" stroked="f"/>
        </w:pict>
      </w:r>
    </w:p>
    <w:p w14:paraId="222AF57E" w14:textId="77777777" w:rsidR="003374E8" w:rsidRPr="006E28E4" w:rsidRDefault="003374E8" w:rsidP="006E28E4">
      <w:pPr>
        <w:spacing w:before="240" w:after="240" w:line="360" w:lineRule="auto"/>
        <w:outlineLvl w:val="2"/>
        <w:rPr>
          <w:rFonts w:ascii="Times New Roman" w:hAnsi="Times New Roman"/>
          <w:b/>
          <w:bCs/>
          <w:lang w:val="en-HK"/>
        </w:rPr>
      </w:pPr>
      <w:r w:rsidRPr="006E28E4">
        <w:rPr>
          <w:rFonts w:ascii="Times New Roman" w:hAnsi="Times New Roman"/>
          <w:b/>
          <w:bCs/>
          <w:lang w:val="en-HK"/>
        </w:rPr>
        <w:t>General Observations and Analysis</w:t>
      </w:r>
    </w:p>
    <w:p w14:paraId="65189666" w14:textId="77777777" w:rsidR="003374E8" w:rsidRPr="006E28E4" w:rsidRDefault="003374E8" w:rsidP="006E28E4">
      <w:pPr>
        <w:numPr>
          <w:ilvl w:val="0"/>
          <w:numId w:val="8"/>
        </w:numPr>
        <w:spacing w:before="240" w:after="240" w:line="360" w:lineRule="auto"/>
        <w:rPr>
          <w:rFonts w:ascii="Times New Roman" w:hAnsi="Times New Roman"/>
          <w:lang w:val="en-HK"/>
        </w:rPr>
      </w:pPr>
      <w:proofErr w:type="spellStart"/>
      <w:r w:rsidRPr="006E28E4">
        <w:rPr>
          <w:rFonts w:ascii="Times New Roman" w:hAnsi="Times New Roman"/>
          <w:lang w:val="en-HK"/>
        </w:rPr>
        <w:lastRenderedPageBreak/>
        <w:t>Spaventa</w:t>
      </w:r>
      <w:proofErr w:type="spellEnd"/>
      <w:r w:rsidRPr="006E28E4">
        <w:rPr>
          <w:rFonts w:ascii="Times New Roman" w:hAnsi="Times New Roman"/>
          <w:lang w:val="en-HK"/>
        </w:rPr>
        <w:t xml:space="preserve"> repeatedly emphasizes the constitutional dimensions of these rulings, noting that Union citizenship has reshaped EU law's scope by eroding the economic and migratory prerequisites.</w:t>
      </w:r>
    </w:p>
    <w:p w14:paraId="7B4EA6A9" w14:textId="77777777" w:rsidR="003374E8" w:rsidRPr="006E28E4" w:rsidRDefault="003374E8" w:rsidP="006E28E4">
      <w:pPr>
        <w:numPr>
          <w:ilvl w:val="0"/>
          <w:numId w:val="8"/>
        </w:numPr>
        <w:spacing w:before="240" w:after="240" w:line="360" w:lineRule="auto"/>
        <w:rPr>
          <w:rFonts w:ascii="Times New Roman" w:hAnsi="Times New Roman"/>
          <w:lang w:val="en-HK"/>
        </w:rPr>
      </w:pPr>
      <w:r w:rsidRPr="006E28E4">
        <w:rPr>
          <w:rFonts w:ascii="Times New Roman" w:hAnsi="Times New Roman"/>
          <w:lang w:val="en-HK"/>
        </w:rPr>
        <w:t xml:space="preserve">The Court’s proportionality assessments are pivotal, as they ensure that restrictions on citizenship rights must meet stringent justifications, </w:t>
      </w:r>
      <w:proofErr w:type="spellStart"/>
      <w:r w:rsidRPr="006E28E4">
        <w:rPr>
          <w:rFonts w:ascii="Times New Roman" w:hAnsi="Times New Roman"/>
          <w:lang w:val="en-HK"/>
        </w:rPr>
        <w:t>signaling</w:t>
      </w:r>
      <w:proofErr w:type="spellEnd"/>
      <w:r w:rsidRPr="006E28E4">
        <w:rPr>
          <w:rFonts w:ascii="Times New Roman" w:hAnsi="Times New Roman"/>
          <w:lang w:val="en-HK"/>
        </w:rPr>
        <w:t xml:space="preserve"> an evolution towards a rights-based approach.</w:t>
      </w:r>
    </w:p>
    <w:p w14:paraId="135C98E9" w14:textId="77777777" w:rsidR="003374E8" w:rsidRPr="006E28E4" w:rsidRDefault="003374E8" w:rsidP="006E28E4">
      <w:pPr>
        <w:numPr>
          <w:ilvl w:val="0"/>
          <w:numId w:val="8"/>
        </w:numPr>
        <w:spacing w:before="240" w:after="240" w:line="360" w:lineRule="auto"/>
        <w:rPr>
          <w:rFonts w:ascii="Times New Roman" w:hAnsi="Times New Roman"/>
          <w:lang w:val="en-HK"/>
        </w:rPr>
      </w:pPr>
      <w:proofErr w:type="spellStart"/>
      <w:r w:rsidRPr="006E28E4">
        <w:rPr>
          <w:rFonts w:ascii="Times New Roman" w:hAnsi="Times New Roman"/>
          <w:lang w:val="en-HK"/>
        </w:rPr>
        <w:t>Spaventa</w:t>
      </w:r>
      <w:proofErr w:type="spellEnd"/>
      <w:r w:rsidRPr="006E28E4">
        <w:rPr>
          <w:rFonts w:ascii="Times New Roman" w:hAnsi="Times New Roman"/>
          <w:lang w:val="en-HK"/>
        </w:rPr>
        <w:t xml:space="preserve"> also critiques the inconsistencies in the Court’s reasoning, particularly in cases like </w:t>
      </w:r>
      <w:r w:rsidRPr="006E28E4">
        <w:rPr>
          <w:rFonts w:ascii="Times New Roman" w:hAnsi="Times New Roman"/>
          <w:i/>
          <w:iCs/>
          <w:lang w:val="en-HK"/>
        </w:rPr>
        <w:t>Schempp</w:t>
      </w:r>
      <w:r w:rsidRPr="006E28E4">
        <w:rPr>
          <w:rFonts w:ascii="Times New Roman" w:hAnsi="Times New Roman"/>
          <w:lang w:val="en-HK"/>
        </w:rPr>
        <w:t>, suggesting that a firmer theoretical framework is necessary to sustain these judicial developments.</w:t>
      </w:r>
    </w:p>
    <w:p w14:paraId="1AABF7B4" w14:textId="77777777" w:rsidR="00CD39F1" w:rsidRPr="006E28E4" w:rsidRDefault="00CD39F1" w:rsidP="006E28E4">
      <w:pPr>
        <w:spacing w:before="240" w:after="240" w:line="360" w:lineRule="auto"/>
        <w:rPr>
          <w:rFonts w:ascii="Times New Roman" w:hAnsi="Times New Roman"/>
        </w:rPr>
      </w:pPr>
    </w:p>
    <w:p w14:paraId="685CE298" w14:textId="77777777" w:rsidR="003374E8" w:rsidRPr="006E28E4" w:rsidRDefault="003374E8" w:rsidP="006E28E4">
      <w:pPr>
        <w:spacing w:before="240" w:after="240" w:line="360" w:lineRule="auto"/>
        <w:rPr>
          <w:rFonts w:ascii="Times New Roman" w:hAnsi="Times New Roman"/>
        </w:rPr>
      </w:pPr>
    </w:p>
    <w:sectPr w:rsidR="003374E8" w:rsidRPr="006E2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7FA7"/>
    <w:multiLevelType w:val="multilevel"/>
    <w:tmpl w:val="9B964CBE"/>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DC32EA"/>
    <w:multiLevelType w:val="multilevel"/>
    <w:tmpl w:val="142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0830"/>
    <w:multiLevelType w:val="multilevel"/>
    <w:tmpl w:val="B8982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6F43"/>
    <w:multiLevelType w:val="multilevel"/>
    <w:tmpl w:val="4F6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32223"/>
    <w:multiLevelType w:val="multilevel"/>
    <w:tmpl w:val="4A5E7780"/>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 w15:restartNumberingAfterBreak="0">
    <w:nsid w:val="08100B17"/>
    <w:multiLevelType w:val="multilevel"/>
    <w:tmpl w:val="257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179D5"/>
    <w:multiLevelType w:val="multilevel"/>
    <w:tmpl w:val="659C9502"/>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08914F6"/>
    <w:multiLevelType w:val="multilevel"/>
    <w:tmpl w:val="5F860F2C"/>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2E5805"/>
    <w:multiLevelType w:val="multilevel"/>
    <w:tmpl w:val="3CA8897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start w:val="1"/>
      <w:numFmt w:val="decimal"/>
      <w:lvlText w:val="%3."/>
      <w:lvlJc w:val="left"/>
      <w:pPr>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28A5F0E"/>
    <w:multiLevelType w:val="multilevel"/>
    <w:tmpl w:val="CA300C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E5C6343"/>
    <w:multiLevelType w:val="multilevel"/>
    <w:tmpl w:val="F41EEAEE"/>
    <w:lvl w:ilvl="0">
      <w:start w:val="1"/>
      <w:numFmt w:val="decimal"/>
      <w:lvlText w:val="%1."/>
      <w:lvlJc w:val="left"/>
      <w:pPr>
        <w:tabs>
          <w:tab w:val="num" w:pos="720"/>
        </w:tabs>
        <w:ind w:left="72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B328F"/>
    <w:multiLevelType w:val="multilevel"/>
    <w:tmpl w:val="BFC6BF16"/>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CD12D4"/>
    <w:multiLevelType w:val="multilevel"/>
    <w:tmpl w:val="A09AAF3E"/>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C015599"/>
    <w:multiLevelType w:val="multilevel"/>
    <w:tmpl w:val="378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86CC2"/>
    <w:multiLevelType w:val="multilevel"/>
    <w:tmpl w:val="D2C2D8F6"/>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8EE525F"/>
    <w:multiLevelType w:val="multilevel"/>
    <w:tmpl w:val="F738D74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start w:val="1"/>
      <w:numFmt w:val="decimal"/>
      <w:lvlText w:val="%3."/>
      <w:lvlJc w:val="left"/>
      <w:pPr>
        <w:ind w:left="785" w:hanging="360"/>
      </w:pPr>
      <w:rPr>
        <w:rFont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8FB2D32"/>
    <w:multiLevelType w:val="hybridMultilevel"/>
    <w:tmpl w:val="AD96C1BA"/>
    <w:lvl w:ilvl="0" w:tplc="489C1A8C">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F80BB5"/>
    <w:multiLevelType w:val="multilevel"/>
    <w:tmpl w:val="C1D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131D9"/>
    <w:multiLevelType w:val="multilevel"/>
    <w:tmpl w:val="190C1FA6"/>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FFB533D"/>
    <w:multiLevelType w:val="multilevel"/>
    <w:tmpl w:val="439AF62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5B914A7"/>
    <w:multiLevelType w:val="multilevel"/>
    <w:tmpl w:val="57C8E954"/>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CD96286"/>
    <w:multiLevelType w:val="multilevel"/>
    <w:tmpl w:val="F7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90042"/>
    <w:multiLevelType w:val="multilevel"/>
    <w:tmpl w:val="823C9B7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6E43414"/>
    <w:multiLevelType w:val="multilevel"/>
    <w:tmpl w:val="11B82BA4"/>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9902688"/>
    <w:multiLevelType w:val="multilevel"/>
    <w:tmpl w:val="191C87AA"/>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601016C6"/>
    <w:multiLevelType w:val="multilevel"/>
    <w:tmpl w:val="5BC8917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0107FA6"/>
    <w:multiLevelType w:val="multilevel"/>
    <w:tmpl w:val="1D5CCBCC"/>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025422B"/>
    <w:multiLevelType w:val="multilevel"/>
    <w:tmpl w:val="2E7E07B4"/>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19C5A04"/>
    <w:multiLevelType w:val="multilevel"/>
    <w:tmpl w:val="F738D74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start w:val="1"/>
      <w:numFmt w:val="decimal"/>
      <w:lvlText w:val="%3."/>
      <w:lvlJc w:val="left"/>
      <w:pPr>
        <w:ind w:left="785" w:hanging="360"/>
      </w:pPr>
      <w:rPr>
        <w:rFont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3270E56"/>
    <w:multiLevelType w:val="multilevel"/>
    <w:tmpl w:val="1E5CF41E"/>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4CE0615"/>
    <w:multiLevelType w:val="multilevel"/>
    <w:tmpl w:val="0CC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75A22"/>
    <w:multiLevelType w:val="multilevel"/>
    <w:tmpl w:val="B726C3BE"/>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7EA4F2B"/>
    <w:multiLevelType w:val="multilevel"/>
    <w:tmpl w:val="22D81AAC"/>
    <w:lvl w:ilvl="0">
      <w:start w:val="1"/>
      <w:numFmt w:val="decimal"/>
      <w:lvlText w:val="%1."/>
      <w:lvlJc w:val="left"/>
      <w:pPr>
        <w:tabs>
          <w:tab w:val="num" w:pos="720"/>
        </w:tabs>
        <w:ind w:left="72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8E3517"/>
    <w:multiLevelType w:val="multilevel"/>
    <w:tmpl w:val="1A3609FE"/>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CA123E4"/>
    <w:multiLevelType w:val="multilevel"/>
    <w:tmpl w:val="392CAAF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sz w:val="20"/>
      </w:rPr>
    </w:lvl>
    <w:lvl w:ilvl="2">
      <w:start w:val="1"/>
      <w:numFmt w:val="decimal"/>
      <w:lvlText w:val="%3."/>
      <w:lvlJc w:val="left"/>
      <w:pPr>
        <w:ind w:left="785" w:hanging="360"/>
      </w:pPr>
      <w:rPr>
        <w:rFont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AE1585"/>
    <w:multiLevelType w:val="multilevel"/>
    <w:tmpl w:val="F738D74A"/>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start w:val="1"/>
      <w:numFmt w:val="decimal"/>
      <w:lvlText w:val="%3."/>
      <w:lvlJc w:val="left"/>
      <w:pPr>
        <w:ind w:left="785" w:hanging="360"/>
      </w:pPr>
      <w:rPr>
        <w:rFonts w:hint="default"/>
        <w:sz w:val="24"/>
        <w:szCs w:val="24"/>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D923EAD"/>
    <w:multiLevelType w:val="multilevel"/>
    <w:tmpl w:val="48881150"/>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0FB2BA9"/>
    <w:multiLevelType w:val="multilevel"/>
    <w:tmpl w:val="45487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A2F3A"/>
    <w:multiLevelType w:val="multilevel"/>
    <w:tmpl w:val="08F04108"/>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9" w15:restartNumberingAfterBreak="0">
    <w:nsid w:val="74DE378F"/>
    <w:multiLevelType w:val="multilevel"/>
    <w:tmpl w:val="20582512"/>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A3B05FF"/>
    <w:multiLevelType w:val="hybridMultilevel"/>
    <w:tmpl w:val="D31673E8"/>
    <w:lvl w:ilvl="0" w:tplc="5A32CD56">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6F0221"/>
    <w:multiLevelType w:val="multilevel"/>
    <w:tmpl w:val="D9B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D3E18"/>
    <w:multiLevelType w:val="multilevel"/>
    <w:tmpl w:val="6D024602"/>
    <w:lvl w:ilvl="0">
      <w:numFmt w:val="bullet"/>
      <w:lvlText w:val="-"/>
      <w:lvlJc w:val="left"/>
      <w:pPr>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9787728">
    <w:abstractNumId w:val="29"/>
  </w:num>
  <w:num w:numId="2" w16cid:durableId="518128639">
    <w:abstractNumId w:val="18"/>
  </w:num>
  <w:num w:numId="3" w16cid:durableId="558172714">
    <w:abstractNumId w:val="39"/>
  </w:num>
  <w:num w:numId="4" w16cid:durableId="2133860953">
    <w:abstractNumId w:val="12"/>
  </w:num>
  <w:num w:numId="5" w16cid:durableId="1905598465">
    <w:abstractNumId w:val="24"/>
  </w:num>
  <w:num w:numId="6" w16cid:durableId="1816026177">
    <w:abstractNumId w:val="7"/>
  </w:num>
  <w:num w:numId="7" w16cid:durableId="1965505729">
    <w:abstractNumId w:val="38"/>
  </w:num>
  <w:num w:numId="8" w16cid:durableId="1709640011">
    <w:abstractNumId w:val="4"/>
  </w:num>
  <w:num w:numId="9" w16cid:durableId="689602053">
    <w:abstractNumId w:val="6"/>
  </w:num>
  <w:num w:numId="10" w16cid:durableId="283973585">
    <w:abstractNumId w:val="31"/>
  </w:num>
  <w:num w:numId="11" w16cid:durableId="64766365">
    <w:abstractNumId w:val="36"/>
  </w:num>
  <w:num w:numId="12" w16cid:durableId="1010134068">
    <w:abstractNumId w:val="25"/>
  </w:num>
  <w:num w:numId="13" w16cid:durableId="1782990654">
    <w:abstractNumId w:val="28"/>
  </w:num>
  <w:num w:numId="14" w16cid:durableId="1452549461">
    <w:abstractNumId w:val="8"/>
  </w:num>
  <w:num w:numId="15" w16cid:durableId="1995646851">
    <w:abstractNumId w:val="34"/>
  </w:num>
  <w:num w:numId="16" w16cid:durableId="1539315225">
    <w:abstractNumId w:val="9"/>
  </w:num>
  <w:num w:numId="17" w16cid:durableId="1124928519">
    <w:abstractNumId w:val="40"/>
  </w:num>
  <w:num w:numId="18" w16cid:durableId="1124157098">
    <w:abstractNumId w:val="16"/>
  </w:num>
  <w:num w:numId="19" w16cid:durableId="912815588">
    <w:abstractNumId w:val="20"/>
  </w:num>
  <w:num w:numId="20" w16cid:durableId="1734769546">
    <w:abstractNumId w:val="15"/>
  </w:num>
  <w:num w:numId="21" w16cid:durableId="1438333731">
    <w:abstractNumId w:val="35"/>
  </w:num>
  <w:num w:numId="22" w16cid:durableId="1452557344">
    <w:abstractNumId w:val="10"/>
  </w:num>
  <w:num w:numId="23" w16cid:durableId="114640301">
    <w:abstractNumId w:val="37"/>
  </w:num>
  <w:num w:numId="24" w16cid:durableId="1189835444">
    <w:abstractNumId w:val="19"/>
  </w:num>
  <w:num w:numId="25" w16cid:durableId="1141075581">
    <w:abstractNumId w:val="14"/>
  </w:num>
  <w:num w:numId="26" w16cid:durableId="1648127442">
    <w:abstractNumId w:val="41"/>
  </w:num>
  <w:num w:numId="27" w16cid:durableId="2012759972">
    <w:abstractNumId w:val="27"/>
  </w:num>
  <w:num w:numId="28" w16cid:durableId="1877966411">
    <w:abstractNumId w:val="11"/>
  </w:num>
  <w:num w:numId="29" w16cid:durableId="278142566">
    <w:abstractNumId w:val="21"/>
  </w:num>
  <w:num w:numId="30" w16cid:durableId="1528062869">
    <w:abstractNumId w:val="26"/>
  </w:num>
  <w:num w:numId="31" w16cid:durableId="153643080">
    <w:abstractNumId w:val="5"/>
  </w:num>
  <w:num w:numId="32" w16cid:durableId="1321811347">
    <w:abstractNumId w:val="30"/>
  </w:num>
  <w:num w:numId="33" w16cid:durableId="1961641110">
    <w:abstractNumId w:val="32"/>
  </w:num>
  <w:num w:numId="34" w16cid:durableId="1649897679">
    <w:abstractNumId w:val="1"/>
  </w:num>
  <w:num w:numId="35" w16cid:durableId="698316747">
    <w:abstractNumId w:val="17"/>
  </w:num>
  <w:num w:numId="36" w16cid:durableId="1002272396">
    <w:abstractNumId w:val="42"/>
  </w:num>
  <w:num w:numId="37" w16cid:durableId="48652403">
    <w:abstractNumId w:val="2"/>
  </w:num>
  <w:num w:numId="38" w16cid:durableId="1176729634">
    <w:abstractNumId w:val="22"/>
  </w:num>
  <w:num w:numId="39" w16cid:durableId="1838960916">
    <w:abstractNumId w:val="0"/>
  </w:num>
  <w:num w:numId="40" w16cid:durableId="292097309">
    <w:abstractNumId w:val="13"/>
  </w:num>
  <w:num w:numId="41" w16cid:durableId="265240118">
    <w:abstractNumId w:val="3"/>
  </w:num>
  <w:num w:numId="42" w16cid:durableId="1057438502">
    <w:abstractNumId w:val="23"/>
  </w:num>
  <w:num w:numId="43" w16cid:durableId="10232457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16"/>
    <w:rsid w:val="000147A9"/>
    <w:rsid w:val="00042755"/>
    <w:rsid w:val="0006107D"/>
    <w:rsid w:val="000623A3"/>
    <w:rsid w:val="000719DA"/>
    <w:rsid w:val="000930AF"/>
    <w:rsid w:val="00094D65"/>
    <w:rsid w:val="000A2074"/>
    <w:rsid w:val="000A3F4D"/>
    <w:rsid w:val="000B7216"/>
    <w:rsid w:val="000C4ABC"/>
    <w:rsid w:val="000C58D7"/>
    <w:rsid w:val="000E15ED"/>
    <w:rsid w:val="00101CCF"/>
    <w:rsid w:val="0019260C"/>
    <w:rsid w:val="001B0E31"/>
    <w:rsid w:val="001D360C"/>
    <w:rsid w:val="001E2584"/>
    <w:rsid w:val="00211E5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16AAE"/>
    <w:rsid w:val="003278F5"/>
    <w:rsid w:val="00330665"/>
    <w:rsid w:val="003374E8"/>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D5B1A"/>
    <w:rsid w:val="004E458E"/>
    <w:rsid w:val="004F0E12"/>
    <w:rsid w:val="004F5A36"/>
    <w:rsid w:val="00542B57"/>
    <w:rsid w:val="00557B52"/>
    <w:rsid w:val="0058416B"/>
    <w:rsid w:val="00595357"/>
    <w:rsid w:val="005B34ED"/>
    <w:rsid w:val="005C50B3"/>
    <w:rsid w:val="005D57DA"/>
    <w:rsid w:val="005E7702"/>
    <w:rsid w:val="005F1726"/>
    <w:rsid w:val="00605F8E"/>
    <w:rsid w:val="00650543"/>
    <w:rsid w:val="00654D8B"/>
    <w:rsid w:val="00661136"/>
    <w:rsid w:val="0068027B"/>
    <w:rsid w:val="006C42B8"/>
    <w:rsid w:val="006C50C7"/>
    <w:rsid w:val="006D1612"/>
    <w:rsid w:val="006E28E4"/>
    <w:rsid w:val="00713CA9"/>
    <w:rsid w:val="007424FB"/>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37A0"/>
    <w:rsid w:val="00BC4186"/>
    <w:rsid w:val="00BC5F25"/>
    <w:rsid w:val="00BD4E37"/>
    <w:rsid w:val="00BD7714"/>
    <w:rsid w:val="00BD7C9B"/>
    <w:rsid w:val="00C072F8"/>
    <w:rsid w:val="00C17D79"/>
    <w:rsid w:val="00C24A8A"/>
    <w:rsid w:val="00C54722"/>
    <w:rsid w:val="00C65F70"/>
    <w:rsid w:val="00C96A36"/>
    <w:rsid w:val="00CA350B"/>
    <w:rsid w:val="00CA3F60"/>
    <w:rsid w:val="00CC2EFF"/>
    <w:rsid w:val="00CC4FEF"/>
    <w:rsid w:val="00CD39F1"/>
    <w:rsid w:val="00CE1439"/>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8A95"/>
  <w15:chartTrackingRefBased/>
  <w15:docId w15:val="{07157EA8-883A-0347-B307-6D3A3875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B7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721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72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72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72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72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72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72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21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B721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B721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B721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B721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B721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B721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B721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B721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B72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21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B72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21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B72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721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B7216"/>
    <w:pPr>
      <w:ind w:left="720"/>
      <w:contextualSpacing/>
    </w:pPr>
  </w:style>
  <w:style w:type="character" w:styleId="IntenseEmphasis">
    <w:name w:val="Intense Emphasis"/>
    <w:basedOn w:val="DefaultParagraphFont"/>
    <w:uiPriority w:val="21"/>
    <w:qFormat/>
    <w:rsid w:val="000B7216"/>
    <w:rPr>
      <w:i/>
      <w:iCs/>
      <w:color w:val="2F5496" w:themeColor="accent1" w:themeShade="BF"/>
    </w:rPr>
  </w:style>
  <w:style w:type="paragraph" w:styleId="IntenseQuote">
    <w:name w:val="Intense Quote"/>
    <w:basedOn w:val="Normal"/>
    <w:next w:val="Normal"/>
    <w:link w:val="IntenseQuoteChar"/>
    <w:uiPriority w:val="30"/>
    <w:qFormat/>
    <w:rsid w:val="000B7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21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B7216"/>
    <w:rPr>
      <w:b/>
      <w:bCs/>
      <w:smallCaps/>
      <w:color w:val="2F5496" w:themeColor="accent1" w:themeShade="BF"/>
      <w:spacing w:val="5"/>
    </w:rPr>
  </w:style>
  <w:style w:type="character" w:styleId="Strong">
    <w:name w:val="Strong"/>
    <w:basedOn w:val="DefaultParagraphFont"/>
    <w:uiPriority w:val="22"/>
    <w:qFormat/>
    <w:rsid w:val="003374E8"/>
    <w:rPr>
      <w:b/>
      <w:bCs/>
    </w:rPr>
  </w:style>
  <w:style w:type="character" w:styleId="Emphasis">
    <w:name w:val="Emphasis"/>
    <w:basedOn w:val="DefaultParagraphFont"/>
    <w:uiPriority w:val="20"/>
    <w:qFormat/>
    <w:rsid w:val="003374E8"/>
    <w:rPr>
      <w:i/>
      <w:iCs/>
    </w:rPr>
  </w:style>
  <w:style w:type="paragraph" w:styleId="NormalWeb">
    <w:name w:val="Normal (Web)"/>
    <w:basedOn w:val="Normal"/>
    <w:uiPriority w:val="99"/>
    <w:semiHidden/>
    <w:unhideWhenUsed/>
    <w:rsid w:val="003374E8"/>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8690">
      <w:bodyDiv w:val="1"/>
      <w:marLeft w:val="0"/>
      <w:marRight w:val="0"/>
      <w:marTop w:val="0"/>
      <w:marBottom w:val="0"/>
      <w:divBdr>
        <w:top w:val="none" w:sz="0" w:space="0" w:color="auto"/>
        <w:left w:val="none" w:sz="0" w:space="0" w:color="auto"/>
        <w:bottom w:val="none" w:sz="0" w:space="0" w:color="auto"/>
        <w:right w:val="none" w:sz="0" w:space="0" w:color="auto"/>
      </w:divBdr>
    </w:div>
    <w:div w:id="101458094">
      <w:bodyDiv w:val="1"/>
      <w:marLeft w:val="0"/>
      <w:marRight w:val="0"/>
      <w:marTop w:val="0"/>
      <w:marBottom w:val="0"/>
      <w:divBdr>
        <w:top w:val="none" w:sz="0" w:space="0" w:color="auto"/>
        <w:left w:val="none" w:sz="0" w:space="0" w:color="auto"/>
        <w:bottom w:val="none" w:sz="0" w:space="0" w:color="auto"/>
        <w:right w:val="none" w:sz="0" w:space="0" w:color="auto"/>
      </w:divBdr>
    </w:div>
    <w:div w:id="741296011">
      <w:bodyDiv w:val="1"/>
      <w:marLeft w:val="0"/>
      <w:marRight w:val="0"/>
      <w:marTop w:val="0"/>
      <w:marBottom w:val="0"/>
      <w:divBdr>
        <w:top w:val="none" w:sz="0" w:space="0" w:color="auto"/>
        <w:left w:val="none" w:sz="0" w:space="0" w:color="auto"/>
        <w:bottom w:val="none" w:sz="0" w:space="0" w:color="auto"/>
        <w:right w:val="none" w:sz="0" w:space="0" w:color="auto"/>
      </w:divBdr>
    </w:div>
    <w:div w:id="755437897">
      <w:bodyDiv w:val="1"/>
      <w:marLeft w:val="0"/>
      <w:marRight w:val="0"/>
      <w:marTop w:val="0"/>
      <w:marBottom w:val="0"/>
      <w:divBdr>
        <w:top w:val="none" w:sz="0" w:space="0" w:color="auto"/>
        <w:left w:val="none" w:sz="0" w:space="0" w:color="auto"/>
        <w:bottom w:val="none" w:sz="0" w:space="0" w:color="auto"/>
        <w:right w:val="none" w:sz="0" w:space="0" w:color="auto"/>
      </w:divBdr>
    </w:div>
    <w:div w:id="862134932">
      <w:bodyDiv w:val="1"/>
      <w:marLeft w:val="0"/>
      <w:marRight w:val="0"/>
      <w:marTop w:val="0"/>
      <w:marBottom w:val="0"/>
      <w:divBdr>
        <w:top w:val="none" w:sz="0" w:space="0" w:color="auto"/>
        <w:left w:val="none" w:sz="0" w:space="0" w:color="auto"/>
        <w:bottom w:val="none" w:sz="0" w:space="0" w:color="auto"/>
        <w:right w:val="none" w:sz="0" w:space="0" w:color="auto"/>
      </w:divBdr>
    </w:div>
    <w:div w:id="1016927655">
      <w:bodyDiv w:val="1"/>
      <w:marLeft w:val="0"/>
      <w:marRight w:val="0"/>
      <w:marTop w:val="0"/>
      <w:marBottom w:val="0"/>
      <w:divBdr>
        <w:top w:val="none" w:sz="0" w:space="0" w:color="auto"/>
        <w:left w:val="none" w:sz="0" w:space="0" w:color="auto"/>
        <w:bottom w:val="none" w:sz="0" w:space="0" w:color="auto"/>
        <w:right w:val="none" w:sz="0" w:space="0" w:color="auto"/>
      </w:divBdr>
    </w:div>
    <w:div w:id="1076126510">
      <w:bodyDiv w:val="1"/>
      <w:marLeft w:val="0"/>
      <w:marRight w:val="0"/>
      <w:marTop w:val="0"/>
      <w:marBottom w:val="0"/>
      <w:divBdr>
        <w:top w:val="none" w:sz="0" w:space="0" w:color="auto"/>
        <w:left w:val="none" w:sz="0" w:space="0" w:color="auto"/>
        <w:bottom w:val="none" w:sz="0" w:space="0" w:color="auto"/>
        <w:right w:val="none" w:sz="0" w:space="0" w:color="auto"/>
      </w:divBdr>
    </w:div>
    <w:div w:id="1182206528">
      <w:bodyDiv w:val="1"/>
      <w:marLeft w:val="0"/>
      <w:marRight w:val="0"/>
      <w:marTop w:val="0"/>
      <w:marBottom w:val="0"/>
      <w:divBdr>
        <w:top w:val="none" w:sz="0" w:space="0" w:color="auto"/>
        <w:left w:val="none" w:sz="0" w:space="0" w:color="auto"/>
        <w:bottom w:val="none" w:sz="0" w:space="0" w:color="auto"/>
        <w:right w:val="none" w:sz="0" w:space="0" w:color="auto"/>
      </w:divBdr>
    </w:div>
    <w:div w:id="1249122169">
      <w:bodyDiv w:val="1"/>
      <w:marLeft w:val="0"/>
      <w:marRight w:val="0"/>
      <w:marTop w:val="0"/>
      <w:marBottom w:val="0"/>
      <w:divBdr>
        <w:top w:val="none" w:sz="0" w:space="0" w:color="auto"/>
        <w:left w:val="none" w:sz="0" w:space="0" w:color="auto"/>
        <w:bottom w:val="none" w:sz="0" w:space="0" w:color="auto"/>
        <w:right w:val="none" w:sz="0" w:space="0" w:color="auto"/>
      </w:divBdr>
    </w:div>
    <w:div w:id="1500462169">
      <w:bodyDiv w:val="1"/>
      <w:marLeft w:val="0"/>
      <w:marRight w:val="0"/>
      <w:marTop w:val="0"/>
      <w:marBottom w:val="0"/>
      <w:divBdr>
        <w:top w:val="none" w:sz="0" w:space="0" w:color="auto"/>
        <w:left w:val="none" w:sz="0" w:space="0" w:color="auto"/>
        <w:bottom w:val="none" w:sz="0" w:space="0" w:color="auto"/>
        <w:right w:val="none" w:sz="0" w:space="0" w:color="auto"/>
      </w:divBdr>
    </w:div>
    <w:div w:id="1506936587">
      <w:bodyDiv w:val="1"/>
      <w:marLeft w:val="0"/>
      <w:marRight w:val="0"/>
      <w:marTop w:val="0"/>
      <w:marBottom w:val="0"/>
      <w:divBdr>
        <w:top w:val="none" w:sz="0" w:space="0" w:color="auto"/>
        <w:left w:val="none" w:sz="0" w:space="0" w:color="auto"/>
        <w:bottom w:val="none" w:sz="0" w:space="0" w:color="auto"/>
        <w:right w:val="none" w:sz="0" w:space="0" w:color="auto"/>
      </w:divBdr>
    </w:div>
    <w:div w:id="206124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18</Pages>
  <Words>3731</Words>
  <Characters>21268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2024-12-06T09:50:00Z</dcterms:created>
  <dcterms:modified xsi:type="dcterms:W3CDTF">2024-12-06T11:02:00Z</dcterms:modified>
</cp:coreProperties>
</file>