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D62A8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1. Introduction</w:t>
      </w:r>
    </w:p>
    <w:p w14:paraId="73DE775B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Key Legal Framework:</w:t>
      </w:r>
    </w:p>
    <w:p w14:paraId="3895E455" w14:textId="77777777" w:rsidR="00EA1886" w:rsidRPr="00570614" w:rsidRDefault="00EA1886" w:rsidP="00570614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2004/38/EC</w:t>
      </w:r>
      <w:r w:rsidRPr="00570614">
        <w:rPr>
          <w:rFonts w:ascii="Times New Roman" w:hAnsi="Times New Roman"/>
          <w:lang w:val="en-HK"/>
        </w:rPr>
        <w:t>:</w:t>
      </w:r>
    </w:p>
    <w:p w14:paraId="69655789" w14:textId="77777777" w:rsidR="00EA1886" w:rsidRPr="00570614" w:rsidRDefault="00EA1886" w:rsidP="00570614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Art. 7(1)(b):</w:t>
      </w:r>
      <w:r w:rsidRPr="00570614">
        <w:rPr>
          <w:rFonts w:ascii="Times New Roman" w:hAnsi="Times New Roman"/>
          <w:lang w:val="en-HK"/>
        </w:rPr>
        <w:t xml:space="preserve"> Grants residence rights to economically inactive citizens provided they have sufficient resources and comprehensive sickness insurance, ensuring they do not become an unreasonable burden on the host state.</w:t>
      </w:r>
    </w:p>
    <w:p w14:paraId="6FDC079F" w14:textId="4D638FD4" w:rsidR="00EA1886" w:rsidRPr="00570614" w:rsidRDefault="00EA1886" w:rsidP="00570614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highlight w:val="yellow"/>
          <w:lang w:val="en-HK"/>
        </w:rPr>
        <w:t>Recitals 10 and 16:</w:t>
      </w:r>
      <w:r w:rsidRPr="00570614">
        <w:rPr>
          <w:rFonts w:ascii="Times New Roman" w:hAnsi="Times New Roman"/>
          <w:lang w:val="en-HK"/>
        </w:rPr>
        <w:t xml:space="preserve"> Specify that </w:t>
      </w:r>
      <w:r w:rsidRPr="00570614">
        <w:rPr>
          <w:rFonts w:ascii="Times New Roman" w:hAnsi="Times New Roman"/>
          <w:b/>
          <w:bCs/>
          <w:lang w:val="en-HK"/>
        </w:rPr>
        <w:t>free movement depends on not becoming an unreasonable burden.</w:t>
      </w:r>
      <w:r w:rsidR="00570614">
        <w:rPr>
          <w:rFonts w:ascii="Times New Roman" w:hAnsi="Times New Roman"/>
          <w:b/>
          <w:bCs/>
          <w:lang w:val="en-HK"/>
        </w:rPr>
        <w:t xml:space="preserve"> -- economically inactive person</w:t>
      </w:r>
    </w:p>
    <w:p w14:paraId="671D4B55" w14:textId="77777777" w:rsidR="00EA1886" w:rsidRPr="00570614" w:rsidRDefault="00EA1886" w:rsidP="00570614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Art. 14(3):</w:t>
      </w:r>
      <w:r w:rsidRPr="00570614">
        <w:rPr>
          <w:rFonts w:ascii="Times New Roman" w:hAnsi="Times New Roman"/>
          <w:lang w:val="en-HK"/>
        </w:rPr>
        <w:t xml:space="preserve"> Expulsion is not automatic when social assistance is accessed but requires a proportionality assessment.</w:t>
      </w:r>
    </w:p>
    <w:p w14:paraId="69DFDD5C" w14:textId="77777777" w:rsidR="00EA1886" w:rsidRPr="00570614" w:rsidRDefault="00EA1886" w:rsidP="00570614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Cases Referenced</w:t>
      </w:r>
      <w:r w:rsidRPr="00570614">
        <w:rPr>
          <w:rFonts w:ascii="Times New Roman" w:hAnsi="Times New Roman"/>
          <w:lang w:val="en-HK"/>
        </w:rPr>
        <w:t>:</w:t>
      </w:r>
    </w:p>
    <w:p w14:paraId="4C3BF85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C-184/99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Grzelczyk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33B26331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French student applied for a Belgian subsistence benefit, which was denied as he lacked financial independence.</w:t>
      </w:r>
    </w:p>
    <w:p w14:paraId="5D941CE0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EU law guarantees a "certain degree of financial solidarity" among Member States for Union citizens integrated into the host society.</w:t>
      </w:r>
    </w:p>
    <w:p w14:paraId="1624A18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  <w:r w:rsidRPr="00570614">
        <w:rPr>
          <w:rFonts w:ascii="Times New Roman" w:hAnsi="Times New Roman"/>
          <w:lang w:val="en-HK"/>
        </w:rPr>
        <w:t xml:space="preserve"> Equal treatment under </w:t>
      </w:r>
      <w:r w:rsidRPr="00570614">
        <w:rPr>
          <w:rFonts w:ascii="Times New Roman" w:hAnsi="Times New Roman"/>
          <w:b/>
          <w:bCs/>
          <w:lang w:val="en-HK"/>
        </w:rPr>
        <w:t>Art. 18 TFEU</w:t>
      </w:r>
      <w:r w:rsidRPr="00570614">
        <w:rPr>
          <w:rFonts w:ascii="Times New Roman" w:hAnsi="Times New Roman"/>
          <w:lang w:val="en-HK"/>
        </w:rPr>
        <w:t xml:space="preserve"> applies to those lawfully residing, with financial solidarity linked to integration.</w:t>
      </w:r>
    </w:p>
    <w:p w14:paraId="165698C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Established the principle of conditional access to social benefits based on integration.</w:t>
      </w:r>
    </w:p>
    <w:p w14:paraId="1330F6F9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C-209/03 Bidar</w:t>
      </w:r>
      <w:r w:rsidRPr="00570614">
        <w:rPr>
          <w:rFonts w:ascii="Times New Roman" w:hAnsi="Times New Roman"/>
          <w:lang w:val="en-HK"/>
        </w:rPr>
        <w:t>:</w:t>
      </w:r>
    </w:p>
    <w:p w14:paraId="587F63A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French student residing in the UK applied for a student loan but was denied on residency grounds.</w:t>
      </w:r>
    </w:p>
    <w:p w14:paraId="2A1EFC86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Access to student loans is allowed where individuals demonstrate sufficient integration into the host society.</w:t>
      </w:r>
    </w:p>
    <w:p w14:paraId="01CA680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lastRenderedPageBreak/>
        <w:t>Reasoning:</w:t>
      </w:r>
      <w:r w:rsidRPr="00570614">
        <w:rPr>
          <w:rFonts w:ascii="Times New Roman" w:hAnsi="Times New Roman"/>
          <w:lang w:val="en-HK"/>
        </w:rPr>
        <w:t xml:space="preserve"> Integration into the social and economic fabric of the host state justified equal treatment.</w:t>
      </w:r>
    </w:p>
    <w:p w14:paraId="4D0511EE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Strengthened the role of integration in determining equal treatment.</w:t>
      </w:r>
    </w:p>
    <w:p w14:paraId="568DC54F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14D0FA8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7D73D1F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2. Towards Status Convergence?</w:t>
      </w:r>
    </w:p>
    <w:p w14:paraId="37508470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2.1 Different Categories of Free Movement</w:t>
      </w:r>
    </w:p>
    <w:p w14:paraId="26F57CAE" w14:textId="77777777" w:rsidR="00EA1886" w:rsidRPr="00570614" w:rsidRDefault="00EA1886" w:rsidP="00570614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Workers and Self-Employed Persons</w:t>
      </w:r>
      <w:r w:rsidRPr="00570614">
        <w:rPr>
          <w:rFonts w:ascii="Times New Roman" w:hAnsi="Times New Roman"/>
          <w:lang w:val="en-HK"/>
        </w:rPr>
        <w:t>:</w:t>
      </w:r>
    </w:p>
    <w:p w14:paraId="32BCD755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Art. 7(1)(a) Directive 2004/38/EC:</w:t>
      </w:r>
      <w:r w:rsidRPr="00570614">
        <w:rPr>
          <w:rFonts w:ascii="Times New Roman" w:hAnsi="Times New Roman"/>
          <w:lang w:val="en-HK"/>
        </w:rPr>
        <w:t xml:space="preserve"> </w:t>
      </w:r>
      <w:r w:rsidRPr="00570614">
        <w:rPr>
          <w:rFonts w:ascii="Times New Roman" w:hAnsi="Times New Roman"/>
          <w:b/>
          <w:bCs/>
          <w:lang w:val="en-HK"/>
        </w:rPr>
        <w:t>Grants residence rights to workers and self-employed persons.</w:t>
      </w:r>
    </w:p>
    <w:p w14:paraId="119DB398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139/85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Kempf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69FF8E4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part-time German music teacher in the Netherlands applied for supplementary social benefits.</w:t>
      </w:r>
    </w:p>
    <w:p w14:paraId="0C02459D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The ECJ ruled that part-time workers qualify for free movement rights, even if reliant on social benefits.</w:t>
      </w:r>
    </w:p>
    <w:p w14:paraId="4E35494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  <w:r w:rsidRPr="00570614">
        <w:rPr>
          <w:rFonts w:ascii="Times New Roman" w:hAnsi="Times New Roman"/>
          <w:lang w:val="en-HK"/>
        </w:rPr>
        <w:t xml:space="preserve"> </w:t>
      </w:r>
      <w:r w:rsidRPr="00570614">
        <w:rPr>
          <w:rFonts w:ascii="Times New Roman" w:hAnsi="Times New Roman"/>
          <w:b/>
          <w:bCs/>
          <w:lang w:val="en-HK"/>
        </w:rPr>
        <w:t>Part-time</w:t>
      </w:r>
      <w:r w:rsidRPr="00570614">
        <w:rPr>
          <w:rFonts w:ascii="Times New Roman" w:hAnsi="Times New Roman"/>
          <w:lang w:val="en-HK"/>
        </w:rPr>
        <w:t xml:space="preserve"> employment contributes economically, satisfying the worker criterion.</w:t>
      </w:r>
    </w:p>
    <w:p w14:paraId="6D48762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Clarified that reliance on benefits does not negate worker status.</w:t>
      </w:r>
    </w:p>
    <w:p w14:paraId="0FE92503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C-200/02 Zhu and Chen</w:t>
      </w:r>
      <w:r w:rsidRPr="00570614">
        <w:rPr>
          <w:rFonts w:ascii="Times New Roman" w:hAnsi="Times New Roman"/>
          <w:lang w:val="en-HK"/>
        </w:rPr>
        <w:t>:</w:t>
      </w:r>
    </w:p>
    <w:p w14:paraId="7E3DA726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Chinese mother used her Irish-born child’s EU citizenship to claim residence rights in the UK.</w:t>
      </w:r>
    </w:p>
    <w:p w14:paraId="1E424C7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Residence rights were granted to the mother, provided the child had sufficient resources and health insurance.</w:t>
      </w:r>
    </w:p>
    <w:p w14:paraId="707BA3FA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  <w:r w:rsidRPr="00570614">
        <w:rPr>
          <w:rFonts w:ascii="Times New Roman" w:hAnsi="Times New Roman"/>
          <w:lang w:val="en-HK"/>
        </w:rPr>
        <w:t xml:space="preserve"> EU citizenship confers derived residence rights to family members if conditions are fulfilled.</w:t>
      </w:r>
    </w:p>
    <w:p w14:paraId="524EA39B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Highlighted the broad application of residence rights for dependents.</w:t>
      </w:r>
    </w:p>
    <w:p w14:paraId="2DE75FD4" w14:textId="77777777" w:rsidR="00EA1886" w:rsidRPr="00570614" w:rsidRDefault="00EA1886" w:rsidP="00570614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lastRenderedPageBreak/>
        <w:t>Jobseekers</w:t>
      </w:r>
      <w:r w:rsidRPr="00570614">
        <w:rPr>
          <w:rFonts w:ascii="Times New Roman" w:hAnsi="Times New Roman"/>
          <w:lang w:val="en-HK"/>
        </w:rPr>
        <w:t>:</w:t>
      </w:r>
    </w:p>
    <w:p w14:paraId="20541EC9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C-292/89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Antonissen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562DC58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Belgian jobseeker in the UK was denied residence after six months of unemployment.</w:t>
      </w:r>
    </w:p>
    <w:p w14:paraId="34FFDB4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Jobseekers may reside as long as they actively seek employment and have a realistic chance of finding a job.</w:t>
      </w:r>
    </w:p>
    <w:p w14:paraId="568D2490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  <w:r w:rsidRPr="00570614">
        <w:rPr>
          <w:rFonts w:ascii="Times New Roman" w:hAnsi="Times New Roman"/>
          <w:lang w:val="en-HK"/>
        </w:rPr>
        <w:t xml:space="preserve"> Free movement under </w:t>
      </w:r>
      <w:r w:rsidRPr="00570614">
        <w:rPr>
          <w:rFonts w:ascii="Times New Roman" w:hAnsi="Times New Roman"/>
          <w:b/>
          <w:bCs/>
          <w:lang w:val="en-HK"/>
        </w:rPr>
        <w:t>Art. 45 TFEU</w:t>
      </w:r>
      <w:r w:rsidRPr="00570614">
        <w:rPr>
          <w:rFonts w:ascii="Times New Roman" w:hAnsi="Times New Roman"/>
          <w:lang w:val="en-HK"/>
        </w:rPr>
        <w:t xml:space="preserve"> protects jobseekers, albeit conditionally.</w:t>
      </w:r>
    </w:p>
    <w:p w14:paraId="7FC0915C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Recognized jobseekers’ residence rights but imposed limits based on active efforts.</w:t>
      </w:r>
    </w:p>
    <w:p w14:paraId="19956997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Regulation 492/2011:</w:t>
      </w:r>
      <w:r w:rsidRPr="00570614">
        <w:rPr>
          <w:rFonts w:ascii="Times New Roman" w:hAnsi="Times New Roman"/>
          <w:lang w:val="en-HK"/>
        </w:rPr>
        <w:t xml:space="preserve"> Codifies rights of workers and jobseekers, emphasizing equal treatment.</w:t>
      </w:r>
    </w:p>
    <w:p w14:paraId="14008061" w14:textId="77777777" w:rsidR="00EA1886" w:rsidRPr="00570614" w:rsidRDefault="00EA1886" w:rsidP="00570614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Economically Inactive Citizens</w:t>
      </w:r>
      <w:r w:rsidRPr="00570614">
        <w:rPr>
          <w:rFonts w:ascii="Times New Roman" w:hAnsi="Times New Roman"/>
          <w:lang w:val="en-HK"/>
        </w:rPr>
        <w:t>:</w:t>
      </w:r>
    </w:p>
    <w:p w14:paraId="7249B764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90/364/EEC (Precursor to Directive 2004/38/EC):</w:t>
      </w:r>
      <w:r w:rsidRPr="00570614">
        <w:rPr>
          <w:rFonts w:ascii="Times New Roman" w:hAnsi="Times New Roman"/>
          <w:lang w:val="en-HK"/>
        </w:rPr>
        <w:t xml:space="preserve"> Established conditions for residence based on self-sufficiency and health insurance.</w:t>
      </w:r>
    </w:p>
    <w:p w14:paraId="110D7356" w14:textId="77777777" w:rsidR="00EA1886" w:rsidRPr="00570614" w:rsidRDefault="00EA1886" w:rsidP="00570614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C-413/99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Baumbast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4C0E7565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  <w:r w:rsidRPr="00570614">
        <w:rPr>
          <w:rFonts w:ascii="Times New Roman" w:hAnsi="Times New Roman"/>
          <w:lang w:val="en-HK"/>
        </w:rPr>
        <w:t xml:space="preserve"> A German national in the UK was denied residence due to </w:t>
      </w:r>
      <w:r w:rsidRPr="00570614">
        <w:rPr>
          <w:rFonts w:ascii="Times New Roman" w:hAnsi="Times New Roman"/>
          <w:b/>
          <w:bCs/>
          <w:lang w:val="en-HK"/>
        </w:rPr>
        <w:t>incomplete health insurance coverage.</w:t>
      </w:r>
    </w:p>
    <w:p w14:paraId="61BA84A6" w14:textId="548E375A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  <w:r w:rsidRPr="00570614">
        <w:rPr>
          <w:rFonts w:ascii="Times New Roman" w:hAnsi="Times New Roman"/>
          <w:lang w:val="en-HK"/>
        </w:rPr>
        <w:t xml:space="preserve"> The ECJ upheld residence rights based on </w:t>
      </w:r>
      <w:r w:rsidRPr="00570614">
        <w:rPr>
          <w:rFonts w:ascii="Times New Roman" w:hAnsi="Times New Roman"/>
          <w:b/>
          <w:bCs/>
          <w:lang w:val="en-HK"/>
        </w:rPr>
        <w:t>Art. 21 TFEU</w:t>
      </w:r>
      <w:r w:rsidRPr="00570614">
        <w:rPr>
          <w:rFonts w:ascii="Times New Roman" w:hAnsi="Times New Roman"/>
          <w:lang w:val="en-HK"/>
        </w:rPr>
        <w:t>, emphasi</w:t>
      </w:r>
      <w:r w:rsidR="00A602DC" w:rsidRPr="00570614">
        <w:rPr>
          <w:rFonts w:ascii="Times New Roman" w:hAnsi="Times New Roman"/>
          <w:lang w:val="en-HK"/>
        </w:rPr>
        <w:t>s</w:t>
      </w:r>
      <w:r w:rsidRPr="00570614">
        <w:rPr>
          <w:rFonts w:ascii="Times New Roman" w:hAnsi="Times New Roman"/>
          <w:lang w:val="en-HK"/>
        </w:rPr>
        <w:t xml:space="preserve">ing </w:t>
      </w:r>
      <w:r w:rsidRPr="00570614">
        <w:rPr>
          <w:rFonts w:ascii="Times New Roman" w:hAnsi="Times New Roman"/>
          <w:b/>
          <w:bCs/>
          <w:highlight w:val="yellow"/>
          <w:lang w:val="en-HK"/>
        </w:rPr>
        <w:t>proportionality</w:t>
      </w:r>
      <w:r w:rsidRPr="00570614">
        <w:rPr>
          <w:rFonts w:ascii="Times New Roman" w:hAnsi="Times New Roman"/>
          <w:lang w:val="en-HK"/>
        </w:rPr>
        <w:t xml:space="preserve"> in applying conditions.</w:t>
      </w:r>
    </w:p>
    <w:p w14:paraId="4B7FAFCB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  <w:r w:rsidRPr="00570614">
        <w:rPr>
          <w:rFonts w:ascii="Times New Roman" w:hAnsi="Times New Roman"/>
          <w:lang w:val="en-HK"/>
        </w:rPr>
        <w:t xml:space="preserve"> Proportionality requires balancing individual rights with public interest.</w:t>
      </w:r>
    </w:p>
    <w:p w14:paraId="7C87D04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Implication:</w:t>
      </w:r>
      <w:r w:rsidRPr="00570614">
        <w:rPr>
          <w:rFonts w:ascii="Times New Roman" w:hAnsi="Times New Roman"/>
          <w:lang w:val="en-HK"/>
        </w:rPr>
        <w:t xml:space="preserve"> Broadened the interpretation of free movement rights for economically inactive citizens.</w:t>
      </w:r>
    </w:p>
    <w:p w14:paraId="014DB286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2.2 Political Significance of Free Movement</w:t>
      </w:r>
    </w:p>
    <w:p w14:paraId="1CC66EDC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Free Movement as a Symbol</w:t>
      </w:r>
      <w:r w:rsidRPr="00570614">
        <w:rPr>
          <w:rFonts w:ascii="Times New Roman" w:hAnsi="Times New Roman"/>
          <w:lang w:val="en-HK"/>
        </w:rPr>
        <w:t>:</w:t>
      </w:r>
    </w:p>
    <w:p w14:paraId="0397BFE6" w14:textId="77777777" w:rsidR="00EA1886" w:rsidRPr="00570614" w:rsidRDefault="00EA1886" w:rsidP="00570614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lastRenderedPageBreak/>
        <w:t>Political controversies often misrepresent free movement as enabling "benefit tourism."</w:t>
      </w:r>
    </w:p>
    <w:p w14:paraId="6FA98E97" w14:textId="77777777" w:rsidR="00EA1886" w:rsidRPr="00570614" w:rsidRDefault="00EA1886" w:rsidP="00570614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Data from the </w:t>
      </w:r>
      <w:r w:rsidRPr="00570614">
        <w:rPr>
          <w:rFonts w:ascii="Times New Roman" w:hAnsi="Times New Roman"/>
          <w:b/>
          <w:bCs/>
          <w:lang w:val="en-HK"/>
        </w:rPr>
        <w:t>EU Commission Social Europe Quarterly Review (2013)</w:t>
      </w:r>
      <w:r w:rsidRPr="00570614">
        <w:rPr>
          <w:rFonts w:ascii="Times New Roman" w:hAnsi="Times New Roman"/>
          <w:lang w:val="en-HK"/>
        </w:rPr>
        <w:t xml:space="preserve"> shows most EU migrants are economically active (67.7% employment, 12.5% unemployment), countering myths of widespread welfare abuse.</w:t>
      </w:r>
    </w:p>
    <w:p w14:paraId="56D0299B" w14:textId="77777777" w:rsidR="00EA1886" w:rsidRPr="00570614" w:rsidRDefault="00EA1886" w:rsidP="00570614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Scholars emphasize free movement's symbolic value for EU integration and mobility beyond its economic impact.</w:t>
      </w:r>
    </w:p>
    <w:p w14:paraId="0AD91360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3027F04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C90B36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Scholarly Perspectives:</w:t>
      </w:r>
    </w:p>
    <w:p w14:paraId="6FBFFF70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Daniel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Thym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>:</w:t>
      </w:r>
      <w:r w:rsidRPr="00570614">
        <w:rPr>
          <w:rFonts w:ascii="Times New Roman" w:hAnsi="Times New Roman"/>
          <w:lang w:val="en-HK"/>
        </w:rPr>
        <w:t xml:space="preserve"> Critiques legal ambiguities in applying residence and equal treatment rights to economically inactive citizens. He highlights tensions between financial solidarity and the host state's discretion to limit access.</w:t>
      </w:r>
    </w:p>
    <w:p w14:paraId="33B77050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Nic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Shuibhne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>:</w:t>
      </w:r>
      <w:r w:rsidRPr="00570614">
        <w:rPr>
          <w:rFonts w:ascii="Times New Roman" w:hAnsi="Times New Roman"/>
          <w:lang w:val="en-HK"/>
        </w:rPr>
        <w:t xml:space="preserve"> Advocates reconciling EU free movement principles with Member States’ rights to protect their welfare systems.</w:t>
      </w:r>
    </w:p>
    <w:p w14:paraId="1F5C73D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570614">
        <w:rPr>
          <w:rFonts w:ascii="Times New Roman" w:hAnsi="Times New Roman"/>
          <w:b/>
          <w:bCs/>
          <w:lang w:val="en-HK"/>
        </w:rPr>
        <w:t>Kochenov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>:</w:t>
      </w:r>
      <w:r w:rsidRPr="00570614">
        <w:rPr>
          <w:rFonts w:ascii="Times New Roman" w:hAnsi="Times New Roman"/>
          <w:lang w:val="en-HK"/>
        </w:rPr>
        <w:t xml:space="preserve"> Views EU citizenship as a transformative status prioritizing integration over traditional notions of residence-based rights.</w:t>
      </w:r>
    </w:p>
    <w:p w14:paraId="61829DB5" w14:textId="3C1E5215" w:rsidR="009411DD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07388D9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FFF180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3. Setting the Scene: The Brey and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 xml:space="preserve"> Judgments</w:t>
      </w:r>
    </w:p>
    <w:p w14:paraId="47E0C16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This section examines the interplay between legislative instruments and case law regarding economically inactive EU citizens.</w:t>
      </w:r>
    </w:p>
    <w:p w14:paraId="1469A036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3.1 Deciphering the Legal Regime</w:t>
      </w:r>
    </w:p>
    <w:p w14:paraId="3333E5C6" w14:textId="77777777" w:rsidR="00EA1886" w:rsidRPr="00570614" w:rsidRDefault="00EA1886" w:rsidP="00570614">
      <w:pPr>
        <w:numPr>
          <w:ilvl w:val="0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C-140/12 Brey</w:t>
      </w:r>
      <w:r w:rsidRPr="00570614">
        <w:rPr>
          <w:rFonts w:ascii="Times New Roman" w:hAnsi="Times New Roman"/>
          <w:lang w:val="en-HK"/>
        </w:rPr>
        <w:t>:</w:t>
      </w:r>
    </w:p>
    <w:p w14:paraId="6902B29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</w:p>
    <w:p w14:paraId="27897C7B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A German couple living in Austria applied for a pension supplement classified under </w:t>
      </w:r>
      <w:r w:rsidRPr="00570614">
        <w:rPr>
          <w:rFonts w:ascii="Times New Roman" w:hAnsi="Times New Roman"/>
          <w:b/>
          <w:bCs/>
          <w:lang w:val="en-HK"/>
        </w:rPr>
        <w:t>Regulation 883/2004</w:t>
      </w:r>
      <w:r w:rsidRPr="00570614">
        <w:rPr>
          <w:rFonts w:ascii="Times New Roman" w:hAnsi="Times New Roman"/>
          <w:lang w:val="en-HK"/>
        </w:rPr>
        <w:t xml:space="preserve"> as a "special non-contributory benefit."</w:t>
      </w:r>
    </w:p>
    <w:p w14:paraId="607954AC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lastRenderedPageBreak/>
        <w:t xml:space="preserve">Austrian authorities argued they did not meet </w:t>
      </w:r>
      <w:r w:rsidRPr="00570614">
        <w:rPr>
          <w:rFonts w:ascii="Times New Roman" w:hAnsi="Times New Roman"/>
          <w:b/>
          <w:bCs/>
          <w:lang w:val="en-HK"/>
        </w:rPr>
        <w:t>Directive 2004/38/EC, Art. 7(1)(b)</w:t>
      </w:r>
      <w:r w:rsidRPr="00570614">
        <w:rPr>
          <w:rFonts w:ascii="Times New Roman" w:hAnsi="Times New Roman"/>
          <w:lang w:val="en-HK"/>
        </w:rPr>
        <w:t xml:space="preserve"> requirements for sufficient resources and thus lacked lawful residence.</w:t>
      </w:r>
    </w:p>
    <w:p w14:paraId="29B22A1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</w:p>
    <w:p w14:paraId="3305ABDE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The ECJ ruled that a pension supplement could qualify as "social assistance" under Directive 2004/38, distinct from its classification in </w:t>
      </w:r>
      <w:r w:rsidRPr="00570614">
        <w:rPr>
          <w:rFonts w:ascii="Times New Roman" w:hAnsi="Times New Roman"/>
          <w:b/>
          <w:bCs/>
          <w:lang w:val="en-HK"/>
        </w:rPr>
        <w:t>Regulation 883/2004</w:t>
      </w:r>
      <w:r w:rsidRPr="00570614">
        <w:rPr>
          <w:rFonts w:ascii="Times New Roman" w:hAnsi="Times New Roman"/>
          <w:lang w:val="en-HK"/>
        </w:rPr>
        <w:t>.</w:t>
      </w:r>
    </w:p>
    <w:p w14:paraId="7B9F329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</w:p>
    <w:p w14:paraId="2565E8D6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National authorities must perform a </w:t>
      </w:r>
      <w:r w:rsidRPr="00570614">
        <w:rPr>
          <w:rFonts w:ascii="Times New Roman" w:hAnsi="Times New Roman"/>
          <w:b/>
          <w:bCs/>
          <w:lang w:val="en-HK"/>
        </w:rPr>
        <w:t>proportionality test</w:t>
      </w:r>
      <w:r w:rsidRPr="00570614">
        <w:rPr>
          <w:rFonts w:ascii="Times New Roman" w:hAnsi="Times New Roman"/>
          <w:lang w:val="en-HK"/>
        </w:rPr>
        <w:t xml:space="preserve"> to evaluate whether receiving </w:t>
      </w:r>
      <w:r w:rsidRPr="00570614">
        <w:rPr>
          <w:rFonts w:ascii="Times New Roman" w:hAnsi="Times New Roman"/>
          <w:b/>
          <w:bCs/>
          <w:lang w:val="en-HK"/>
        </w:rPr>
        <w:t>social assistance constitutes an "unreasonable burden</w:t>
      </w:r>
      <w:r w:rsidRPr="00570614">
        <w:rPr>
          <w:rFonts w:ascii="Times New Roman" w:hAnsi="Times New Roman"/>
          <w:lang w:val="en-HK"/>
        </w:rPr>
        <w:t>."</w:t>
      </w:r>
    </w:p>
    <w:p w14:paraId="51A222F2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 (Art. 14(3))</w:t>
      </w:r>
      <w:r w:rsidRPr="00570614">
        <w:rPr>
          <w:rFonts w:ascii="Times New Roman" w:hAnsi="Times New Roman"/>
          <w:lang w:val="en-HK"/>
        </w:rPr>
        <w:t>: Residence should not automatically terminate due to temporary reliance on assistance.</w:t>
      </w:r>
    </w:p>
    <w:p w14:paraId="54238983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The ECJ emphasized the interaction between </w:t>
      </w:r>
      <w:r w:rsidRPr="00570614">
        <w:rPr>
          <w:rFonts w:ascii="Times New Roman" w:hAnsi="Times New Roman"/>
          <w:b/>
          <w:bCs/>
          <w:lang w:val="en-HK"/>
        </w:rPr>
        <w:t>Regulation 883/2004</w:t>
      </w:r>
      <w:r w:rsidRPr="00570614">
        <w:rPr>
          <w:rFonts w:ascii="Times New Roman" w:hAnsi="Times New Roman"/>
          <w:lang w:val="en-HK"/>
        </w:rPr>
        <w:t xml:space="preserve"> (social security) and </w:t>
      </w:r>
      <w:r w:rsidRPr="00570614">
        <w:rPr>
          <w:rFonts w:ascii="Times New Roman" w:hAnsi="Times New Roman"/>
          <w:b/>
          <w:bCs/>
          <w:lang w:val="en-HK"/>
        </w:rPr>
        <w:t>Directive 2004/38</w:t>
      </w:r>
      <w:r w:rsidRPr="00570614">
        <w:rPr>
          <w:rFonts w:ascii="Times New Roman" w:hAnsi="Times New Roman"/>
          <w:lang w:val="en-HK"/>
        </w:rPr>
        <w:t xml:space="preserve"> (residence rights), advocating case-by-case assessments.</w:t>
      </w:r>
    </w:p>
    <w:p w14:paraId="725F3A2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Implications:</w:t>
      </w:r>
      <w:r w:rsidRPr="00570614">
        <w:rPr>
          <w:rFonts w:ascii="Times New Roman" w:hAnsi="Times New Roman"/>
          <w:lang w:val="en-HK"/>
        </w:rPr>
        <w:t xml:space="preserve"> Established that conditions for free movement must be narrowly construed, supporting rights through individual assessments.</w:t>
      </w:r>
    </w:p>
    <w:p w14:paraId="4A46187F" w14:textId="77777777" w:rsidR="00EA1886" w:rsidRPr="00570614" w:rsidRDefault="00EA1886" w:rsidP="00570614">
      <w:pPr>
        <w:numPr>
          <w:ilvl w:val="0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C-333/13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7E269A6C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Facts:</w:t>
      </w:r>
    </w:p>
    <w:p w14:paraId="29FF1CB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Ms. </w:t>
      </w:r>
      <w:proofErr w:type="spellStart"/>
      <w:r w:rsidRPr="00570614">
        <w:rPr>
          <w:rFonts w:ascii="Times New Roman" w:hAnsi="Times New Roman"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>, a Romanian citizen residing in Germany, applied for subsistence benefits but lacked employment, professional training, and sufficient resources.</w:t>
      </w:r>
    </w:p>
    <w:p w14:paraId="3AFD7F8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Held:</w:t>
      </w:r>
    </w:p>
    <w:p w14:paraId="2A116EB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The ECJ denied her claim, emphasizing that she did not meet </w:t>
      </w:r>
      <w:r w:rsidRPr="00570614">
        <w:rPr>
          <w:rFonts w:ascii="Times New Roman" w:hAnsi="Times New Roman"/>
          <w:b/>
          <w:bCs/>
          <w:lang w:val="en-HK"/>
        </w:rPr>
        <w:t>Directive 2004/38, Art. 7(1)(b)</w:t>
      </w:r>
      <w:r w:rsidRPr="00570614">
        <w:rPr>
          <w:rFonts w:ascii="Times New Roman" w:hAnsi="Times New Roman"/>
          <w:lang w:val="en-HK"/>
        </w:rPr>
        <w:t xml:space="preserve"> conditions for lawful residence.</w:t>
      </w:r>
    </w:p>
    <w:p w14:paraId="79D0A60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Reasoning:</w:t>
      </w:r>
    </w:p>
    <w:p w14:paraId="547DAAE3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Economically inactive citizens cannot invoke </w:t>
      </w:r>
      <w:r w:rsidRPr="00570614">
        <w:rPr>
          <w:rFonts w:ascii="Times New Roman" w:hAnsi="Times New Roman"/>
          <w:b/>
          <w:bCs/>
          <w:lang w:val="en-HK"/>
        </w:rPr>
        <w:t>Article 18 TFEU (non-discrimination)</w:t>
      </w:r>
      <w:r w:rsidRPr="00570614">
        <w:rPr>
          <w:rFonts w:ascii="Times New Roman" w:hAnsi="Times New Roman"/>
          <w:lang w:val="en-HK"/>
        </w:rPr>
        <w:t xml:space="preserve"> unless they </w:t>
      </w:r>
      <w:proofErr w:type="spellStart"/>
      <w:r w:rsidRPr="00570614">
        <w:rPr>
          <w:rFonts w:ascii="Times New Roman" w:hAnsi="Times New Roman"/>
          <w:lang w:val="en-HK"/>
        </w:rPr>
        <w:t>fulfill</w:t>
      </w:r>
      <w:proofErr w:type="spellEnd"/>
      <w:r w:rsidRPr="00570614">
        <w:rPr>
          <w:rFonts w:ascii="Times New Roman" w:hAnsi="Times New Roman"/>
          <w:lang w:val="en-HK"/>
        </w:rPr>
        <w:t xml:space="preserve"> residence requirements.</w:t>
      </w:r>
    </w:p>
    <w:p w14:paraId="7411B295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lastRenderedPageBreak/>
        <w:t>The ECJ stressed preventing individuals from becoming a burden on host welfare systems.</w:t>
      </w:r>
    </w:p>
    <w:p w14:paraId="65FD0273" w14:textId="77777777" w:rsidR="00EA1886" w:rsidRPr="00570614" w:rsidRDefault="00EA1886" w:rsidP="00570614">
      <w:pPr>
        <w:numPr>
          <w:ilvl w:val="2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Contrasted with Brey by prioritizing systemic state concerns over individual rights.</w:t>
      </w:r>
    </w:p>
    <w:p w14:paraId="3653ED70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Implications:</w:t>
      </w:r>
      <w:r w:rsidRPr="00570614">
        <w:rPr>
          <w:rFonts w:ascii="Times New Roman" w:hAnsi="Times New Roman"/>
          <w:lang w:val="en-HK"/>
        </w:rPr>
        <w:t xml:space="preserve"> Shifted focus to protecting national welfare systems, limiting economically inactive citizens' access to equal treatment.</w:t>
      </w:r>
    </w:p>
    <w:p w14:paraId="4CC8BE99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256394B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44D669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3.2 Equal Treatment and Residence Rights</w:t>
      </w:r>
    </w:p>
    <w:p w14:paraId="07E26A6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 (Art. 24(1))</w:t>
      </w:r>
      <w:r w:rsidRPr="00570614">
        <w:rPr>
          <w:rFonts w:ascii="Times New Roman" w:hAnsi="Times New Roman"/>
          <w:lang w:val="en-HK"/>
        </w:rPr>
        <w:t>: Ensures equal treatment for citizens lawfully residing in a host Member State.</w:t>
      </w:r>
    </w:p>
    <w:p w14:paraId="1418358E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C-184/99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Grzelczyk</w:t>
      </w:r>
      <w:proofErr w:type="spellEnd"/>
      <w:r w:rsidRPr="00570614">
        <w:rPr>
          <w:rFonts w:ascii="Times New Roman" w:hAnsi="Times New Roman"/>
          <w:lang w:val="en-HK"/>
        </w:rPr>
        <w:t xml:space="preserve"> and </w:t>
      </w:r>
      <w:r w:rsidRPr="00570614">
        <w:rPr>
          <w:rFonts w:ascii="Times New Roman" w:hAnsi="Times New Roman"/>
          <w:b/>
          <w:bCs/>
          <w:lang w:val="en-HK"/>
        </w:rPr>
        <w:t>C-209/03 Bidar</w:t>
      </w:r>
      <w:r w:rsidRPr="00570614">
        <w:rPr>
          <w:rFonts w:ascii="Times New Roman" w:hAnsi="Times New Roman"/>
          <w:lang w:val="en-HK"/>
        </w:rPr>
        <w:t>: Allowed benefits for citizens with "a certain degree of integration."</w:t>
      </w:r>
    </w:p>
    <w:p w14:paraId="7FCB370A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Brey vs.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320B6C26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Brey emphasized </w:t>
      </w:r>
      <w:r w:rsidRPr="00570614">
        <w:rPr>
          <w:rFonts w:ascii="Times New Roman" w:hAnsi="Times New Roman"/>
          <w:b/>
          <w:bCs/>
          <w:lang w:val="en-HK"/>
        </w:rPr>
        <w:t>individual proportionality tests</w:t>
      </w:r>
      <w:r w:rsidRPr="00570614">
        <w:rPr>
          <w:rFonts w:ascii="Times New Roman" w:hAnsi="Times New Roman"/>
          <w:lang w:val="en-HK"/>
        </w:rPr>
        <w:t>.</w:t>
      </w:r>
    </w:p>
    <w:p w14:paraId="7B40CED5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570614">
        <w:rPr>
          <w:rFonts w:ascii="Times New Roman" w:hAnsi="Times New Roman"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 xml:space="preserve"> highlighted </w:t>
      </w:r>
      <w:r w:rsidRPr="00570614">
        <w:rPr>
          <w:rFonts w:ascii="Times New Roman" w:hAnsi="Times New Roman"/>
          <w:b/>
          <w:bCs/>
          <w:lang w:val="en-HK"/>
        </w:rPr>
        <w:t>systemic exclusion</w:t>
      </w:r>
      <w:r w:rsidRPr="00570614">
        <w:rPr>
          <w:rFonts w:ascii="Times New Roman" w:hAnsi="Times New Roman"/>
          <w:lang w:val="en-HK"/>
        </w:rPr>
        <w:t xml:space="preserve"> for citizens not meeting residence requirements.</w:t>
      </w:r>
    </w:p>
    <w:p w14:paraId="004BCA34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784C2EE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98D3ED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3.3 Residence Rights under Article 21 TFEU</w:t>
      </w:r>
    </w:p>
    <w:p w14:paraId="60071D4A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C-413/99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Baumbast</w:t>
      </w:r>
      <w:proofErr w:type="spellEnd"/>
      <w:r w:rsidRPr="00570614">
        <w:rPr>
          <w:rFonts w:ascii="Times New Roman" w:hAnsi="Times New Roman"/>
          <w:lang w:val="en-HK"/>
        </w:rPr>
        <w:t>: Proportionality must balance conditions for residence against individual rights.</w:t>
      </w:r>
    </w:p>
    <w:p w14:paraId="0BFB8138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 Recital 16</w:t>
      </w:r>
      <w:r w:rsidRPr="00570614">
        <w:rPr>
          <w:rFonts w:ascii="Times New Roman" w:hAnsi="Times New Roman"/>
          <w:lang w:val="en-HK"/>
        </w:rPr>
        <w:t>: Residence depends on not becoming an "unreasonable burden."</w:t>
      </w:r>
    </w:p>
    <w:p w14:paraId="4A98F2F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Key Difference</w:t>
      </w:r>
      <w:r w:rsidRPr="00570614">
        <w:rPr>
          <w:rFonts w:ascii="Times New Roman" w:hAnsi="Times New Roman"/>
          <w:lang w:val="en-HK"/>
        </w:rPr>
        <w:t>:</w:t>
      </w:r>
    </w:p>
    <w:p w14:paraId="68AD1131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Brey applied </w:t>
      </w:r>
      <w:r w:rsidRPr="00570614">
        <w:rPr>
          <w:rFonts w:ascii="Times New Roman" w:hAnsi="Times New Roman"/>
          <w:b/>
          <w:bCs/>
          <w:lang w:val="en-HK"/>
        </w:rPr>
        <w:t>proportionality</w:t>
      </w:r>
      <w:r w:rsidRPr="00570614">
        <w:rPr>
          <w:rFonts w:ascii="Times New Roman" w:hAnsi="Times New Roman"/>
          <w:lang w:val="en-HK"/>
        </w:rPr>
        <w:t xml:space="preserve"> to expand individual rights.</w:t>
      </w:r>
    </w:p>
    <w:p w14:paraId="5279787D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570614">
        <w:rPr>
          <w:rFonts w:ascii="Times New Roman" w:hAnsi="Times New Roman"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 xml:space="preserve"> narrowed rights, emphasizing state discretion to limit free movement.</w:t>
      </w:r>
    </w:p>
    <w:p w14:paraId="19103EA3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1DB138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3FA3EC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lastRenderedPageBreak/>
        <w:t>4. Measuring the Impact on Social Assistance Systems</w:t>
      </w:r>
    </w:p>
    <w:p w14:paraId="67804AC1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This section discusses methods to assess whether economically inactive citizens impose an "unreasonable burden."</w:t>
      </w:r>
    </w:p>
    <w:p w14:paraId="3FC0CCE4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4.1 Two Alternative Standards</w:t>
      </w:r>
    </w:p>
    <w:p w14:paraId="62812D8E" w14:textId="77777777" w:rsidR="00EA1886" w:rsidRPr="00570614" w:rsidRDefault="00EA1886" w:rsidP="00570614">
      <w:pPr>
        <w:numPr>
          <w:ilvl w:val="0"/>
          <w:numId w:val="1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Systemic Evaluation:</w:t>
      </w:r>
    </w:p>
    <w:p w14:paraId="10BD7B8D" w14:textId="0A900F1D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Focuses on </w:t>
      </w:r>
      <w:r w:rsidR="00A602DC" w:rsidRPr="00570614">
        <w:rPr>
          <w:rFonts w:ascii="Times New Roman" w:hAnsi="Times New Roman"/>
          <w:lang w:val="en-HK"/>
        </w:rPr>
        <w:t xml:space="preserve">the </w:t>
      </w:r>
      <w:r w:rsidRPr="00570614">
        <w:rPr>
          <w:rFonts w:ascii="Times New Roman" w:hAnsi="Times New Roman"/>
          <w:b/>
          <w:bCs/>
          <w:lang w:val="en-HK"/>
        </w:rPr>
        <w:t>financial sustainability</w:t>
      </w:r>
      <w:r w:rsidRPr="00570614">
        <w:rPr>
          <w:rFonts w:ascii="Times New Roman" w:hAnsi="Times New Roman"/>
          <w:lang w:val="en-HK"/>
        </w:rPr>
        <w:t xml:space="preserve"> of welfare systems.</w:t>
      </w:r>
    </w:p>
    <w:p w14:paraId="50399754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C-209/03 Bidar</w:t>
      </w:r>
      <w:r w:rsidRPr="00570614">
        <w:rPr>
          <w:rFonts w:ascii="Times New Roman" w:hAnsi="Times New Roman"/>
          <w:lang w:val="en-HK"/>
        </w:rPr>
        <w:t>:</w:t>
      </w:r>
    </w:p>
    <w:p w14:paraId="4C6F59D1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Access to benefits must not undermine the host state's overall assistance capacity.</w:t>
      </w:r>
    </w:p>
    <w:p w14:paraId="66D57AC5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C-73/08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Bressol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26D3BB39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Restrictions are justified if supported by solid evidence showing systemic risks.</w:t>
      </w:r>
    </w:p>
    <w:p w14:paraId="23C2438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Implications:</w:t>
      </w:r>
      <w:r w:rsidRPr="00570614">
        <w:rPr>
          <w:rFonts w:ascii="Times New Roman" w:hAnsi="Times New Roman"/>
          <w:lang w:val="en-HK"/>
        </w:rPr>
        <w:t xml:space="preserve"> Encourages restrictive measures to protect state finances.</w:t>
      </w:r>
    </w:p>
    <w:p w14:paraId="6EA4CF34" w14:textId="77777777" w:rsidR="00EA1886" w:rsidRPr="00570614" w:rsidRDefault="00EA1886" w:rsidP="00570614">
      <w:pPr>
        <w:numPr>
          <w:ilvl w:val="0"/>
          <w:numId w:val="1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Individual Assessment:</w:t>
      </w:r>
    </w:p>
    <w:p w14:paraId="43ADFD3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Considers </w:t>
      </w:r>
      <w:r w:rsidRPr="00570614">
        <w:rPr>
          <w:rFonts w:ascii="Times New Roman" w:hAnsi="Times New Roman"/>
          <w:b/>
          <w:bCs/>
          <w:lang w:val="en-HK"/>
        </w:rPr>
        <w:t>personal circumstances</w:t>
      </w:r>
      <w:r w:rsidRPr="00570614">
        <w:rPr>
          <w:rFonts w:ascii="Times New Roman" w:hAnsi="Times New Roman"/>
          <w:lang w:val="en-HK"/>
        </w:rPr>
        <w:t xml:space="preserve"> of the applicant.</w:t>
      </w:r>
    </w:p>
    <w:p w14:paraId="04D73205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C-140/12 Brey</w:t>
      </w:r>
      <w:r w:rsidRPr="00570614">
        <w:rPr>
          <w:rFonts w:ascii="Times New Roman" w:hAnsi="Times New Roman"/>
          <w:lang w:val="en-HK"/>
        </w:rPr>
        <w:t>:</w:t>
      </w:r>
    </w:p>
    <w:p w14:paraId="4EA6AEE6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Proportionality requires evaluating the amount of assistance, duration of residence, and personal integration.</w:t>
      </w:r>
    </w:p>
    <w:p w14:paraId="6B909986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 (Art. 8(4))</w:t>
      </w:r>
      <w:r w:rsidRPr="00570614">
        <w:rPr>
          <w:rFonts w:ascii="Times New Roman" w:hAnsi="Times New Roman"/>
          <w:lang w:val="en-HK"/>
        </w:rPr>
        <w:t>: Requires individual assessment before termination of residence.</w:t>
      </w:r>
    </w:p>
    <w:p w14:paraId="255EA011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Implications:</w:t>
      </w:r>
      <w:r w:rsidRPr="00570614">
        <w:rPr>
          <w:rFonts w:ascii="Times New Roman" w:hAnsi="Times New Roman"/>
          <w:lang w:val="en-HK"/>
        </w:rPr>
        <w:t xml:space="preserve"> Supports nuanced, case-specific determinations.</w:t>
      </w:r>
    </w:p>
    <w:p w14:paraId="3A2F85B7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32C3116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999A4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4.2 Towards Interpretative Coherence</w:t>
      </w:r>
    </w:p>
    <w:p w14:paraId="72F81273" w14:textId="77777777" w:rsidR="00EA1886" w:rsidRPr="00570614" w:rsidRDefault="00EA1886" w:rsidP="00570614">
      <w:pPr>
        <w:numPr>
          <w:ilvl w:val="0"/>
          <w:numId w:val="1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A </w:t>
      </w:r>
      <w:r w:rsidRPr="00570614">
        <w:rPr>
          <w:rFonts w:ascii="Times New Roman" w:hAnsi="Times New Roman"/>
          <w:b/>
          <w:bCs/>
          <w:lang w:val="en-HK"/>
        </w:rPr>
        <w:t>mixed approach</w:t>
      </w:r>
      <w:r w:rsidRPr="00570614">
        <w:rPr>
          <w:rFonts w:ascii="Times New Roman" w:hAnsi="Times New Roman"/>
          <w:lang w:val="en-HK"/>
        </w:rPr>
        <w:t xml:space="preserve"> blending systemic and individual assessments is proposed.</w:t>
      </w:r>
    </w:p>
    <w:p w14:paraId="31E8B8DE" w14:textId="50045E73" w:rsidR="00EA1886" w:rsidRPr="00570614" w:rsidRDefault="00EA1886" w:rsidP="00570614">
      <w:pPr>
        <w:numPr>
          <w:ilvl w:val="0"/>
          <w:numId w:val="1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Brey advocated </w:t>
      </w:r>
      <w:r w:rsidRPr="00570614">
        <w:rPr>
          <w:rFonts w:ascii="Times New Roman" w:hAnsi="Times New Roman"/>
          <w:b/>
          <w:bCs/>
          <w:lang w:val="en-HK"/>
        </w:rPr>
        <w:t>proportionality</w:t>
      </w:r>
      <w:r w:rsidRPr="00570614">
        <w:rPr>
          <w:rFonts w:ascii="Times New Roman" w:hAnsi="Times New Roman"/>
          <w:lang w:val="en-HK"/>
        </w:rPr>
        <w:t xml:space="preserve">, while </w:t>
      </w:r>
      <w:proofErr w:type="spellStart"/>
      <w:r w:rsidRPr="00570614">
        <w:rPr>
          <w:rFonts w:ascii="Times New Roman" w:hAnsi="Times New Roman"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 xml:space="preserve"> emphasi</w:t>
      </w:r>
      <w:r w:rsidR="00A602DC" w:rsidRPr="00570614">
        <w:rPr>
          <w:rFonts w:ascii="Times New Roman" w:hAnsi="Times New Roman"/>
          <w:lang w:val="en-HK"/>
        </w:rPr>
        <w:t>s</w:t>
      </w:r>
      <w:r w:rsidRPr="00570614">
        <w:rPr>
          <w:rFonts w:ascii="Times New Roman" w:hAnsi="Times New Roman"/>
          <w:lang w:val="en-HK"/>
        </w:rPr>
        <w:t xml:space="preserve">ed </w:t>
      </w:r>
      <w:r w:rsidRPr="00570614">
        <w:rPr>
          <w:rFonts w:ascii="Times New Roman" w:hAnsi="Times New Roman"/>
          <w:b/>
          <w:bCs/>
          <w:lang w:val="en-HK"/>
        </w:rPr>
        <w:t>systemic protection</w:t>
      </w:r>
      <w:r w:rsidRPr="00570614">
        <w:rPr>
          <w:rFonts w:ascii="Times New Roman" w:hAnsi="Times New Roman"/>
          <w:lang w:val="en-HK"/>
        </w:rPr>
        <w:t>.</w:t>
      </w:r>
    </w:p>
    <w:p w14:paraId="4808F67D" w14:textId="77777777" w:rsidR="00EA1886" w:rsidRPr="00570614" w:rsidRDefault="00EA1886" w:rsidP="00570614">
      <w:pPr>
        <w:numPr>
          <w:ilvl w:val="0"/>
          <w:numId w:val="1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lastRenderedPageBreak/>
        <w:t>Scholarly Views</w:t>
      </w:r>
      <w:r w:rsidRPr="00570614">
        <w:rPr>
          <w:rFonts w:ascii="Times New Roman" w:hAnsi="Times New Roman"/>
          <w:lang w:val="en-HK"/>
        </w:rPr>
        <w:t>:</w:t>
      </w:r>
    </w:p>
    <w:p w14:paraId="1AE4EB16" w14:textId="77777777" w:rsidR="00EA1886" w:rsidRPr="00570614" w:rsidRDefault="00EA1886" w:rsidP="00570614">
      <w:pPr>
        <w:numPr>
          <w:ilvl w:val="1"/>
          <w:numId w:val="17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570614">
        <w:rPr>
          <w:rFonts w:ascii="Times New Roman" w:hAnsi="Times New Roman"/>
          <w:lang w:val="en-HK"/>
        </w:rPr>
        <w:t>Thym</w:t>
      </w:r>
      <w:proofErr w:type="spellEnd"/>
      <w:r w:rsidRPr="00570614">
        <w:rPr>
          <w:rFonts w:ascii="Times New Roman" w:hAnsi="Times New Roman"/>
          <w:lang w:val="en-HK"/>
        </w:rPr>
        <w:t xml:space="preserve"> supports individual assessments, cautioning against over-restrictive systemic measures.</w:t>
      </w:r>
    </w:p>
    <w:p w14:paraId="5B1B5E04" w14:textId="77777777" w:rsidR="00EA1886" w:rsidRPr="00570614" w:rsidRDefault="00EA1886" w:rsidP="00570614">
      <w:pPr>
        <w:numPr>
          <w:ilvl w:val="1"/>
          <w:numId w:val="1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Critics argue systemic tests risk undermining free movement principles.</w:t>
      </w:r>
    </w:p>
    <w:p w14:paraId="43F2B40B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007F2D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F1D5BF" w14:textId="77777777" w:rsidR="00EA1886" w:rsidRPr="00570614" w:rsidRDefault="00EA1886" w:rsidP="00570614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5. Conceptual Implications</w:t>
      </w:r>
    </w:p>
    <w:p w14:paraId="68A1F2BA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This section </w:t>
      </w:r>
      <w:proofErr w:type="spellStart"/>
      <w:r w:rsidRPr="00570614">
        <w:rPr>
          <w:rFonts w:ascii="Times New Roman" w:hAnsi="Times New Roman"/>
          <w:lang w:val="en-HK"/>
        </w:rPr>
        <w:t>analyzes</w:t>
      </w:r>
      <w:proofErr w:type="spellEnd"/>
      <w:r w:rsidRPr="00570614">
        <w:rPr>
          <w:rFonts w:ascii="Times New Roman" w:hAnsi="Times New Roman"/>
          <w:lang w:val="en-HK"/>
        </w:rPr>
        <w:t xml:space="preserve"> the theoretical underpinnings of EU solidarity and the relationship between individuals and host states.</w:t>
      </w:r>
    </w:p>
    <w:p w14:paraId="27E9AA74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5.1 Residence Model</w:t>
      </w:r>
    </w:p>
    <w:p w14:paraId="4A3CF8A9" w14:textId="78E49E09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Principle:</w:t>
      </w:r>
      <w:r w:rsidRPr="00570614">
        <w:rPr>
          <w:rFonts w:ascii="Times New Roman" w:hAnsi="Times New Roman"/>
          <w:lang w:val="en-HK"/>
        </w:rPr>
        <w:t xml:space="preserve"> </w:t>
      </w:r>
      <w:r w:rsidRPr="00570614">
        <w:rPr>
          <w:rFonts w:ascii="Times New Roman" w:hAnsi="Times New Roman"/>
          <w:b/>
          <w:bCs/>
          <w:lang w:val="en-HK"/>
        </w:rPr>
        <w:t>Equal treatment</w:t>
      </w:r>
      <w:r w:rsidRPr="00570614">
        <w:rPr>
          <w:rFonts w:ascii="Times New Roman" w:hAnsi="Times New Roman"/>
          <w:lang w:val="en-HK"/>
        </w:rPr>
        <w:t xml:space="preserve"> based on </w:t>
      </w:r>
      <w:r w:rsidRPr="00570614">
        <w:rPr>
          <w:rFonts w:ascii="Times New Roman" w:hAnsi="Times New Roman"/>
          <w:b/>
          <w:bCs/>
          <w:lang w:val="en-HK"/>
        </w:rPr>
        <w:t>territorial presence</w:t>
      </w:r>
      <w:r w:rsidRPr="00570614">
        <w:rPr>
          <w:rFonts w:ascii="Times New Roman" w:hAnsi="Times New Roman"/>
          <w:lang w:val="en-HK"/>
        </w:rPr>
        <w:t>.</w:t>
      </w:r>
    </w:p>
    <w:p w14:paraId="25C5A14F" w14:textId="4C251A19" w:rsidR="00570614" w:rsidRPr="00570614" w:rsidRDefault="00570614" w:rsidP="00570614">
      <w:pPr>
        <w:pStyle w:val="FootnoteText"/>
        <w:spacing w:before="240" w:after="240" w:line="360" w:lineRule="auto"/>
        <w:rPr>
          <w:rFonts w:ascii="Times New Roman" w:hAnsi="Times New Roman"/>
          <w:sz w:val="24"/>
          <w:szCs w:val="24"/>
          <w:lang w:val="en-US"/>
        </w:rPr>
      </w:pPr>
      <w:r w:rsidRPr="00570614">
        <w:rPr>
          <w:rStyle w:val="Strong"/>
          <w:rFonts w:ascii="Times New Roman" w:eastAsiaTheme="majorEastAsia" w:hAnsi="Times New Roman"/>
          <w:sz w:val="24"/>
          <w:szCs w:val="24"/>
        </w:rPr>
        <w:t>Equal treatment based on territorial presence</w:t>
      </w:r>
      <w:r w:rsidRPr="00570614">
        <w:rPr>
          <w:rFonts w:ascii="Times New Roman" w:hAnsi="Times New Roman"/>
          <w:sz w:val="24"/>
          <w:szCs w:val="24"/>
        </w:rPr>
        <w:t xml:space="preserve"> refers to the principle that</w:t>
      </w:r>
      <w:r w:rsidRPr="00570614">
        <w:rPr>
          <w:rFonts w:ascii="Times New Roman" w:hAnsi="Times New Roman"/>
          <w:b/>
          <w:bCs/>
          <w:sz w:val="24"/>
          <w:szCs w:val="24"/>
        </w:rPr>
        <w:t xml:space="preserve"> individuals physically residing in a Member State are entitled to the same treatment</w:t>
      </w:r>
      <w:r w:rsidRPr="00570614">
        <w:rPr>
          <w:rFonts w:ascii="Times New Roman" w:hAnsi="Times New Roman"/>
          <w:sz w:val="24"/>
          <w:szCs w:val="24"/>
        </w:rPr>
        <w:t xml:space="preserve"> as nationals of that state, simply by virtue of their presence there.</w:t>
      </w:r>
    </w:p>
    <w:p w14:paraId="743C90F5" w14:textId="77777777" w:rsidR="00570614" w:rsidRPr="00570614" w:rsidRDefault="00570614" w:rsidP="00570614">
      <w:pPr>
        <w:numPr>
          <w:ilvl w:val="0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Legal Basis:</w:t>
      </w:r>
    </w:p>
    <w:p w14:paraId="5292094E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Directive 2004/38/EC Recital 20 and Article 24(1):</w:t>
      </w:r>
      <w:r w:rsidRPr="00570614">
        <w:rPr>
          <w:rFonts w:ascii="Times New Roman" w:hAnsi="Times New Roman"/>
          <w:lang w:val="en-HK"/>
        </w:rPr>
        <w:t xml:space="preserve"> Citizens lawfully residing in a host Member State are entitled to equal treatment.</w:t>
      </w:r>
    </w:p>
    <w:p w14:paraId="477BCA61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C-140/12 Brey:</w:t>
      </w:r>
      <w:r w:rsidRPr="00570614">
        <w:rPr>
          <w:rFonts w:ascii="Times New Roman" w:hAnsi="Times New Roman"/>
          <w:lang w:val="en-HK"/>
        </w:rPr>
        <w:t xml:space="preserve"> Territorial presence was considered significant, but the proportionality principle allowed for exclusions when necessary to avoid an "unreasonable burden."</w:t>
      </w:r>
    </w:p>
    <w:p w14:paraId="730FCB4B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C-184/99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Grzelczyk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>:</w:t>
      </w:r>
      <w:r w:rsidRPr="00570614">
        <w:rPr>
          <w:rFonts w:ascii="Times New Roman" w:hAnsi="Times New Roman"/>
          <w:lang w:val="en-HK"/>
        </w:rPr>
        <w:t xml:space="preserve"> The ECJ emphasized that EU citizens lawfully residing in another Member State could rely on equal treatment, reflecting a reliance on territorial presence as a basis for rights.</w:t>
      </w:r>
    </w:p>
    <w:p w14:paraId="3FF6F734" w14:textId="77777777" w:rsidR="00570614" w:rsidRPr="00570614" w:rsidRDefault="00570614" w:rsidP="00570614">
      <w:pPr>
        <w:numPr>
          <w:ilvl w:val="0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Implications of Territorial Presence:</w:t>
      </w:r>
    </w:p>
    <w:p w14:paraId="50E2B25C" w14:textId="77777777" w:rsidR="00570614" w:rsidRPr="00570614" w:rsidRDefault="00570614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Pros:</w:t>
      </w:r>
    </w:p>
    <w:p w14:paraId="58B095B1" w14:textId="2E032D74" w:rsidR="00570614" w:rsidRPr="00570614" w:rsidRDefault="00570614" w:rsidP="00570614">
      <w:pPr>
        <w:pStyle w:val="ListParagraph"/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lastRenderedPageBreak/>
        <w:t xml:space="preserve">Aligns with the principle of free movement under </w:t>
      </w:r>
      <w:r w:rsidRPr="00570614">
        <w:rPr>
          <w:rFonts w:ascii="Times New Roman" w:hAnsi="Times New Roman"/>
          <w:b/>
          <w:bCs/>
          <w:lang w:val="en-HK"/>
        </w:rPr>
        <w:t>Article 21 TFEU</w:t>
      </w:r>
      <w:r w:rsidRPr="00570614">
        <w:rPr>
          <w:rFonts w:ascii="Times New Roman" w:hAnsi="Times New Roman"/>
          <w:lang w:val="en-HK"/>
        </w:rPr>
        <w:t>, promoting mobility and access to rights for all EU citizens.</w:t>
      </w:r>
    </w:p>
    <w:p w14:paraId="096B7D8C" w14:textId="7A512015" w:rsidR="00570614" w:rsidRPr="00570614" w:rsidRDefault="00570614" w:rsidP="00570614">
      <w:pPr>
        <w:pStyle w:val="ListParagraph"/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Strengthens the idea of a unified EU citizenship where borders within the Union are less relevant.</w:t>
      </w:r>
    </w:p>
    <w:p w14:paraId="7BBC256B" w14:textId="77777777" w:rsidR="00570614" w:rsidRPr="00570614" w:rsidRDefault="00570614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Cons:</w:t>
      </w:r>
    </w:p>
    <w:p w14:paraId="7BF47799" w14:textId="77777777" w:rsidR="00570614" w:rsidRPr="00570614" w:rsidRDefault="00570614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Risks creating disproportionate financial burdens for host Member States, particularly if economically inactive citizens rely on social assistance without integration.</w:t>
      </w:r>
    </w:p>
    <w:p w14:paraId="6C9D20D7" w14:textId="77777777" w:rsidR="00570614" w:rsidRPr="00570614" w:rsidRDefault="00570614" w:rsidP="00570614">
      <w:pPr>
        <w:numPr>
          <w:ilvl w:val="0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Critiques and Contrasts:</w:t>
      </w:r>
    </w:p>
    <w:p w14:paraId="6301C679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Critics argue that </w:t>
      </w:r>
      <w:r w:rsidRPr="00570614">
        <w:rPr>
          <w:rFonts w:ascii="Times New Roman" w:hAnsi="Times New Roman"/>
          <w:b/>
          <w:bCs/>
          <w:lang w:val="en-HK"/>
        </w:rPr>
        <w:t>equal treatment based solely on territorial presence</w:t>
      </w:r>
      <w:r w:rsidRPr="00570614">
        <w:rPr>
          <w:rFonts w:ascii="Times New Roman" w:hAnsi="Times New Roman"/>
          <w:lang w:val="en-HK"/>
        </w:rPr>
        <w:t xml:space="preserve"> is unsustainable, as it disregards the need for integration or contribution to the host society.</w:t>
      </w:r>
    </w:p>
    <w:p w14:paraId="5627FF39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 xml:space="preserve">The </w:t>
      </w:r>
      <w:r w:rsidRPr="00570614">
        <w:rPr>
          <w:rFonts w:ascii="Times New Roman" w:hAnsi="Times New Roman"/>
          <w:b/>
          <w:bCs/>
          <w:lang w:val="en-HK"/>
        </w:rPr>
        <w:t>integration model</w:t>
      </w:r>
      <w:r w:rsidRPr="00570614">
        <w:rPr>
          <w:rFonts w:ascii="Times New Roman" w:hAnsi="Times New Roman"/>
          <w:lang w:val="en-HK"/>
        </w:rPr>
        <w:t xml:space="preserve"> contrasts this by tying rights to active participation and societal contributions, as in </w:t>
      </w:r>
      <w:r w:rsidRPr="00570614">
        <w:rPr>
          <w:rFonts w:ascii="Times New Roman" w:hAnsi="Times New Roman"/>
          <w:b/>
          <w:bCs/>
          <w:lang w:val="en-HK"/>
        </w:rPr>
        <w:t xml:space="preserve">Case C-333/13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>, where territorial presence alone was insufficient for equal treatment.</w:t>
      </w:r>
    </w:p>
    <w:p w14:paraId="577723CB" w14:textId="77777777" w:rsidR="00570614" w:rsidRPr="00570614" w:rsidRDefault="00570614" w:rsidP="00570614">
      <w:pPr>
        <w:numPr>
          <w:ilvl w:val="0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Examples:</w:t>
      </w:r>
    </w:p>
    <w:p w14:paraId="10A506C7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A student lawfully residing in a Member State might claim access to social benefits or loans (</w:t>
      </w:r>
      <w:r w:rsidRPr="00570614">
        <w:rPr>
          <w:rFonts w:ascii="Times New Roman" w:hAnsi="Times New Roman"/>
          <w:b/>
          <w:bCs/>
          <w:lang w:val="en-HK"/>
        </w:rPr>
        <w:t>Bidar</w:t>
      </w:r>
      <w:r w:rsidRPr="00570614">
        <w:rPr>
          <w:rFonts w:ascii="Times New Roman" w:hAnsi="Times New Roman"/>
          <w:lang w:val="en-HK"/>
        </w:rPr>
        <w:t>), emphasizing residence as the qualifying factor.</w:t>
      </w:r>
    </w:p>
    <w:p w14:paraId="2601C694" w14:textId="77777777" w:rsidR="00570614" w:rsidRPr="00570614" w:rsidRDefault="00570614" w:rsidP="00570614">
      <w:pPr>
        <w:numPr>
          <w:ilvl w:val="1"/>
          <w:numId w:val="2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Conversely, an economically inactive person relying solely on social assistance without integration (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lang w:val="en-HK"/>
        </w:rPr>
        <w:t>) might face exclusions, challenging the scope of territorial presence.</w:t>
      </w:r>
    </w:p>
    <w:p w14:paraId="3493EA7E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2A01713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97BBE4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5.2 Integration Model</w:t>
      </w:r>
    </w:p>
    <w:p w14:paraId="3D0FE4AF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Principle:</w:t>
      </w:r>
      <w:r w:rsidRPr="00570614">
        <w:rPr>
          <w:rFonts w:ascii="Times New Roman" w:hAnsi="Times New Roman"/>
          <w:lang w:val="en-HK"/>
        </w:rPr>
        <w:t xml:space="preserve"> </w:t>
      </w:r>
      <w:r w:rsidRPr="00570614">
        <w:rPr>
          <w:rFonts w:ascii="Times New Roman" w:hAnsi="Times New Roman"/>
          <w:b/>
          <w:bCs/>
          <w:lang w:val="en-HK"/>
        </w:rPr>
        <w:t>Equal treatment conditional on societal contributions</w:t>
      </w:r>
      <w:r w:rsidRPr="00570614">
        <w:rPr>
          <w:rFonts w:ascii="Times New Roman" w:hAnsi="Times New Roman"/>
          <w:lang w:val="en-HK"/>
        </w:rPr>
        <w:t xml:space="preserve"> and integration.</w:t>
      </w:r>
    </w:p>
    <w:p w14:paraId="25C4D2A9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 xml:space="preserve">Case C-158/07 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Förster</w:t>
      </w:r>
      <w:proofErr w:type="spellEnd"/>
      <w:r w:rsidRPr="00570614">
        <w:rPr>
          <w:rFonts w:ascii="Times New Roman" w:hAnsi="Times New Roman"/>
          <w:lang w:val="en-HK"/>
        </w:rPr>
        <w:t>:</w:t>
      </w:r>
    </w:p>
    <w:p w14:paraId="0AD2630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Restricted access to student benefits without sufficient integration.</w:t>
      </w:r>
    </w:p>
    <w:p w14:paraId="442CED63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Case C-325/09 Dias</w:t>
      </w:r>
      <w:r w:rsidRPr="00570614">
        <w:rPr>
          <w:rFonts w:ascii="Times New Roman" w:hAnsi="Times New Roman"/>
          <w:lang w:val="en-HK"/>
        </w:rPr>
        <w:t>:</w:t>
      </w:r>
    </w:p>
    <w:p w14:paraId="0A9BC882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lastRenderedPageBreak/>
        <w:t>Stressed qualitative factors (e.g., integration into the host society) alongside duration of residence.</w:t>
      </w:r>
    </w:p>
    <w:p w14:paraId="4BFDA50E" w14:textId="77777777" w:rsidR="00EA1886" w:rsidRPr="00570614" w:rsidRDefault="00822259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822259">
        <w:rPr>
          <w:rFonts w:ascii="Times New Roman" w:hAnsi="Times New Roman"/>
          <w:noProof/>
          <w:lang w:val="en-HK"/>
          <w14:ligatures w14:val="standardContextual"/>
        </w:rPr>
        <w:pict w14:anchorId="14617C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B1D6D0" w14:textId="77777777" w:rsidR="00EA1886" w:rsidRPr="00570614" w:rsidRDefault="00EA1886" w:rsidP="00570614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5.3 Synthesis of Models</w:t>
      </w:r>
    </w:p>
    <w:p w14:paraId="2D8AC367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lang w:val="en-HK"/>
        </w:rPr>
        <w:t>ECJ jurisprudence balances:</w:t>
      </w:r>
    </w:p>
    <w:p w14:paraId="3F771817" w14:textId="77777777" w:rsidR="00EA1886" w:rsidRPr="00570614" w:rsidRDefault="00EA1886" w:rsidP="00570614">
      <w:pPr>
        <w:numPr>
          <w:ilvl w:val="1"/>
          <w:numId w:val="2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Residence Model (Brey):</w:t>
      </w:r>
      <w:r w:rsidRPr="00570614">
        <w:rPr>
          <w:rFonts w:ascii="Times New Roman" w:hAnsi="Times New Roman"/>
          <w:lang w:val="en-HK"/>
        </w:rPr>
        <w:t xml:space="preserve"> Broader individual rights.</w:t>
      </w:r>
    </w:p>
    <w:p w14:paraId="56E403BE" w14:textId="77777777" w:rsidR="00EA1886" w:rsidRPr="00570614" w:rsidRDefault="00EA1886" w:rsidP="00570614">
      <w:pPr>
        <w:numPr>
          <w:ilvl w:val="1"/>
          <w:numId w:val="2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Integration Model (</w:t>
      </w:r>
      <w:proofErr w:type="spellStart"/>
      <w:r w:rsidRPr="00570614">
        <w:rPr>
          <w:rFonts w:ascii="Times New Roman" w:hAnsi="Times New Roman"/>
          <w:b/>
          <w:bCs/>
          <w:lang w:val="en-HK"/>
        </w:rPr>
        <w:t>Dano</w:t>
      </w:r>
      <w:proofErr w:type="spellEnd"/>
      <w:r w:rsidRPr="00570614">
        <w:rPr>
          <w:rFonts w:ascii="Times New Roman" w:hAnsi="Times New Roman"/>
          <w:b/>
          <w:bCs/>
          <w:lang w:val="en-HK"/>
        </w:rPr>
        <w:t>):</w:t>
      </w:r>
      <w:r w:rsidRPr="00570614">
        <w:rPr>
          <w:rFonts w:ascii="Times New Roman" w:hAnsi="Times New Roman"/>
          <w:lang w:val="en-HK"/>
        </w:rPr>
        <w:t xml:space="preserve"> Emphasis on state sovereignty.</w:t>
      </w:r>
    </w:p>
    <w:p w14:paraId="0470849E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614">
        <w:rPr>
          <w:rFonts w:ascii="Times New Roman" w:hAnsi="Times New Roman"/>
          <w:b/>
          <w:bCs/>
          <w:lang w:val="en-HK"/>
        </w:rPr>
        <w:t>Scholarly Perspective:</w:t>
      </w:r>
    </w:p>
    <w:p w14:paraId="6B9C46C9" w14:textId="77777777" w:rsidR="00EA1886" w:rsidRPr="00570614" w:rsidRDefault="00EA1886" w:rsidP="00570614">
      <w:p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570614">
        <w:rPr>
          <w:rFonts w:ascii="Times New Roman" w:hAnsi="Times New Roman"/>
          <w:lang w:val="en-HK"/>
        </w:rPr>
        <w:t>Thym</w:t>
      </w:r>
      <w:proofErr w:type="spellEnd"/>
      <w:r w:rsidRPr="00570614">
        <w:rPr>
          <w:rFonts w:ascii="Times New Roman" w:hAnsi="Times New Roman"/>
          <w:lang w:val="en-HK"/>
        </w:rPr>
        <w:t xml:space="preserve"> critiques the ECJ's inconsistency, advocating for clearer criteria balancing solidarity with fiscal sustainability.</w:t>
      </w:r>
    </w:p>
    <w:p w14:paraId="3797C931" w14:textId="77777777" w:rsidR="00CD39F1" w:rsidRPr="00570614" w:rsidRDefault="00CD39F1" w:rsidP="00570614">
      <w:pPr>
        <w:spacing w:before="240" w:after="240" w:line="360" w:lineRule="auto"/>
        <w:rPr>
          <w:rFonts w:ascii="Times New Roman" w:hAnsi="Times New Roman"/>
          <w:lang w:val="en-US"/>
        </w:rPr>
      </w:pPr>
    </w:p>
    <w:sectPr w:rsidR="00CD39F1" w:rsidRPr="0057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9BE65" w14:textId="77777777" w:rsidR="00822259" w:rsidRDefault="00822259" w:rsidP="00570614">
      <w:r>
        <w:separator/>
      </w:r>
    </w:p>
  </w:endnote>
  <w:endnote w:type="continuationSeparator" w:id="0">
    <w:p w14:paraId="0E18B20D" w14:textId="77777777" w:rsidR="00822259" w:rsidRDefault="00822259" w:rsidP="00570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F408C" w14:textId="77777777" w:rsidR="00822259" w:rsidRDefault="00822259" w:rsidP="00570614">
      <w:r>
        <w:separator/>
      </w:r>
    </w:p>
  </w:footnote>
  <w:footnote w:type="continuationSeparator" w:id="0">
    <w:p w14:paraId="1FFA27FB" w14:textId="77777777" w:rsidR="00822259" w:rsidRDefault="00822259" w:rsidP="00570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E6244"/>
    <w:multiLevelType w:val="multilevel"/>
    <w:tmpl w:val="186C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745CF"/>
    <w:multiLevelType w:val="multilevel"/>
    <w:tmpl w:val="B9FA1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5CDE"/>
    <w:multiLevelType w:val="multilevel"/>
    <w:tmpl w:val="E43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823B7"/>
    <w:multiLevelType w:val="multilevel"/>
    <w:tmpl w:val="969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6F81"/>
    <w:multiLevelType w:val="multilevel"/>
    <w:tmpl w:val="EB6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D67CF"/>
    <w:multiLevelType w:val="multilevel"/>
    <w:tmpl w:val="9F3C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D7762"/>
    <w:multiLevelType w:val="multilevel"/>
    <w:tmpl w:val="2D7430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3C7099E"/>
    <w:multiLevelType w:val="multilevel"/>
    <w:tmpl w:val="2B8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82C1D"/>
    <w:multiLevelType w:val="multilevel"/>
    <w:tmpl w:val="915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D3811"/>
    <w:multiLevelType w:val="multilevel"/>
    <w:tmpl w:val="39AA77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0" w15:restartNumberingAfterBreak="0">
    <w:nsid w:val="390E0A07"/>
    <w:multiLevelType w:val="multilevel"/>
    <w:tmpl w:val="B00683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A9D4E61"/>
    <w:multiLevelType w:val="multilevel"/>
    <w:tmpl w:val="0DB2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15D07"/>
    <w:multiLevelType w:val="multilevel"/>
    <w:tmpl w:val="E0049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6C65E63"/>
    <w:multiLevelType w:val="multilevel"/>
    <w:tmpl w:val="904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E7AAA"/>
    <w:multiLevelType w:val="multilevel"/>
    <w:tmpl w:val="2F36B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63FA3"/>
    <w:multiLevelType w:val="multilevel"/>
    <w:tmpl w:val="38F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FCA1182"/>
    <w:multiLevelType w:val="multilevel"/>
    <w:tmpl w:val="0E66C3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36911D2"/>
    <w:multiLevelType w:val="multilevel"/>
    <w:tmpl w:val="AFA4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E2C81"/>
    <w:multiLevelType w:val="multilevel"/>
    <w:tmpl w:val="1AB0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A0848"/>
    <w:multiLevelType w:val="multilevel"/>
    <w:tmpl w:val="A21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375E2"/>
    <w:multiLevelType w:val="multilevel"/>
    <w:tmpl w:val="7F1CD4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68649153">
    <w:abstractNumId w:val="17"/>
  </w:num>
  <w:num w:numId="2" w16cid:durableId="847064929">
    <w:abstractNumId w:val="0"/>
  </w:num>
  <w:num w:numId="3" w16cid:durableId="944965696">
    <w:abstractNumId w:val="18"/>
  </w:num>
  <w:num w:numId="4" w16cid:durableId="1165240316">
    <w:abstractNumId w:val="4"/>
  </w:num>
  <w:num w:numId="5" w16cid:durableId="159809041">
    <w:abstractNumId w:val="5"/>
  </w:num>
  <w:num w:numId="6" w16cid:durableId="1482456068">
    <w:abstractNumId w:val="3"/>
  </w:num>
  <w:num w:numId="7" w16cid:durableId="936600120">
    <w:abstractNumId w:val="19"/>
  </w:num>
  <w:num w:numId="8" w16cid:durableId="1432583169">
    <w:abstractNumId w:val="13"/>
  </w:num>
  <w:num w:numId="9" w16cid:durableId="1469128079">
    <w:abstractNumId w:val="12"/>
  </w:num>
  <w:num w:numId="10" w16cid:durableId="292104152">
    <w:abstractNumId w:val="10"/>
  </w:num>
  <w:num w:numId="11" w16cid:durableId="526721355">
    <w:abstractNumId w:val="11"/>
  </w:num>
  <w:num w:numId="12" w16cid:durableId="1003432910">
    <w:abstractNumId w:val="20"/>
  </w:num>
  <w:num w:numId="13" w16cid:durableId="679357619">
    <w:abstractNumId w:val="16"/>
  </w:num>
  <w:num w:numId="14" w16cid:durableId="432629443">
    <w:abstractNumId w:val="1"/>
  </w:num>
  <w:num w:numId="15" w16cid:durableId="178395132">
    <w:abstractNumId w:val="2"/>
  </w:num>
  <w:num w:numId="16" w16cid:durableId="350686703">
    <w:abstractNumId w:val="15"/>
  </w:num>
  <w:num w:numId="17" w16cid:durableId="196624419">
    <w:abstractNumId w:val="9"/>
  </w:num>
  <w:num w:numId="18" w16cid:durableId="429158718">
    <w:abstractNumId w:val="14"/>
  </w:num>
  <w:num w:numId="19" w16cid:durableId="627393835">
    <w:abstractNumId w:val="7"/>
  </w:num>
  <w:num w:numId="20" w16cid:durableId="1195508440">
    <w:abstractNumId w:val="8"/>
  </w:num>
  <w:num w:numId="21" w16cid:durableId="1758214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94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A3A42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3640F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70614"/>
    <w:rsid w:val="0058416B"/>
    <w:rsid w:val="00595357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22259"/>
    <w:rsid w:val="00830C88"/>
    <w:rsid w:val="0084347F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3E51"/>
    <w:rsid w:val="0093405B"/>
    <w:rsid w:val="009411D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602DC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1886"/>
    <w:rsid w:val="00EA6ED5"/>
    <w:rsid w:val="00EB7051"/>
    <w:rsid w:val="00EC68EB"/>
    <w:rsid w:val="00EC7C43"/>
    <w:rsid w:val="00EF3EF4"/>
    <w:rsid w:val="00F012E4"/>
    <w:rsid w:val="00F248D2"/>
    <w:rsid w:val="00F27F00"/>
    <w:rsid w:val="00F655F4"/>
    <w:rsid w:val="00F71153"/>
    <w:rsid w:val="00F858D4"/>
    <w:rsid w:val="00FB2653"/>
    <w:rsid w:val="00FC4A94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239B"/>
  <w15:chartTrackingRefBased/>
  <w15:docId w15:val="{773B8054-477F-FB43-8C55-13A5C6FE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A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4A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A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A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A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A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A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9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9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4A94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C4A94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A94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A94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A94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A94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A94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4A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A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A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A9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4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A94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FC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A94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4A9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34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347F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84347F"/>
    <w:rPr>
      <w:i/>
      <w:iCs/>
    </w:rPr>
  </w:style>
  <w:style w:type="paragraph" w:styleId="FootnoteText">
    <w:name w:val="footnote text"/>
    <w:basedOn w:val="Normal"/>
    <w:link w:val="FootnoteTextChar"/>
    <w:uiPriority w:val="99"/>
    <w:unhideWhenUsed/>
    <w:rsid w:val="005706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0614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0ED27C-93E5-E340-B39F-7C98D559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1727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2024-12-06T15:58:00Z</dcterms:created>
  <dcterms:modified xsi:type="dcterms:W3CDTF">2024-12-06T16:08:00Z</dcterms:modified>
</cp:coreProperties>
</file>