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47D6DD" w14:textId="77777777" w:rsidR="008D1510" w:rsidRPr="008D1510" w:rsidRDefault="008D1510" w:rsidP="006F7D3C">
      <w:pPr>
        <w:spacing w:before="100" w:beforeAutospacing="1" w:after="240" w:line="360" w:lineRule="auto"/>
        <w:outlineLvl w:val="2"/>
        <w:rPr>
          <w:rFonts w:ascii="Times New Roman" w:hAnsi="Times New Roman"/>
          <w:b/>
          <w:bCs/>
          <w:lang w:val="en-HK"/>
        </w:rPr>
      </w:pPr>
      <w:r w:rsidRPr="008D1510">
        <w:rPr>
          <w:rFonts w:ascii="Times New Roman" w:hAnsi="Times New Roman"/>
          <w:b/>
          <w:bCs/>
          <w:lang w:val="en-HK"/>
        </w:rPr>
        <w:t>Regulations and Articles:</w:t>
      </w:r>
    </w:p>
    <w:p w14:paraId="1A50351F" w14:textId="77777777" w:rsidR="00F919D6"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Article 45 TFEU (Treaty on the Functioning of the European Union)</w:t>
      </w:r>
    </w:p>
    <w:p w14:paraId="0C60889B" w14:textId="3D7DB331"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Guarantees the </w:t>
      </w:r>
      <w:r w:rsidRPr="00F919D6">
        <w:rPr>
          <w:rFonts w:ascii="Times New Roman" w:hAnsi="Times New Roman"/>
          <w:b/>
          <w:bCs/>
          <w:lang w:val="en-HK"/>
        </w:rPr>
        <w:t>free movement of workers</w:t>
      </w:r>
      <w:r w:rsidRPr="00F919D6">
        <w:rPr>
          <w:rFonts w:ascii="Times New Roman" w:hAnsi="Times New Roman"/>
          <w:lang w:val="en-HK"/>
        </w:rPr>
        <w:t xml:space="preserve"> within the EU. It prohibits </w:t>
      </w:r>
      <w:r w:rsidRPr="006F7D3C">
        <w:rPr>
          <w:rFonts w:ascii="Times New Roman" w:hAnsi="Times New Roman"/>
          <w:b/>
          <w:bCs/>
          <w:lang w:val="en-HK"/>
        </w:rPr>
        <w:t>discrimination based on nationality for workers seeking employment or working</w:t>
      </w:r>
      <w:r w:rsidRPr="00F919D6">
        <w:rPr>
          <w:rFonts w:ascii="Times New Roman" w:hAnsi="Times New Roman"/>
          <w:lang w:val="en-HK"/>
        </w:rPr>
        <w:t xml:space="preserve"> in any EU Member State. This article ensures that EU citizens can move freely to take up employment in other Member States and guarantees equal treatment in the workplace.</w:t>
      </w:r>
    </w:p>
    <w:p w14:paraId="6E655123"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Article 20 TFEU (EU Citizenship)</w:t>
      </w:r>
    </w:p>
    <w:p w14:paraId="3FE699B6"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Grants </w:t>
      </w:r>
      <w:r w:rsidRPr="00F919D6">
        <w:rPr>
          <w:rFonts w:ascii="Times New Roman" w:hAnsi="Times New Roman"/>
          <w:b/>
          <w:bCs/>
          <w:lang w:val="en-HK"/>
        </w:rPr>
        <w:t>Union citizenship</w:t>
      </w:r>
      <w:r w:rsidRPr="00F919D6">
        <w:rPr>
          <w:rFonts w:ascii="Times New Roman" w:hAnsi="Times New Roman"/>
          <w:lang w:val="en-HK"/>
        </w:rPr>
        <w:t xml:space="preserve"> to nationals of EU Member States, entitling them to the </w:t>
      </w:r>
      <w:r w:rsidRPr="002A28DC">
        <w:rPr>
          <w:rFonts w:ascii="Times New Roman" w:hAnsi="Times New Roman"/>
          <w:b/>
          <w:bCs/>
          <w:u w:val="single"/>
          <w:lang w:val="en-HK"/>
        </w:rPr>
        <w:t>right to move and reside freely</w:t>
      </w:r>
      <w:r w:rsidRPr="00F919D6">
        <w:rPr>
          <w:rFonts w:ascii="Times New Roman" w:hAnsi="Times New Roman"/>
          <w:lang w:val="en-HK"/>
        </w:rPr>
        <w:t xml:space="preserve"> within the EU. It also provides the right to equal treatment and protection from discrimination on the grounds of nationality.</w:t>
      </w:r>
    </w:p>
    <w:p w14:paraId="0CA3A779"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Article 21 TFEU (Right of Residence)</w:t>
      </w:r>
    </w:p>
    <w:p w14:paraId="7D5C83F3"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Provides EU citizens the </w:t>
      </w:r>
      <w:r w:rsidRPr="00F919D6">
        <w:rPr>
          <w:rFonts w:ascii="Times New Roman" w:hAnsi="Times New Roman"/>
          <w:b/>
          <w:bCs/>
          <w:lang w:val="en-HK"/>
        </w:rPr>
        <w:t>right to reside</w:t>
      </w:r>
      <w:r w:rsidRPr="00F919D6">
        <w:rPr>
          <w:rFonts w:ascii="Times New Roman" w:hAnsi="Times New Roman"/>
          <w:lang w:val="en-HK"/>
        </w:rPr>
        <w:t xml:space="preserve"> in any Member State </w:t>
      </w:r>
      <w:r w:rsidRPr="002A28DC">
        <w:rPr>
          <w:rFonts w:ascii="Times New Roman" w:hAnsi="Times New Roman"/>
          <w:b/>
          <w:bCs/>
          <w:u w:val="single"/>
          <w:lang w:val="en-HK"/>
        </w:rPr>
        <w:t>for up to three months without being subject to conditions or formalities</w:t>
      </w:r>
      <w:r w:rsidRPr="00F919D6">
        <w:rPr>
          <w:rFonts w:ascii="Times New Roman" w:hAnsi="Times New Roman"/>
          <w:lang w:val="en-HK"/>
        </w:rPr>
        <w:t>, subject to certain limitations based on public policy, public security, or public health.</w:t>
      </w:r>
    </w:p>
    <w:p w14:paraId="613F0DEB"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Article 7 Directive 2004/38/EC (Right to Reside and Access Social Assistance)</w:t>
      </w:r>
    </w:p>
    <w:p w14:paraId="4B05C7F6"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This article provides that </w:t>
      </w:r>
      <w:r w:rsidRPr="00F919D6">
        <w:rPr>
          <w:rFonts w:ascii="Times New Roman" w:hAnsi="Times New Roman"/>
          <w:b/>
          <w:bCs/>
          <w:lang w:val="en-HK"/>
        </w:rPr>
        <w:t>EU citizens</w:t>
      </w:r>
      <w:r w:rsidRPr="00F919D6">
        <w:rPr>
          <w:rFonts w:ascii="Times New Roman" w:hAnsi="Times New Roman"/>
          <w:lang w:val="en-HK"/>
        </w:rPr>
        <w:t xml:space="preserve"> and their family members may reside in another EU country if they are workers, students, or financially self-sufficient. It also discusses the rights of workers to access social assistance and healthcare in the host Member State.</w:t>
      </w:r>
    </w:p>
    <w:p w14:paraId="37D50F2B"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Article 12 Regulation (EEC) 1612/68 (Freedom of Movement for Workers)</w:t>
      </w:r>
    </w:p>
    <w:p w14:paraId="03B3C68E"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Ensures that </w:t>
      </w:r>
      <w:r w:rsidRPr="002A28DC">
        <w:rPr>
          <w:rFonts w:ascii="Times New Roman" w:hAnsi="Times New Roman"/>
          <w:u w:val="single"/>
          <w:lang w:val="en-HK"/>
        </w:rPr>
        <w:t xml:space="preserve">workers within the EU </w:t>
      </w:r>
      <w:r w:rsidRPr="00F919D6">
        <w:rPr>
          <w:rFonts w:ascii="Times New Roman" w:hAnsi="Times New Roman"/>
          <w:lang w:val="en-HK"/>
        </w:rPr>
        <w:t xml:space="preserve">are </w:t>
      </w:r>
      <w:r w:rsidRPr="002A28DC">
        <w:rPr>
          <w:rFonts w:ascii="Times New Roman" w:hAnsi="Times New Roman"/>
          <w:b/>
          <w:bCs/>
          <w:u w:val="single"/>
          <w:lang w:val="en-HK"/>
        </w:rPr>
        <w:t>treated equally</w:t>
      </w:r>
      <w:r w:rsidRPr="00F919D6">
        <w:rPr>
          <w:rFonts w:ascii="Times New Roman" w:hAnsi="Times New Roman"/>
          <w:lang w:val="en-HK"/>
        </w:rPr>
        <w:t xml:space="preserve"> in terms of working conditions, pay, and social advantages, regardless of nationality. It is an early legal instrument that forms the foundation of free movement within the EU.</w:t>
      </w:r>
    </w:p>
    <w:p w14:paraId="22D4F893"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Directive 2004/38/EC (Right of Citizens of the Union and Their Family Members to Move and Reside Freely within the Territory of the Member States)</w:t>
      </w:r>
    </w:p>
    <w:p w14:paraId="5F50E1B6"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lastRenderedPageBreak/>
        <w:t>Explanation</w:t>
      </w:r>
      <w:r w:rsidRPr="00F919D6">
        <w:rPr>
          <w:rFonts w:ascii="Times New Roman" w:hAnsi="Times New Roman"/>
          <w:lang w:val="en-HK"/>
        </w:rPr>
        <w:t xml:space="preserve">: This Directive regulates the </w:t>
      </w:r>
      <w:r w:rsidRPr="00F919D6">
        <w:rPr>
          <w:rFonts w:ascii="Times New Roman" w:hAnsi="Times New Roman"/>
          <w:b/>
          <w:bCs/>
          <w:lang w:val="en-HK"/>
        </w:rPr>
        <w:t>free movement</w:t>
      </w:r>
      <w:r w:rsidRPr="00F919D6">
        <w:rPr>
          <w:rFonts w:ascii="Times New Roman" w:hAnsi="Times New Roman"/>
          <w:lang w:val="en-HK"/>
        </w:rPr>
        <w:t xml:space="preserve"> of EU citizens and their family members, providing them with the right to reside in other Member States. It covers residence rights, social assistance eligibility, and family reunification.</w:t>
      </w:r>
    </w:p>
    <w:p w14:paraId="3CEFF9CE"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Regulation 883/2004 (Coordinating Social Security Systems)</w:t>
      </w:r>
    </w:p>
    <w:p w14:paraId="5D4F22E2"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Coordinates the social security systems of EU Member States to ensure that workers who move between countries do not lose social security benefits. It governs issues like pensions, unemployment benefits, and family benefits for EU nationals working in another Member State.</w:t>
      </w:r>
    </w:p>
    <w:p w14:paraId="3FFA2A25"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Regulation 1612/68 (Freedom of Movement for Workers within the Community)</w:t>
      </w:r>
    </w:p>
    <w:p w14:paraId="7B2F9272"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Established early rules for the </w:t>
      </w:r>
      <w:r w:rsidRPr="00F919D6">
        <w:rPr>
          <w:rFonts w:ascii="Times New Roman" w:hAnsi="Times New Roman"/>
          <w:b/>
          <w:bCs/>
          <w:lang w:val="en-HK"/>
        </w:rPr>
        <w:t>free movement</w:t>
      </w:r>
      <w:r w:rsidRPr="00F919D6">
        <w:rPr>
          <w:rFonts w:ascii="Times New Roman" w:hAnsi="Times New Roman"/>
          <w:lang w:val="en-HK"/>
        </w:rPr>
        <w:t xml:space="preserve"> of workers within the EU, ensuring that EU workers have the same rights as nationals of the host country in terms of employment and social advantages.</w:t>
      </w:r>
    </w:p>
    <w:p w14:paraId="6B122AC7"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Article 24 Directive 2004/38 (Right to Reside and Access Social Assistance)</w:t>
      </w:r>
    </w:p>
    <w:p w14:paraId="33000ECD"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Discusses the right of EU citizens and their family members to reside in the host Member State and access social benefits. It outlines the conditions under which these benefits may be granted, particularly concerning economically inactive persons.</w:t>
      </w:r>
    </w:p>
    <w:p w14:paraId="2444A7B7"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Article 7(3) Directive 2004/38 (Retention of Worker Status)</w:t>
      </w:r>
    </w:p>
    <w:p w14:paraId="78E2D7C4"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Provides rules for </w:t>
      </w:r>
      <w:r w:rsidRPr="00F919D6">
        <w:rPr>
          <w:rFonts w:ascii="Times New Roman" w:hAnsi="Times New Roman"/>
          <w:b/>
          <w:bCs/>
          <w:lang w:val="en-HK"/>
        </w:rPr>
        <w:t>retaining worker status</w:t>
      </w:r>
      <w:r w:rsidRPr="00F919D6">
        <w:rPr>
          <w:rFonts w:ascii="Times New Roman" w:hAnsi="Times New Roman"/>
          <w:lang w:val="en-HK"/>
        </w:rPr>
        <w:t xml:space="preserve"> in certain cases, such as when a worker becomes involuntarily unemployed, or in cases of maternity or illness, ensuring that they are not unfairly deprived of residence rights.</w:t>
      </w:r>
    </w:p>
    <w:p w14:paraId="317C7490"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Regulation 883/2004 Article 11 (Social Security Systems and Workers)</w:t>
      </w:r>
    </w:p>
    <w:p w14:paraId="0E90839E"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Coordinates the social security systems of Member States to ensure that workers' benefits, such as pensions and unemployment, are preserved when they move across Member States.</w:t>
      </w:r>
    </w:p>
    <w:p w14:paraId="59160CEE" w14:textId="77777777" w:rsidR="008D1510" w:rsidRPr="00F919D6" w:rsidRDefault="008D1510" w:rsidP="006F7D3C">
      <w:pPr>
        <w:spacing w:before="100" w:beforeAutospacing="1" w:after="240" w:line="360" w:lineRule="auto"/>
        <w:outlineLvl w:val="2"/>
        <w:rPr>
          <w:rFonts w:ascii="Times New Roman" w:hAnsi="Times New Roman"/>
          <w:b/>
          <w:bCs/>
          <w:lang w:val="en-HK"/>
        </w:rPr>
      </w:pPr>
      <w:r w:rsidRPr="00F919D6">
        <w:rPr>
          <w:rFonts w:ascii="Times New Roman" w:hAnsi="Times New Roman"/>
          <w:b/>
          <w:bCs/>
          <w:lang w:val="en-HK"/>
        </w:rPr>
        <w:lastRenderedPageBreak/>
        <w:t>Case Law:</w:t>
      </w:r>
    </w:p>
    <w:p w14:paraId="3DFAD9B5"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 xml:space="preserve">Case C-67/14 </w:t>
      </w:r>
      <w:proofErr w:type="spellStart"/>
      <w:r w:rsidRPr="00F919D6">
        <w:rPr>
          <w:rFonts w:ascii="Times New Roman" w:hAnsi="Times New Roman"/>
          <w:b/>
          <w:bCs/>
          <w:lang w:val="en-HK"/>
        </w:rPr>
        <w:t>Alimanovic</w:t>
      </w:r>
      <w:proofErr w:type="spellEnd"/>
      <w:r w:rsidRPr="00F919D6">
        <w:rPr>
          <w:rFonts w:ascii="Times New Roman" w:hAnsi="Times New Roman"/>
          <w:b/>
          <w:bCs/>
          <w:lang w:val="en-HK"/>
        </w:rPr>
        <w:t xml:space="preserve"> (2015)</w:t>
      </w:r>
    </w:p>
    <w:p w14:paraId="5B7EC706"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The Court ruled that </w:t>
      </w:r>
      <w:r w:rsidRPr="00F919D6">
        <w:rPr>
          <w:rFonts w:ascii="Times New Roman" w:hAnsi="Times New Roman"/>
          <w:b/>
          <w:bCs/>
          <w:lang w:val="en-HK"/>
        </w:rPr>
        <w:t>jobseekers</w:t>
      </w:r>
      <w:r w:rsidRPr="00F919D6">
        <w:rPr>
          <w:rFonts w:ascii="Times New Roman" w:hAnsi="Times New Roman"/>
          <w:lang w:val="en-HK"/>
        </w:rPr>
        <w:t xml:space="preserve"> from other EU Member States may be denied </w:t>
      </w:r>
      <w:r w:rsidRPr="00F919D6">
        <w:rPr>
          <w:rFonts w:ascii="Times New Roman" w:hAnsi="Times New Roman"/>
          <w:b/>
          <w:bCs/>
          <w:lang w:val="en-HK"/>
        </w:rPr>
        <w:t>social assistance</w:t>
      </w:r>
      <w:r w:rsidRPr="00F919D6">
        <w:rPr>
          <w:rFonts w:ascii="Times New Roman" w:hAnsi="Times New Roman"/>
          <w:lang w:val="en-HK"/>
        </w:rPr>
        <w:t xml:space="preserve"> benefits if they do not meet the residence criteria, especially if they are in the host Member State solely to claim benefits. This ruling reinforced Member States' discretion to limit benefits for jobseekers.</w:t>
      </w:r>
    </w:p>
    <w:p w14:paraId="29A61BF4"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Case C-209/03 Bidar (2005)</w:t>
      </w:r>
    </w:p>
    <w:p w14:paraId="648B3342"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The Court held that EU nationals should be entitled to social benefits after a reasonable period of residence in a host Member State, even if economically inactive. This case established the importance of </w:t>
      </w:r>
      <w:r w:rsidRPr="00F919D6">
        <w:rPr>
          <w:rFonts w:ascii="Times New Roman" w:hAnsi="Times New Roman"/>
          <w:b/>
          <w:bCs/>
          <w:lang w:val="en-HK"/>
        </w:rPr>
        <w:t>equality of treatment</w:t>
      </w:r>
      <w:r w:rsidRPr="00F919D6">
        <w:rPr>
          <w:rFonts w:ascii="Times New Roman" w:hAnsi="Times New Roman"/>
          <w:lang w:val="en-HK"/>
        </w:rPr>
        <w:t xml:space="preserve"> for EU nationals in the host state.</w:t>
      </w:r>
    </w:p>
    <w:p w14:paraId="4B3A6017"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 xml:space="preserve">Case C-224/98 </w:t>
      </w:r>
      <w:proofErr w:type="spellStart"/>
      <w:r w:rsidRPr="00F919D6">
        <w:rPr>
          <w:rFonts w:ascii="Times New Roman" w:hAnsi="Times New Roman"/>
          <w:b/>
          <w:bCs/>
          <w:lang w:val="en-HK"/>
        </w:rPr>
        <w:t>D'Hoop</w:t>
      </w:r>
      <w:proofErr w:type="spellEnd"/>
      <w:r w:rsidRPr="00F919D6">
        <w:rPr>
          <w:rFonts w:ascii="Times New Roman" w:hAnsi="Times New Roman"/>
          <w:b/>
          <w:bCs/>
          <w:lang w:val="en-HK"/>
        </w:rPr>
        <w:t xml:space="preserve"> (2002)</w:t>
      </w:r>
    </w:p>
    <w:p w14:paraId="19852887"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The Court ruled that </w:t>
      </w:r>
      <w:r w:rsidRPr="00F919D6">
        <w:rPr>
          <w:rFonts w:ascii="Times New Roman" w:hAnsi="Times New Roman"/>
          <w:b/>
          <w:bCs/>
          <w:lang w:val="en-HK"/>
        </w:rPr>
        <w:t>EU nationals</w:t>
      </w:r>
      <w:r w:rsidRPr="00F919D6">
        <w:rPr>
          <w:rFonts w:ascii="Times New Roman" w:hAnsi="Times New Roman"/>
          <w:lang w:val="en-HK"/>
        </w:rPr>
        <w:t xml:space="preserve"> must be treated equally to nationals of the host state regarding social assistance, even if they are economically inactive. This decision reinforced the principle of </w:t>
      </w:r>
      <w:r w:rsidRPr="00F919D6">
        <w:rPr>
          <w:rFonts w:ascii="Times New Roman" w:hAnsi="Times New Roman"/>
          <w:b/>
          <w:bCs/>
          <w:lang w:val="en-HK"/>
        </w:rPr>
        <w:t>non-discrimination</w:t>
      </w:r>
      <w:r w:rsidRPr="00F919D6">
        <w:rPr>
          <w:rFonts w:ascii="Times New Roman" w:hAnsi="Times New Roman"/>
          <w:lang w:val="en-HK"/>
        </w:rPr>
        <w:t xml:space="preserve"> within the EU.</w:t>
      </w:r>
    </w:p>
    <w:p w14:paraId="2470722D"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 xml:space="preserve">Case C-316/13 </w:t>
      </w:r>
      <w:proofErr w:type="spellStart"/>
      <w:r w:rsidRPr="00F919D6">
        <w:rPr>
          <w:rFonts w:ascii="Times New Roman" w:hAnsi="Times New Roman"/>
          <w:b/>
          <w:bCs/>
          <w:lang w:val="en-HK"/>
        </w:rPr>
        <w:t>Fenoll</w:t>
      </w:r>
      <w:proofErr w:type="spellEnd"/>
      <w:r w:rsidRPr="00F919D6">
        <w:rPr>
          <w:rFonts w:ascii="Times New Roman" w:hAnsi="Times New Roman"/>
          <w:b/>
          <w:bCs/>
          <w:lang w:val="en-HK"/>
        </w:rPr>
        <w:t xml:space="preserve"> (2015)</w:t>
      </w:r>
    </w:p>
    <w:p w14:paraId="08D8E57E"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The Court ruled that individuals participating in </w:t>
      </w:r>
      <w:r w:rsidRPr="00F919D6">
        <w:rPr>
          <w:rFonts w:ascii="Times New Roman" w:hAnsi="Times New Roman"/>
          <w:b/>
          <w:bCs/>
          <w:lang w:val="en-HK"/>
        </w:rPr>
        <w:t>work rehabilitation programs</w:t>
      </w:r>
      <w:r w:rsidRPr="00F919D6">
        <w:rPr>
          <w:rFonts w:ascii="Times New Roman" w:hAnsi="Times New Roman"/>
          <w:lang w:val="en-HK"/>
        </w:rPr>
        <w:t xml:space="preserve"> could still be classified as "workers" under EU law, expanding the definition of "worker" to include individuals in rehabilitation programs, thus broadening the scope of EU worker protections.</w:t>
      </w:r>
    </w:p>
    <w:p w14:paraId="03E8CEA5"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Case C-53/81 Levin (1982)</w:t>
      </w:r>
    </w:p>
    <w:p w14:paraId="154C4871"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The Court ruled that </w:t>
      </w:r>
      <w:r w:rsidRPr="00F919D6">
        <w:rPr>
          <w:rFonts w:ascii="Times New Roman" w:hAnsi="Times New Roman"/>
          <w:b/>
          <w:bCs/>
          <w:lang w:val="en-HK"/>
        </w:rPr>
        <w:t>part-time workers</w:t>
      </w:r>
      <w:r w:rsidRPr="00F919D6">
        <w:rPr>
          <w:rFonts w:ascii="Times New Roman" w:hAnsi="Times New Roman"/>
          <w:lang w:val="en-HK"/>
        </w:rPr>
        <w:t xml:space="preserve"> should be considered workers under EU law if their work is genuine and effective, even if their earnings are low. This case broadened the definition of "worker" to include part-time workers who are contributing meaningfully to the economy.</w:t>
      </w:r>
    </w:p>
    <w:p w14:paraId="2A83C8E1"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lastRenderedPageBreak/>
        <w:t>Case C-299/14 García Nieto (2016)</w:t>
      </w:r>
    </w:p>
    <w:p w14:paraId="1CBE3190"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The Court ruled that </w:t>
      </w:r>
      <w:r w:rsidRPr="00F919D6">
        <w:rPr>
          <w:rFonts w:ascii="Times New Roman" w:hAnsi="Times New Roman"/>
          <w:b/>
          <w:bCs/>
          <w:lang w:val="en-HK"/>
        </w:rPr>
        <w:t>jobseekers</w:t>
      </w:r>
      <w:r w:rsidRPr="00F919D6">
        <w:rPr>
          <w:rFonts w:ascii="Times New Roman" w:hAnsi="Times New Roman"/>
          <w:lang w:val="en-HK"/>
        </w:rPr>
        <w:t xml:space="preserve"> could be excluded from social assistance benefits based on a Member State's </w:t>
      </w:r>
      <w:r w:rsidRPr="00F919D6">
        <w:rPr>
          <w:rFonts w:ascii="Times New Roman" w:hAnsi="Times New Roman"/>
          <w:b/>
          <w:bCs/>
          <w:lang w:val="en-HK"/>
        </w:rPr>
        <w:t>right to reside rules</w:t>
      </w:r>
      <w:r w:rsidRPr="00F919D6">
        <w:rPr>
          <w:rFonts w:ascii="Times New Roman" w:hAnsi="Times New Roman"/>
          <w:lang w:val="en-HK"/>
        </w:rPr>
        <w:t>, which may limit benefits for economically inactive EU citizens.</w:t>
      </w:r>
    </w:p>
    <w:p w14:paraId="47802246"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Case C-140/12 Brey (2013)</w:t>
      </w:r>
    </w:p>
    <w:p w14:paraId="19AFC3C7"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The Court clarified that </w:t>
      </w:r>
      <w:r w:rsidRPr="00F919D6">
        <w:rPr>
          <w:rFonts w:ascii="Times New Roman" w:hAnsi="Times New Roman"/>
          <w:b/>
          <w:bCs/>
          <w:lang w:val="en-HK"/>
        </w:rPr>
        <w:t>non-contributory benefits</w:t>
      </w:r>
      <w:r w:rsidRPr="00F919D6">
        <w:rPr>
          <w:rFonts w:ascii="Times New Roman" w:hAnsi="Times New Roman"/>
          <w:lang w:val="en-HK"/>
        </w:rPr>
        <w:t xml:space="preserve"> could be excluded from being exported between Member States, and that Member States could refuse such benefits if it would place a </w:t>
      </w:r>
      <w:r w:rsidRPr="00F919D6">
        <w:rPr>
          <w:rFonts w:ascii="Times New Roman" w:hAnsi="Times New Roman"/>
          <w:b/>
          <w:bCs/>
          <w:lang w:val="en-HK"/>
        </w:rPr>
        <w:t>burden on the host country’s social system</w:t>
      </w:r>
      <w:r w:rsidRPr="00F919D6">
        <w:rPr>
          <w:rFonts w:ascii="Times New Roman" w:hAnsi="Times New Roman"/>
          <w:lang w:val="en-HK"/>
        </w:rPr>
        <w:t>. This ruling reinforced the principle that Member States can restrict benefits for economically inactive individuals.</w:t>
      </w:r>
    </w:p>
    <w:p w14:paraId="06F675CC"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 xml:space="preserve">Case C-333/13 </w:t>
      </w:r>
      <w:proofErr w:type="spellStart"/>
      <w:r w:rsidRPr="00F919D6">
        <w:rPr>
          <w:rFonts w:ascii="Times New Roman" w:hAnsi="Times New Roman"/>
          <w:b/>
          <w:bCs/>
          <w:lang w:val="en-HK"/>
        </w:rPr>
        <w:t>Dano</w:t>
      </w:r>
      <w:proofErr w:type="spellEnd"/>
      <w:r w:rsidRPr="00F919D6">
        <w:rPr>
          <w:rFonts w:ascii="Times New Roman" w:hAnsi="Times New Roman"/>
          <w:b/>
          <w:bCs/>
          <w:lang w:val="en-HK"/>
        </w:rPr>
        <w:t xml:space="preserve"> (2014)</w:t>
      </w:r>
    </w:p>
    <w:p w14:paraId="3811D80B"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The Court ruled that EU citizens who move to another Member State primarily to claim </w:t>
      </w:r>
      <w:r w:rsidRPr="00F919D6">
        <w:rPr>
          <w:rFonts w:ascii="Times New Roman" w:hAnsi="Times New Roman"/>
          <w:b/>
          <w:bCs/>
          <w:lang w:val="en-HK"/>
        </w:rPr>
        <w:t>social benefits</w:t>
      </w:r>
      <w:r w:rsidRPr="00F919D6">
        <w:rPr>
          <w:rFonts w:ascii="Times New Roman" w:hAnsi="Times New Roman"/>
          <w:lang w:val="en-HK"/>
        </w:rPr>
        <w:t xml:space="preserve"> may be excluded from access to those benefits. The judgment solidified the idea that welfare benefits should not be seen as a </w:t>
      </w:r>
      <w:r w:rsidRPr="00F919D6">
        <w:rPr>
          <w:rFonts w:ascii="Times New Roman" w:hAnsi="Times New Roman"/>
          <w:b/>
          <w:bCs/>
          <w:lang w:val="en-HK"/>
        </w:rPr>
        <w:t>right of residence</w:t>
      </w:r>
      <w:r w:rsidRPr="00F919D6">
        <w:rPr>
          <w:rFonts w:ascii="Times New Roman" w:hAnsi="Times New Roman"/>
          <w:lang w:val="en-HK"/>
        </w:rPr>
        <w:t>.</w:t>
      </w:r>
    </w:p>
    <w:p w14:paraId="1F99FC09"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 xml:space="preserve">Case C-67/14 </w:t>
      </w:r>
      <w:proofErr w:type="spellStart"/>
      <w:r w:rsidRPr="00F919D6">
        <w:rPr>
          <w:rFonts w:ascii="Times New Roman" w:hAnsi="Times New Roman"/>
          <w:b/>
          <w:bCs/>
          <w:lang w:val="en-HK"/>
        </w:rPr>
        <w:t>Alimanovic</w:t>
      </w:r>
      <w:proofErr w:type="spellEnd"/>
      <w:r w:rsidRPr="00F919D6">
        <w:rPr>
          <w:rFonts w:ascii="Times New Roman" w:hAnsi="Times New Roman"/>
          <w:b/>
          <w:bCs/>
          <w:lang w:val="en-HK"/>
        </w:rPr>
        <w:t xml:space="preserve"> (2015)</w:t>
      </w:r>
    </w:p>
    <w:p w14:paraId="7166972B"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The Court ruled that </w:t>
      </w:r>
      <w:r w:rsidRPr="00F919D6">
        <w:rPr>
          <w:rFonts w:ascii="Times New Roman" w:hAnsi="Times New Roman"/>
          <w:b/>
          <w:bCs/>
          <w:lang w:val="en-HK"/>
        </w:rPr>
        <w:t>jobseekers</w:t>
      </w:r>
      <w:r w:rsidRPr="00F919D6">
        <w:rPr>
          <w:rFonts w:ascii="Times New Roman" w:hAnsi="Times New Roman"/>
          <w:lang w:val="en-HK"/>
        </w:rPr>
        <w:t xml:space="preserve"> could be excluded from </w:t>
      </w:r>
      <w:r w:rsidRPr="00F919D6">
        <w:rPr>
          <w:rFonts w:ascii="Times New Roman" w:hAnsi="Times New Roman"/>
          <w:b/>
          <w:bCs/>
          <w:lang w:val="en-HK"/>
        </w:rPr>
        <w:t>social assistance</w:t>
      </w:r>
      <w:r w:rsidRPr="00F919D6">
        <w:rPr>
          <w:rFonts w:ascii="Times New Roman" w:hAnsi="Times New Roman"/>
          <w:lang w:val="en-HK"/>
        </w:rPr>
        <w:t xml:space="preserve"> even if they had previously worked in the host state, if they had not found a job within a reasonable period.</w:t>
      </w:r>
    </w:p>
    <w:p w14:paraId="07C24BC7"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Case C-144/02 Collins (2005)</w:t>
      </w:r>
    </w:p>
    <w:p w14:paraId="43E1CE36"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This case extended the interpretation of </w:t>
      </w:r>
      <w:r w:rsidRPr="00F919D6">
        <w:rPr>
          <w:rFonts w:ascii="Times New Roman" w:hAnsi="Times New Roman"/>
          <w:b/>
          <w:bCs/>
          <w:lang w:val="en-HK"/>
        </w:rPr>
        <w:t>social benefits</w:t>
      </w:r>
      <w:r w:rsidRPr="00F919D6">
        <w:rPr>
          <w:rFonts w:ascii="Times New Roman" w:hAnsi="Times New Roman"/>
          <w:lang w:val="en-HK"/>
        </w:rPr>
        <w:t xml:space="preserve">, recognizing that certain benefits that assist workers in accessing the </w:t>
      </w:r>
      <w:proofErr w:type="spellStart"/>
      <w:r w:rsidRPr="00F919D6">
        <w:rPr>
          <w:rFonts w:ascii="Times New Roman" w:hAnsi="Times New Roman"/>
          <w:lang w:val="en-HK"/>
        </w:rPr>
        <w:t>labor</w:t>
      </w:r>
      <w:proofErr w:type="spellEnd"/>
      <w:r w:rsidRPr="00F919D6">
        <w:rPr>
          <w:rFonts w:ascii="Times New Roman" w:hAnsi="Times New Roman"/>
          <w:lang w:val="en-HK"/>
        </w:rPr>
        <w:t xml:space="preserve"> market must be treated as </w:t>
      </w:r>
      <w:r w:rsidRPr="00F919D6">
        <w:rPr>
          <w:rFonts w:ascii="Times New Roman" w:hAnsi="Times New Roman"/>
          <w:b/>
          <w:bCs/>
          <w:lang w:val="en-HK"/>
        </w:rPr>
        <w:t>related to work</w:t>
      </w:r>
      <w:r w:rsidRPr="00F919D6">
        <w:rPr>
          <w:rFonts w:ascii="Times New Roman" w:hAnsi="Times New Roman"/>
          <w:lang w:val="en-HK"/>
        </w:rPr>
        <w:t>, and therefore EU nationals should be treated equally for these purposes.</w:t>
      </w:r>
    </w:p>
    <w:p w14:paraId="48B0BAF1"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 xml:space="preserve">Case C-413/99 </w:t>
      </w:r>
      <w:proofErr w:type="spellStart"/>
      <w:r w:rsidRPr="00F919D6">
        <w:rPr>
          <w:rFonts w:ascii="Times New Roman" w:hAnsi="Times New Roman"/>
          <w:b/>
          <w:bCs/>
          <w:lang w:val="en-HK"/>
        </w:rPr>
        <w:t>Baumbast</w:t>
      </w:r>
      <w:proofErr w:type="spellEnd"/>
      <w:r w:rsidRPr="00F919D6">
        <w:rPr>
          <w:rFonts w:ascii="Times New Roman" w:hAnsi="Times New Roman"/>
          <w:b/>
          <w:bCs/>
          <w:lang w:val="en-HK"/>
        </w:rPr>
        <w:t xml:space="preserve"> and R (2002)</w:t>
      </w:r>
    </w:p>
    <w:p w14:paraId="3F009AC6"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lastRenderedPageBreak/>
        <w:t>Explanation</w:t>
      </w:r>
      <w:r w:rsidRPr="00F919D6">
        <w:rPr>
          <w:rFonts w:ascii="Times New Roman" w:hAnsi="Times New Roman"/>
          <w:lang w:val="en-HK"/>
        </w:rPr>
        <w:t xml:space="preserve">: The Court ruled that EU citizens have the </w:t>
      </w:r>
      <w:r w:rsidRPr="00F919D6">
        <w:rPr>
          <w:rFonts w:ascii="Times New Roman" w:hAnsi="Times New Roman"/>
          <w:b/>
          <w:bCs/>
          <w:lang w:val="en-HK"/>
        </w:rPr>
        <w:t>right to reside</w:t>
      </w:r>
      <w:r w:rsidRPr="00F919D6">
        <w:rPr>
          <w:rFonts w:ascii="Times New Roman" w:hAnsi="Times New Roman"/>
          <w:lang w:val="en-HK"/>
        </w:rPr>
        <w:t xml:space="preserve"> in a Member State, even if they are not economically active, as long as they can prove they have sufficient resources to support themselves without relying on social assistance.</w:t>
      </w:r>
    </w:p>
    <w:p w14:paraId="153E7500"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Case C-308/14 Commission v. UK (2015)</w:t>
      </w:r>
    </w:p>
    <w:p w14:paraId="181B3707"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This case challenged the </w:t>
      </w:r>
      <w:r w:rsidRPr="00F919D6">
        <w:rPr>
          <w:rFonts w:ascii="Times New Roman" w:hAnsi="Times New Roman"/>
          <w:b/>
          <w:bCs/>
          <w:lang w:val="en-HK"/>
        </w:rPr>
        <w:t>UK’s right to reside test</w:t>
      </w:r>
      <w:r w:rsidRPr="00F919D6">
        <w:rPr>
          <w:rFonts w:ascii="Times New Roman" w:hAnsi="Times New Roman"/>
          <w:lang w:val="en-HK"/>
        </w:rPr>
        <w:t xml:space="preserve"> for family benefits, which required EU nationals to meet certain residence criteria before receiving benefits. The Advocate General’s opinion in this case supported a more </w:t>
      </w:r>
      <w:r w:rsidRPr="00F919D6">
        <w:rPr>
          <w:rFonts w:ascii="Times New Roman" w:hAnsi="Times New Roman"/>
          <w:b/>
          <w:bCs/>
          <w:lang w:val="en-HK"/>
        </w:rPr>
        <w:t>restrictive</w:t>
      </w:r>
      <w:r w:rsidRPr="00F919D6">
        <w:rPr>
          <w:rFonts w:ascii="Times New Roman" w:hAnsi="Times New Roman"/>
          <w:lang w:val="en-HK"/>
        </w:rPr>
        <w:t xml:space="preserve"> interpretation of the rules governing family benefits.</w:t>
      </w:r>
    </w:p>
    <w:p w14:paraId="671AB998"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Case C-480/08 Teixeira (2010)</w:t>
      </w:r>
    </w:p>
    <w:p w14:paraId="074EE2F3"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The Court ruled that the </w:t>
      </w:r>
      <w:r w:rsidRPr="00F919D6">
        <w:rPr>
          <w:rFonts w:ascii="Times New Roman" w:hAnsi="Times New Roman"/>
          <w:b/>
          <w:bCs/>
          <w:lang w:val="en-HK"/>
        </w:rPr>
        <w:t>right to residence</w:t>
      </w:r>
      <w:r w:rsidRPr="00F919D6">
        <w:rPr>
          <w:rFonts w:ascii="Times New Roman" w:hAnsi="Times New Roman"/>
          <w:lang w:val="en-HK"/>
        </w:rPr>
        <w:t xml:space="preserve"> for EU nationals could extend to </w:t>
      </w:r>
      <w:r w:rsidRPr="00F919D6">
        <w:rPr>
          <w:rFonts w:ascii="Times New Roman" w:hAnsi="Times New Roman"/>
          <w:b/>
          <w:bCs/>
          <w:lang w:val="en-HK"/>
        </w:rPr>
        <w:t>primary carers</w:t>
      </w:r>
      <w:r w:rsidRPr="00F919D6">
        <w:rPr>
          <w:rFonts w:ascii="Times New Roman" w:hAnsi="Times New Roman"/>
          <w:lang w:val="en-HK"/>
        </w:rPr>
        <w:t xml:space="preserve"> of children, even if they had ceased working, as long as the care was essential for the child’s well-being.</w:t>
      </w:r>
    </w:p>
    <w:p w14:paraId="786538E0"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 xml:space="preserve">Case C-139/85 </w:t>
      </w:r>
      <w:proofErr w:type="spellStart"/>
      <w:r w:rsidRPr="00F919D6">
        <w:rPr>
          <w:rFonts w:ascii="Times New Roman" w:hAnsi="Times New Roman"/>
          <w:b/>
          <w:bCs/>
          <w:lang w:val="en-HK"/>
        </w:rPr>
        <w:t>Kempf</w:t>
      </w:r>
      <w:proofErr w:type="spellEnd"/>
      <w:r w:rsidRPr="00F919D6">
        <w:rPr>
          <w:rFonts w:ascii="Times New Roman" w:hAnsi="Times New Roman"/>
          <w:b/>
          <w:bCs/>
          <w:lang w:val="en-HK"/>
        </w:rPr>
        <w:t xml:space="preserve"> (1986)</w:t>
      </w:r>
    </w:p>
    <w:p w14:paraId="5E43D6D8"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The Court ruled that a person employed part-time could still be considered a "worker" under EU law, even if their income was less than the required minimum for subsistence.</w:t>
      </w:r>
    </w:p>
    <w:p w14:paraId="6B9604D7" w14:textId="77777777" w:rsidR="008D1510" w:rsidRPr="00F919D6" w:rsidRDefault="008D1510" w:rsidP="006F7D3C">
      <w:pPr>
        <w:pStyle w:val="ListParagraph"/>
        <w:numPr>
          <w:ilvl w:val="0"/>
          <w:numId w:val="35"/>
        </w:numPr>
        <w:spacing w:before="100" w:beforeAutospacing="1" w:after="240" w:line="360" w:lineRule="auto"/>
        <w:rPr>
          <w:rFonts w:ascii="Times New Roman" w:hAnsi="Times New Roman"/>
          <w:lang w:val="en-HK"/>
        </w:rPr>
      </w:pPr>
      <w:r w:rsidRPr="00F919D6">
        <w:rPr>
          <w:rFonts w:ascii="Times New Roman" w:hAnsi="Times New Roman"/>
          <w:b/>
          <w:bCs/>
          <w:lang w:val="en-HK"/>
        </w:rPr>
        <w:t xml:space="preserve">Case C-544/00 </w:t>
      </w:r>
      <w:proofErr w:type="spellStart"/>
      <w:r w:rsidRPr="00F919D6">
        <w:rPr>
          <w:rFonts w:ascii="Times New Roman" w:hAnsi="Times New Roman"/>
          <w:b/>
          <w:bCs/>
          <w:lang w:val="en-HK"/>
        </w:rPr>
        <w:t>Grzelczyk</w:t>
      </w:r>
      <w:proofErr w:type="spellEnd"/>
      <w:r w:rsidRPr="00F919D6">
        <w:rPr>
          <w:rFonts w:ascii="Times New Roman" w:hAnsi="Times New Roman"/>
          <w:b/>
          <w:bCs/>
          <w:lang w:val="en-HK"/>
        </w:rPr>
        <w:t xml:space="preserve"> (2001)</w:t>
      </w:r>
    </w:p>
    <w:p w14:paraId="7544AD47" w14:textId="77777777" w:rsidR="008D1510" w:rsidRPr="00F919D6" w:rsidRDefault="008D1510" w:rsidP="006F7D3C">
      <w:pPr>
        <w:spacing w:before="100" w:beforeAutospacing="1" w:after="240" w:line="360" w:lineRule="auto"/>
        <w:rPr>
          <w:rFonts w:ascii="Times New Roman" w:hAnsi="Times New Roman"/>
          <w:lang w:val="en-HK"/>
        </w:rPr>
      </w:pPr>
      <w:r w:rsidRPr="00F919D6">
        <w:rPr>
          <w:rFonts w:ascii="Times New Roman" w:hAnsi="Times New Roman"/>
          <w:b/>
          <w:bCs/>
          <w:lang w:val="en-HK"/>
        </w:rPr>
        <w:t>Explanation</w:t>
      </w:r>
      <w:r w:rsidRPr="00F919D6">
        <w:rPr>
          <w:rFonts w:ascii="Times New Roman" w:hAnsi="Times New Roman"/>
          <w:lang w:val="en-HK"/>
        </w:rPr>
        <w:t xml:space="preserve">: The Court ruled that </w:t>
      </w:r>
      <w:r w:rsidRPr="00F919D6">
        <w:rPr>
          <w:rFonts w:ascii="Times New Roman" w:hAnsi="Times New Roman"/>
          <w:b/>
          <w:bCs/>
          <w:lang w:val="en-HK"/>
        </w:rPr>
        <w:t>EU citizens</w:t>
      </w:r>
      <w:r w:rsidRPr="00F919D6">
        <w:rPr>
          <w:rFonts w:ascii="Times New Roman" w:hAnsi="Times New Roman"/>
          <w:lang w:val="en-HK"/>
        </w:rPr>
        <w:t xml:space="preserve"> who have sufficient economic resources to reside in another Member State should be treated equally with nationals of that state and cannot be denied benefits on the grounds of nationality.</w:t>
      </w:r>
    </w:p>
    <w:p w14:paraId="4C1B8F5E" w14:textId="77777777" w:rsidR="008D1510" w:rsidRDefault="008D1510" w:rsidP="006F7D3C">
      <w:pPr>
        <w:spacing w:before="100" w:beforeAutospacing="1" w:after="240" w:line="360" w:lineRule="auto"/>
        <w:outlineLvl w:val="2"/>
        <w:rPr>
          <w:rFonts w:ascii="Times New Roman" w:hAnsi="Times New Roman"/>
          <w:b/>
          <w:bCs/>
          <w:lang w:val="en-HK"/>
        </w:rPr>
      </w:pPr>
    </w:p>
    <w:p w14:paraId="5969E91D" w14:textId="77777777" w:rsidR="00F919D6" w:rsidRDefault="00F919D6" w:rsidP="006F7D3C">
      <w:pPr>
        <w:spacing w:before="100" w:beforeAutospacing="1" w:after="240" w:line="360" w:lineRule="auto"/>
        <w:outlineLvl w:val="2"/>
        <w:rPr>
          <w:rFonts w:ascii="Times New Roman" w:hAnsi="Times New Roman"/>
          <w:b/>
          <w:bCs/>
          <w:lang w:val="en-HK"/>
        </w:rPr>
      </w:pPr>
    </w:p>
    <w:p w14:paraId="02E3D764" w14:textId="77777777" w:rsidR="00F919D6" w:rsidRPr="00F919D6" w:rsidRDefault="00F919D6" w:rsidP="006F7D3C">
      <w:pPr>
        <w:spacing w:before="100" w:beforeAutospacing="1" w:after="240" w:line="360" w:lineRule="auto"/>
        <w:outlineLvl w:val="2"/>
        <w:rPr>
          <w:rFonts w:ascii="Times New Roman" w:hAnsi="Times New Roman"/>
          <w:b/>
          <w:bCs/>
          <w:lang w:val="en-HK"/>
        </w:rPr>
      </w:pPr>
    </w:p>
    <w:p w14:paraId="276DA319" w14:textId="24E6FA42" w:rsidR="008D1510" w:rsidRPr="008D1510" w:rsidRDefault="008D1510" w:rsidP="006F7D3C">
      <w:pPr>
        <w:spacing w:before="100" w:beforeAutospacing="1" w:after="240" w:line="360" w:lineRule="auto"/>
        <w:outlineLvl w:val="2"/>
        <w:rPr>
          <w:rFonts w:ascii="Times New Roman" w:hAnsi="Times New Roman"/>
          <w:b/>
          <w:bCs/>
          <w:u w:val="single"/>
          <w:lang w:val="en-HK"/>
        </w:rPr>
      </w:pPr>
      <w:r w:rsidRPr="008D1510">
        <w:rPr>
          <w:rFonts w:ascii="Times New Roman" w:hAnsi="Times New Roman"/>
          <w:b/>
          <w:bCs/>
          <w:u w:val="single"/>
          <w:lang w:val="en-HK"/>
        </w:rPr>
        <w:lastRenderedPageBreak/>
        <w:t>1. The Shift in EU Free Movement Law</w:t>
      </w:r>
    </w:p>
    <w:p w14:paraId="3416B40C"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 xml:space="preserve">O’Brien argues that the ECJ has progressively eroded EU citizenship by endorsing nationality-based discrimination and permitting restrictive definitions of "work" imposed by Member States. This creates a </w:t>
      </w:r>
      <w:r w:rsidRPr="008D1510">
        <w:rPr>
          <w:rFonts w:ascii="Times New Roman" w:hAnsi="Times New Roman"/>
          <w:b/>
          <w:bCs/>
          <w:lang w:val="en-HK"/>
        </w:rPr>
        <w:t>moral vacuum</w:t>
      </w:r>
      <w:r w:rsidRPr="008D1510">
        <w:rPr>
          <w:rFonts w:ascii="Times New Roman" w:hAnsi="Times New Roman"/>
          <w:lang w:val="en-HK"/>
        </w:rPr>
        <w:t>, exacerbating inequality in the application of free movement rights. The ECJ’s deferential stance has allowed Member States to reshape the boundaries of EU law, often excluding low-income and insecure workers from welfare protections and equal treatment.</w:t>
      </w:r>
    </w:p>
    <w:p w14:paraId="6DE30A1F" w14:textId="77777777" w:rsidR="008D1510" w:rsidRPr="00F919D6" w:rsidRDefault="008D1510" w:rsidP="006F7D3C">
      <w:pPr>
        <w:autoSpaceDE w:val="0"/>
        <w:autoSpaceDN w:val="0"/>
        <w:adjustRightInd w:val="0"/>
        <w:spacing w:after="240" w:line="360" w:lineRule="auto"/>
        <w:rPr>
          <w:rFonts w:ascii="Times New Roman" w:eastAsiaTheme="minorEastAsia" w:hAnsi="Times New Roman"/>
          <w:b/>
          <w:bCs/>
          <w14:ligatures w14:val="standardContextual"/>
        </w:rPr>
      </w:pPr>
    </w:p>
    <w:p w14:paraId="26B0873C" w14:textId="043E264E" w:rsidR="008D1510" w:rsidRPr="008D1510" w:rsidRDefault="008D1510" w:rsidP="006F7D3C">
      <w:pPr>
        <w:spacing w:before="100" w:beforeAutospacing="1" w:after="240" w:line="360" w:lineRule="auto"/>
        <w:outlineLvl w:val="2"/>
        <w:rPr>
          <w:rFonts w:ascii="Times New Roman" w:hAnsi="Times New Roman"/>
          <w:b/>
          <w:bCs/>
          <w:lang w:val="en-HK"/>
        </w:rPr>
      </w:pPr>
      <w:r w:rsidRPr="00F919D6">
        <w:rPr>
          <w:rFonts w:ascii="Times New Roman" w:hAnsi="Times New Roman"/>
          <w:b/>
          <w:bCs/>
          <w:lang w:val="en-HK"/>
        </w:rPr>
        <w:t>2</w:t>
      </w:r>
      <w:r w:rsidRPr="008D1510">
        <w:rPr>
          <w:rFonts w:ascii="Times New Roman" w:hAnsi="Times New Roman"/>
          <w:b/>
          <w:bCs/>
          <w:lang w:val="en-HK"/>
        </w:rPr>
        <w:t>. Free Movement Under Threat: The Moral Vacuum at the EU Level</w:t>
      </w:r>
    </w:p>
    <w:p w14:paraId="0E428471" w14:textId="2CC1372E" w:rsidR="008D1510" w:rsidRPr="006F7D3C"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 xml:space="preserve">O’Brien argues that EU free movement rights have become contingent on financial and employment stability, creating a system that marginalizes economically vulnerable individuals. The ECJ, in collaboration with Member States, has reinforced these exclusions through restrictive interpretations of legislation like </w:t>
      </w:r>
      <w:r w:rsidRPr="008D1510">
        <w:rPr>
          <w:rFonts w:ascii="Times New Roman" w:hAnsi="Times New Roman"/>
          <w:b/>
          <w:bCs/>
          <w:lang w:val="en-HK"/>
        </w:rPr>
        <w:t>Directive 2004/38</w:t>
      </w:r>
      <w:r w:rsidRPr="008D1510">
        <w:rPr>
          <w:rFonts w:ascii="Times New Roman" w:hAnsi="Times New Roman"/>
          <w:lang w:val="en-HK"/>
        </w:rPr>
        <w:t xml:space="preserve"> and </w:t>
      </w:r>
      <w:r w:rsidRPr="008D1510">
        <w:rPr>
          <w:rFonts w:ascii="Times New Roman" w:hAnsi="Times New Roman"/>
          <w:b/>
          <w:bCs/>
          <w:lang w:val="en-HK"/>
        </w:rPr>
        <w:t>Regulation 883/2004</w:t>
      </w:r>
      <w:r w:rsidRPr="008D1510">
        <w:rPr>
          <w:rFonts w:ascii="Times New Roman" w:hAnsi="Times New Roman"/>
          <w:lang w:val="en-HK"/>
        </w:rPr>
        <w:t>.</w:t>
      </w:r>
    </w:p>
    <w:p w14:paraId="09ED329A" w14:textId="77777777" w:rsidR="00F53D4E" w:rsidRPr="00F919D6" w:rsidRDefault="00F53D4E" w:rsidP="006F7D3C">
      <w:pPr>
        <w:autoSpaceDE w:val="0"/>
        <w:autoSpaceDN w:val="0"/>
        <w:adjustRightInd w:val="0"/>
        <w:spacing w:after="240" w:line="360" w:lineRule="auto"/>
        <w:rPr>
          <w:rFonts w:ascii="Times New Roman" w:eastAsiaTheme="minorEastAsia" w:hAnsi="Times New Roman"/>
          <w:b/>
          <w:bCs/>
          <w14:ligatures w14:val="standardContextual"/>
        </w:rPr>
      </w:pPr>
      <w:r w:rsidRPr="00F919D6">
        <w:rPr>
          <w:rFonts w:ascii="Times New Roman" w:eastAsiaTheme="minorEastAsia" w:hAnsi="Times New Roman"/>
          <w:b/>
          <w:bCs/>
          <w14:ligatures w14:val="standardContextual"/>
        </w:rPr>
        <w:t xml:space="preserve">2.1. </w:t>
      </w:r>
      <w:r w:rsidRPr="00F919D6">
        <w:rPr>
          <w:rFonts w:ascii="Times New Roman" w:eastAsiaTheme="minorEastAsia" w:hAnsi="Times New Roman"/>
          <w:b/>
          <w:bCs/>
          <w:i/>
          <w:iCs/>
          <w14:ligatures w14:val="standardContextual"/>
        </w:rPr>
        <w:t>Brey</w:t>
      </w:r>
    </w:p>
    <w:p w14:paraId="6BBAE8CD" w14:textId="7E838227" w:rsidR="00F53D4E" w:rsidRPr="00F919D6" w:rsidRDefault="00F53D4E"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Facts of the Case:</w:t>
      </w:r>
      <w:r w:rsidR="008D1510" w:rsidRPr="00F919D6">
        <w:rPr>
          <w:rFonts w:ascii="Times New Roman" w:eastAsiaTheme="minorEastAsia" w:hAnsi="Times New Roman"/>
          <w14:ligatures w14:val="standardContextual"/>
        </w:rPr>
        <w:t xml:space="preserve"> </w:t>
      </w:r>
      <w:r w:rsidRPr="00F919D6">
        <w:rPr>
          <w:rFonts w:ascii="Times New Roman" w:eastAsiaTheme="minorEastAsia" w:hAnsi="Times New Roman"/>
          <w14:ligatures w14:val="standardContextual"/>
        </w:rPr>
        <w:t xml:space="preserve">In </w:t>
      </w:r>
      <w:r w:rsidRPr="00F919D6">
        <w:rPr>
          <w:rFonts w:ascii="Times New Roman" w:eastAsiaTheme="minorEastAsia" w:hAnsi="Times New Roman"/>
          <w:i/>
          <w:iCs/>
          <w14:ligatures w14:val="standardContextual"/>
        </w:rPr>
        <w:t>Brey</w:t>
      </w:r>
      <w:r w:rsidRPr="00F919D6">
        <w:rPr>
          <w:rFonts w:ascii="Times New Roman" w:eastAsiaTheme="minorEastAsia" w:hAnsi="Times New Roman"/>
          <w14:ligatures w14:val="standardContextual"/>
        </w:rPr>
        <w:t xml:space="preserve"> (</w:t>
      </w:r>
      <w:r w:rsidRPr="00F919D6">
        <w:rPr>
          <w:rFonts w:ascii="Times New Roman" w:eastAsiaTheme="minorEastAsia" w:hAnsi="Times New Roman"/>
          <w:i/>
          <w:iCs/>
          <w14:ligatures w14:val="standardContextual"/>
        </w:rPr>
        <w:t>Case C-140/12</w:t>
      </w:r>
      <w:r w:rsidRPr="00F919D6">
        <w:rPr>
          <w:rFonts w:ascii="Times New Roman" w:eastAsiaTheme="minorEastAsia" w:hAnsi="Times New Roman"/>
          <w14:ligatures w14:val="standardContextual"/>
        </w:rPr>
        <w:t>), a German pensioner residing in Austria applied for a special non-contributory benefit (SNCB). Austria denied his claim, arguing he did not meet the "sufficient resources" requirement under Directive 2004/38. Brey claimed his resources were sufficient because the</w:t>
      </w:r>
      <w:r w:rsidR="008D1510" w:rsidRPr="00F919D6">
        <w:rPr>
          <w:rFonts w:ascii="Times New Roman" w:eastAsiaTheme="minorEastAsia" w:hAnsi="Times New Roman"/>
          <w14:ligatures w14:val="standardContextual"/>
        </w:rPr>
        <w:t xml:space="preserve"> SNCB supplemented them</w:t>
      </w:r>
      <w:r w:rsidRPr="00F919D6">
        <w:rPr>
          <w:rFonts w:ascii="Times New Roman" w:eastAsiaTheme="minorEastAsia" w:hAnsi="Times New Roman"/>
          <w14:ligatures w14:val="standardContextual"/>
        </w:rPr>
        <w:t>.</w:t>
      </w:r>
    </w:p>
    <w:p w14:paraId="7C81FCC6" w14:textId="25A66AA0" w:rsidR="00F53D4E" w:rsidRPr="00F919D6" w:rsidRDefault="00F53D4E"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Held:</w:t>
      </w:r>
      <w:r w:rsidR="008D1510" w:rsidRPr="00F919D6">
        <w:rPr>
          <w:rFonts w:ascii="Times New Roman" w:eastAsiaTheme="minorEastAsia" w:hAnsi="Times New Roman"/>
          <w14:ligatures w14:val="standardContextual"/>
        </w:rPr>
        <w:t xml:space="preserve"> </w:t>
      </w:r>
      <w:r w:rsidRPr="00F919D6">
        <w:rPr>
          <w:rFonts w:ascii="Times New Roman" w:eastAsiaTheme="minorEastAsia" w:hAnsi="Times New Roman"/>
          <w14:ligatures w14:val="standardContextual"/>
        </w:rPr>
        <w:t xml:space="preserve">The ECJ ruled that SNCBs were part of the "social assistance system" under Directive 2004/38, allowing Member States to deny claims if they </w:t>
      </w:r>
      <w:r w:rsidRPr="00DE5754">
        <w:rPr>
          <w:rFonts w:ascii="Times New Roman" w:eastAsiaTheme="minorEastAsia" w:hAnsi="Times New Roman"/>
          <w:b/>
          <w:bCs/>
          <w14:ligatures w14:val="standardContextual"/>
        </w:rPr>
        <w:t>deemed the applicant an unreasonable burden</w:t>
      </w:r>
      <w:r w:rsidRPr="00F919D6">
        <w:rPr>
          <w:rFonts w:ascii="Times New Roman" w:eastAsiaTheme="minorEastAsia" w:hAnsi="Times New Roman"/>
          <w14:ligatures w14:val="standardContextual"/>
        </w:rPr>
        <w:t xml:space="preserve">. However, the ECJ required </w:t>
      </w:r>
      <w:r w:rsidRPr="00DE5754">
        <w:rPr>
          <w:rFonts w:ascii="Times New Roman" w:eastAsiaTheme="minorEastAsia" w:hAnsi="Times New Roman"/>
          <w:b/>
          <w:bCs/>
          <w14:ligatures w14:val="standardContextual"/>
        </w:rPr>
        <w:t>proportionality assessments</w:t>
      </w:r>
      <w:r w:rsidRPr="00F919D6">
        <w:rPr>
          <w:rFonts w:ascii="Times New Roman" w:eastAsiaTheme="minorEastAsia" w:hAnsi="Times New Roman"/>
          <w14:ligatures w14:val="standardContextual"/>
        </w:rPr>
        <w:t xml:space="preserve"> to determine if the claimant’s situation genuinely risked undermining public finances.</w:t>
      </w:r>
    </w:p>
    <w:p w14:paraId="21CB4552" w14:textId="6D7FBC8D" w:rsidR="00F53D4E" w:rsidRPr="00F919D6" w:rsidRDefault="00F53D4E"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Reasoning:</w:t>
      </w:r>
      <w:r w:rsidR="008D1510" w:rsidRPr="00F919D6">
        <w:rPr>
          <w:rFonts w:ascii="Times New Roman" w:eastAsiaTheme="minorEastAsia" w:hAnsi="Times New Roman"/>
          <w14:ligatures w14:val="standardContextual"/>
        </w:rPr>
        <w:t xml:space="preserve"> </w:t>
      </w:r>
      <w:r w:rsidRPr="00F919D6">
        <w:rPr>
          <w:rFonts w:ascii="Times New Roman" w:eastAsiaTheme="minorEastAsia" w:hAnsi="Times New Roman"/>
          <w14:ligatures w14:val="standardContextual"/>
        </w:rPr>
        <w:t xml:space="preserve">The Court introduced the concept of a </w:t>
      </w:r>
      <w:r w:rsidRPr="006F7D3C">
        <w:rPr>
          <w:rFonts w:ascii="Times New Roman" w:eastAsiaTheme="minorEastAsia" w:hAnsi="Times New Roman"/>
          <w:b/>
          <w:bCs/>
          <w14:ligatures w14:val="standardContextual"/>
        </w:rPr>
        <w:t>“certain degree of financial solidarity</w:t>
      </w:r>
      <w:r w:rsidRPr="00F919D6">
        <w:rPr>
          <w:rFonts w:ascii="Times New Roman" w:eastAsiaTheme="minorEastAsia" w:hAnsi="Times New Roman"/>
          <w14:ligatures w14:val="standardContextual"/>
        </w:rPr>
        <w:t>” among Member States, particularly for temporary difficulties. However, the proportionality standard was vague, leaving room for Member States to impose restrictive interpretations, as later seen in the UK’s approach to sufficient resources.</w:t>
      </w:r>
    </w:p>
    <w:p w14:paraId="0E2F2B57" w14:textId="77777777" w:rsidR="00F53D4E" w:rsidRPr="00F919D6" w:rsidRDefault="00F53D4E"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lastRenderedPageBreak/>
        <w:t>Key Articles:</w:t>
      </w:r>
    </w:p>
    <w:p w14:paraId="429E6632" w14:textId="77777777" w:rsidR="00F53D4E" w:rsidRPr="00F919D6" w:rsidRDefault="00F53D4E"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Directive 2004/38:</w:t>
      </w:r>
      <w:r w:rsidRPr="00F919D6">
        <w:rPr>
          <w:rFonts w:ascii="Times New Roman" w:eastAsiaTheme="minorEastAsia" w:hAnsi="Times New Roman"/>
          <w14:ligatures w14:val="standardContextual"/>
        </w:rPr>
        <w:t xml:space="preserve"> Defines the right to reside based on sufficient resources and prohibits reliance on the host state's social assistance system.</w:t>
      </w:r>
    </w:p>
    <w:p w14:paraId="51F3319A" w14:textId="0B6EBA3A" w:rsidR="00F53D4E" w:rsidRPr="00F919D6" w:rsidRDefault="00F53D4E"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Regulation 883/2004:</w:t>
      </w:r>
      <w:r w:rsidRPr="00F919D6">
        <w:rPr>
          <w:rFonts w:ascii="Times New Roman" w:eastAsiaTheme="minorEastAsia" w:hAnsi="Times New Roman"/>
          <w14:ligatures w14:val="standardContextual"/>
        </w:rPr>
        <w:t xml:space="preserve"> Governs coordination of social security systems but excludes SNCBs from exportability.</w:t>
      </w:r>
    </w:p>
    <w:p w14:paraId="79C2BB61" w14:textId="77777777" w:rsidR="00F53D4E" w:rsidRPr="00F919D6" w:rsidRDefault="00F53D4E" w:rsidP="006F7D3C">
      <w:pPr>
        <w:autoSpaceDE w:val="0"/>
        <w:autoSpaceDN w:val="0"/>
        <w:adjustRightInd w:val="0"/>
        <w:spacing w:after="240" w:line="360" w:lineRule="auto"/>
        <w:rPr>
          <w:rFonts w:ascii="Times New Roman" w:eastAsiaTheme="minorEastAsia" w:hAnsi="Times New Roman"/>
          <w:b/>
          <w:bCs/>
          <w14:ligatures w14:val="standardContextual"/>
        </w:rPr>
      </w:pPr>
      <w:r w:rsidRPr="00F919D6">
        <w:rPr>
          <w:rFonts w:ascii="Times New Roman" w:eastAsiaTheme="minorEastAsia" w:hAnsi="Times New Roman"/>
          <w:b/>
          <w:bCs/>
          <w14:ligatures w14:val="standardContextual"/>
        </w:rPr>
        <w:t xml:space="preserve">2.2. </w:t>
      </w:r>
      <w:proofErr w:type="spellStart"/>
      <w:r w:rsidRPr="00F919D6">
        <w:rPr>
          <w:rFonts w:ascii="Times New Roman" w:eastAsiaTheme="minorEastAsia" w:hAnsi="Times New Roman"/>
          <w:b/>
          <w:bCs/>
          <w:i/>
          <w:iCs/>
          <w14:ligatures w14:val="standardContextual"/>
        </w:rPr>
        <w:t>Dano</w:t>
      </w:r>
      <w:proofErr w:type="spellEnd"/>
      <w:r w:rsidRPr="00F919D6">
        <w:rPr>
          <w:rFonts w:ascii="Times New Roman" w:eastAsiaTheme="minorEastAsia" w:hAnsi="Times New Roman"/>
          <w:b/>
          <w:bCs/>
          <w14:ligatures w14:val="standardContextual"/>
        </w:rPr>
        <w:t xml:space="preserve">, </w:t>
      </w:r>
      <w:proofErr w:type="spellStart"/>
      <w:r w:rsidRPr="00F919D6">
        <w:rPr>
          <w:rFonts w:ascii="Times New Roman" w:eastAsiaTheme="minorEastAsia" w:hAnsi="Times New Roman"/>
          <w:b/>
          <w:bCs/>
          <w:i/>
          <w:iCs/>
          <w14:ligatures w14:val="standardContextual"/>
        </w:rPr>
        <w:t>Alimanovic</w:t>
      </w:r>
      <w:proofErr w:type="spellEnd"/>
      <w:r w:rsidRPr="00F919D6">
        <w:rPr>
          <w:rFonts w:ascii="Times New Roman" w:eastAsiaTheme="minorEastAsia" w:hAnsi="Times New Roman"/>
          <w:b/>
          <w:bCs/>
          <w14:ligatures w14:val="standardContextual"/>
        </w:rPr>
        <w:t xml:space="preserve">, and </w:t>
      </w:r>
      <w:r w:rsidRPr="00F919D6">
        <w:rPr>
          <w:rFonts w:ascii="Times New Roman" w:eastAsiaTheme="minorEastAsia" w:hAnsi="Times New Roman"/>
          <w:b/>
          <w:bCs/>
          <w:i/>
          <w:iCs/>
          <w14:ligatures w14:val="standardContextual"/>
        </w:rPr>
        <w:t>Garcia Nieto</w:t>
      </w:r>
    </w:p>
    <w:p w14:paraId="3E9B81A8" w14:textId="77777777" w:rsidR="00F53D4E" w:rsidRPr="00F919D6" w:rsidRDefault="00F53D4E" w:rsidP="006F7D3C">
      <w:pPr>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14:ligatures w14:val="standardContextual"/>
        </w:rPr>
        <w:t>These cases marked a retreat from expansive interpretations of EU citizenship, emphasizing the protection of national welfare systems.</w:t>
      </w:r>
    </w:p>
    <w:p w14:paraId="6EC9E8D0" w14:textId="77777777" w:rsidR="00F53D4E" w:rsidRPr="00F919D6" w:rsidRDefault="00F53D4E"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Facts of the Cases:</w:t>
      </w:r>
    </w:p>
    <w:p w14:paraId="52F56B26" w14:textId="77777777" w:rsidR="00F53D4E" w:rsidRPr="00F919D6" w:rsidRDefault="00F53D4E"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proofErr w:type="spellStart"/>
      <w:r w:rsidRPr="00F919D6">
        <w:rPr>
          <w:rFonts w:ascii="Times New Roman" w:eastAsiaTheme="minorEastAsia" w:hAnsi="Times New Roman"/>
          <w:i/>
          <w:iCs/>
          <w14:ligatures w14:val="standardContextual"/>
        </w:rPr>
        <w:t>Dano</w:t>
      </w:r>
      <w:proofErr w:type="spellEnd"/>
      <w:r w:rsidRPr="00F919D6">
        <w:rPr>
          <w:rFonts w:ascii="Times New Roman" w:eastAsiaTheme="minorEastAsia" w:hAnsi="Times New Roman"/>
          <w14:ligatures w14:val="standardContextual"/>
        </w:rPr>
        <w:t xml:space="preserve"> (</w:t>
      </w:r>
      <w:r w:rsidRPr="00F919D6">
        <w:rPr>
          <w:rFonts w:ascii="Times New Roman" w:eastAsiaTheme="minorEastAsia" w:hAnsi="Times New Roman"/>
          <w:i/>
          <w:iCs/>
          <w14:ligatures w14:val="standardContextual"/>
        </w:rPr>
        <w:t>Case C-333/13</w:t>
      </w:r>
      <w:r w:rsidRPr="00F919D6">
        <w:rPr>
          <w:rFonts w:ascii="Times New Roman" w:eastAsiaTheme="minorEastAsia" w:hAnsi="Times New Roman"/>
          <w14:ligatures w14:val="standardContextual"/>
        </w:rPr>
        <w:t>): A Romanian national in Germany, who had never worked or sought employment, was denied SNCBs.</w:t>
      </w:r>
    </w:p>
    <w:p w14:paraId="2C1C66C0" w14:textId="77777777" w:rsidR="00F53D4E" w:rsidRPr="00F919D6" w:rsidRDefault="00F53D4E"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proofErr w:type="spellStart"/>
      <w:r w:rsidRPr="00F919D6">
        <w:rPr>
          <w:rFonts w:ascii="Times New Roman" w:eastAsiaTheme="minorEastAsia" w:hAnsi="Times New Roman"/>
          <w:i/>
          <w:iCs/>
          <w14:ligatures w14:val="standardContextual"/>
        </w:rPr>
        <w:t>Alimanovic</w:t>
      </w:r>
      <w:proofErr w:type="spellEnd"/>
      <w:r w:rsidRPr="00F919D6">
        <w:rPr>
          <w:rFonts w:ascii="Times New Roman" w:eastAsiaTheme="minorEastAsia" w:hAnsi="Times New Roman"/>
          <w14:ligatures w14:val="standardContextual"/>
        </w:rPr>
        <w:t xml:space="preserve"> (</w:t>
      </w:r>
      <w:r w:rsidRPr="00F919D6">
        <w:rPr>
          <w:rFonts w:ascii="Times New Roman" w:eastAsiaTheme="minorEastAsia" w:hAnsi="Times New Roman"/>
          <w:i/>
          <w:iCs/>
          <w14:ligatures w14:val="standardContextual"/>
        </w:rPr>
        <w:t>Case C-67/14</w:t>
      </w:r>
      <w:r w:rsidRPr="00F919D6">
        <w:rPr>
          <w:rFonts w:ascii="Times New Roman" w:eastAsiaTheme="minorEastAsia" w:hAnsi="Times New Roman"/>
          <w14:ligatures w14:val="standardContextual"/>
        </w:rPr>
        <w:t>): Jobseekers in Germany who had previously worked but were unemployed for more than six months were denied basic income support.</w:t>
      </w:r>
    </w:p>
    <w:p w14:paraId="589E9456" w14:textId="77777777" w:rsidR="00F53D4E" w:rsidRPr="00F919D6" w:rsidRDefault="00F53D4E"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i/>
          <w:iCs/>
          <w14:ligatures w14:val="standardContextual"/>
        </w:rPr>
        <w:t>Garcia Nieto</w:t>
      </w:r>
      <w:r w:rsidRPr="00F919D6">
        <w:rPr>
          <w:rFonts w:ascii="Times New Roman" w:eastAsiaTheme="minorEastAsia" w:hAnsi="Times New Roman"/>
          <w14:ligatures w14:val="standardContextual"/>
        </w:rPr>
        <w:t xml:space="preserve"> (</w:t>
      </w:r>
      <w:r w:rsidRPr="00F919D6">
        <w:rPr>
          <w:rFonts w:ascii="Times New Roman" w:eastAsiaTheme="minorEastAsia" w:hAnsi="Times New Roman"/>
          <w:i/>
          <w:iCs/>
          <w14:ligatures w14:val="standardContextual"/>
        </w:rPr>
        <w:t>Case C-299/14</w:t>
      </w:r>
      <w:r w:rsidRPr="00F919D6">
        <w:rPr>
          <w:rFonts w:ascii="Times New Roman" w:eastAsiaTheme="minorEastAsia" w:hAnsi="Times New Roman"/>
          <w14:ligatures w14:val="standardContextual"/>
        </w:rPr>
        <w:t>): Jobseekers in their first three months of residence in Germany were denied social benefits without individualized assessments.</w:t>
      </w:r>
    </w:p>
    <w:p w14:paraId="56AD971C" w14:textId="77777777" w:rsidR="00F53D4E" w:rsidRPr="00F919D6" w:rsidRDefault="00F53D4E"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Held:</w:t>
      </w:r>
    </w:p>
    <w:p w14:paraId="5C8AEE47" w14:textId="77777777" w:rsidR="00F53D4E" w:rsidRPr="00F919D6" w:rsidRDefault="00F53D4E"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proofErr w:type="spellStart"/>
      <w:r w:rsidRPr="00F919D6">
        <w:rPr>
          <w:rFonts w:ascii="Times New Roman" w:eastAsiaTheme="minorEastAsia" w:hAnsi="Times New Roman"/>
          <w:i/>
          <w:iCs/>
          <w14:ligatures w14:val="standardContextual"/>
        </w:rPr>
        <w:t>Dano</w:t>
      </w:r>
      <w:proofErr w:type="spellEnd"/>
      <w:r w:rsidRPr="00F919D6">
        <w:rPr>
          <w:rFonts w:ascii="Times New Roman" w:eastAsiaTheme="minorEastAsia" w:hAnsi="Times New Roman"/>
          <w14:ligatures w14:val="standardContextual"/>
        </w:rPr>
        <w:t>: The ECJ held that economically inactive individuals moving solely to claim benefits could be excluded from social assistance under Directive 2004/38.</w:t>
      </w:r>
    </w:p>
    <w:p w14:paraId="58E40337" w14:textId="77777777" w:rsidR="00F53D4E" w:rsidRPr="00F919D6" w:rsidRDefault="00F53D4E"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proofErr w:type="spellStart"/>
      <w:r w:rsidRPr="00F919D6">
        <w:rPr>
          <w:rFonts w:ascii="Times New Roman" w:eastAsiaTheme="minorEastAsia" w:hAnsi="Times New Roman"/>
          <w:i/>
          <w:iCs/>
          <w14:ligatures w14:val="standardContextual"/>
        </w:rPr>
        <w:t>Alimanovic</w:t>
      </w:r>
      <w:proofErr w:type="spellEnd"/>
      <w:r w:rsidRPr="00F919D6">
        <w:rPr>
          <w:rFonts w:ascii="Times New Roman" w:eastAsiaTheme="minorEastAsia" w:hAnsi="Times New Roman"/>
          <w14:ligatures w14:val="standardContextual"/>
        </w:rPr>
        <w:t>: Benefits with a predominantly “social assistance” function could be withheld from jobseekers, even if they were once economically active.</w:t>
      </w:r>
    </w:p>
    <w:p w14:paraId="3E5C44A0" w14:textId="77777777" w:rsidR="00F53D4E" w:rsidRPr="00F919D6" w:rsidRDefault="00F53D4E"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i/>
          <w:iCs/>
          <w14:ligatures w14:val="standardContextual"/>
        </w:rPr>
        <w:t>Garcia Nieto</w:t>
      </w:r>
      <w:r w:rsidRPr="00F919D6">
        <w:rPr>
          <w:rFonts w:ascii="Times New Roman" w:eastAsiaTheme="minorEastAsia" w:hAnsi="Times New Roman"/>
          <w14:ligatures w14:val="standardContextual"/>
        </w:rPr>
        <w:t>: Affirmed that proportionality tests were unnecessary for jobseekers in their first three months of residence.</w:t>
      </w:r>
    </w:p>
    <w:p w14:paraId="74C17A53" w14:textId="77777777" w:rsidR="00F53D4E" w:rsidRPr="00F919D6" w:rsidRDefault="00F53D4E"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Reasoning:</w:t>
      </w:r>
    </w:p>
    <w:p w14:paraId="3D7EB7F1" w14:textId="77777777" w:rsidR="00F53D4E" w:rsidRPr="00F919D6" w:rsidRDefault="00F53D4E"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14:ligatures w14:val="standardContextual"/>
        </w:rPr>
        <w:lastRenderedPageBreak/>
        <w:t xml:space="preserve">In </w:t>
      </w:r>
      <w:proofErr w:type="spellStart"/>
      <w:r w:rsidRPr="00F919D6">
        <w:rPr>
          <w:rFonts w:ascii="Times New Roman" w:eastAsiaTheme="minorEastAsia" w:hAnsi="Times New Roman"/>
          <w:i/>
          <w:iCs/>
          <w14:ligatures w14:val="standardContextual"/>
        </w:rPr>
        <w:t>Dano</w:t>
      </w:r>
      <w:proofErr w:type="spellEnd"/>
      <w:r w:rsidRPr="00F919D6">
        <w:rPr>
          <w:rFonts w:ascii="Times New Roman" w:eastAsiaTheme="minorEastAsia" w:hAnsi="Times New Roman"/>
          <w14:ligatures w14:val="standardContextual"/>
        </w:rPr>
        <w:t xml:space="preserve"> and </w:t>
      </w:r>
      <w:proofErr w:type="spellStart"/>
      <w:r w:rsidRPr="00F919D6">
        <w:rPr>
          <w:rFonts w:ascii="Times New Roman" w:eastAsiaTheme="minorEastAsia" w:hAnsi="Times New Roman"/>
          <w:i/>
          <w:iCs/>
          <w14:ligatures w14:val="standardContextual"/>
        </w:rPr>
        <w:t>Alimanovic</w:t>
      </w:r>
      <w:proofErr w:type="spellEnd"/>
      <w:r w:rsidRPr="00F919D6">
        <w:rPr>
          <w:rFonts w:ascii="Times New Roman" w:eastAsiaTheme="minorEastAsia" w:hAnsi="Times New Roman"/>
          <w14:ligatures w14:val="standardContextual"/>
        </w:rPr>
        <w:t>, the Court reasoned that the predominant purpose of the benefits was to cover minimum subsistence, classifying them as social assistance rather than job market facilitators.</w:t>
      </w:r>
    </w:p>
    <w:p w14:paraId="416360B5" w14:textId="77777777" w:rsidR="00F53D4E" w:rsidRPr="00F919D6" w:rsidRDefault="00F53D4E"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14:ligatures w14:val="standardContextual"/>
        </w:rPr>
        <w:t xml:space="preserve">In </w:t>
      </w:r>
      <w:r w:rsidRPr="00F919D6">
        <w:rPr>
          <w:rFonts w:ascii="Times New Roman" w:eastAsiaTheme="minorEastAsia" w:hAnsi="Times New Roman"/>
          <w:i/>
          <w:iCs/>
          <w14:ligatures w14:val="standardContextual"/>
        </w:rPr>
        <w:t>Garcia Nieto</w:t>
      </w:r>
      <w:r w:rsidRPr="00F919D6">
        <w:rPr>
          <w:rFonts w:ascii="Times New Roman" w:eastAsiaTheme="minorEastAsia" w:hAnsi="Times New Roman"/>
          <w14:ligatures w14:val="standardContextual"/>
        </w:rPr>
        <w:t>, the ECJ emphasized that accumulated claims, rather than individual burdens, could justify exclusions.</w:t>
      </w:r>
    </w:p>
    <w:p w14:paraId="1C81D686" w14:textId="2EB563C2" w:rsidR="00F53D4E" w:rsidRPr="00F919D6" w:rsidRDefault="00F53D4E"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Critique of Proportionality:</w:t>
      </w:r>
      <w:r w:rsidR="006F7D3C">
        <w:rPr>
          <w:rFonts w:ascii="Times New Roman" w:eastAsiaTheme="minorEastAsia" w:hAnsi="Times New Roman"/>
          <w14:ligatures w14:val="standardContextual"/>
        </w:rPr>
        <w:t xml:space="preserve"> </w:t>
      </w:r>
      <w:r w:rsidRPr="00F919D6">
        <w:rPr>
          <w:rFonts w:ascii="Times New Roman" w:eastAsiaTheme="minorEastAsia" w:hAnsi="Times New Roman"/>
          <w14:ligatures w14:val="standardContextual"/>
        </w:rPr>
        <w:t xml:space="preserve">O’Brien highlights that the ECJ abandoned the case-by-case proportionality test established in </w:t>
      </w:r>
      <w:r w:rsidRPr="00F919D6">
        <w:rPr>
          <w:rFonts w:ascii="Times New Roman" w:eastAsiaTheme="minorEastAsia" w:hAnsi="Times New Roman"/>
          <w:i/>
          <w:iCs/>
          <w14:ligatures w14:val="standardContextual"/>
        </w:rPr>
        <w:t>Brey</w:t>
      </w:r>
      <w:r w:rsidRPr="00F919D6">
        <w:rPr>
          <w:rFonts w:ascii="Times New Roman" w:eastAsiaTheme="minorEastAsia" w:hAnsi="Times New Roman"/>
          <w14:ligatures w14:val="standardContextual"/>
        </w:rPr>
        <w:t>. Instead, automatic exclusions became permissible, creating systemic disadvantages for economically vulnerable migrants.</w:t>
      </w:r>
    </w:p>
    <w:p w14:paraId="3C0F9332" w14:textId="77777777" w:rsidR="00F53D4E" w:rsidRPr="00F919D6" w:rsidRDefault="00F53D4E"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Key Articles:</w:t>
      </w:r>
    </w:p>
    <w:p w14:paraId="3C8EA7B3" w14:textId="77777777" w:rsidR="00F53D4E" w:rsidRPr="00F919D6" w:rsidRDefault="00F53D4E"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Directive 2004/38, Article 24(2):</w:t>
      </w:r>
      <w:r w:rsidRPr="00F919D6">
        <w:rPr>
          <w:rFonts w:ascii="Times New Roman" w:eastAsiaTheme="minorEastAsia" w:hAnsi="Times New Roman"/>
          <w14:ligatures w14:val="standardContextual"/>
        </w:rPr>
        <w:t xml:space="preserve"> Excludes social assistance during the first three months of residence.</w:t>
      </w:r>
    </w:p>
    <w:p w14:paraId="3A6CC963" w14:textId="7FC0E1BD" w:rsidR="00CD39F1" w:rsidRPr="006F7D3C" w:rsidRDefault="00F53D4E"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TFEU, Article 45:</w:t>
      </w:r>
      <w:r w:rsidRPr="00F919D6">
        <w:rPr>
          <w:rFonts w:ascii="Times New Roman" w:eastAsiaTheme="minorEastAsia" w:hAnsi="Times New Roman"/>
          <w14:ligatures w14:val="standardContextual"/>
        </w:rPr>
        <w:t xml:space="preserve"> Protects workers’ rights but was deemed inapplicable to jobseekers without substantial </w:t>
      </w:r>
      <w:proofErr w:type="spellStart"/>
      <w:r w:rsidRPr="00F919D6">
        <w:rPr>
          <w:rFonts w:ascii="Times New Roman" w:eastAsiaTheme="minorEastAsia" w:hAnsi="Times New Roman"/>
          <w14:ligatures w14:val="standardContextual"/>
        </w:rPr>
        <w:t>labor</w:t>
      </w:r>
      <w:proofErr w:type="spellEnd"/>
      <w:r w:rsidRPr="00F919D6">
        <w:rPr>
          <w:rFonts w:ascii="Times New Roman" w:eastAsiaTheme="minorEastAsia" w:hAnsi="Times New Roman"/>
          <w14:ligatures w14:val="standardContextual"/>
        </w:rPr>
        <w:t xml:space="preserve"> market attachment.</w:t>
      </w:r>
    </w:p>
    <w:p w14:paraId="008ACA5E" w14:textId="77777777" w:rsidR="008D1510" w:rsidRPr="008D1510" w:rsidRDefault="008D1510" w:rsidP="006F7D3C">
      <w:pPr>
        <w:spacing w:before="100" w:beforeAutospacing="1" w:after="240" w:line="360" w:lineRule="auto"/>
        <w:outlineLvl w:val="2"/>
        <w:rPr>
          <w:rFonts w:ascii="Times New Roman" w:hAnsi="Times New Roman"/>
          <w:b/>
          <w:bCs/>
          <w:lang w:val="en-HK"/>
        </w:rPr>
      </w:pPr>
      <w:r w:rsidRPr="008D1510">
        <w:rPr>
          <w:rFonts w:ascii="Times New Roman" w:hAnsi="Times New Roman"/>
          <w:b/>
          <w:bCs/>
          <w:lang w:val="en-HK"/>
        </w:rPr>
        <w:t xml:space="preserve">2.3. </w:t>
      </w:r>
      <w:r w:rsidRPr="008D1510">
        <w:rPr>
          <w:rFonts w:ascii="Times New Roman" w:hAnsi="Times New Roman"/>
          <w:b/>
          <w:bCs/>
          <w:i/>
          <w:iCs/>
          <w:lang w:val="en-HK"/>
        </w:rPr>
        <w:t>Commission v. UK</w:t>
      </w:r>
    </w:p>
    <w:p w14:paraId="67821E6F" w14:textId="77777777" w:rsidR="008D1510" w:rsidRPr="008D1510" w:rsidRDefault="008D1510" w:rsidP="006F7D3C">
      <w:pPr>
        <w:spacing w:before="100" w:beforeAutospacing="1" w:after="240" w:line="360" w:lineRule="auto"/>
        <w:outlineLvl w:val="3"/>
        <w:rPr>
          <w:rFonts w:ascii="Times New Roman" w:hAnsi="Times New Roman"/>
          <w:b/>
          <w:bCs/>
          <w:lang w:val="en-HK"/>
        </w:rPr>
      </w:pPr>
      <w:r w:rsidRPr="008D1510">
        <w:rPr>
          <w:rFonts w:ascii="Times New Roman" w:hAnsi="Times New Roman"/>
          <w:b/>
          <w:bCs/>
          <w:lang w:val="en-HK"/>
        </w:rPr>
        <w:t>Background and Facts of the Case</w:t>
      </w:r>
    </w:p>
    <w:p w14:paraId="05D68190"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 xml:space="preserve">In </w:t>
      </w:r>
      <w:r w:rsidRPr="008D1510">
        <w:rPr>
          <w:rFonts w:ascii="Times New Roman" w:hAnsi="Times New Roman"/>
          <w:i/>
          <w:iCs/>
          <w:lang w:val="en-HK"/>
        </w:rPr>
        <w:t>Commission v. UK</w:t>
      </w:r>
      <w:r w:rsidRPr="008D1510">
        <w:rPr>
          <w:rFonts w:ascii="Times New Roman" w:hAnsi="Times New Roman"/>
          <w:lang w:val="en-HK"/>
        </w:rPr>
        <w:t xml:space="preserve"> (</w:t>
      </w:r>
      <w:r w:rsidRPr="008D1510">
        <w:rPr>
          <w:rFonts w:ascii="Times New Roman" w:hAnsi="Times New Roman"/>
          <w:i/>
          <w:iCs/>
          <w:lang w:val="en-HK"/>
        </w:rPr>
        <w:t>Case C-308/14</w:t>
      </w:r>
      <w:r w:rsidRPr="008D1510">
        <w:rPr>
          <w:rFonts w:ascii="Times New Roman" w:hAnsi="Times New Roman"/>
          <w:lang w:val="en-HK"/>
        </w:rPr>
        <w:t xml:space="preserve">), the European Commission challenged the UK’s application of a </w:t>
      </w:r>
      <w:r w:rsidRPr="008D1510">
        <w:rPr>
          <w:rFonts w:ascii="Times New Roman" w:hAnsi="Times New Roman"/>
          <w:b/>
          <w:bCs/>
          <w:u w:val="single"/>
          <w:lang w:val="en-HK"/>
        </w:rPr>
        <w:t>right-to-reside test</w:t>
      </w:r>
      <w:r w:rsidRPr="008D1510">
        <w:rPr>
          <w:rFonts w:ascii="Times New Roman" w:hAnsi="Times New Roman"/>
          <w:lang w:val="en-HK"/>
        </w:rPr>
        <w:t xml:space="preserve"> for EU nationals seeking family benefits, specifically Child Benefit and Child Tax Credit. These benefits are classified as </w:t>
      </w:r>
      <w:r w:rsidRPr="008D1510">
        <w:rPr>
          <w:rFonts w:ascii="Times New Roman" w:hAnsi="Times New Roman"/>
          <w:b/>
          <w:bCs/>
          <w:lang w:val="en-HK"/>
        </w:rPr>
        <w:t>pure social security benefits</w:t>
      </w:r>
      <w:r w:rsidRPr="008D1510">
        <w:rPr>
          <w:rFonts w:ascii="Times New Roman" w:hAnsi="Times New Roman"/>
          <w:lang w:val="en-HK"/>
        </w:rPr>
        <w:t xml:space="preserve"> under </w:t>
      </w:r>
      <w:r w:rsidRPr="008D1510">
        <w:rPr>
          <w:rFonts w:ascii="Times New Roman" w:hAnsi="Times New Roman"/>
          <w:b/>
          <w:bCs/>
          <w:lang w:val="en-HK"/>
        </w:rPr>
        <w:t>Regulation 883/2004</w:t>
      </w:r>
      <w:r w:rsidRPr="008D1510">
        <w:rPr>
          <w:rFonts w:ascii="Times New Roman" w:hAnsi="Times New Roman"/>
          <w:lang w:val="en-HK"/>
        </w:rPr>
        <w:t xml:space="preserve">, unlike the special non-contributory benefits (SNCBs) examined in previous cases such as </w:t>
      </w:r>
      <w:r w:rsidRPr="008D1510">
        <w:rPr>
          <w:rFonts w:ascii="Times New Roman" w:hAnsi="Times New Roman"/>
          <w:i/>
          <w:iCs/>
          <w:lang w:val="en-HK"/>
        </w:rPr>
        <w:t>Brey</w:t>
      </w:r>
      <w:r w:rsidRPr="008D1510">
        <w:rPr>
          <w:rFonts w:ascii="Times New Roman" w:hAnsi="Times New Roman"/>
          <w:lang w:val="en-HK"/>
        </w:rPr>
        <w:t xml:space="preserve">, </w:t>
      </w:r>
      <w:proofErr w:type="spellStart"/>
      <w:r w:rsidRPr="008D1510">
        <w:rPr>
          <w:rFonts w:ascii="Times New Roman" w:hAnsi="Times New Roman"/>
          <w:i/>
          <w:iCs/>
          <w:lang w:val="en-HK"/>
        </w:rPr>
        <w:t>Dano</w:t>
      </w:r>
      <w:proofErr w:type="spellEnd"/>
      <w:r w:rsidRPr="008D1510">
        <w:rPr>
          <w:rFonts w:ascii="Times New Roman" w:hAnsi="Times New Roman"/>
          <w:lang w:val="en-HK"/>
        </w:rPr>
        <w:t xml:space="preserve">, and </w:t>
      </w:r>
      <w:proofErr w:type="spellStart"/>
      <w:r w:rsidRPr="008D1510">
        <w:rPr>
          <w:rFonts w:ascii="Times New Roman" w:hAnsi="Times New Roman"/>
          <w:i/>
          <w:iCs/>
          <w:lang w:val="en-HK"/>
        </w:rPr>
        <w:t>Alimanovic</w:t>
      </w:r>
      <w:proofErr w:type="spellEnd"/>
      <w:r w:rsidRPr="008D1510">
        <w:rPr>
          <w:rFonts w:ascii="Times New Roman" w:hAnsi="Times New Roman"/>
          <w:lang w:val="en-HK"/>
        </w:rPr>
        <w:t>.</w:t>
      </w:r>
    </w:p>
    <w:p w14:paraId="11352C36"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 xml:space="preserve">The UK had made entitlement to these benefits conditional on meeting the right-to-reside requirements under </w:t>
      </w:r>
      <w:r w:rsidRPr="008D1510">
        <w:rPr>
          <w:rFonts w:ascii="Times New Roman" w:hAnsi="Times New Roman"/>
          <w:b/>
          <w:bCs/>
          <w:lang w:val="en-HK"/>
        </w:rPr>
        <w:t>Article 7 of Directive 2004/38</w:t>
      </w:r>
      <w:r w:rsidRPr="008D1510">
        <w:rPr>
          <w:rFonts w:ascii="Times New Roman" w:hAnsi="Times New Roman"/>
          <w:lang w:val="en-HK"/>
        </w:rPr>
        <w:t>, effectively excluding those who failed to meet its criteria. This practice was challenged on two grounds:</w:t>
      </w:r>
    </w:p>
    <w:p w14:paraId="3FEDBE40" w14:textId="41366A45"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lastRenderedPageBreak/>
        <w:t xml:space="preserve">1. </w:t>
      </w:r>
      <w:r w:rsidR="008D1510" w:rsidRPr="008D1510">
        <w:rPr>
          <w:rFonts w:ascii="Times New Roman" w:hAnsi="Times New Roman"/>
          <w:b/>
          <w:bCs/>
          <w:lang w:val="en-HK"/>
        </w:rPr>
        <w:t>Inconsistency with Regulation 883/2004:</w:t>
      </w:r>
      <w:r w:rsidR="008D1510" w:rsidRPr="008D1510">
        <w:rPr>
          <w:rFonts w:ascii="Times New Roman" w:hAnsi="Times New Roman"/>
          <w:lang w:val="en-HK"/>
        </w:rPr>
        <w:t xml:space="preserve"> The right-to-reside test imported conditions from Directive 2004/38 into Regulation 883/2004, even though the two frameworks have different personal scopes.</w:t>
      </w:r>
    </w:p>
    <w:p w14:paraId="41F5C79F" w14:textId="0DDAB5CF"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2. </w:t>
      </w:r>
      <w:r w:rsidR="008D1510" w:rsidRPr="008D1510">
        <w:rPr>
          <w:rFonts w:ascii="Times New Roman" w:hAnsi="Times New Roman"/>
          <w:b/>
          <w:bCs/>
          <w:lang w:val="en-HK"/>
        </w:rPr>
        <w:t>Discrimination on the Grounds of Nationality:</w:t>
      </w:r>
      <w:r w:rsidR="008D1510" w:rsidRPr="008D1510">
        <w:rPr>
          <w:rFonts w:ascii="Times New Roman" w:hAnsi="Times New Roman"/>
          <w:lang w:val="en-HK"/>
        </w:rPr>
        <w:t xml:space="preserve"> UK nationals were not subject to the right-to-reside test, while non-UK EU nationals faced additional barriers.</w:t>
      </w:r>
    </w:p>
    <w:p w14:paraId="0CF7E725" w14:textId="77777777" w:rsidR="008D1510" w:rsidRPr="008D1510" w:rsidRDefault="008D1510" w:rsidP="006F7D3C">
      <w:pPr>
        <w:spacing w:before="100" w:beforeAutospacing="1" w:after="240" w:line="360" w:lineRule="auto"/>
        <w:outlineLvl w:val="3"/>
        <w:rPr>
          <w:rFonts w:ascii="Times New Roman" w:hAnsi="Times New Roman"/>
          <w:b/>
          <w:bCs/>
          <w:lang w:val="en-HK"/>
        </w:rPr>
      </w:pPr>
      <w:r w:rsidRPr="008D1510">
        <w:rPr>
          <w:rFonts w:ascii="Times New Roman" w:hAnsi="Times New Roman"/>
          <w:b/>
          <w:bCs/>
          <w:lang w:val="en-HK"/>
        </w:rPr>
        <w:t>Advocate General’s Opinion</w:t>
      </w:r>
    </w:p>
    <w:p w14:paraId="1D6B3BC1"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 xml:space="preserve">The Advocate General (AG) Cruz </w:t>
      </w:r>
      <w:proofErr w:type="spellStart"/>
      <w:r w:rsidRPr="008D1510">
        <w:rPr>
          <w:rFonts w:ascii="Times New Roman" w:hAnsi="Times New Roman"/>
          <w:lang w:val="en-HK"/>
        </w:rPr>
        <w:t>Villalón’s</w:t>
      </w:r>
      <w:proofErr w:type="spellEnd"/>
      <w:r w:rsidRPr="008D1510">
        <w:rPr>
          <w:rFonts w:ascii="Times New Roman" w:hAnsi="Times New Roman"/>
          <w:lang w:val="en-HK"/>
        </w:rPr>
        <w:t xml:space="preserve"> opinion in this case did not provide a systematic breakdown of the legislative provisions at issue. Instead, the AG:</w:t>
      </w:r>
    </w:p>
    <w:p w14:paraId="35E00F44" w14:textId="0DAF68DE"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1. </w:t>
      </w:r>
      <w:r w:rsidR="008D1510" w:rsidRPr="008D1510">
        <w:rPr>
          <w:rFonts w:ascii="Times New Roman" w:hAnsi="Times New Roman"/>
          <w:b/>
          <w:bCs/>
          <w:lang w:val="en-HK"/>
        </w:rPr>
        <w:t>Supported Benefit Restrictions as a Fundamental Principle:</w:t>
      </w:r>
      <w:r w:rsidR="008D1510" w:rsidRPr="008D1510">
        <w:rPr>
          <w:rFonts w:ascii="Times New Roman" w:hAnsi="Times New Roman"/>
          <w:lang w:val="en-HK"/>
        </w:rPr>
        <w:t xml:space="preserve"> Building on the </w:t>
      </w:r>
      <w:proofErr w:type="spellStart"/>
      <w:r w:rsidR="008D1510" w:rsidRPr="008D1510">
        <w:rPr>
          <w:rFonts w:ascii="Times New Roman" w:hAnsi="Times New Roman"/>
          <w:i/>
          <w:iCs/>
          <w:lang w:val="en-HK"/>
        </w:rPr>
        <w:t>Dano</w:t>
      </w:r>
      <w:proofErr w:type="spellEnd"/>
      <w:r w:rsidR="008D1510" w:rsidRPr="008D1510">
        <w:rPr>
          <w:rFonts w:ascii="Times New Roman" w:hAnsi="Times New Roman"/>
          <w:lang w:val="en-HK"/>
        </w:rPr>
        <w:t xml:space="preserve"> judgment, the AG elevated the concept of restricting benefits for economically inactive migrants as a core principle to be applied across other EU legislation, including Regulation 883/2004.</w:t>
      </w:r>
    </w:p>
    <w:p w14:paraId="6FB6675C" w14:textId="7C7AA0CA"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2. </w:t>
      </w:r>
      <w:r w:rsidR="008D1510" w:rsidRPr="008D1510">
        <w:rPr>
          <w:rFonts w:ascii="Times New Roman" w:hAnsi="Times New Roman"/>
          <w:b/>
          <w:bCs/>
          <w:lang w:val="en-HK"/>
        </w:rPr>
        <w:t>Amalgamated Benefit Categories:</w:t>
      </w:r>
      <w:r w:rsidR="008D1510" w:rsidRPr="008D1510">
        <w:rPr>
          <w:rFonts w:ascii="Times New Roman" w:hAnsi="Times New Roman"/>
          <w:lang w:val="en-HK"/>
        </w:rPr>
        <w:t xml:space="preserve"> The AG treated benefits with any element of social assistance as subject to nationality-based restrictions, even when they fell outside the scope of Directive 2004/38. This approach blurred distinctions between pure social security benefits and social assistance.</w:t>
      </w:r>
    </w:p>
    <w:p w14:paraId="27174E60" w14:textId="59C8DDFE"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3. A</w:t>
      </w:r>
      <w:r w:rsidR="008D1510" w:rsidRPr="008D1510">
        <w:rPr>
          <w:rFonts w:ascii="Times New Roman" w:hAnsi="Times New Roman"/>
          <w:b/>
          <w:bCs/>
          <w:lang w:val="en-HK"/>
        </w:rPr>
        <w:t>llowed for National Discretion:</w:t>
      </w:r>
      <w:r w:rsidR="008D1510" w:rsidRPr="008D1510">
        <w:rPr>
          <w:rFonts w:ascii="Times New Roman" w:hAnsi="Times New Roman"/>
          <w:lang w:val="en-HK"/>
        </w:rPr>
        <w:t xml:space="preserve"> The AG implied that Member States had broad discretion to impose restrictions on non-nationals to protect public finances.</w:t>
      </w:r>
    </w:p>
    <w:p w14:paraId="44268B4C" w14:textId="77777777" w:rsidR="008D1510" w:rsidRPr="008D1510" w:rsidRDefault="008D1510" w:rsidP="006F7D3C">
      <w:pPr>
        <w:spacing w:before="100" w:beforeAutospacing="1" w:after="240" w:line="360" w:lineRule="auto"/>
        <w:outlineLvl w:val="3"/>
        <w:rPr>
          <w:rFonts w:ascii="Times New Roman" w:hAnsi="Times New Roman"/>
          <w:b/>
          <w:bCs/>
          <w:lang w:val="en-HK"/>
        </w:rPr>
      </w:pPr>
      <w:r w:rsidRPr="008D1510">
        <w:rPr>
          <w:rFonts w:ascii="Times New Roman" w:hAnsi="Times New Roman"/>
          <w:b/>
          <w:bCs/>
          <w:lang w:val="en-HK"/>
        </w:rPr>
        <w:t>Reasoning and Legal Implications</w:t>
      </w:r>
    </w:p>
    <w:p w14:paraId="15BAB4F5" w14:textId="67F51B0C"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1. </w:t>
      </w:r>
      <w:r w:rsidR="008D1510" w:rsidRPr="008D1510">
        <w:rPr>
          <w:rFonts w:ascii="Times New Roman" w:hAnsi="Times New Roman"/>
          <w:b/>
          <w:bCs/>
          <w:lang w:val="en-HK"/>
        </w:rPr>
        <w:t>Personal Scope of Regulation 883/2004:</w:t>
      </w:r>
    </w:p>
    <w:p w14:paraId="36BCE662" w14:textId="005E8C9B"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lang w:val="en-HK"/>
        </w:rPr>
        <w:t xml:space="preserve">- </w:t>
      </w:r>
      <w:r w:rsidR="008D1510" w:rsidRPr="008D1510">
        <w:rPr>
          <w:rFonts w:ascii="Times New Roman" w:hAnsi="Times New Roman"/>
          <w:lang w:val="en-HK"/>
        </w:rPr>
        <w:t xml:space="preserve">Regulation 883/2004 applies to all individuals subject to the legislation of at least one Member State, including non-active persons (per Recital 42). It was designed to extend the protection of its predecessor, Regulation 1408/71, as established in </w:t>
      </w:r>
      <w:proofErr w:type="spellStart"/>
      <w:r w:rsidR="008D1510" w:rsidRPr="008D1510">
        <w:rPr>
          <w:rFonts w:ascii="Times New Roman" w:hAnsi="Times New Roman"/>
          <w:i/>
          <w:iCs/>
          <w:lang w:val="en-HK"/>
        </w:rPr>
        <w:t>Dodl</w:t>
      </w:r>
      <w:proofErr w:type="spellEnd"/>
      <w:r w:rsidR="008D1510" w:rsidRPr="008D1510">
        <w:rPr>
          <w:rFonts w:ascii="Times New Roman" w:hAnsi="Times New Roman"/>
          <w:i/>
          <w:iCs/>
          <w:lang w:val="en-HK"/>
        </w:rPr>
        <w:t xml:space="preserve"> and </w:t>
      </w:r>
      <w:proofErr w:type="spellStart"/>
      <w:r w:rsidR="008D1510" w:rsidRPr="008D1510">
        <w:rPr>
          <w:rFonts w:ascii="Times New Roman" w:hAnsi="Times New Roman"/>
          <w:i/>
          <w:iCs/>
          <w:lang w:val="en-HK"/>
        </w:rPr>
        <w:t>Oberhollenzer</w:t>
      </w:r>
      <w:proofErr w:type="spellEnd"/>
      <w:r w:rsidR="008D1510" w:rsidRPr="008D1510">
        <w:rPr>
          <w:rFonts w:ascii="Times New Roman" w:hAnsi="Times New Roman"/>
          <w:lang w:val="en-HK"/>
        </w:rPr>
        <w:t>.</w:t>
      </w:r>
    </w:p>
    <w:p w14:paraId="07DF0D1B" w14:textId="5640ADA1"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lang w:val="en-HK"/>
        </w:rPr>
        <w:t xml:space="preserve">- </w:t>
      </w:r>
      <w:r w:rsidR="008D1510" w:rsidRPr="008D1510">
        <w:rPr>
          <w:rFonts w:ascii="Times New Roman" w:hAnsi="Times New Roman"/>
          <w:lang w:val="en-HK"/>
        </w:rPr>
        <w:t>By applying the right-to-reside test, the UK effectively imported conditions from Directive 2004/38, narrowing the Regulation's scope and creating gaps in coverage.</w:t>
      </w:r>
    </w:p>
    <w:p w14:paraId="13066D93" w14:textId="7239840A"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lastRenderedPageBreak/>
        <w:t xml:space="preserve">2. </w:t>
      </w:r>
      <w:r w:rsidR="008D1510" w:rsidRPr="008D1510">
        <w:rPr>
          <w:rFonts w:ascii="Times New Roman" w:hAnsi="Times New Roman"/>
          <w:b/>
          <w:bCs/>
          <w:lang w:val="en-HK"/>
        </w:rPr>
        <w:t>Erosion of EU Citizenship:</w:t>
      </w:r>
    </w:p>
    <w:p w14:paraId="78A64CAF" w14:textId="3697598C"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lang w:val="en-HK"/>
        </w:rPr>
        <w:t xml:space="preserve">- </w:t>
      </w:r>
      <w:r w:rsidR="008D1510" w:rsidRPr="008D1510">
        <w:rPr>
          <w:rFonts w:ascii="Times New Roman" w:hAnsi="Times New Roman"/>
          <w:lang w:val="en-HK"/>
        </w:rPr>
        <w:t>The AG’s reasoning suggested that EU citizenship no longer guarantees protection under Regulation 883/2004. Citizenship rights were subordinated to political and financial considerations, with Member States granted an "unwritten license" to discriminate based on nationality.</w:t>
      </w:r>
    </w:p>
    <w:p w14:paraId="1ED8BCD4" w14:textId="79E7070E"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lang w:val="en-HK"/>
        </w:rPr>
        <w:t xml:space="preserve">- </w:t>
      </w:r>
      <w:r w:rsidR="008D1510" w:rsidRPr="008D1510">
        <w:rPr>
          <w:rFonts w:ascii="Times New Roman" w:hAnsi="Times New Roman"/>
          <w:lang w:val="en-HK"/>
        </w:rPr>
        <w:t>The opinion undermined the principle of equal treatment, allowing the exclusion of non-UK nationals without requiring the UK to provide substantial justification or data on the impact of these policies on public finances.</w:t>
      </w:r>
    </w:p>
    <w:p w14:paraId="7BD0D007" w14:textId="68416612"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3. </w:t>
      </w:r>
      <w:r w:rsidR="008D1510" w:rsidRPr="008D1510">
        <w:rPr>
          <w:rFonts w:ascii="Times New Roman" w:hAnsi="Times New Roman"/>
          <w:b/>
          <w:bCs/>
          <w:lang w:val="en-HK"/>
        </w:rPr>
        <w:t>Blurred Lines Between Economic Activity and Inactivity:</w:t>
      </w:r>
    </w:p>
    <w:p w14:paraId="142D8CF8" w14:textId="08732B33"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The case reinforced an explicit divide between economically active and inactive EU nationals. However, as O’Brien notes, the absence of clear definitions of work and activity renders this divide increasingly arbitrary. Member States could exploit this ambiguity to exclude precarious workers and economically vulnerable individuals from entitlements.</w:t>
      </w:r>
    </w:p>
    <w:p w14:paraId="3285C14A" w14:textId="77777777" w:rsidR="008D1510" w:rsidRPr="008D1510" w:rsidRDefault="008D1510" w:rsidP="006F7D3C">
      <w:pPr>
        <w:spacing w:before="100" w:beforeAutospacing="1" w:after="240" w:line="360" w:lineRule="auto"/>
        <w:outlineLvl w:val="3"/>
        <w:rPr>
          <w:rFonts w:ascii="Times New Roman" w:hAnsi="Times New Roman"/>
          <w:b/>
          <w:bCs/>
          <w:lang w:val="en-HK"/>
        </w:rPr>
      </w:pPr>
      <w:r w:rsidRPr="008D1510">
        <w:rPr>
          <w:rFonts w:ascii="Times New Roman" w:hAnsi="Times New Roman"/>
          <w:b/>
          <w:bCs/>
          <w:lang w:val="en-HK"/>
        </w:rPr>
        <w:t>Critiques and Broader Implications</w:t>
      </w:r>
    </w:p>
    <w:p w14:paraId="5054FA64" w14:textId="36E019B0"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Regulation 883/2004’s Integrity at Risk:</w:t>
      </w:r>
      <w:r w:rsidR="008D1510" w:rsidRPr="008D1510">
        <w:rPr>
          <w:rFonts w:ascii="Times New Roman" w:hAnsi="Times New Roman"/>
          <w:lang w:val="en-HK"/>
        </w:rPr>
        <w:br/>
        <w:t>The AG’s opinion risks undermining the Regulation’s comprehensive framework for coordinating social security across Member States. By allowing the right-to-reside test to dictate eligibility, the UK could sidestep obligations under the Regulation, effectively narrowing its personal and material scope.</w:t>
      </w:r>
    </w:p>
    <w:p w14:paraId="6716A53E" w14:textId="79E73E5C"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Discriminatory Framework Endorsed:</w:t>
      </w:r>
      <w:r w:rsidR="008D1510" w:rsidRPr="008D1510">
        <w:rPr>
          <w:rFonts w:ascii="Times New Roman" w:hAnsi="Times New Roman"/>
          <w:lang w:val="en-HK"/>
        </w:rPr>
        <w:br/>
        <w:t>The AG did not adequately address the discriminatory impact of the UK’s policy, which disproportionately affected non-UK nationals by imposing additional conditions that UK nationals automatically fulfilled.</w:t>
      </w:r>
    </w:p>
    <w:p w14:paraId="6ACE3056" w14:textId="1CFA96AC"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Political Influence Over EU Law:</w:t>
      </w:r>
      <w:r w:rsidR="008D1510" w:rsidRPr="008D1510">
        <w:rPr>
          <w:rFonts w:ascii="Times New Roman" w:hAnsi="Times New Roman"/>
          <w:lang w:val="en-HK"/>
        </w:rPr>
        <w:br/>
        <w:t xml:space="preserve">The opinion reflects a broader trend in EU jurisprudence, where politically sensitive issues like </w:t>
      </w:r>
      <w:r w:rsidR="008D1510" w:rsidRPr="008D1510">
        <w:rPr>
          <w:rFonts w:ascii="Times New Roman" w:hAnsi="Times New Roman"/>
          <w:lang w:val="en-HK"/>
        </w:rPr>
        <w:lastRenderedPageBreak/>
        <w:t>"benefit tourism" overshadow principles of solidarity and equal treatment. As O’Brien notes, citizenship rights "vaporize" when subjected to political and financial pressures.</w:t>
      </w:r>
    </w:p>
    <w:p w14:paraId="15E5A7A6" w14:textId="77777777" w:rsidR="00F53D4E" w:rsidRPr="00F919D6" w:rsidRDefault="00F53D4E" w:rsidP="006F7D3C">
      <w:pPr>
        <w:spacing w:after="240" w:line="360" w:lineRule="auto"/>
        <w:rPr>
          <w:rFonts w:ascii="Times New Roman" w:hAnsi="Times New Roman"/>
        </w:rPr>
      </w:pPr>
    </w:p>
    <w:p w14:paraId="77981521" w14:textId="77777777" w:rsidR="008D1510" w:rsidRPr="008D1510" w:rsidRDefault="008D1510" w:rsidP="006F7D3C">
      <w:pPr>
        <w:spacing w:before="100" w:beforeAutospacing="1" w:after="240" w:line="360" w:lineRule="auto"/>
        <w:outlineLvl w:val="2"/>
        <w:rPr>
          <w:rFonts w:ascii="Times New Roman" w:hAnsi="Times New Roman"/>
          <w:b/>
          <w:bCs/>
          <w:lang w:val="en-HK"/>
        </w:rPr>
      </w:pPr>
      <w:r w:rsidRPr="008D1510">
        <w:rPr>
          <w:rFonts w:ascii="Times New Roman" w:hAnsi="Times New Roman"/>
          <w:b/>
          <w:bCs/>
          <w:lang w:val="en-HK"/>
        </w:rPr>
        <w:t>3. Free Movement on the Ground: Member States Manipulate Definitions of Work, Prospects of Work, and Retained Worker Status</w:t>
      </w:r>
    </w:p>
    <w:p w14:paraId="6F527FE1" w14:textId="59408E4E"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Charlotte O’Brien highlights how Member States manipulate the definitions of work and worker status, disproportionately disadvantaging low-paid, precarious, and part-time workers, particularly EU migrants. These manipulations exacerbate economic insecurity, limit free movement rights, and deepen inequalities between migrants and nationals.</w:t>
      </w:r>
    </w:p>
    <w:p w14:paraId="4B00C73C" w14:textId="77777777" w:rsidR="008D1510" w:rsidRPr="008D1510" w:rsidRDefault="008D1510" w:rsidP="006F7D3C">
      <w:pPr>
        <w:spacing w:before="100" w:beforeAutospacing="1" w:after="240" w:line="360" w:lineRule="auto"/>
        <w:outlineLvl w:val="3"/>
        <w:rPr>
          <w:rFonts w:ascii="Times New Roman" w:hAnsi="Times New Roman"/>
          <w:b/>
          <w:bCs/>
          <w:lang w:val="en-HK"/>
        </w:rPr>
      </w:pPr>
      <w:r w:rsidRPr="008D1510">
        <w:rPr>
          <w:rFonts w:ascii="Times New Roman" w:hAnsi="Times New Roman"/>
          <w:b/>
          <w:bCs/>
          <w:lang w:val="en-HK"/>
        </w:rPr>
        <w:t>3.1. The Economic Inactivity Illusion: National Manipulations of the Definition of Work</w:t>
      </w:r>
    </w:p>
    <w:p w14:paraId="77E8233B" w14:textId="02F8F55C" w:rsidR="008D1510" w:rsidRPr="008D1510" w:rsidRDefault="006F7D3C" w:rsidP="006F7D3C">
      <w:pPr>
        <w:spacing w:before="100" w:beforeAutospacing="1" w:after="240" w:line="360" w:lineRule="auto"/>
        <w:outlineLvl w:val="4"/>
        <w:rPr>
          <w:rFonts w:ascii="Times New Roman" w:hAnsi="Times New Roman"/>
          <w:b/>
          <w:bCs/>
          <w:lang w:val="en-HK"/>
        </w:rPr>
      </w:pPr>
      <w:r>
        <w:rPr>
          <w:rFonts w:ascii="Times New Roman" w:hAnsi="Times New Roman"/>
          <w:b/>
          <w:bCs/>
          <w:lang w:val="en-HK"/>
        </w:rPr>
        <w:t xml:space="preserve">1. </w:t>
      </w:r>
      <w:r w:rsidR="008D1510" w:rsidRPr="008D1510">
        <w:rPr>
          <w:rFonts w:ascii="Times New Roman" w:hAnsi="Times New Roman"/>
          <w:b/>
          <w:bCs/>
          <w:lang w:val="en-HK"/>
        </w:rPr>
        <w:t>Labour Market Changes and Outdated Frameworks</w:t>
      </w:r>
    </w:p>
    <w:p w14:paraId="1F9C97DB"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 xml:space="preserve">The rise of part-time, atypical, and fixed-term work, including zero-hours contracts, has reshaped the European </w:t>
      </w:r>
      <w:proofErr w:type="spellStart"/>
      <w:r w:rsidRPr="008D1510">
        <w:rPr>
          <w:rFonts w:ascii="Times New Roman" w:hAnsi="Times New Roman"/>
          <w:lang w:val="en-HK"/>
        </w:rPr>
        <w:t>labor</w:t>
      </w:r>
      <w:proofErr w:type="spellEnd"/>
      <w:r w:rsidRPr="008D1510">
        <w:rPr>
          <w:rFonts w:ascii="Times New Roman" w:hAnsi="Times New Roman"/>
          <w:lang w:val="en-HK"/>
        </w:rPr>
        <w:t xml:space="preserve"> market. However, the EU free movement framework has failed to adapt, allowing Member States to exploit ambiguities to exclude certain workers from entitlements.</w:t>
      </w:r>
    </w:p>
    <w:p w14:paraId="557A64FB" w14:textId="75DE3B20" w:rsidR="008D1510" w:rsidRPr="008D1510" w:rsidRDefault="006F7D3C" w:rsidP="006F7D3C">
      <w:pPr>
        <w:spacing w:before="100" w:beforeAutospacing="1" w:after="240" w:line="360" w:lineRule="auto"/>
        <w:outlineLvl w:val="4"/>
        <w:rPr>
          <w:rFonts w:ascii="Times New Roman" w:hAnsi="Times New Roman"/>
          <w:b/>
          <w:bCs/>
          <w:lang w:val="en-HK"/>
        </w:rPr>
      </w:pPr>
      <w:r>
        <w:rPr>
          <w:rFonts w:ascii="Times New Roman" w:hAnsi="Times New Roman"/>
          <w:b/>
          <w:bCs/>
          <w:lang w:val="en-HK"/>
        </w:rPr>
        <w:t xml:space="preserve">2. </w:t>
      </w:r>
      <w:r w:rsidR="008D1510" w:rsidRPr="008D1510">
        <w:rPr>
          <w:rFonts w:ascii="Times New Roman" w:hAnsi="Times New Roman"/>
          <w:b/>
          <w:bCs/>
          <w:lang w:val="en-HK"/>
        </w:rPr>
        <w:t>ECJ's Broad Definition of Work</w:t>
      </w:r>
    </w:p>
    <w:p w14:paraId="5380C268"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Despite national attempts to restrict the definition of work, the ECJ has historically endorsed an expansive approach:</w:t>
      </w:r>
    </w:p>
    <w:p w14:paraId="0DAEE5BA" w14:textId="1C2215A8"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1. </w:t>
      </w:r>
      <w:r w:rsidR="008D1510" w:rsidRPr="008D1510">
        <w:rPr>
          <w:rFonts w:ascii="Times New Roman" w:hAnsi="Times New Roman"/>
          <w:b/>
          <w:bCs/>
          <w:lang w:val="en-HK"/>
        </w:rPr>
        <w:t>Lawrie Blum (Case 66/85):</w:t>
      </w:r>
      <w:r w:rsidR="008D1510" w:rsidRPr="008D1510">
        <w:rPr>
          <w:rFonts w:ascii="Times New Roman" w:hAnsi="Times New Roman"/>
          <w:lang w:val="en-HK"/>
        </w:rPr>
        <w:t xml:space="preserve"> Established that a worker must perform services under the direction of another for remuneration.</w:t>
      </w:r>
    </w:p>
    <w:p w14:paraId="09AFD12A" w14:textId="79153F41"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2. </w:t>
      </w:r>
      <w:r w:rsidR="008D1510" w:rsidRPr="008D1510">
        <w:rPr>
          <w:rFonts w:ascii="Times New Roman" w:hAnsi="Times New Roman"/>
          <w:b/>
          <w:bCs/>
          <w:lang w:val="en-HK"/>
        </w:rPr>
        <w:t>Levin (Case 53/81):</w:t>
      </w:r>
      <w:r w:rsidR="008D1510" w:rsidRPr="008D1510">
        <w:rPr>
          <w:rFonts w:ascii="Times New Roman" w:hAnsi="Times New Roman"/>
          <w:lang w:val="en-HK"/>
        </w:rPr>
        <w:t xml:space="preserve"> Affirmed that part-time work qualifies as employment if it is "effective and genuine" and improves living conditions, even if earnings are below subsistence levels.</w:t>
      </w:r>
    </w:p>
    <w:p w14:paraId="38F7DB66" w14:textId="62B0C7E7"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3. </w:t>
      </w:r>
      <w:proofErr w:type="spellStart"/>
      <w:r w:rsidR="008D1510" w:rsidRPr="008D1510">
        <w:rPr>
          <w:rFonts w:ascii="Times New Roman" w:hAnsi="Times New Roman"/>
          <w:b/>
          <w:bCs/>
          <w:lang w:val="en-HK"/>
        </w:rPr>
        <w:t>Kempf</w:t>
      </w:r>
      <w:proofErr w:type="spellEnd"/>
      <w:r w:rsidR="008D1510" w:rsidRPr="008D1510">
        <w:rPr>
          <w:rFonts w:ascii="Times New Roman" w:hAnsi="Times New Roman"/>
          <w:b/>
          <w:bCs/>
          <w:lang w:val="en-HK"/>
        </w:rPr>
        <w:t xml:space="preserve"> (Case 139/85):</w:t>
      </w:r>
      <w:r w:rsidR="008D1510" w:rsidRPr="008D1510">
        <w:rPr>
          <w:rFonts w:ascii="Times New Roman" w:hAnsi="Times New Roman"/>
          <w:lang w:val="en-HK"/>
        </w:rPr>
        <w:t xml:space="preserve"> Confirmed that low-income work can qualify as genuine employment, regardless of whether the individual receives supplementary benefits.</w:t>
      </w:r>
    </w:p>
    <w:p w14:paraId="17A8B92A" w14:textId="297F9086"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lastRenderedPageBreak/>
        <w:t xml:space="preserve">4. </w:t>
      </w:r>
      <w:proofErr w:type="spellStart"/>
      <w:r w:rsidR="008D1510" w:rsidRPr="008D1510">
        <w:rPr>
          <w:rFonts w:ascii="Times New Roman" w:hAnsi="Times New Roman"/>
          <w:b/>
          <w:bCs/>
          <w:lang w:val="en-HK"/>
        </w:rPr>
        <w:t>Genc</w:t>
      </w:r>
      <w:proofErr w:type="spellEnd"/>
      <w:r w:rsidR="008D1510" w:rsidRPr="008D1510">
        <w:rPr>
          <w:rFonts w:ascii="Times New Roman" w:hAnsi="Times New Roman"/>
          <w:b/>
          <w:bCs/>
          <w:lang w:val="en-HK"/>
        </w:rPr>
        <w:t xml:space="preserve"> (Case C-14/09):</w:t>
      </w:r>
      <w:r w:rsidR="008D1510" w:rsidRPr="008D1510">
        <w:rPr>
          <w:rFonts w:ascii="Times New Roman" w:hAnsi="Times New Roman"/>
          <w:lang w:val="en-HK"/>
        </w:rPr>
        <w:t xml:space="preserve"> Reinforced that a low number of hours worked does not automatically render an activity marginal or ancillary; the total circumstances must be considered.</w:t>
      </w:r>
    </w:p>
    <w:p w14:paraId="3ED44352" w14:textId="68A8F3CD"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5. </w:t>
      </w:r>
      <w:proofErr w:type="spellStart"/>
      <w:r w:rsidR="008D1510" w:rsidRPr="008D1510">
        <w:rPr>
          <w:rFonts w:ascii="Times New Roman" w:hAnsi="Times New Roman"/>
          <w:b/>
          <w:bCs/>
          <w:lang w:val="en-HK"/>
        </w:rPr>
        <w:t>Fenoll</w:t>
      </w:r>
      <w:proofErr w:type="spellEnd"/>
      <w:r w:rsidR="008D1510" w:rsidRPr="008D1510">
        <w:rPr>
          <w:rFonts w:ascii="Times New Roman" w:hAnsi="Times New Roman"/>
          <w:b/>
          <w:bCs/>
          <w:lang w:val="en-HK"/>
        </w:rPr>
        <w:t xml:space="preserve"> (Case C-316/13):</w:t>
      </w:r>
      <w:r w:rsidR="008D1510" w:rsidRPr="008D1510">
        <w:rPr>
          <w:rFonts w:ascii="Times New Roman" w:hAnsi="Times New Roman"/>
          <w:lang w:val="en-HK"/>
        </w:rPr>
        <w:t xml:space="preserve"> Circumscribed the </w:t>
      </w:r>
      <w:proofErr w:type="spellStart"/>
      <w:r w:rsidR="008D1510" w:rsidRPr="008D1510">
        <w:rPr>
          <w:rFonts w:ascii="Times New Roman" w:hAnsi="Times New Roman"/>
          <w:lang w:val="en-HK"/>
        </w:rPr>
        <w:t>Bettray</w:t>
      </w:r>
      <w:proofErr w:type="spellEnd"/>
      <w:r w:rsidR="008D1510" w:rsidRPr="008D1510">
        <w:rPr>
          <w:rFonts w:ascii="Times New Roman" w:hAnsi="Times New Roman"/>
          <w:lang w:val="en-HK"/>
        </w:rPr>
        <w:t xml:space="preserve"> exception (rehabilitative work is not genuine work), ruling that adapted work environments for people with disabilities do not preclude the recognition of worker status.</w:t>
      </w:r>
    </w:p>
    <w:p w14:paraId="70276A11"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 xml:space="preserve">These rulings create a presumption in </w:t>
      </w:r>
      <w:proofErr w:type="spellStart"/>
      <w:r w:rsidRPr="008D1510">
        <w:rPr>
          <w:rFonts w:ascii="Times New Roman" w:hAnsi="Times New Roman"/>
          <w:lang w:val="en-HK"/>
        </w:rPr>
        <w:t>favor</w:t>
      </w:r>
      <w:proofErr w:type="spellEnd"/>
      <w:r w:rsidRPr="008D1510">
        <w:rPr>
          <w:rFonts w:ascii="Times New Roman" w:hAnsi="Times New Roman"/>
          <w:lang w:val="en-HK"/>
        </w:rPr>
        <w:t xml:space="preserve"> of treating most employment as genuine unless a Member State can prove that it is "purely marginal and ancillary."</w:t>
      </w:r>
    </w:p>
    <w:p w14:paraId="331D00BE" w14:textId="6213B7C0" w:rsidR="008D1510" w:rsidRPr="008D1510" w:rsidRDefault="006F7D3C" w:rsidP="006F7D3C">
      <w:pPr>
        <w:spacing w:before="100" w:beforeAutospacing="1" w:after="240" w:line="360" w:lineRule="auto"/>
        <w:outlineLvl w:val="4"/>
        <w:rPr>
          <w:rFonts w:ascii="Times New Roman" w:hAnsi="Times New Roman"/>
          <w:b/>
          <w:bCs/>
          <w:lang w:val="en-HK"/>
        </w:rPr>
      </w:pPr>
      <w:r>
        <w:rPr>
          <w:rFonts w:ascii="Times New Roman" w:hAnsi="Times New Roman"/>
          <w:b/>
          <w:bCs/>
          <w:lang w:val="en-HK"/>
        </w:rPr>
        <w:t xml:space="preserve">3. </w:t>
      </w:r>
      <w:r w:rsidR="008D1510" w:rsidRPr="008D1510">
        <w:rPr>
          <w:rFonts w:ascii="Times New Roman" w:hAnsi="Times New Roman"/>
          <w:b/>
          <w:bCs/>
          <w:lang w:val="en-HK"/>
        </w:rPr>
        <w:t>National Thresholds and Manipulations</w:t>
      </w:r>
    </w:p>
    <w:p w14:paraId="7AB24885"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Many Member States impose formal or informal thresholds for hours worked or income earned to rebut the presumption of work:</w:t>
      </w:r>
    </w:p>
    <w:p w14:paraId="24950BCE" w14:textId="7F863662"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1. </w:t>
      </w:r>
      <w:r w:rsidR="008D1510" w:rsidRPr="008D1510">
        <w:rPr>
          <w:rFonts w:ascii="Times New Roman" w:hAnsi="Times New Roman"/>
          <w:b/>
          <w:bCs/>
          <w:lang w:val="en-HK"/>
        </w:rPr>
        <w:t>Belgium:</w:t>
      </w:r>
      <w:r w:rsidR="008D1510" w:rsidRPr="008D1510">
        <w:rPr>
          <w:rFonts w:ascii="Times New Roman" w:hAnsi="Times New Roman"/>
          <w:lang w:val="en-HK"/>
        </w:rPr>
        <w:t xml:space="preserve"> A 12-hour per week threshold creates a "quasi-irrebuttable" presumption of marginality for activities below this level.</w:t>
      </w:r>
    </w:p>
    <w:p w14:paraId="04F2B07C" w14:textId="06210236"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2. </w:t>
      </w:r>
      <w:r w:rsidR="008D1510" w:rsidRPr="008D1510">
        <w:rPr>
          <w:rFonts w:ascii="Times New Roman" w:hAnsi="Times New Roman"/>
          <w:b/>
          <w:bCs/>
          <w:lang w:val="en-HK"/>
        </w:rPr>
        <w:t>UK:</w:t>
      </w:r>
      <w:r w:rsidR="008D1510" w:rsidRPr="008D1510">
        <w:rPr>
          <w:rFonts w:ascii="Times New Roman" w:hAnsi="Times New Roman"/>
          <w:lang w:val="en-HK"/>
        </w:rPr>
        <w:t xml:space="preserve"> The Minimum Earnings Threshold requires workers to earn at least £155 per week for three months to be automatically classified as workers. Falling below this threshold shifts the burden of proof onto the claimant, who must demonstrate that their work is genuine and effective.</w:t>
      </w:r>
    </w:p>
    <w:p w14:paraId="6D6945EF" w14:textId="27B4F348"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3. </w:t>
      </w:r>
      <w:r w:rsidR="008D1510" w:rsidRPr="008D1510">
        <w:rPr>
          <w:rFonts w:ascii="Times New Roman" w:hAnsi="Times New Roman"/>
          <w:b/>
          <w:bCs/>
          <w:lang w:val="en-HK"/>
        </w:rPr>
        <w:t>Finland:</w:t>
      </w:r>
      <w:r w:rsidR="008D1510" w:rsidRPr="008D1510">
        <w:rPr>
          <w:rFonts w:ascii="Times New Roman" w:hAnsi="Times New Roman"/>
          <w:lang w:val="en-HK"/>
        </w:rPr>
        <w:t xml:space="preserve"> Requires an 18-hour workweek or €1,165 monthly income for recognition as a worker.</w:t>
      </w:r>
    </w:p>
    <w:p w14:paraId="7AACC733" w14:textId="53F31DD6"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4. </w:t>
      </w:r>
      <w:r w:rsidR="008D1510" w:rsidRPr="008D1510">
        <w:rPr>
          <w:rFonts w:ascii="Times New Roman" w:hAnsi="Times New Roman"/>
          <w:b/>
          <w:bCs/>
          <w:lang w:val="en-HK"/>
        </w:rPr>
        <w:t>Netherlands:</w:t>
      </w:r>
      <w:r w:rsidR="008D1510" w:rsidRPr="008D1510">
        <w:rPr>
          <w:rFonts w:ascii="Times New Roman" w:hAnsi="Times New Roman"/>
          <w:lang w:val="en-HK"/>
        </w:rPr>
        <w:t xml:space="preserve"> Uses a combination of sector-specific working hours and income thresholds.</w:t>
      </w:r>
    </w:p>
    <w:p w14:paraId="5162E696"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These thresholds often penalize precarious workers and those on short-term contracts, disproportionately affecting low-income and part-time employees. Migrants working 20 hours per week or less are frequently deemed "economically inactive," forcing them to prove otherwise without clear guidance.</w:t>
      </w:r>
    </w:p>
    <w:p w14:paraId="5A34FA75" w14:textId="7E12A8DC" w:rsidR="008D1510" w:rsidRPr="008D1510" w:rsidRDefault="006F7D3C" w:rsidP="006F7D3C">
      <w:pPr>
        <w:spacing w:before="100" w:beforeAutospacing="1" w:after="240" w:line="360" w:lineRule="auto"/>
        <w:outlineLvl w:val="4"/>
        <w:rPr>
          <w:rFonts w:ascii="Times New Roman" w:hAnsi="Times New Roman"/>
          <w:b/>
          <w:bCs/>
          <w:lang w:val="en-HK"/>
        </w:rPr>
      </w:pPr>
      <w:r>
        <w:rPr>
          <w:rFonts w:ascii="Times New Roman" w:hAnsi="Times New Roman"/>
          <w:b/>
          <w:bCs/>
          <w:lang w:val="en-HK"/>
        </w:rPr>
        <w:t xml:space="preserve">5. </w:t>
      </w:r>
      <w:r w:rsidR="008D1510" w:rsidRPr="008D1510">
        <w:rPr>
          <w:rFonts w:ascii="Times New Roman" w:hAnsi="Times New Roman"/>
          <w:b/>
          <w:bCs/>
          <w:lang w:val="en-HK"/>
        </w:rPr>
        <w:t>Impacts on Vulnerable Groups</w:t>
      </w:r>
    </w:p>
    <w:p w14:paraId="3D793EE9" w14:textId="7C98E01B"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lang w:val="en-HK"/>
        </w:rPr>
        <w:lastRenderedPageBreak/>
        <w:t xml:space="preserve">- </w:t>
      </w:r>
      <w:r w:rsidR="008D1510" w:rsidRPr="008D1510">
        <w:rPr>
          <w:rFonts w:ascii="Times New Roman" w:hAnsi="Times New Roman"/>
          <w:lang w:val="en-HK"/>
        </w:rPr>
        <w:t>Lone parents, disabled workers, and caregivers face significant disadvantages compared to nationals who have reduced work obligations under national benefit systems.</w:t>
      </w:r>
    </w:p>
    <w:p w14:paraId="6F6F3367" w14:textId="4AD8B08B"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lang w:val="en-HK"/>
        </w:rPr>
        <w:t xml:space="preserve">- </w:t>
      </w:r>
      <w:r w:rsidR="008D1510" w:rsidRPr="008D1510">
        <w:rPr>
          <w:rFonts w:ascii="Times New Roman" w:hAnsi="Times New Roman"/>
          <w:lang w:val="en-HK"/>
        </w:rPr>
        <w:t>Many lose access to essential benefits like housing assistance and childcare support, increasing their risk of homelessness and unemployment.</w:t>
      </w:r>
    </w:p>
    <w:p w14:paraId="50002DE9" w14:textId="037202EC"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lang w:val="en-HK"/>
        </w:rPr>
        <w:t xml:space="preserve">- </w:t>
      </w:r>
      <w:r w:rsidR="008D1510" w:rsidRPr="008D1510">
        <w:rPr>
          <w:rFonts w:ascii="Times New Roman" w:hAnsi="Times New Roman"/>
          <w:lang w:val="en-HK"/>
        </w:rPr>
        <w:t>Migrants often fail to establish permanent residence due to retrospective findings of insufficient worker status, even after years of employment.</w:t>
      </w:r>
    </w:p>
    <w:p w14:paraId="31EE1192" w14:textId="77777777" w:rsidR="008D1510" w:rsidRPr="008D1510" w:rsidRDefault="008D1510" w:rsidP="006F7D3C">
      <w:pPr>
        <w:spacing w:before="100" w:beforeAutospacing="1" w:after="240" w:line="360" w:lineRule="auto"/>
        <w:outlineLvl w:val="3"/>
        <w:rPr>
          <w:rFonts w:ascii="Times New Roman" w:hAnsi="Times New Roman"/>
          <w:b/>
          <w:bCs/>
          <w:lang w:val="en-HK"/>
        </w:rPr>
      </w:pPr>
      <w:r w:rsidRPr="008D1510">
        <w:rPr>
          <w:rFonts w:ascii="Times New Roman" w:hAnsi="Times New Roman"/>
          <w:b/>
          <w:bCs/>
          <w:lang w:val="en-HK"/>
        </w:rPr>
        <w:t>3.2. National Manipulation of Prospects of Work and Retention of Worker Status</w:t>
      </w:r>
    </w:p>
    <w:p w14:paraId="1524E449" w14:textId="7E3A6D9C" w:rsidR="008D1510" w:rsidRPr="008D1510" w:rsidRDefault="006F7D3C" w:rsidP="006F7D3C">
      <w:pPr>
        <w:spacing w:before="100" w:beforeAutospacing="1" w:after="240" w:line="360" w:lineRule="auto"/>
        <w:outlineLvl w:val="4"/>
        <w:rPr>
          <w:rFonts w:ascii="Times New Roman" w:hAnsi="Times New Roman"/>
          <w:b/>
          <w:bCs/>
          <w:lang w:val="en-HK"/>
        </w:rPr>
      </w:pPr>
      <w:r>
        <w:rPr>
          <w:rFonts w:ascii="Times New Roman" w:hAnsi="Times New Roman"/>
          <w:b/>
          <w:bCs/>
          <w:lang w:val="en-HK"/>
        </w:rPr>
        <w:t xml:space="preserve">1. </w:t>
      </w:r>
      <w:r w:rsidR="008D1510" w:rsidRPr="008D1510">
        <w:rPr>
          <w:rFonts w:ascii="Times New Roman" w:hAnsi="Times New Roman"/>
          <w:b/>
          <w:bCs/>
          <w:lang w:val="en-HK"/>
        </w:rPr>
        <w:t>Genuine Prospects of Work Test (</w:t>
      </w:r>
      <w:proofErr w:type="spellStart"/>
      <w:r w:rsidR="008D1510" w:rsidRPr="008D1510">
        <w:rPr>
          <w:rFonts w:ascii="Times New Roman" w:hAnsi="Times New Roman"/>
          <w:b/>
          <w:bCs/>
          <w:lang w:val="en-HK"/>
        </w:rPr>
        <w:t>GPoW</w:t>
      </w:r>
      <w:proofErr w:type="spellEnd"/>
      <w:r w:rsidR="008D1510" w:rsidRPr="008D1510">
        <w:rPr>
          <w:rFonts w:ascii="Times New Roman" w:hAnsi="Times New Roman"/>
          <w:b/>
          <w:bCs/>
          <w:lang w:val="en-HK"/>
        </w:rPr>
        <w:t>)</w:t>
      </w:r>
    </w:p>
    <w:p w14:paraId="43567A9E"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In the UK and other Member States, stringent tests for jobseekers further undermine free movement rights:</w:t>
      </w:r>
    </w:p>
    <w:p w14:paraId="67AADEC8"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b/>
          <w:bCs/>
          <w:lang w:val="en-HK"/>
        </w:rPr>
        <w:t xml:space="preserve">UK </w:t>
      </w:r>
      <w:proofErr w:type="spellStart"/>
      <w:r w:rsidRPr="008D1510">
        <w:rPr>
          <w:rFonts w:ascii="Times New Roman" w:hAnsi="Times New Roman"/>
          <w:b/>
          <w:bCs/>
          <w:lang w:val="en-HK"/>
        </w:rPr>
        <w:t>GPoW</w:t>
      </w:r>
      <w:proofErr w:type="spellEnd"/>
      <w:r w:rsidRPr="008D1510">
        <w:rPr>
          <w:rFonts w:ascii="Times New Roman" w:hAnsi="Times New Roman"/>
          <w:b/>
          <w:bCs/>
          <w:lang w:val="en-HK"/>
        </w:rPr>
        <w:t xml:space="preserve"> Test:</w:t>
      </w:r>
      <w:r w:rsidRPr="008D1510">
        <w:rPr>
          <w:rFonts w:ascii="Times New Roman" w:hAnsi="Times New Roman"/>
          <w:lang w:val="en-HK"/>
        </w:rPr>
        <w:t xml:space="preserve"> After three months of claiming Jobseekers Allowance, migrants must present "compelling evidence" of imminent employment in genuine and effective work. This often means demonstrating a formal job offer with adequate hours and pay, excluding variable or on-call contracts.</w:t>
      </w:r>
    </w:p>
    <w:p w14:paraId="21318144" w14:textId="5AE20004" w:rsidR="008D1510" w:rsidRPr="008D1510" w:rsidRDefault="006F7D3C" w:rsidP="006F7D3C">
      <w:pPr>
        <w:spacing w:before="100" w:beforeAutospacing="1" w:after="240" w:line="360" w:lineRule="auto"/>
        <w:outlineLvl w:val="4"/>
        <w:rPr>
          <w:rFonts w:ascii="Times New Roman" w:hAnsi="Times New Roman"/>
          <w:b/>
          <w:bCs/>
          <w:lang w:val="en-HK"/>
        </w:rPr>
      </w:pPr>
      <w:r>
        <w:rPr>
          <w:rFonts w:ascii="Times New Roman" w:hAnsi="Times New Roman"/>
          <w:b/>
          <w:bCs/>
          <w:lang w:val="en-HK"/>
        </w:rPr>
        <w:t xml:space="preserve">2. </w:t>
      </w:r>
      <w:r w:rsidR="008D1510" w:rsidRPr="008D1510">
        <w:rPr>
          <w:rFonts w:ascii="Times New Roman" w:hAnsi="Times New Roman"/>
          <w:b/>
          <w:bCs/>
          <w:lang w:val="en-HK"/>
        </w:rPr>
        <w:t>Retention of Worker Status (Directive 2004/38, Article 7(3))</w:t>
      </w:r>
    </w:p>
    <w:p w14:paraId="0338C2AE"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Workers who become involuntarily unemployed can retain their worker status temporarily:</w:t>
      </w:r>
    </w:p>
    <w:p w14:paraId="339150CC"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b/>
          <w:bCs/>
          <w:lang w:val="en-HK"/>
        </w:rPr>
        <w:t>Less than 12 months of work:</w:t>
      </w:r>
      <w:r w:rsidRPr="008D1510">
        <w:rPr>
          <w:rFonts w:ascii="Times New Roman" w:hAnsi="Times New Roman"/>
          <w:lang w:val="en-HK"/>
        </w:rPr>
        <w:t xml:space="preserve"> Retain status for six months, per Article 7(3)(c). Many Member States, including Sweden, Poland, and the UK, treat this six-month minimum as a maximum, denying further extensions.</w:t>
      </w:r>
    </w:p>
    <w:p w14:paraId="68D575CE"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b/>
          <w:bCs/>
          <w:lang w:val="en-HK"/>
        </w:rPr>
        <w:t>More than 12 months of work:</w:t>
      </w:r>
      <w:r w:rsidRPr="008D1510">
        <w:rPr>
          <w:rFonts w:ascii="Times New Roman" w:hAnsi="Times New Roman"/>
          <w:lang w:val="en-HK"/>
        </w:rPr>
        <w:t xml:space="preserve"> Retain status indefinitely if actively seeking employment.</w:t>
      </w:r>
    </w:p>
    <w:p w14:paraId="60154C8E"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b/>
          <w:bCs/>
          <w:lang w:val="en-HK"/>
        </w:rPr>
        <w:t>However</w:t>
      </w:r>
      <w:r w:rsidRPr="008D1510">
        <w:rPr>
          <w:rFonts w:ascii="Times New Roman" w:hAnsi="Times New Roman"/>
          <w:lang w:val="en-HK"/>
        </w:rPr>
        <w:t>, Member States often impose additional requirements, such as proving a continuous record of effective work or sufficient resources during employment gaps. For example, in the UK:</w:t>
      </w:r>
    </w:p>
    <w:p w14:paraId="2C26D2EE"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lastRenderedPageBreak/>
        <w:t>Migrants must demonstrate savings sufficient to cover five years of inactivity, far exceeding the legal requirement of sufficient resources to cover temporary gaps.</w:t>
      </w:r>
    </w:p>
    <w:p w14:paraId="6876CB27" w14:textId="4246F8C2" w:rsidR="008D1510" w:rsidRPr="008D1510" w:rsidRDefault="006F7D3C" w:rsidP="006F7D3C">
      <w:pPr>
        <w:spacing w:before="100" w:beforeAutospacing="1" w:after="240" w:line="360" w:lineRule="auto"/>
        <w:outlineLvl w:val="4"/>
        <w:rPr>
          <w:rFonts w:ascii="Times New Roman" w:hAnsi="Times New Roman"/>
          <w:b/>
          <w:bCs/>
          <w:lang w:val="en-HK"/>
        </w:rPr>
      </w:pPr>
      <w:r>
        <w:rPr>
          <w:rFonts w:ascii="Times New Roman" w:hAnsi="Times New Roman"/>
          <w:b/>
          <w:bCs/>
          <w:lang w:val="en-HK"/>
        </w:rPr>
        <w:t xml:space="preserve">3. </w:t>
      </w:r>
      <w:r w:rsidR="008D1510" w:rsidRPr="008D1510">
        <w:rPr>
          <w:rFonts w:ascii="Times New Roman" w:hAnsi="Times New Roman"/>
          <w:b/>
          <w:bCs/>
          <w:lang w:val="en-HK"/>
        </w:rPr>
        <w:t>Systemic Challenges</w:t>
      </w:r>
    </w:p>
    <w:p w14:paraId="305C7714" w14:textId="2996C450"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Marginalization of Precarious Workers:</w:t>
      </w:r>
      <w:r w:rsidR="008D1510" w:rsidRPr="008D1510">
        <w:rPr>
          <w:rFonts w:ascii="Times New Roman" w:hAnsi="Times New Roman"/>
          <w:lang w:val="en-HK"/>
        </w:rPr>
        <w:t xml:space="preserve"> Migrants on short-term or variable contracts struggle to prove genuine employment, leading to frequent status reclassifications as jobseekers or economically inactive individuals.</w:t>
      </w:r>
    </w:p>
    <w:p w14:paraId="665100EC" w14:textId="552130AF"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Increased Burden of Proof:</w:t>
      </w:r>
      <w:r w:rsidR="008D1510" w:rsidRPr="008D1510">
        <w:rPr>
          <w:rFonts w:ascii="Times New Roman" w:hAnsi="Times New Roman"/>
          <w:lang w:val="en-HK"/>
        </w:rPr>
        <w:t xml:space="preserve"> Migrants must provide extensive documentation to retain worker status, creating disproportionate barriers for low-income and vulnerable individuals.</w:t>
      </w:r>
    </w:p>
    <w:p w14:paraId="48106110" w14:textId="46F66527"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Intersection with In-Work Benefit Restrictions:</w:t>
      </w:r>
      <w:r w:rsidR="008D1510" w:rsidRPr="008D1510">
        <w:rPr>
          <w:rFonts w:ascii="Times New Roman" w:hAnsi="Times New Roman"/>
          <w:lang w:val="en-HK"/>
        </w:rPr>
        <w:t xml:space="preserve"> Narrow definitions of work exacerbate barriers to accessing benefits, leaving many workers without support during employment gaps.</w:t>
      </w:r>
    </w:p>
    <w:p w14:paraId="37688438" w14:textId="77777777" w:rsidR="008D1510" w:rsidRPr="008D1510" w:rsidRDefault="008D1510" w:rsidP="006F7D3C">
      <w:pPr>
        <w:spacing w:before="100" w:beforeAutospacing="1" w:after="240" w:line="360" w:lineRule="auto"/>
        <w:outlineLvl w:val="3"/>
        <w:rPr>
          <w:rFonts w:ascii="Times New Roman" w:hAnsi="Times New Roman"/>
          <w:b/>
          <w:bCs/>
          <w:lang w:val="en-HK"/>
        </w:rPr>
      </w:pPr>
      <w:r w:rsidRPr="008D1510">
        <w:rPr>
          <w:rFonts w:ascii="Times New Roman" w:hAnsi="Times New Roman"/>
          <w:b/>
          <w:bCs/>
          <w:lang w:val="en-HK"/>
        </w:rPr>
        <w:t>Critique and Implications</w:t>
      </w:r>
    </w:p>
    <w:p w14:paraId="3FA53747"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O’Brien identifies a growing divergence between EU rights in theory and their practical application:</w:t>
      </w:r>
    </w:p>
    <w:p w14:paraId="40467DF4" w14:textId="2FFCCFE9"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Wealth and Class Divide:</w:t>
      </w:r>
      <w:r w:rsidR="008D1510" w:rsidRPr="008D1510">
        <w:rPr>
          <w:rFonts w:ascii="Times New Roman" w:hAnsi="Times New Roman"/>
          <w:lang w:val="en-HK"/>
        </w:rPr>
        <w:t xml:space="preserve"> Free movement increasingly privileges economically secure individuals, reducing opportunities for low-income and precarious workers.</w:t>
      </w:r>
    </w:p>
    <w:p w14:paraId="6B5AC757" w14:textId="55F460F1"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Erosion of EU Citizenship:</w:t>
      </w:r>
      <w:r w:rsidR="008D1510" w:rsidRPr="008D1510">
        <w:rPr>
          <w:rFonts w:ascii="Times New Roman" w:hAnsi="Times New Roman"/>
          <w:lang w:val="en-HK"/>
        </w:rPr>
        <w:t xml:space="preserve"> Workers without significant resources or strong </w:t>
      </w:r>
      <w:proofErr w:type="spellStart"/>
      <w:r w:rsidR="008D1510" w:rsidRPr="008D1510">
        <w:rPr>
          <w:rFonts w:ascii="Times New Roman" w:hAnsi="Times New Roman"/>
          <w:lang w:val="en-HK"/>
        </w:rPr>
        <w:t>labor</w:t>
      </w:r>
      <w:proofErr w:type="spellEnd"/>
      <w:r w:rsidR="008D1510" w:rsidRPr="008D1510">
        <w:rPr>
          <w:rFonts w:ascii="Times New Roman" w:hAnsi="Times New Roman"/>
          <w:lang w:val="en-HK"/>
        </w:rPr>
        <w:t xml:space="preserve"> market positions face exclusionary rules that undermine solidarity and equality.</w:t>
      </w:r>
    </w:p>
    <w:p w14:paraId="149E3C4F" w14:textId="4A48D23D"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Flexicurity Fails Migrants:</w:t>
      </w:r>
      <w:r w:rsidR="008D1510" w:rsidRPr="008D1510">
        <w:rPr>
          <w:rFonts w:ascii="Times New Roman" w:hAnsi="Times New Roman"/>
          <w:lang w:val="en-HK"/>
        </w:rPr>
        <w:t xml:space="preserve"> The promise of combining </w:t>
      </w:r>
      <w:proofErr w:type="spellStart"/>
      <w:r w:rsidR="008D1510" w:rsidRPr="008D1510">
        <w:rPr>
          <w:rFonts w:ascii="Times New Roman" w:hAnsi="Times New Roman"/>
          <w:lang w:val="en-HK"/>
        </w:rPr>
        <w:t>labor</w:t>
      </w:r>
      <w:proofErr w:type="spellEnd"/>
      <w:r w:rsidR="008D1510" w:rsidRPr="008D1510">
        <w:rPr>
          <w:rFonts w:ascii="Times New Roman" w:hAnsi="Times New Roman"/>
          <w:lang w:val="en-HK"/>
        </w:rPr>
        <w:t xml:space="preserve"> flexibility with social protections remains unfulfilled, as migrants experience all the precarity of flexible </w:t>
      </w:r>
      <w:proofErr w:type="spellStart"/>
      <w:r w:rsidR="008D1510" w:rsidRPr="008D1510">
        <w:rPr>
          <w:rFonts w:ascii="Times New Roman" w:hAnsi="Times New Roman"/>
          <w:lang w:val="en-HK"/>
        </w:rPr>
        <w:t>labor</w:t>
      </w:r>
      <w:proofErr w:type="spellEnd"/>
      <w:r w:rsidR="008D1510" w:rsidRPr="008D1510">
        <w:rPr>
          <w:rFonts w:ascii="Times New Roman" w:hAnsi="Times New Roman"/>
          <w:lang w:val="en-HK"/>
        </w:rPr>
        <w:t xml:space="preserve"> markets without the security of welfare protections.</w:t>
      </w:r>
    </w:p>
    <w:p w14:paraId="7A6DB43D" w14:textId="77777777" w:rsidR="006F7D3C" w:rsidRDefault="006F7D3C" w:rsidP="006F7D3C">
      <w:pPr>
        <w:autoSpaceDE w:val="0"/>
        <w:autoSpaceDN w:val="0"/>
        <w:adjustRightInd w:val="0"/>
        <w:spacing w:after="240" w:line="360" w:lineRule="auto"/>
        <w:rPr>
          <w:rFonts w:ascii="Times New Roman" w:eastAsiaTheme="minorEastAsia" w:hAnsi="Times New Roman"/>
          <w:b/>
          <w:bCs/>
          <w14:ligatures w14:val="standardContextual"/>
        </w:rPr>
      </w:pPr>
    </w:p>
    <w:p w14:paraId="2281CC32" w14:textId="77777777" w:rsidR="006F7D3C" w:rsidRDefault="006F7D3C" w:rsidP="006F7D3C">
      <w:pPr>
        <w:autoSpaceDE w:val="0"/>
        <w:autoSpaceDN w:val="0"/>
        <w:adjustRightInd w:val="0"/>
        <w:spacing w:after="240" w:line="360" w:lineRule="auto"/>
        <w:rPr>
          <w:rFonts w:ascii="Times New Roman" w:eastAsiaTheme="minorEastAsia" w:hAnsi="Times New Roman"/>
          <w:b/>
          <w:bCs/>
          <w14:ligatures w14:val="standardContextual"/>
        </w:rPr>
      </w:pPr>
    </w:p>
    <w:p w14:paraId="100A00F8" w14:textId="77777777" w:rsidR="006F7D3C" w:rsidRDefault="006F7D3C" w:rsidP="006F7D3C">
      <w:pPr>
        <w:autoSpaceDE w:val="0"/>
        <w:autoSpaceDN w:val="0"/>
        <w:adjustRightInd w:val="0"/>
        <w:spacing w:after="240" w:line="360" w:lineRule="auto"/>
        <w:rPr>
          <w:rFonts w:ascii="Times New Roman" w:eastAsiaTheme="minorEastAsia" w:hAnsi="Times New Roman"/>
          <w:b/>
          <w:bCs/>
          <w14:ligatures w14:val="standardContextual"/>
        </w:rPr>
      </w:pPr>
    </w:p>
    <w:p w14:paraId="5703231F" w14:textId="68834C10" w:rsidR="008D1510" w:rsidRPr="00F919D6" w:rsidRDefault="008D1510" w:rsidP="006F7D3C">
      <w:pPr>
        <w:autoSpaceDE w:val="0"/>
        <w:autoSpaceDN w:val="0"/>
        <w:adjustRightInd w:val="0"/>
        <w:spacing w:after="240" w:line="360" w:lineRule="auto"/>
        <w:rPr>
          <w:rFonts w:ascii="Times New Roman" w:eastAsiaTheme="minorEastAsia" w:hAnsi="Times New Roman"/>
          <w:b/>
          <w:bCs/>
          <w14:ligatures w14:val="standardContextual"/>
        </w:rPr>
      </w:pPr>
      <w:r w:rsidRPr="00F919D6">
        <w:rPr>
          <w:rFonts w:ascii="Times New Roman" w:eastAsiaTheme="minorEastAsia" w:hAnsi="Times New Roman"/>
          <w:b/>
          <w:bCs/>
          <w14:ligatures w14:val="standardContextual"/>
        </w:rPr>
        <w:lastRenderedPageBreak/>
        <w:t>4. Wealth, Class, and the Alienation of Precarious Workers</w:t>
      </w:r>
    </w:p>
    <w:p w14:paraId="47A79FB9" w14:textId="6AD3E6EF" w:rsidR="008D1510" w:rsidRPr="00F919D6" w:rsidRDefault="008D1510" w:rsidP="006F7D3C">
      <w:pPr>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14:ligatures w14:val="standardContextual"/>
        </w:rPr>
        <w:t>This section examines how wealth and class increasingly determine the rights and conditions of enjoyment for EU workers, even those classified as "economically active." It highlights the role of precarious employment, social exclusion, and systemic inequities in the alienation of low-income EU migrant workers.</w:t>
      </w:r>
    </w:p>
    <w:p w14:paraId="04A74E42" w14:textId="77777777" w:rsidR="008D1510" w:rsidRPr="00F919D6" w:rsidRDefault="008D1510" w:rsidP="006F7D3C">
      <w:pPr>
        <w:autoSpaceDE w:val="0"/>
        <w:autoSpaceDN w:val="0"/>
        <w:adjustRightInd w:val="0"/>
        <w:spacing w:after="240" w:line="360" w:lineRule="auto"/>
        <w:rPr>
          <w:rFonts w:ascii="Times New Roman" w:eastAsiaTheme="minorEastAsia" w:hAnsi="Times New Roman"/>
          <w:b/>
          <w:bCs/>
          <w14:ligatures w14:val="standardContextual"/>
        </w:rPr>
      </w:pPr>
      <w:r w:rsidRPr="00F919D6">
        <w:rPr>
          <w:rFonts w:ascii="Times New Roman" w:eastAsiaTheme="minorEastAsia" w:hAnsi="Times New Roman"/>
          <w:b/>
          <w:bCs/>
          <w14:ligatures w14:val="standardContextual"/>
        </w:rPr>
        <w:t>4.1. Wealth as the New Criterion for Rights</w:t>
      </w:r>
    </w:p>
    <w:p w14:paraId="2171E97C" w14:textId="77777777" w:rsidR="008D1510" w:rsidRPr="00F919D6" w:rsidRDefault="008D1510" w:rsidP="006F7D3C">
      <w:pPr>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14:ligatures w14:val="standardContextual"/>
        </w:rPr>
        <w:t xml:space="preserve">Wealth, traditionally a decisive factor in national citizenship and immigration law, is now emerging as a </w:t>
      </w:r>
      <w:r w:rsidRPr="00F919D6">
        <w:rPr>
          <w:rFonts w:ascii="Times New Roman" w:eastAsiaTheme="minorEastAsia" w:hAnsi="Times New Roman"/>
          <w:b/>
          <w:bCs/>
          <w14:ligatures w14:val="standardContextual"/>
        </w:rPr>
        <w:t>guiding principle of EU free movement rights</w:t>
      </w:r>
      <w:r w:rsidRPr="00F919D6">
        <w:rPr>
          <w:rFonts w:ascii="Times New Roman" w:eastAsiaTheme="minorEastAsia" w:hAnsi="Times New Roman"/>
          <w14:ligatures w14:val="standardContextual"/>
        </w:rPr>
        <w:t>. Workers in secure, full-time, and well-paid employment enjoy far greater safety and autonomy within the EU free movement framework. In contrast, low-income workers face significant challenges:</w:t>
      </w:r>
    </w:p>
    <w:p w14:paraId="2A16F3AB" w14:textId="62AE48AD" w:rsidR="008D1510" w:rsidRPr="00F919D6" w:rsidRDefault="006F7D3C"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008D1510" w:rsidRPr="00F919D6">
        <w:rPr>
          <w:rFonts w:ascii="Times New Roman" w:eastAsiaTheme="minorEastAsia" w:hAnsi="Times New Roman"/>
          <w:b/>
          <w:bCs/>
          <w14:ligatures w14:val="standardContextual"/>
        </w:rPr>
        <w:t>Economic Disparities:</w:t>
      </w: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Wealthier workers are better positioned to "self-insure" against risks such as unemployment, making them less reliant on the welfare safety net. This privilege allows them to navigate the system with fewer constraints.</w:t>
      </w:r>
    </w:p>
    <w:p w14:paraId="76B8E41E" w14:textId="78A1ACAD" w:rsidR="008D1510" w:rsidRPr="00F919D6" w:rsidRDefault="006F7D3C"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2. B</w:t>
      </w:r>
      <w:r w:rsidR="008D1510" w:rsidRPr="00F919D6">
        <w:rPr>
          <w:rFonts w:ascii="Times New Roman" w:eastAsiaTheme="minorEastAsia" w:hAnsi="Times New Roman"/>
          <w:b/>
          <w:bCs/>
          <w14:ligatures w14:val="standardContextual"/>
        </w:rPr>
        <w:t>inary Distinctions:</w:t>
      </w: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The sharp divide between economically active and inactive individuals often obscures the challenges faced by low-income workers. While technically meeting the definition of "worker," these individuals encounter high levels of insecurity and lack meaningful social protections.</w:t>
      </w:r>
    </w:p>
    <w:p w14:paraId="2E143FD8" w14:textId="77777777" w:rsidR="008D1510" w:rsidRPr="00F919D6" w:rsidRDefault="008D1510" w:rsidP="006F7D3C">
      <w:pPr>
        <w:autoSpaceDE w:val="0"/>
        <w:autoSpaceDN w:val="0"/>
        <w:adjustRightInd w:val="0"/>
        <w:spacing w:after="240" w:line="360" w:lineRule="auto"/>
        <w:rPr>
          <w:rFonts w:ascii="Times New Roman" w:eastAsiaTheme="minorEastAsia" w:hAnsi="Times New Roman"/>
          <w:b/>
          <w:bCs/>
          <w14:ligatures w14:val="standardContextual"/>
        </w:rPr>
      </w:pPr>
      <w:r w:rsidRPr="00F919D6">
        <w:rPr>
          <w:rFonts w:ascii="Times New Roman" w:eastAsiaTheme="minorEastAsia" w:hAnsi="Times New Roman"/>
          <w:b/>
          <w:bCs/>
          <w14:ligatures w14:val="standardContextual"/>
        </w:rPr>
        <w:t>4.2. Impacts of Precarious Employment</w:t>
      </w:r>
    </w:p>
    <w:p w14:paraId="59E21F5A" w14:textId="77777777" w:rsidR="008D1510" w:rsidRPr="00F919D6" w:rsidRDefault="008D1510" w:rsidP="006F7D3C">
      <w:pPr>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14:ligatures w14:val="standardContextual"/>
        </w:rPr>
        <w:t xml:space="preserve">The insecurity associated with low-paid and unstable jobs produces significant consequences for physical and mental health, autonomy, and </w:t>
      </w:r>
      <w:proofErr w:type="spellStart"/>
      <w:r w:rsidRPr="00F919D6">
        <w:rPr>
          <w:rFonts w:ascii="Times New Roman" w:eastAsiaTheme="minorEastAsia" w:hAnsi="Times New Roman"/>
          <w14:ligatures w14:val="standardContextual"/>
        </w:rPr>
        <w:t>labor</w:t>
      </w:r>
      <w:proofErr w:type="spellEnd"/>
      <w:r w:rsidRPr="00F919D6">
        <w:rPr>
          <w:rFonts w:ascii="Times New Roman" w:eastAsiaTheme="minorEastAsia" w:hAnsi="Times New Roman"/>
          <w14:ligatures w14:val="standardContextual"/>
        </w:rPr>
        <w:t xml:space="preserve"> rights:</w:t>
      </w:r>
    </w:p>
    <w:p w14:paraId="52D9B063" w14:textId="017E343F" w:rsidR="008D1510" w:rsidRPr="00F919D6" w:rsidRDefault="006F7D3C"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008D1510" w:rsidRPr="00F919D6">
        <w:rPr>
          <w:rFonts w:ascii="Times New Roman" w:eastAsiaTheme="minorEastAsia" w:hAnsi="Times New Roman"/>
          <w:b/>
          <w:bCs/>
          <w14:ligatures w14:val="standardContextual"/>
        </w:rPr>
        <w:t>Exploitation and Power Imbalances:</w:t>
      </w:r>
    </w:p>
    <w:p w14:paraId="0450A700" w14:textId="60B3810D"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Low-income workers are often unable to challenge exploitative or unlawful working conditions due to the fear of losing their job and, consequently, their right to reside.</w:t>
      </w:r>
    </w:p>
    <w:p w14:paraId="25236718" w14:textId="55B836CF"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Unscrupulous employers exploit this dependency, creating a vicious cycle of alienation and exploitation.</w:t>
      </w:r>
    </w:p>
    <w:p w14:paraId="5A36D11E" w14:textId="16A4EAD4" w:rsidR="008D1510" w:rsidRPr="00F919D6" w:rsidRDefault="006F7D3C"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lastRenderedPageBreak/>
        <w:t xml:space="preserve">2. </w:t>
      </w:r>
      <w:r w:rsidR="008D1510" w:rsidRPr="00F919D6">
        <w:rPr>
          <w:rFonts w:ascii="Times New Roman" w:eastAsiaTheme="minorEastAsia" w:hAnsi="Times New Roman"/>
          <w:b/>
          <w:bCs/>
          <w14:ligatures w14:val="standardContextual"/>
        </w:rPr>
        <w:t>Abusive Relationships:</w:t>
      </w:r>
    </w:p>
    <w:p w14:paraId="04015E18" w14:textId="3177AF68"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Migrant workers in abusive relationships face additional barriers. Unmarried partners who leave abusive situations may lose their worker status and access to family-based rights of residence.</w:t>
      </w:r>
    </w:p>
    <w:p w14:paraId="23B845BC" w14:textId="73013A26"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The UK’s stringent documentation requirements often leave abused individuals without permanent residence status, forcing them to choose between destitution and remaining in harmful environments.</w:t>
      </w:r>
    </w:p>
    <w:p w14:paraId="6F581230" w14:textId="77777777" w:rsidR="008D1510" w:rsidRPr="00F919D6" w:rsidRDefault="008D1510" w:rsidP="006F7D3C">
      <w:pPr>
        <w:autoSpaceDE w:val="0"/>
        <w:autoSpaceDN w:val="0"/>
        <w:adjustRightInd w:val="0"/>
        <w:spacing w:after="240" w:line="360" w:lineRule="auto"/>
        <w:rPr>
          <w:rFonts w:ascii="Times New Roman" w:eastAsiaTheme="minorEastAsia" w:hAnsi="Times New Roman"/>
          <w:b/>
          <w:bCs/>
          <w14:ligatures w14:val="standardContextual"/>
        </w:rPr>
      </w:pPr>
      <w:r w:rsidRPr="00F919D6">
        <w:rPr>
          <w:rFonts w:ascii="Times New Roman" w:eastAsiaTheme="minorEastAsia" w:hAnsi="Times New Roman"/>
          <w:b/>
          <w:bCs/>
          <w14:ligatures w14:val="standardContextual"/>
        </w:rPr>
        <w:t xml:space="preserve">4.3. Case Study: </w:t>
      </w:r>
      <w:r w:rsidRPr="00F919D6">
        <w:rPr>
          <w:rFonts w:ascii="Times New Roman" w:eastAsiaTheme="minorEastAsia" w:hAnsi="Times New Roman"/>
          <w:b/>
          <w:bCs/>
          <w:i/>
          <w:iCs/>
          <w14:ligatures w14:val="standardContextual"/>
        </w:rPr>
        <w:t>Garcia Nieto</w:t>
      </w:r>
      <w:r w:rsidRPr="00F919D6">
        <w:rPr>
          <w:rFonts w:ascii="Times New Roman" w:eastAsiaTheme="minorEastAsia" w:hAnsi="Times New Roman"/>
          <w:b/>
          <w:bCs/>
          <w14:ligatures w14:val="standardContextual"/>
        </w:rPr>
        <w:t xml:space="preserve"> and the Marginalization of Low-Paid Work</w:t>
      </w:r>
    </w:p>
    <w:p w14:paraId="20BEB3ED" w14:textId="5A9B50F7" w:rsidR="008D1510" w:rsidRPr="002A28DC" w:rsidRDefault="008D1510" w:rsidP="006F7D3C">
      <w:pPr>
        <w:tabs>
          <w:tab w:val="left" w:pos="220"/>
          <w:tab w:val="left" w:pos="720"/>
        </w:tabs>
        <w:autoSpaceDE w:val="0"/>
        <w:autoSpaceDN w:val="0"/>
        <w:adjustRightInd w:val="0"/>
        <w:spacing w:after="240" w:line="360" w:lineRule="auto"/>
        <w:rPr>
          <w:rFonts w:ascii="Times New Roman" w:eastAsiaTheme="minorEastAsia" w:hAnsi="Times New Roman"/>
          <w:u w:val="single"/>
          <w14:ligatures w14:val="standardContextual"/>
        </w:rPr>
      </w:pPr>
      <w:r w:rsidRPr="00F919D6">
        <w:rPr>
          <w:rFonts w:ascii="Times New Roman" w:eastAsiaTheme="minorEastAsia" w:hAnsi="Times New Roman"/>
          <w:b/>
          <w:bCs/>
          <w14:ligatures w14:val="standardContextual"/>
        </w:rPr>
        <w:t>Facts of the Case:</w:t>
      </w:r>
      <w:r w:rsidR="006F7D3C">
        <w:rPr>
          <w:rFonts w:ascii="Times New Roman" w:eastAsiaTheme="minorEastAsia" w:hAnsi="Times New Roman"/>
          <w14:ligatures w14:val="standardContextual"/>
        </w:rPr>
        <w:t xml:space="preserve"> I</w:t>
      </w:r>
      <w:r w:rsidRPr="00F919D6">
        <w:rPr>
          <w:rFonts w:ascii="Times New Roman" w:eastAsiaTheme="minorEastAsia" w:hAnsi="Times New Roman"/>
          <w14:ligatures w14:val="standardContextual"/>
        </w:rPr>
        <w:t xml:space="preserve">n </w:t>
      </w:r>
      <w:r w:rsidRPr="00DE5754">
        <w:rPr>
          <w:rFonts w:ascii="Times New Roman" w:eastAsiaTheme="minorEastAsia" w:hAnsi="Times New Roman"/>
          <w:b/>
          <w:bCs/>
          <w:i/>
          <w:iCs/>
          <w14:ligatures w14:val="standardContextual"/>
        </w:rPr>
        <w:t>Garcia Nieto</w:t>
      </w:r>
      <w:r w:rsidRPr="00DE5754">
        <w:rPr>
          <w:rFonts w:ascii="Times New Roman" w:eastAsiaTheme="minorEastAsia" w:hAnsi="Times New Roman"/>
          <w:b/>
          <w:bCs/>
          <w14:ligatures w14:val="standardContextual"/>
        </w:rPr>
        <w:t xml:space="preserve"> (</w:t>
      </w:r>
      <w:r w:rsidRPr="00DE5754">
        <w:rPr>
          <w:rFonts w:ascii="Times New Roman" w:eastAsiaTheme="minorEastAsia" w:hAnsi="Times New Roman"/>
          <w:b/>
          <w:bCs/>
          <w:i/>
          <w:iCs/>
          <w14:ligatures w14:val="standardContextual"/>
        </w:rPr>
        <w:t>Case C-299/14</w:t>
      </w:r>
      <w:r w:rsidRPr="00DE5754">
        <w:rPr>
          <w:rFonts w:ascii="Times New Roman" w:eastAsiaTheme="minorEastAsia" w:hAnsi="Times New Roman"/>
          <w:b/>
          <w:bCs/>
          <w14:ligatures w14:val="standardContextual"/>
        </w:rPr>
        <w:t>),</w:t>
      </w:r>
      <w:r w:rsidRPr="00F919D6">
        <w:rPr>
          <w:rFonts w:ascii="Times New Roman" w:eastAsiaTheme="minorEastAsia" w:hAnsi="Times New Roman"/>
          <w14:ligatures w14:val="standardContextual"/>
        </w:rPr>
        <w:t xml:space="preserve"> Mrs. Garcia Nieto, an EU worker earning €600 net per month in Germany, supported her partner and his son. When they claimed subsistence benefits as a family unit, the claim for her partner and his son was denied under </w:t>
      </w:r>
      <w:r w:rsidRPr="002A28DC">
        <w:rPr>
          <w:rFonts w:ascii="Times New Roman" w:eastAsiaTheme="minorEastAsia" w:hAnsi="Times New Roman"/>
          <w:b/>
          <w:bCs/>
          <w:u w:val="single"/>
          <w14:ligatures w14:val="standardContextual"/>
        </w:rPr>
        <w:t>Article 24(2) of Directive 2004/38</w:t>
      </w:r>
      <w:r w:rsidRPr="002A28DC">
        <w:rPr>
          <w:rFonts w:ascii="Times New Roman" w:eastAsiaTheme="minorEastAsia" w:hAnsi="Times New Roman"/>
          <w:u w:val="single"/>
          <w14:ligatures w14:val="standardContextual"/>
        </w:rPr>
        <w:t>, which excludes social assistance claims within the first three months of residence.</w:t>
      </w:r>
    </w:p>
    <w:p w14:paraId="4F094192" w14:textId="64B56064" w:rsidR="008D1510" w:rsidRPr="00F919D6" w:rsidRDefault="008D1510"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Held:</w:t>
      </w:r>
      <w:r w:rsidR="00DE5754">
        <w:rPr>
          <w:rFonts w:ascii="Times New Roman" w:eastAsiaTheme="minorEastAsia" w:hAnsi="Times New Roman"/>
          <w14:ligatures w14:val="standardContextual"/>
        </w:rPr>
        <w:t xml:space="preserve"> </w:t>
      </w:r>
      <w:r w:rsidRPr="00F919D6">
        <w:rPr>
          <w:rFonts w:ascii="Times New Roman" w:eastAsiaTheme="minorEastAsia" w:hAnsi="Times New Roman"/>
          <w14:ligatures w14:val="standardContextual"/>
        </w:rPr>
        <w:t xml:space="preserve">The Court upheld the exclusion, emphasizing the partner’s </w:t>
      </w:r>
      <w:r w:rsidRPr="002A28DC">
        <w:rPr>
          <w:rFonts w:ascii="Times New Roman" w:eastAsiaTheme="minorEastAsia" w:hAnsi="Times New Roman"/>
          <w:b/>
          <w:bCs/>
          <w14:ligatures w14:val="standardContextual"/>
        </w:rPr>
        <w:t xml:space="preserve">inability </w:t>
      </w:r>
      <w:r w:rsidRPr="00F919D6">
        <w:rPr>
          <w:rFonts w:ascii="Times New Roman" w:eastAsiaTheme="minorEastAsia" w:hAnsi="Times New Roman"/>
          <w14:ligatures w14:val="standardContextual"/>
        </w:rPr>
        <w:t>to meet subsistence needs without benefits. However, the judgment failed to consider:</w:t>
      </w:r>
    </w:p>
    <w:p w14:paraId="312559E7" w14:textId="77777777" w:rsidR="008D1510" w:rsidRPr="00F919D6" w:rsidRDefault="008D1510"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14:ligatures w14:val="standardContextual"/>
        </w:rPr>
        <w:t>Mrs. Garcia Nieto's worker status and her rights as a migrant worker.</w:t>
      </w:r>
    </w:p>
    <w:p w14:paraId="00F6C0EC" w14:textId="77777777" w:rsidR="008D1510" w:rsidRPr="00F919D6" w:rsidRDefault="008D1510"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14:ligatures w14:val="standardContextual"/>
        </w:rPr>
        <w:t xml:space="preserve">The potential family-based rights of her partner and his son under </w:t>
      </w:r>
      <w:r w:rsidRPr="00F919D6">
        <w:rPr>
          <w:rFonts w:ascii="Times New Roman" w:eastAsiaTheme="minorEastAsia" w:hAnsi="Times New Roman"/>
          <w:b/>
          <w:bCs/>
          <w14:ligatures w14:val="standardContextual"/>
        </w:rPr>
        <w:t>Article 3(2) of Directive 2004/38</w:t>
      </w:r>
      <w:r w:rsidRPr="00F919D6">
        <w:rPr>
          <w:rFonts w:ascii="Times New Roman" w:eastAsiaTheme="minorEastAsia" w:hAnsi="Times New Roman"/>
          <w14:ligatures w14:val="standardContextual"/>
        </w:rPr>
        <w:t>, which requires Member States to facilitate the entry and residence of durable partners.</w:t>
      </w:r>
    </w:p>
    <w:p w14:paraId="1553D496" w14:textId="77777777" w:rsidR="008D1510" w:rsidRPr="00F919D6" w:rsidRDefault="008D1510"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Implications:</w:t>
      </w:r>
    </w:p>
    <w:p w14:paraId="4C0F3078" w14:textId="64C740E7"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The judgment reinforced the importance of marriage or civil partnerships in determining family rights, disadvantaging unmarried partners and their children.</w:t>
      </w:r>
    </w:p>
    <w:p w14:paraId="7DC356DA" w14:textId="043EA292"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Same-sex partners face compounded challenges in states that do not recognize civil partnerships or marriages.</w:t>
      </w:r>
    </w:p>
    <w:p w14:paraId="49E7D6F7" w14:textId="77777777" w:rsidR="008D1510" w:rsidRPr="00F919D6" w:rsidRDefault="008D1510" w:rsidP="006F7D3C">
      <w:pPr>
        <w:autoSpaceDE w:val="0"/>
        <w:autoSpaceDN w:val="0"/>
        <w:adjustRightInd w:val="0"/>
        <w:spacing w:after="240" w:line="360" w:lineRule="auto"/>
        <w:rPr>
          <w:rFonts w:ascii="Times New Roman" w:eastAsiaTheme="minorEastAsia" w:hAnsi="Times New Roman"/>
          <w14:ligatures w14:val="standardContextual"/>
        </w:rPr>
      </w:pPr>
    </w:p>
    <w:p w14:paraId="5E2E9F9D" w14:textId="77777777" w:rsidR="008D1510" w:rsidRPr="00F919D6" w:rsidRDefault="008D1510" w:rsidP="006F7D3C">
      <w:pPr>
        <w:autoSpaceDE w:val="0"/>
        <w:autoSpaceDN w:val="0"/>
        <w:adjustRightInd w:val="0"/>
        <w:spacing w:after="240" w:line="360" w:lineRule="auto"/>
        <w:rPr>
          <w:rFonts w:ascii="Times New Roman" w:eastAsiaTheme="minorEastAsia" w:hAnsi="Times New Roman"/>
          <w:b/>
          <w:bCs/>
          <w14:ligatures w14:val="standardContextual"/>
        </w:rPr>
      </w:pPr>
      <w:r w:rsidRPr="00F919D6">
        <w:rPr>
          <w:rFonts w:ascii="Times New Roman" w:eastAsiaTheme="minorEastAsia" w:hAnsi="Times New Roman"/>
          <w:b/>
          <w:bCs/>
          <w14:ligatures w14:val="standardContextual"/>
        </w:rPr>
        <w:lastRenderedPageBreak/>
        <w:t>4.4. Alienation and Exploitation of Low-Income Workers</w:t>
      </w:r>
    </w:p>
    <w:p w14:paraId="3DAE3ABA" w14:textId="77777777" w:rsidR="008D1510" w:rsidRPr="00F919D6" w:rsidRDefault="008D1510" w:rsidP="006F7D3C">
      <w:pPr>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14:ligatures w14:val="standardContextual"/>
        </w:rPr>
        <w:t xml:space="preserve">O’Brien draws on Marxist theory to explore how precarious workers are alienated from their </w:t>
      </w:r>
      <w:proofErr w:type="spellStart"/>
      <w:r w:rsidRPr="00F919D6">
        <w:rPr>
          <w:rFonts w:ascii="Times New Roman" w:eastAsiaTheme="minorEastAsia" w:hAnsi="Times New Roman"/>
          <w14:ligatures w14:val="standardContextual"/>
        </w:rPr>
        <w:t>labor</w:t>
      </w:r>
      <w:proofErr w:type="spellEnd"/>
      <w:r w:rsidRPr="00F919D6">
        <w:rPr>
          <w:rFonts w:ascii="Times New Roman" w:eastAsiaTheme="minorEastAsia" w:hAnsi="Times New Roman"/>
          <w14:ligatures w14:val="standardContextual"/>
        </w:rPr>
        <w:t>, rights, and societal systems:</w:t>
      </w:r>
    </w:p>
    <w:p w14:paraId="600FD29A" w14:textId="13ED65EC" w:rsidR="008D1510" w:rsidRPr="00F919D6" w:rsidRDefault="006F7D3C"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008D1510" w:rsidRPr="00F919D6">
        <w:rPr>
          <w:rFonts w:ascii="Times New Roman" w:eastAsiaTheme="minorEastAsia" w:hAnsi="Times New Roman"/>
          <w:b/>
          <w:bCs/>
          <w14:ligatures w14:val="standardContextual"/>
        </w:rPr>
        <w:t>Economic Alienation:</w:t>
      </w:r>
    </w:p>
    <w:p w14:paraId="5A0F4066" w14:textId="0ADC9F34"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Low-income workers are disconnected from the economic value they create, unable to access the social contributions they make.</w:t>
      </w:r>
    </w:p>
    <w:p w14:paraId="16267CD2" w14:textId="3CEDB687"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They face exclusion from benefits and protections, amplifying their vulnerability to exploitation.</w:t>
      </w:r>
    </w:p>
    <w:p w14:paraId="5D8F501D" w14:textId="6CA97858" w:rsidR="008D1510" w:rsidRPr="00F919D6" w:rsidRDefault="006F7D3C"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2. </w:t>
      </w:r>
      <w:r w:rsidR="008D1510" w:rsidRPr="00F919D6">
        <w:rPr>
          <w:rFonts w:ascii="Times New Roman" w:eastAsiaTheme="minorEastAsia" w:hAnsi="Times New Roman"/>
          <w:b/>
          <w:bCs/>
          <w14:ligatures w14:val="standardContextual"/>
        </w:rPr>
        <w:t>Social Alienation:</w:t>
      </w:r>
    </w:p>
    <w:p w14:paraId="5E0161D8" w14:textId="4A9AF18C"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Workers are divided along class and nationality lines, creating disparities in how EU nationals and host-state nationals are treated.</w:t>
      </w:r>
    </w:p>
    <w:p w14:paraId="7613783A" w14:textId="402ADC78"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A lack of solidarity between different worker strata exacerbates inequality and weakens collective bargaining power.</w:t>
      </w:r>
    </w:p>
    <w:p w14:paraId="63F84453" w14:textId="67C5F173" w:rsidR="008D1510" w:rsidRPr="00F919D6" w:rsidRDefault="006F7D3C"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3. </w:t>
      </w:r>
      <w:r w:rsidR="008D1510" w:rsidRPr="00F919D6">
        <w:rPr>
          <w:rFonts w:ascii="Times New Roman" w:eastAsiaTheme="minorEastAsia" w:hAnsi="Times New Roman"/>
          <w:b/>
          <w:bCs/>
          <w14:ligatures w14:val="standardContextual"/>
        </w:rPr>
        <w:t>Impact of Inequality:</w:t>
      </w:r>
    </w:p>
    <w:p w14:paraId="3CF455EC" w14:textId="2FCCC216" w:rsidR="008D1510" w:rsidRPr="00F919D6" w:rsidRDefault="008D1510"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14:ligatures w14:val="standardContextual"/>
        </w:rPr>
        <w:t xml:space="preserve">Increasing inequality destabilizes </w:t>
      </w:r>
      <w:proofErr w:type="spellStart"/>
      <w:r w:rsidRPr="00F919D6">
        <w:rPr>
          <w:rFonts w:ascii="Times New Roman" w:eastAsiaTheme="minorEastAsia" w:hAnsi="Times New Roman"/>
          <w14:ligatures w14:val="standardContextual"/>
        </w:rPr>
        <w:t>labor</w:t>
      </w:r>
      <w:proofErr w:type="spellEnd"/>
      <w:r w:rsidRPr="00F919D6">
        <w:rPr>
          <w:rFonts w:ascii="Times New Roman" w:eastAsiaTheme="minorEastAsia" w:hAnsi="Times New Roman"/>
          <w14:ligatures w14:val="standardContextual"/>
        </w:rPr>
        <w:t xml:space="preserve"> markets, fosters social issues like homelessness and crime, and undermines societal values, including the commitment to eradicating child poverty.</w:t>
      </w:r>
    </w:p>
    <w:p w14:paraId="0491167B" w14:textId="77777777" w:rsidR="008D1510" w:rsidRPr="00F919D6" w:rsidRDefault="008D1510" w:rsidP="006F7D3C">
      <w:pPr>
        <w:autoSpaceDE w:val="0"/>
        <w:autoSpaceDN w:val="0"/>
        <w:adjustRightInd w:val="0"/>
        <w:spacing w:after="240" w:line="360" w:lineRule="auto"/>
        <w:rPr>
          <w:rFonts w:ascii="Times New Roman" w:eastAsiaTheme="minorEastAsia" w:hAnsi="Times New Roman"/>
          <w:b/>
          <w:bCs/>
          <w14:ligatures w14:val="standardContextual"/>
        </w:rPr>
      </w:pPr>
      <w:r w:rsidRPr="00F919D6">
        <w:rPr>
          <w:rFonts w:ascii="Times New Roman" w:eastAsiaTheme="minorEastAsia" w:hAnsi="Times New Roman"/>
          <w:b/>
          <w:bCs/>
          <w14:ligatures w14:val="standardContextual"/>
        </w:rPr>
        <w:t>4.5. Proposed Policy Changes: The “Emergency Brake”</w:t>
      </w:r>
    </w:p>
    <w:p w14:paraId="4D1814B2" w14:textId="77777777" w:rsidR="008D1510" w:rsidRPr="00F919D6" w:rsidRDefault="008D1510" w:rsidP="006F7D3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919D6">
        <w:rPr>
          <w:rFonts w:ascii="Times New Roman" w:eastAsiaTheme="minorEastAsia" w:hAnsi="Times New Roman"/>
          <w:b/>
          <w:bCs/>
          <w14:ligatures w14:val="standardContextual"/>
        </w:rPr>
        <w:t>UK-EU "New Settlement":</w:t>
      </w:r>
    </w:p>
    <w:p w14:paraId="2FDECA5B" w14:textId="10FD1F82"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 xml:space="preserve">Member States may request an </w:t>
      </w:r>
      <w:r w:rsidR="008D1510" w:rsidRPr="00F919D6">
        <w:rPr>
          <w:rFonts w:ascii="Times New Roman" w:eastAsiaTheme="minorEastAsia" w:hAnsi="Times New Roman"/>
          <w:b/>
          <w:bCs/>
          <w14:ligatures w14:val="standardContextual"/>
        </w:rPr>
        <w:t>“emergency brake”</w:t>
      </w:r>
      <w:r w:rsidR="008D1510" w:rsidRPr="00F919D6">
        <w:rPr>
          <w:rFonts w:ascii="Times New Roman" w:eastAsiaTheme="minorEastAsia" w:hAnsi="Times New Roman"/>
          <w14:ligatures w14:val="standardContextual"/>
        </w:rPr>
        <w:t xml:space="preserve"> to restrict in-work benefits for migrant workers for up to four years.</w:t>
      </w:r>
    </w:p>
    <w:p w14:paraId="1105C8CC" w14:textId="134FE372"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8D1510" w:rsidRPr="00F919D6">
        <w:rPr>
          <w:rFonts w:ascii="Times New Roman" w:eastAsiaTheme="minorEastAsia" w:hAnsi="Times New Roman"/>
          <w14:ligatures w14:val="standardContextual"/>
        </w:rPr>
        <w:t xml:space="preserve">This measure introduces direct discrimination against migrant workers and represents a severe form of </w:t>
      </w:r>
      <w:proofErr w:type="spellStart"/>
      <w:r w:rsidR="008D1510" w:rsidRPr="00F919D6">
        <w:rPr>
          <w:rFonts w:ascii="Times New Roman" w:eastAsiaTheme="minorEastAsia" w:hAnsi="Times New Roman"/>
          <w14:ligatures w14:val="standardContextual"/>
        </w:rPr>
        <w:t>labor</w:t>
      </w:r>
      <w:proofErr w:type="spellEnd"/>
      <w:r w:rsidR="008D1510" w:rsidRPr="00F919D6">
        <w:rPr>
          <w:rFonts w:ascii="Times New Roman" w:eastAsiaTheme="minorEastAsia" w:hAnsi="Times New Roman"/>
          <w14:ligatures w14:val="standardContextual"/>
        </w:rPr>
        <w:t xml:space="preserve"> alienation.</w:t>
      </w:r>
    </w:p>
    <w:p w14:paraId="25F4F561" w14:textId="648A8245" w:rsidR="008D1510" w:rsidRPr="00F919D6" w:rsidRDefault="006F7D3C" w:rsidP="006F7D3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lastRenderedPageBreak/>
        <w:t xml:space="preserve">- </w:t>
      </w:r>
      <w:r w:rsidR="008D1510" w:rsidRPr="00F919D6">
        <w:rPr>
          <w:rFonts w:ascii="Times New Roman" w:eastAsiaTheme="minorEastAsia" w:hAnsi="Times New Roman"/>
          <w14:ligatures w14:val="standardContextual"/>
        </w:rPr>
        <w:t>The policy disproportionately impacts women in low-paid jobs, who are often overrepresented in precarious work.</w:t>
      </w:r>
    </w:p>
    <w:p w14:paraId="76579113" w14:textId="77777777" w:rsidR="008D1510" w:rsidRPr="00F919D6" w:rsidRDefault="008D1510" w:rsidP="006F7D3C">
      <w:pPr>
        <w:spacing w:after="240" w:line="360" w:lineRule="auto"/>
        <w:rPr>
          <w:rFonts w:ascii="Times New Roman" w:hAnsi="Times New Roman"/>
        </w:rPr>
      </w:pPr>
    </w:p>
    <w:p w14:paraId="4225143A" w14:textId="77777777" w:rsidR="008D1510" w:rsidRPr="008D1510" w:rsidRDefault="008D1510" w:rsidP="006F7D3C">
      <w:pPr>
        <w:spacing w:before="100" w:beforeAutospacing="1" w:after="240" w:line="360" w:lineRule="auto"/>
        <w:outlineLvl w:val="2"/>
        <w:rPr>
          <w:rFonts w:ascii="Times New Roman" w:hAnsi="Times New Roman"/>
          <w:b/>
          <w:bCs/>
          <w:lang w:val="en-HK"/>
        </w:rPr>
      </w:pPr>
      <w:r w:rsidRPr="008D1510">
        <w:rPr>
          <w:rFonts w:ascii="Times New Roman" w:hAnsi="Times New Roman"/>
          <w:b/>
          <w:bCs/>
          <w:lang w:val="en-HK"/>
        </w:rPr>
        <w:t>5. The Benefit Brake: National Distortions of EU Law and the Moral Vacuum</w:t>
      </w:r>
    </w:p>
    <w:p w14:paraId="5D4BCA3D" w14:textId="188C68E2"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 xml:space="preserve">This section critiques the proposal for an "emergency brake" on non-contributory in-work benefits, which emerged as part of the "new settlement" offered to the UK in the event of a </w:t>
      </w:r>
      <w:proofErr w:type="spellStart"/>
      <w:r w:rsidRPr="008D1510">
        <w:rPr>
          <w:rFonts w:ascii="Times New Roman" w:hAnsi="Times New Roman"/>
          <w:lang w:val="en-HK"/>
        </w:rPr>
        <w:t>favorable</w:t>
      </w:r>
      <w:proofErr w:type="spellEnd"/>
      <w:r w:rsidRPr="008D1510">
        <w:rPr>
          <w:rFonts w:ascii="Times New Roman" w:hAnsi="Times New Roman"/>
          <w:lang w:val="en-HK"/>
        </w:rPr>
        <w:t xml:space="preserve"> referendum vote on EU membership in 2016. O’Brien explores how this proposal reflects and exacerbates the </w:t>
      </w:r>
      <w:r w:rsidRPr="008D1510">
        <w:rPr>
          <w:rFonts w:ascii="Times New Roman" w:hAnsi="Times New Roman"/>
          <w:b/>
          <w:bCs/>
          <w:lang w:val="en-HK"/>
        </w:rPr>
        <w:t>moral vacuum</w:t>
      </w:r>
      <w:r w:rsidRPr="008D1510">
        <w:rPr>
          <w:rFonts w:ascii="Times New Roman" w:hAnsi="Times New Roman"/>
          <w:lang w:val="en-HK"/>
        </w:rPr>
        <w:t xml:space="preserve"> in the EU's free movement framework by institutionalizing discrimination and undermining the principle of equal treatment.</w:t>
      </w:r>
    </w:p>
    <w:p w14:paraId="3F9A810B" w14:textId="77777777" w:rsidR="008D1510" w:rsidRPr="008D1510" w:rsidRDefault="008D1510" w:rsidP="006F7D3C">
      <w:pPr>
        <w:spacing w:before="100" w:beforeAutospacing="1" w:after="240" w:line="360" w:lineRule="auto"/>
        <w:outlineLvl w:val="3"/>
        <w:rPr>
          <w:rFonts w:ascii="Times New Roman" w:hAnsi="Times New Roman"/>
          <w:b/>
          <w:bCs/>
          <w:lang w:val="en-HK"/>
        </w:rPr>
      </w:pPr>
      <w:r w:rsidRPr="008D1510">
        <w:rPr>
          <w:rFonts w:ascii="Times New Roman" w:hAnsi="Times New Roman"/>
          <w:b/>
          <w:bCs/>
          <w:lang w:val="en-HK"/>
        </w:rPr>
        <w:t>5.1. Discrimination that Alienates: Dispensing with Article 45(2) TFEU</w:t>
      </w:r>
    </w:p>
    <w:p w14:paraId="255558A4" w14:textId="220A18C8" w:rsidR="008D1510" w:rsidRPr="008D1510" w:rsidRDefault="006F7D3C" w:rsidP="006F7D3C">
      <w:pPr>
        <w:spacing w:before="100" w:beforeAutospacing="1" w:after="240" w:line="360" w:lineRule="auto"/>
        <w:outlineLvl w:val="4"/>
        <w:rPr>
          <w:rFonts w:ascii="Times New Roman" w:hAnsi="Times New Roman"/>
          <w:b/>
          <w:bCs/>
          <w:lang w:val="en-HK"/>
        </w:rPr>
      </w:pPr>
      <w:r>
        <w:rPr>
          <w:rFonts w:ascii="Times New Roman" w:hAnsi="Times New Roman"/>
          <w:b/>
          <w:bCs/>
          <w:lang w:val="en-HK"/>
        </w:rPr>
        <w:t xml:space="preserve">1. </w:t>
      </w:r>
      <w:r w:rsidR="008D1510" w:rsidRPr="008D1510">
        <w:rPr>
          <w:rFonts w:ascii="Times New Roman" w:hAnsi="Times New Roman"/>
          <w:b/>
          <w:bCs/>
          <w:lang w:val="en-HK"/>
        </w:rPr>
        <w:t>Erosion of Equal Treatment</w:t>
      </w:r>
    </w:p>
    <w:p w14:paraId="563656A8"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b/>
          <w:bCs/>
          <w:u w:val="single"/>
          <w:lang w:val="en-HK"/>
        </w:rPr>
        <w:t>Article 45(2) TFEU guarantees migrant workers equal treatment in matters of tax and social advantages, recognizing their integration into the host state's economy</w:t>
      </w:r>
      <w:r w:rsidRPr="008D1510">
        <w:rPr>
          <w:rFonts w:ascii="Times New Roman" w:hAnsi="Times New Roman"/>
          <w:lang w:val="en-HK"/>
        </w:rPr>
        <w:t>. Historically, this principle has protected EU workers from nationality-based discrimination. However, the proposed benefit brake departs from this core principle:</w:t>
      </w:r>
    </w:p>
    <w:p w14:paraId="7DA74504" w14:textId="6AF29BF0"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lang w:val="en-HK"/>
        </w:rPr>
        <w:t xml:space="preserve">- </w:t>
      </w:r>
      <w:r w:rsidR="008D1510" w:rsidRPr="008D1510">
        <w:rPr>
          <w:rFonts w:ascii="Times New Roman" w:hAnsi="Times New Roman"/>
          <w:lang w:val="en-HK"/>
        </w:rPr>
        <w:t>It permits Member States to exclude EU workers from non-contributory in-work benefits, such as child tax credits and housing assistance, for up to four years based solely on nationality.</w:t>
      </w:r>
    </w:p>
    <w:p w14:paraId="150FB06E" w14:textId="75FC6FCD"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lang w:val="en-HK"/>
        </w:rPr>
        <w:t xml:space="preserve">- </w:t>
      </w:r>
      <w:r w:rsidR="008D1510" w:rsidRPr="008D1510">
        <w:rPr>
          <w:rFonts w:ascii="Times New Roman" w:hAnsi="Times New Roman"/>
          <w:lang w:val="en-HK"/>
        </w:rPr>
        <w:t>This exclusion directly conflicts with primary EU law, which allows differential treatment only on narrowly defined grounds such as public policy, public security, or public health (Articles 45(3) and 45(4) TFEU).</w:t>
      </w:r>
    </w:p>
    <w:p w14:paraId="15F016BF" w14:textId="4491C913" w:rsidR="008D1510" w:rsidRPr="008D1510" w:rsidRDefault="006F7D3C" w:rsidP="006F7D3C">
      <w:pPr>
        <w:spacing w:before="100" w:beforeAutospacing="1" w:after="240" w:line="360" w:lineRule="auto"/>
        <w:outlineLvl w:val="4"/>
        <w:rPr>
          <w:rFonts w:ascii="Times New Roman" w:hAnsi="Times New Roman"/>
          <w:b/>
          <w:bCs/>
          <w:lang w:val="en-HK"/>
        </w:rPr>
      </w:pPr>
      <w:r>
        <w:rPr>
          <w:rFonts w:ascii="Times New Roman" w:hAnsi="Times New Roman"/>
          <w:b/>
          <w:bCs/>
          <w:lang w:val="en-HK"/>
        </w:rPr>
        <w:t xml:space="preserve">2. </w:t>
      </w:r>
      <w:r w:rsidR="008D1510" w:rsidRPr="008D1510">
        <w:rPr>
          <w:rFonts w:ascii="Times New Roman" w:hAnsi="Times New Roman"/>
          <w:b/>
          <w:bCs/>
          <w:lang w:val="en-HK"/>
        </w:rPr>
        <w:t>Justifications and Proportionality</w:t>
      </w:r>
    </w:p>
    <w:p w14:paraId="36A56C5D"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 xml:space="preserve">The European Council Decision claims the brake is necessary to avert risks to the sustainability of social security systems and to limit large-scale worker flows that could destabilize national </w:t>
      </w:r>
      <w:proofErr w:type="spellStart"/>
      <w:r w:rsidRPr="008D1510">
        <w:rPr>
          <w:rFonts w:ascii="Times New Roman" w:hAnsi="Times New Roman"/>
          <w:lang w:val="en-HK"/>
        </w:rPr>
        <w:t>labor</w:t>
      </w:r>
      <w:proofErr w:type="spellEnd"/>
      <w:r w:rsidRPr="008D1510">
        <w:rPr>
          <w:rFonts w:ascii="Times New Roman" w:hAnsi="Times New Roman"/>
          <w:lang w:val="en-HK"/>
        </w:rPr>
        <w:t xml:space="preserve"> markets. However:</w:t>
      </w:r>
    </w:p>
    <w:p w14:paraId="033AF080" w14:textId="34979503"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lang w:val="en-HK"/>
        </w:rPr>
        <w:lastRenderedPageBreak/>
        <w:t xml:space="preserve">- </w:t>
      </w:r>
      <w:r w:rsidR="008D1510" w:rsidRPr="008D1510">
        <w:rPr>
          <w:rFonts w:ascii="Times New Roman" w:hAnsi="Times New Roman"/>
          <w:lang w:val="en-HK"/>
        </w:rPr>
        <w:t xml:space="preserve">The brake is </w:t>
      </w:r>
      <w:r w:rsidR="008D1510" w:rsidRPr="008D1510">
        <w:rPr>
          <w:rFonts w:ascii="Times New Roman" w:hAnsi="Times New Roman"/>
          <w:b/>
          <w:bCs/>
          <w:lang w:val="en-HK"/>
        </w:rPr>
        <w:t>disproportionate</w:t>
      </w:r>
      <w:r w:rsidR="008D1510" w:rsidRPr="008D1510">
        <w:rPr>
          <w:rFonts w:ascii="Times New Roman" w:hAnsi="Times New Roman"/>
          <w:lang w:val="en-HK"/>
        </w:rPr>
        <w:t>: Case law establishes that a genuine link to a host state can be demonstrated by even short periods of work (</w:t>
      </w:r>
      <w:proofErr w:type="spellStart"/>
      <w:r w:rsidR="008D1510" w:rsidRPr="008D1510">
        <w:rPr>
          <w:rFonts w:ascii="Times New Roman" w:hAnsi="Times New Roman"/>
          <w:i/>
          <w:iCs/>
          <w:lang w:val="en-HK"/>
        </w:rPr>
        <w:t>Vatsouras</w:t>
      </w:r>
      <w:proofErr w:type="spellEnd"/>
      <w:r w:rsidR="008D1510" w:rsidRPr="008D1510">
        <w:rPr>
          <w:rFonts w:ascii="Times New Roman" w:hAnsi="Times New Roman"/>
          <w:lang w:val="en-HK"/>
        </w:rPr>
        <w:t>), yet the brake imposes exclusionary periods of up to four years.</w:t>
      </w:r>
    </w:p>
    <w:p w14:paraId="07290145" w14:textId="4812AC78"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lang w:val="en-HK"/>
        </w:rPr>
        <w:t xml:space="preserve">- </w:t>
      </w:r>
      <w:r w:rsidR="008D1510" w:rsidRPr="008D1510">
        <w:rPr>
          <w:rFonts w:ascii="Times New Roman" w:hAnsi="Times New Roman"/>
          <w:lang w:val="en-HK"/>
        </w:rPr>
        <w:t xml:space="preserve">The brake is </w:t>
      </w:r>
      <w:r w:rsidR="008D1510" w:rsidRPr="008D1510">
        <w:rPr>
          <w:rFonts w:ascii="Times New Roman" w:hAnsi="Times New Roman"/>
          <w:b/>
          <w:bCs/>
          <w:lang w:val="en-HK"/>
        </w:rPr>
        <w:t>not nationality-independent</w:t>
      </w:r>
      <w:r w:rsidR="008D1510" w:rsidRPr="008D1510">
        <w:rPr>
          <w:rFonts w:ascii="Times New Roman" w:hAnsi="Times New Roman"/>
          <w:lang w:val="en-HK"/>
        </w:rPr>
        <w:t>: While framed as addressing economic integration, it applies purely based on nationality, breaching the prohibition of direct discrimination.</w:t>
      </w:r>
    </w:p>
    <w:p w14:paraId="4B227255" w14:textId="3B604ED6"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lang w:val="en-HK"/>
        </w:rPr>
        <w:t xml:space="preserve">- </w:t>
      </w:r>
      <w:r w:rsidR="008D1510" w:rsidRPr="008D1510">
        <w:rPr>
          <w:rFonts w:ascii="Times New Roman" w:hAnsi="Times New Roman"/>
          <w:lang w:val="en-HK"/>
        </w:rPr>
        <w:t xml:space="preserve">Publicly available evidence undermines the claim of fiscal burden: Studies, including a 2013 European Commission report, consistently show that EU migrants, particularly A8 nationals, are net contributors to public finances, with higher </w:t>
      </w:r>
      <w:proofErr w:type="spellStart"/>
      <w:r w:rsidR="008D1510" w:rsidRPr="008D1510">
        <w:rPr>
          <w:rFonts w:ascii="Times New Roman" w:hAnsi="Times New Roman"/>
          <w:lang w:val="en-HK"/>
        </w:rPr>
        <w:t>labor</w:t>
      </w:r>
      <w:proofErr w:type="spellEnd"/>
      <w:r w:rsidR="008D1510" w:rsidRPr="008D1510">
        <w:rPr>
          <w:rFonts w:ascii="Times New Roman" w:hAnsi="Times New Roman"/>
          <w:lang w:val="en-HK"/>
        </w:rPr>
        <w:t xml:space="preserve"> participation rates and lower welfare usage than native populations.</w:t>
      </w:r>
    </w:p>
    <w:p w14:paraId="0389158B" w14:textId="0C1F6EEA" w:rsidR="008D1510" w:rsidRPr="008D1510" w:rsidRDefault="006F7D3C" w:rsidP="006F7D3C">
      <w:pPr>
        <w:spacing w:before="100" w:beforeAutospacing="1" w:after="240" w:line="360" w:lineRule="auto"/>
        <w:outlineLvl w:val="4"/>
        <w:rPr>
          <w:rFonts w:ascii="Times New Roman" w:hAnsi="Times New Roman"/>
          <w:b/>
          <w:bCs/>
          <w:lang w:val="en-HK"/>
        </w:rPr>
      </w:pPr>
      <w:r>
        <w:rPr>
          <w:rFonts w:ascii="Times New Roman" w:hAnsi="Times New Roman"/>
          <w:b/>
          <w:bCs/>
          <w:lang w:val="en-HK"/>
        </w:rPr>
        <w:t xml:space="preserve">3. </w:t>
      </w:r>
      <w:r w:rsidR="008D1510" w:rsidRPr="008D1510">
        <w:rPr>
          <w:rFonts w:ascii="Times New Roman" w:hAnsi="Times New Roman"/>
          <w:b/>
          <w:bCs/>
          <w:lang w:val="en-HK"/>
        </w:rPr>
        <w:t>A U-Turn on Evidence-Based Policy</w:t>
      </w:r>
    </w:p>
    <w:p w14:paraId="15E311C3" w14:textId="5F214573"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Previously, the European Commission had dismissed "benefit tourism" as largely a myth, citing studies showing that EU migrants contributed positively to host economies. The sudden endorsement of the UK’s proposed brake, based on vague and undisclosed evidence, marks a reversal that undermines the Union's normative commitments to equality and free movement.</w:t>
      </w:r>
    </w:p>
    <w:p w14:paraId="432D25D4" w14:textId="77777777" w:rsidR="008D1510" w:rsidRPr="008D1510" w:rsidRDefault="008D1510" w:rsidP="006F7D3C">
      <w:pPr>
        <w:spacing w:before="100" w:beforeAutospacing="1" w:after="240" w:line="360" w:lineRule="auto"/>
        <w:outlineLvl w:val="3"/>
        <w:rPr>
          <w:rFonts w:ascii="Times New Roman" w:hAnsi="Times New Roman"/>
          <w:b/>
          <w:bCs/>
          <w:lang w:val="en-HK"/>
        </w:rPr>
      </w:pPr>
      <w:r w:rsidRPr="008D1510">
        <w:rPr>
          <w:rFonts w:ascii="Times New Roman" w:hAnsi="Times New Roman"/>
          <w:b/>
          <w:bCs/>
          <w:lang w:val="en-HK"/>
        </w:rPr>
        <w:t>5.2. Redefining Migrant Workers as Sub-Citizens</w:t>
      </w:r>
    </w:p>
    <w:p w14:paraId="36111480"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The benefit brake fundamentally alters what it means to be a migrant worker within the EU:</w:t>
      </w:r>
    </w:p>
    <w:p w14:paraId="484C4E36" w14:textId="28266E3C"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From Rights to Commodification</w:t>
      </w:r>
      <w:r w:rsidR="008D1510" w:rsidRPr="008D1510">
        <w:rPr>
          <w:rFonts w:ascii="Times New Roman" w:hAnsi="Times New Roman"/>
          <w:lang w:val="en-HK"/>
        </w:rPr>
        <w:t xml:space="preserve">: Migrant workers are recast as economic commodities, valued only for their </w:t>
      </w:r>
      <w:proofErr w:type="spellStart"/>
      <w:r w:rsidR="008D1510" w:rsidRPr="008D1510">
        <w:rPr>
          <w:rFonts w:ascii="Times New Roman" w:hAnsi="Times New Roman"/>
          <w:lang w:val="en-HK"/>
        </w:rPr>
        <w:t>labor</w:t>
      </w:r>
      <w:proofErr w:type="spellEnd"/>
      <w:r w:rsidR="008D1510" w:rsidRPr="008D1510">
        <w:rPr>
          <w:rFonts w:ascii="Times New Roman" w:hAnsi="Times New Roman"/>
          <w:lang w:val="en-HK"/>
        </w:rPr>
        <w:t xml:space="preserve"> contributions without reciprocal recognition or protection. This alienates them from the social security systems they financially sustain.</w:t>
      </w:r>
    </w:p>
    <w:p w14:paraId="5AE20F73" w14:textId="7F31631E"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Sub-Citizenship</w:t>
      </w:r>
      <w:r w:rsidR="008D1510" w:rsidRPr="008D1510">
        <w:rPr>
          <w:rFonts w:ascii="Times New Roman" w:hAnsi="Times New Roman"/>
          <w:lang w:val="en-HK"/>
        </w:rPr>
        <w:t>: By limiting in-work benefits, the brake creates an underclass of workers who are denied equal treatment despite paying taxes and contributing to national insurance. This exclusion institutionalizes inequality, undermining the essence of EU citizenship.</w:t>
      </w:r>
    </w:p>
    <w:p w14:paraId="2D77865F" w14:textId="77777777" w:rsidR="008D1510" w:rsidRPr="008D1510" w:rsidRDefault="008D1510" w:rsidP="006F7D3C">
      <w:pPr>
        <w:spacing w:before="100" w:beforeAutospacing="1" w:after="240" w:line="360" w:lineRule="auto"/>
        <w:outlineLvl w:val="3"/>
        <w:rPr>
          <w:rFonts w:ascii="Times New Roman" w:hAnsi="Times New Roman"/>
          <w:b/>
          <w:bCs/>
          <w:lang w:val="en-HK"/>
        </w:rPr>
      </w:pPr>
      <w:r w:rsidRPr="008D1510">
        <w:rPr>
          <w:rFonts w:ascii="Times New Roman" w:hAnsi="Times New Roman"/>
          <w:b/>
          <w:bCs/>
          <w:lang w:val="en-HK"/>
        </w:rPr>
        <w:t>5.3. Gendered Impacts and Class Stratification</w:t>
      </w:r>
    </w:p>
    <w:p w14:paraId="5D6AAAF3"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lastRenderedPageBreak/>
        <w:t>The proposed brake disproportionately harms marginalized groups, particularly low-income women:</w:t>
      </w:r>
    </w:p>
    <w:p w14:paraId="602D0E35" w14:textId="38AB060F"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Childcare Accessibility</w:t>
      </w:r>
      <w:r w:rsidR="008D1510" w:rsidRPr="008D1510">
        <w:rPr>
          <w:rFonts w:ascii="Times New Roman" w:hAnsi="Times New Roman"/>
          <w:lang w:val="en-HK"/>
        </w:rPr>
        <w:t xml:space="preserve">: By excluding EU migrants from benefits like child tax credits and housing assistance, the brake increases the cost of childcare, effectively pricing many women out of the </w:t>
      </w:r>
      <w:proofErr w:type="spellStart"/>
      <w:r w:rsidR="008D1510" w:rsidRPr="008D1510">
        <w:rPr>
          <w:rFonts w:ascii="Times New Roman" w:hAnsi="Times New Roman"/>
          <w:lang w:val="en-HK"/>
        </w:rPr>
        <w:t>labor</w:t>
      </w:r>
      <w:proofErr w:type="spellEnd"/>
      <w:r w:rsidR="008D1510" w:rsidRPr="008D1510">
        <w:rPr>
          <w:rFonts w:ascii="Times New Roman" w:hAnsi="Times New Roman"/>
          <w:lang w:val="en-HK"/>
        </w:rPr>
        <w:t xml:space="preserve"> market.</w:t>
      </w:r>
    </w:p>
    <w:p w14:paraId="42C92C9F" w14:textId="086436E7"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 </w:t>
      </w:r>
      <w:r w:rsidR="008D1510" w:rsidRPr="008D1510">
        <w:rPr>
          <w:rFonts w:ascii="Times New Roman" w:hAnsi="Times New Roman"/>
          <w:b/>
          <w:bCs/>
          <w:lang w:val="en-HK"/>
        </w:rPr>
        <w:t>Perpetuation of Class Divides</w:t>
      </w:r>
      <w:r w:rsidR="008D1510" w:rsidRPr="008D1510">
        <w:rPr>
          <w:rFonts w:ascii="Times New Roman" w:hAnsi="Times New Roman"/>
          <w:lang w:val="en-HK"/>
        </w:rPr>
        <w:t>: Wealthier and more privileged workers remain unaffected, while low-income migrants face heightened economic precarity.</w:t>
      </w:r>
    </w:p>
    <w:p w14:paraId="3AC1A016" w14:textId="77777777" w:rsidR="008D1510" w:rsidRPr="008D1510" w:rsidRDefault="008D1510" w:rsidP="006F7D3C">
      <w:pPr>
        <w:spacing w:before="100" w:beforeAutospacing="1" w:after="240" w:line="360" w:lineRule="auto"/>
        <w:outlineLvl w:val="3"/>
        <w:rPr>
          <w:rFonts w:ascii="Times New Roman" w:hAnsi="Times New Roman"/>
          <w:b/>
          <w:bCs/>
          <w:lang w:val="en-HK"/>
        </w:rPr>
      </w:pPr>
      <w:r w:rsidRPr="008D1510">
        <w:rPr>
          <w:rFonts w:ascii="Times New Roman" w:hAnsi="Times New Roman"/>
          <w:b/>
          <w:bCs/>
          <w:lang w:val="en-HK"/>
        </w:rPr>
        <w:t>Broader Implications and Feedback into EU Law</w:t>
      </w:r>
    </w:p>
    <w:p w14:paraId="31273B0B"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O’Brien warns that the emergency brake reflects a larger trend of national distortions feeding back into EU law, reshaping its normative framework:</w:t>
      </w:r>
    </w:p>
    <w:p w14:paraId="4910E0AC" w14:textId="5BCAFF4A"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Normalization of Inequality</w:t>
      </w:r>
      <w:r w:rsidR="008D1510" w:rsidRPr="008D1510">
        <w:rPr>
          <w:rFonts w:ascii="Times New Roman" w:hAnsi="Times New Roman"/>
          <w:lang w:val="en-HK"/>
        </w:rPr>
        <w:t>: The brake legitimizes unequal treatment of workers, threatening to make similar policies the new norm across Member States. For example, populist parties in countries like Austria, Sweden, and Denmark have already pushed for their own versions of the brake.</w:t>
      </w:r>
    </w:p>
    <w:p w14:paraId="2A21E390" w14:textId="395967D1"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Risk of Overreach</w:t>
      </w:r>
      <w:r w:rsidR="008D1510" w:rsidRPr="008D1510">
        <w:rPr>
          <w:rFonts w:ascii="Times New Roman" w:hAnsi="Times New Roman"/>
          <w:lang w:val="en-HK"/>
        </w:rPr>
        <w:t xml:space="preserve">: Without a clear definition of "non-contributory in-work benefits," the brake could be </w:t>
      </w:r>
      <w:r w:rsidR="008D1510" w:rsidRPr="008D1510">
        <w:rPr>
          <w:rFonts w:ascii="Times New Roman" w:hAnsi="Times New Roman"/>
          <w:b/>
          <w:bCs/>
          <w:lang w:val="en-HK"/>
        </w:rPr>
        <w:t>expanded to include vital supports</w:t>
      </w:r>
      <w:r w:rsidR="008D1510" w:rsidRPr="008D1510">
        <w:rPr>
          <w:rFonts w:ascii="Times New Roman" w:hAnsi="Times New Roman"/>
          <w:lang w:val="en-HK"/>
        </w:rPr>
        <w:t xml:space="preserve"> like housing benefits or non-means-tested family allowances, further marginalizing vulnerable workers.</w:t>
      </w:r>
    </w:p>
    <w:p w14:paraId="5C7710FC" w14:textId="77777777" w:rsidR="008D1510" w:rsidRPr="008D1510" w:rsidRDefault="008D1510" w:rsidP="006F7D3C">
      <w:pPr>
        <w:spacing w:before="100" w:beforeAutospacing="1" w:after="240" w:line="360" w:lineRule="auto"/>
        <w:outlineLvl w:val="2"/>
        <w:rPr>
          <w:rFonts w:ascii="Times New Roman" w:hAnsi="Times New Roman"/>
          <w:b/>
          <w:bCs/>
          <w:lang w:val="en-HK"/>
        </w:rPr>
      </w:pPr>
      <w:r w:rsidRPr="008D1510">
        <w:rPr>
          <w:rFonts w:ascii="Times New Roman" w:hAnsi="Times New Roman"/>
          <w:b/>
          <w:bCs/>
          <w:lang w:val="en-HK"/>
        </w:rPr>
        <w:t>5.2. Alienation That Discriminates: Disproportionate Impact Upon Women</w:t>
      </w:r>
    </w:p>
    <w:p w14:paraId="5ED37C98"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The benefit brake disproportionately harms low-paid female EU workers, creating systemic gender discrimination within the free movement framework. Women’s unique vulnerabilities, such as pregnancy and childcare responsibilities, exacerbate their exclusion under this policy.</w:t>
      </w:r>
    </w:p>
    <w:p w14:paraId="725FC661" w14:textId="6C00F9EB" w:rsidR="008D1510" w:rsidRPr="008D1510" w:rsidRDefault="006F7D3C" w:rsidP="006F7D3C">
      <w:pPr>
        <w:spacing w:before="100" w:beforeAutospacing="1" w:after="240" w:line="360" w:lineRule="auto"/>
        <w:outlineLvl w:val="3"/>
        <w:rPr>
          <w:rFonts w:ascii="Times New Roman" w:hAnsi="Times New Roman"/>
          <w:b/>
          <w:bCs/>
          <w:lang w:val="en-HK"/>
        </w:rPr>
      </w:pPr>
      <w:r>
        <w:rPr>
          <w:rFonts w:ascii="Times New Roman" w:hAnsi="Times New Roman"/>
          <w:b/>
          <w:bCs/>
          <w:lang w:val="en-HK"/>
        </w:rPr>
        <w:t xml:space="preserve">1. </w:t>
      </w:r>
      <w:r w:rsidR="008D1510" w:rsidRPr="008D1510">
        <w:rPr>
          <w:rFonts w:ascii="Times New Roman" w:hAnsi="Times New Roman"/>
          <w:b/>
          <w:bCs/>
          <w:lang w:val="en-HK"/>
        </w:rPr>
        <w:t>Gendered Consequences of the Benefit Brake</w:t>
      </w:r>
    </w:p>
    <w:p w14:paraId="5F4A7E68" w14:textId="6AB4E4C9"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Pregnancy and Destitution Risk:</w:t>
      </w:r>
      <w:r w:rsidR="008D1510" w:rsidRPr="008D1510">
        <w:rPr>
          <w:rFonts w:ascii="Times New Roman" w:hAnsi="Times New Roman"/>
          <w:lang w:val="en-HK"/>
        </w:rPr>
        <w:br/>
        <w:t xml:space="preserve">Women, particularly those in low-paying jobs, are more likely to require in-work benefits, such </w:t>
      </w:r>
      <w:r w:rsidR="008D1510" w:rsidRPr="008D1510">
        <w:rPr>
          <w:rFonts w:ascii="Times New Roman" w:hAnsi="Times New Roman"/>
          <w:lang w:val="en-HK"/>
        </w:rPr>
        <w:lastRenderedPageBreak/>
        <w:t>as tax credits, to manage childcare expenses. Under the brake, a pregnant woman who stops working temporarily risks destitution and may struggle to return to work without childcare support.</w:t>
      </w:r>
    </w:p>
    <w:p w14:paraId="47E04FB2" w14:textId="4E75BD3E"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Longer Periods of Exclusion:</w:t>
      </w:r>
      <w:r w:rsidR="008D1510" w:rsidRPr="008D1510">
        <w:rPr>
          <w:rFonts w:ascii="Times New Roman" w:hAnsi="Times New Roman"/>
          <w:lang w:val="en-HK"/>
        </w:rPr>
        <w:br/>
        <w:t>The practical application of the benefit brake often extends well beyond four years. Workers with irregular hours, gaps in employment, or fluctuating incomes face repeated restarts of the "four-year clock," making it nearly impossible to meet eligibility criteria for equal treatment.</w:t>
      </w:r>
    </w:p>
    <w:p w14:paraId="035E396F" w14:textId="482FDB29"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Lone Parents and In-Work Poverty:</w:t>
      </w:r>
      <w:r w:rsidR="008D1510" w:rsidRPr="008D1510">
        <w:rPr>
          <w:rFonts w:ascii="Times New Roman" w:hAnsi="Times New Roman"/>
          <w:lang w:val="en-HK"/>
        </w:rPr>
        <w:br/>
        <w:t>Lone parents, predominantly women, are concentrated in low-pay, low-security jobs, making them particularly vulnerable. Without access to tax credits, in-work poverty escalates, often leading to homelessness and destitution for families.</w:t>
      </w:r>
    </w:p>
    <w:p w14:paraId="50CDFBAA" w14:textId="54CF3080" w:rsidR="008D1510" w:rsidRPr="008D1510" w:rsidRDefault="006F7D3C" w:rsidP="006F7D3C">
      <w:pPr>
        <w:spacing w:before="100" w:beforeAutospacing="1" w:after="240" w:line="360" w:lineRule="auto"/>
        <w:outlineLvl w:val="3"/>
        <w:rPr>
          <w:rFonts w:ascii="Times New Roman" w:hAnsi="Times New Roman"/>
          <w:b/>
          <w:bCs/>
          <w:lang w:val="en-HK"/>
        </w:rPr>
      </w:pPr>
      <w:r>
        <w:rPr>
          <w:rFonts w:ascii="Times New Roman" w:hAnsi="Times New Roman"/>
          <w:b/>
          <w:bCs/>
          <w:lang w:val="en-HK"/>
        </w:rPr>
        <w:t xml:space="preserve">2. </w:t>
      </w:r>
      <w:r w:rsidR="008D1510" w:rsidRPr="008D1510">
        <w:rPr>
          <w:rFonts w:ascii="Times New Roman" w:hAnsi="Times New Roman"/>
          <w:b/>
          <w:bCs/>
          <w:lang w:val="en-HK"/>
        </w:rPr>
        <w:t>Structural and Historical Gender Inequality</w:t>
      </w:r>
    </w:p>
    <w:p w14:paraId="093C8646" w14:textId="150667E6"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Market-Based Childcare Systems:</w:t>
      </w:r>
      <w:r w:rsidR="008D1510" w:rsidRPr="008D1510">
        <w:rPr>
          <w:rFonts w:ascii="Times New Roman" w:hAnsi="Times New Roman"/>
          <w:lang w:val="en-HK"/>
        </w:rPr>
        <w:br/>
        <w:t xml:space="preserve">In countries like the UK, the lack of affordable public childcare forces women out of the </w:t>
      </w:r>
      <w:proofErr w:type="spellStart"/>
      <w:r w:rsidR="008D1510" w:rsidRPr="008D1510">
        <w:rPr>
          <w:rFonts w:ascii="Times New Roman" w:hAnsi="Times New Roman"/>
          <w:lang w:val="en-HK"/>
        </w:rPr>
        <w:t>labor</w:t>
      </w:r>
      <w:proofErr w:type="spellEnd"/>
      <w:r w:rsidR="008D1510" w:rsidRPr="008D1510">
        <w:rPr>
          <w:rFonts w:ascii="Times New Roman" w:hAnsi="Times New Roman"/>
          <w:lang w:val="en-HK"/>
        </w:rPr>
        <w:t xml:space="preserve"> market when benefits are unavailable. This system amplifies gender asymmetries in economic participation.</w:t>
      </w:r>
    </w:p>
    <w:p w14:paraId="71F7D2EA" w14:textId="13B81F25"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Failure to Address Gender Equality in EU Law:</w:t>
      </w:r>
      <w:r w:rsidR="008D1510" w:rsidRPr="008D1510">
        <w:rPr>
          <w:rFonts w:ascii="Times New Roman" w:hAnsi="Times New Roman"/>
          <w:lang w:val="en-HK"/>
        </w:rPr>
        <w:br/>
        <w:t xml:space="preserve">The EU Court of Justice has historically interpreted the definition of "worker" generously, benefitting women who manage to forge traditional economic connections. However, the benefit brake and narrowing definitions of work undermine this progress, entrenching patriarchal assumptions about </w:t>
      </w:r>
      <w:proofErr w:type="spellStart"/>
      <w:r w:rsidR="008D1510" w:rsidRPr="008D1510">
        <w:rPr>
          <w:rFonts w:ascii="Times New Roman" w:hAnsi="Times New Roman"/>
          <w:lang w:val="en-HK"/>
        </w:rPr>
        <w:t>labor</w:t>
      </w:r>
      <w:proofErr w:type="spellEnd"/>
      <w:r w:rsidR="008D1510" w:rsidRPr="008D1510">
        <w:rPr>
          <w:rFonts w:ascii="Times New Roman" w:hAnsi="Times New Roman"/>
          <w:lang w:val="en-HK"/>
        </w:rPr>
        <w:t xml:space="preserve"> and reproduction.</w:t>
      </w:r>
    </w:p>
    <w:p w14:paraId="4B6350A5" w14:textId="34A84151"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Saint Prix and Missed Opportunities:</w:t>
      </w:r>
      <w:r w:rsidR="008D1510" w:rsidRPr="008D1510">
        <w:rPr>
          <w:rFonts w:ascii="Times New Roman" w:hAnsi="Times New Roman"/>
          <w:lang w:val="en-HK"/>
        </w:rPr>
        <w:br/>
        <w:t xml:space="preserve">The </w:t>
      </w:r>
      <w:r w:rsidR="008D1510" w:rsidRPr="008D1510">
        <w:rPr>
          <w:rFonts w:ascii="Times New Roman" w:hAnsi="Times New Roman"/>
          <w:i/>
          <w:iCs/>
          <w:lang w:val="en-HK"/>
        </w:rPr>
        <w:t>Saint Prix</w:t>
      </w:r>
      <w:r w:rsidR="008D1510" w:rsidRPr="008D1510">
        <w:rPr>
          <w:rFonts w:ascii="Times New Roman" w:hAnsi="Times New Roman"/>
          <w:lang w:val="en-HK"/>
        </w:rPr>
        <w:t xml:space="preserve"> judgment (Case C-507/12) failed to establish sex equality as a constitutional principle of free movement, leaving the door open for policies like the benefit brake that disproportionately harm women.</w:t>
      </w:r>
    </w:p>
    <w:p w14:paraId="3C19AA86" w14:textId="77777777" w:rsidR="008D1510" w:rsidRPr="008D1510" w:rsidRDefault="008D1510" w:rsidP="006F7D3C">
      <w:pPr>
        <w:spacing w:before="100" w:beforeAutospacing="1" w:after="240" w:line="360" w:lineRule="auto"/>
        <w:outlineLvl w:val="3"/>
        <w:rPr>
          <w:rFonts w:ascii="Times New Roman" w:hAnsi="Times New Roman"/>
          <w:b/>
          <w:bCs/>
          <w:lang w:val="en-HK"/>
        </w:rPr>
      </w:pPr>
      <w:r w:rsidRPr="008D1510">
        <w:rPr>
          <w:rFonts w:ascii="Times New Roman" w:hAnsi="Times New Roman"/>
          <w:b/>
          <w:bCs/>
          <w:lang w:val="en-HK"/>
        </w:rPr>
        <w:t>Broader Implications for Free Movement</w:t>
      </w:r>
    </w:p>
    <w:p w14:paraId="52DA0710" w14:textId="34D456C7" w:rsid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lastRenderedPageBreak/>
        <w:t xml:space="preserve">The benefit brake embodies an outdated, patriarchal model of economic participation, prioritizing productivity over reproductivity and excluding women as primary agents of migration. By failing to adapt to the realities of an atypical </w:t>
      </w:r>
      <w:proofErr w:type="spellStart"/>
      <w:r w:rsidRPr="008D1510">
        <w:rPr>
          <w:rFonts w:ascii="Times New Roman" w:hAnsi="Times New Roman"/>
          <w:lang w:val="en-HK"/>
        </w:rPr>
        <w:t>labor</w:t>
      </w:r>
      <w:proofErr w:type="spellEnd"/>
      <w:r w:rsidRPr="008D1510">
        <w:rPr>
          <w:rFonts w:ascii="Times New Roman" w:hAnsi="Times New Roman"/>
          <w:lang w:val="en-HK"/>
        </w:rPr>
        <w:t xml:space="preserve"> market, the EU perpetuates inequality and limits women’s ability to exercise free movement.</w:t>
      </w:r>
    </w:p>
    <w:p w14:paraId="34CC08FE" w14:textId="77777777" w:rsidR="006F7D3C" w:rsidRPr="008D1510" w:rsidRDefault="006F7D3C" w:rsidP="006F7D3C">
      <w:pPr>
        <w:spacing w:before="100" w:beforeAutospacing="1" w:after="240" w:line="360" w:lineRule="auto"/>
        <w:rPr>
          <w:rFonts w:ascii="Times New Roman" w:hAnsi="Times New Roman"/>
          <w:lang w:val="en-HK"/>
        </w:rPr>
      </w:pPr>
    </w:p>
    <w:p w14:paraId="114DE0C2" w14:textId="77777777" w:rsidR="008D1510" w:rsidRPr="008D1510" w:rsidRDefault="008D1510" w:rsidP="006F7D3C">
      <w:pPr>
        <w:spacing w:before="100" w:beforeAutospacing="1" w:after="240" w:line="360" w:lineRule="auto"/>
        <w:outlineLvl w:val="2"/>
        <w:rPr>
          <w:rFonts w:ascii="Times New Roman" w:hAnsi="Times New Roman"/>
          <w:b/>
          <w:bCs/>
          <w:lang w:val="en-HK"/>
        </w:rPr>
      </w:pPr>
      <w:r w:rsidRPr="008D1510">
        <w:rPr>
          <w:rFonts w:ascii="Times New Roman" w:hAnsi="Times New Roman"/>
          <w:b/>
          <w:bCs/>
          <w:lang w:val="en-HK"/>
        </w:rPr>
        <w:t>6. Conclusion: Poverty, Prejudice, and the Erosion of Free Movement</w:t>
      </w:r>
    </w:p>
    <w:p w14:paraId="73B43430" w14:textId="3A6780F7" w:rsidR="008D1510" w:rsidRPr="008D1510" w:rsidRDefault="006F7D3C" w:rsidP="006F7D3C">
      <w:pPr>
        <w:spacing w:before="100" w:beforeAutospacing="1" w:after="240" w:line="360" w:lineRule="auto"/>
        <w:outlineLvl w:val="3"/>
        <w:rPr>
          <w:rFonts w:ascii="Times New Roman" w:hAnsi="Times New Roman"/>
          <w:b/>
          <w:bCs/>
          <w:lang w:val="en-HK"/>
        </w:rPr>
      </w:pPr>
      <w:r>
        <w:rPr>
          <w:rFonts w:ascii="Times New Roman" w:hAnsi="Times New Roman"/>
          <w:b/>
          <w:bCs/>
          <w:lang w:val="en-HK"/>
        </w:rPr>
        <w:t xml:space="preserve">1. </w:t>
      </w:r>
      <w:r w:rsidR="008D1510" w:rsidRPr="008D1510">
        <w:rPr>
          <w:rFonts w:ascii="Times New Roman" w:hAnsi="Times New Roman"/>
          <w:b/>
          <w:bCs/>
          <w:lang w:val="en-HK"/>
        </w:rPr>
        <w:t>Redefining Work and Rights</w:t>
      </w:r>
    </w:p>
    <w:p w14:paraId="6342FABD"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The emerging framework of free movement aligns rights with economic activity, prioritizing wealth and class:</w:t>
      </w:r>
    </w:p>
    <w:p w14:paraId="1B9A14AE" w14:textId="19B130D9"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From "I Trade, Therefore I Am" to "Do You Trade Enough?":</w:t>
      </w:r>
      <w:r w:rsidR="008D1510" w:rsidRPr="008D1510">
        <w:rPr>
          <w:rFonts w:ascii="Times New Roman" w:hAnsi="Times New Roman"/>
          <w:lang w:val="en-HK"/>
        </w:rPr>
        <w:br/>
        <w:t>EU migrants must prove their worth through sustained economic activity to access free movement rights. This shifts the emphasis from rights-based frameworks to exclusionary systems rooted in productivity and class.</w:t>
      </w:r>
    </w:p>
    <w:p w14:paraId="01181FE5" w14:textId="7E84236F"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Stratification by Wealth and Class:</w:t>
      </w:r>
      <w:r w:rsidR="008D1510" w:rsidRPr="008D1510">
        <w:rPr>
          <w:rFonts w:ascii="Times New Roman" w:hAnsi="Times New Roman"/>
          <w:lang w:val="en-HK"/>
        </w:rPr>
        <w:br/>
        <w:t xml:space="preserve">Migrant workers are increasingly disaggregated into categories based on income and </w:t>
      </w:r>
      <w:proofErr w:type="spellStart"/>
      <w:r w:rsidR="008D1510" w:rsidRPr="008D1510">
        <w:rPr>
          <w:rFonts w:ascii="Times New Roman" w:hAnsi="Times New Roman"/>
          <w:lang w:val="en-HK"/>
        </w:rPr>
        <w:t>labor</w:t>
      </w:r>
      <w:proofErr w:type="spellEnd"/>
      <w:r w:rsidR="008D1510" w:rsidRPr="008D1510">
        <w:rPr>
          <w:rFonts w:ascii="Times New Roman" w:hAnsi="Times New Roman"/>
          <w:lang w:val="en-HK"/>
        </w:rPr>
        <w:t xml:space="preserve"> conditions. Wealthier workers enjoy greater protections, while low-paid or precariously employed individuals face heightened risks of being </w:t>
      </w:r>
      <w:proofErr w:type="spellStart"/>
      <w:r w:rsidR="008D1510" w:rsidRPr="008D1510">
        <w:rPr>
          <w:rFonts w:ascii="Times New Roman" w:hAnsi="Times New Roman"/>
          <w:lang w:val="en-HK"/>
        </w:rPr>
        <w:t>labeled</w:t>
      </w:r>
      <w:proofErr w:type="spellEnd"/>
      <w:r w:rsidR="008D1510" w:rsidRPr="008D1510">
        <w:rPr>
          <w:rFonts w:ascii="Times New Roman" w:hAnsi="Times New Roman"/>
          <w:lang w:val="en-HK"/>
        </w:rPr>
        <w:t xml:space="preserve"> economically inactive.</w:t>
      </w:r>
    </w:p>
    <w:p w14:paraId="158C4F03" w14:textId="0935C092" w:rsidR="008D1510" w:rsidRPr="008D1510" w:rsidRDefault="006F7D3C" w:rsidP="006F7D3C">
      <w:pPr>
        <w:spacing w:before="100" w:beforeAutospacing="1" w:after="240" w:line="360" w:lineRule="auto"/>
        <w:outlineLvl w:val="3"/>
        <w:rPr>
          <w:rFonts w:ascii="Times New Roman" w:hAnsi="Times New Roman"/>
          <w:b/>
          <w:bCs/>
          <w:lang w:val="en-HK"/>
        </w:rPr>
      </w:pPr>
      <w:r>
        <w:rPr>
          <w:rFonts w:ascii="Times New Roman" w:hAnsi="Times New Roman"/>
          <w:b/>
          <w:bCs/>
          <w:lang w:val="en-HK"/>
        </w:rPr>
        <w:t xml:space="preserve">2. </w:t>
      </w:r>
      <w:r w:rsidR="008D1510" w:rsidRPr="008D1510">
        <w:rPr>
          <w:rFonts w:ascii="Times New Roman" w:hAnsi="Times New Roman"/>
          <w:b/>
          <w:bCs/>
          <w:lang w:val="en-HK"/>
        </w:rPr>
        <w:t>Erosion of EU Citizenship</w:t>
      </w:r>
    </w:p>
    <w:p w14:paraId="42BFF01F"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EU citizenship, once a beacon of equal treatment and solidarity, has diminished in significance:</w:t>
      </w:r>
    </w:p>
    <w:p w14:paraId="586BA5EC" w14:textId="41740AF2"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A Fading Safety Net:</w:t>
      </w:r>
      <w:r w:rsidR="008D1510" w:rsidRPr="008D1510">
        <w:rPr>
          <w:rFonts w:ascii="Times New Roman" w:hAnsi="Times New Roman"/>
          <w:lang w:val="en-HK"/>
        </w:rPr>
        <w:br/>
        <w:t>EU citizenship now functions as a residual status with limited applicability, leaving migrants vulnerable to exclusionary national practices.</w:t>
      </w:r>
    </w:p>
    <w:p w14:paraId="34C929FF" w14:textId="4C1D9D2A"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lastRenderedPageBreak/>
        <w:t xml:space="preserve">- </w:t>
      </w:r>
      <w:r w:rsidR="008D1510" w:rsidRPr="008D1510">
        <w:rPr>
          <w:rFonts w:ascii="Times New Roman" w:hAnsi="Times New Roman"/>
          <w:b/>
          <w:bCs/>
          <w:lang w:val="en-HK"/>
        </w:rPr>
        <w:t>Instrumentalization of Rights:</w:t>
      </w:r>
      <w:r w:rsidR="008D1510" w:rsidRPr="008D1510">
        <w:rPr>
          <w:rFonts w:ascii="Times New Roman" w:hAnsi="Times New Roman"/>
          <w:lang w:val="en-HK"/>
        </w:rPr>
        <w:br/>
        <w:t>Recent ECJ case law reinterprets free movement as a system of limitations designed to protect national welfare systems, rather than as a mechanism for promoting equality and solidarity.</w:t>
      </w:r>
    </w:p>
    <w:p w14:paraId="245CFE9E" w14:textId="1C631099" w:rsidR="008D1510" w:rsidRPr="008D1510" w:rsidRDefault="006F7D3C" w:rsidP="006F7D3C">
      <w:pPr>
        <w:spacing w:before="100" w:beforeAutospacing="1" w:after="240" w:line="360" w:lineRule="auto"/>
        <w:outlineLvl w:val="3"/>
        <w:rPr>
          <w:rFonts w:ascii="Times New Roman" w:hAnsi="Times New Roman"/>
          <w:b/>
          <w:bCs/>
          <w:lang w:val="en-HK"/>
        </w:rPr>
      </w:pPr>
      <w:r>
        <w:rPr>
          <w:rFonts w:ascii="Times New Roman" w:hAnsi="Times New Roman"/>
          <w:b/>
          <w:bCs/>
          <w:lang w:val="en-HK"/>
        </w:rPr>
        <w:t xml:space="preserve">3. </w:t>
      </w:r>
      <w:r w:rsidR="008D1510" w:rsidRPr="008D1510">
        <w:rPr>
          <w:rFonts w:ascii="Times New Roman" w:hAnsi="Times New Roman"/>
          <w:b/>
          <w:bCs/>
          <w:lang w:val="en-HK"/>
        </w:rPr>
        <w:t>Labor Market Precarity and Alienation</w:t>
      </w:r>
    </w:p>
    <w:p w14:paraId="1EA0CB37"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The increasing reliance on atypical and zero-hours contracts heightens the risks of exclusion:</w:t>
      </w:r>
    </w:p>
    <w:p w14:paraId="19A0D254" w14:textId="20F0966C"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Steeper Precipices:</w:t>
      </w:r>
      <w:r w:rsidR="008D1510" w:rsidRPr="008D1510">
        <w:rPr>
          <w:rFonts w:ascii="Times New Roman" w:hAnsi="Times New Roman"/>
          <w:lang w:val="en-HK"/>
        </w:rPr>
        <w:br/>
        <w:t>Workers on variable or insecure contracts face greater difficulties proving the genuineness of their employment, leading to frequent reclassification as jobseekers or economically inactive individuals.</w:t>
      </w:r>
    </w:p>
    <w:p w14:paraId="49B18FB8" w14:textId="23E45725"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Alienation from Rights and Labor Value:</w:t>
      </w:r>
      <w:r w:rsidR="008D1510" w:rsidRPr="008D1510">
        <w:rPr>
          <w:rFonts w:ascii="Times New Roman" w:hAnsi="Times New Roman"/>
          <w:lang w:val="en-HK"/>
        </w:rPr>
        <w:br/>
        <w:t xml:space="preserve">Following Marxist critiques, O’Brien argues that low-paid migrant workers are alienated from the economic worth of their </w:t>
      </w:r>
      <w:proofErr w:type="spellStart"/>
      <w:r w:rsidR="008D1510" w:rsidRPr="008D1510">
        <w:rPr>
          <w:rFonts w:ascii="Times New Roman" w:hAnsi="Times New Roman"/>
          <w:lang w:val="en-HK"/>
        </w:rPr>
        <w:t>labor</w:t>
      </w:r>
      <w:proofErr w:type="spellEnd"/>
      <w:r w:rsidR="008D1510" w:rsidRPr="008D1510">
        <w:rPr>
          <w:rFonts w:ascii="Times New Roman" w:hAnsi="Times New Roman"/>
          <w:lang w:val="en-HK"/>
        </w:rPr>
        <w:t>, excluded from social protections despite contributing to national economies.</w:t>
      </w:r>
    </w:p>
    <w:p w14:paraId="3BE37051" w14:textId="65E7B220" w:rsidR="008D1510" w:rsidRPr="008D1510" w:rsidRDefault="006F7D3C" w:rsidP="006F7D3C">
      <w:pPr>
        <w:spacing w:before="100" w:beforeAutospacing="1" w:after="240" w:line="360" w:lineRule="auto"/>
        <w:outlineLvl w:val="3"/>
        <w:rPr>
          <w:rFonts w:ascii="Times New Roman" w:hAnsi="Times New Roman"/>
          <w:b/>
          <w:bCs/>
          <w:lang w:val="en-HK"/>
        </w:rPr>
      </w:pPr>
      <w:r>
        <w:rPr>
          <w:rFonts w:ascii="Times New Roman" w:hAnsi="Times New Roman"/>
          <w:b/>
          <w:bCs/>
          <w:lang w:val="en-HK"/>
        </w:rPr>
        <w:t xml:space="preserve">4. </w:t>
      </w:r>
      <w:r w:rsidR="008D1510" w:rsidRPr="008D1510">
        <w:rPr>
          <w:rFonts w:ascii="Times New Roman" w:hAnsi="Times New Roman"/>
          <w:b/>
          <w:bCs/>
          <w:lang w:val="en-HK"/>
        </w:rPr>
        <w:t>Distortion of EU Law at Source</w:t>
      </w:r>
    </w:p>
    <w:p w14:paraId="1F58B18A"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The benefit brake exemplifies how national practices distort EU law:</w:t>
      </w:r>
    </w:p>
    <w:p w14:paraId="289FB401" w14:textId="73D51ACA"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Licence to Discriminate:</w:t>
      </w:r>
      <w:r w:rsidR="008D1510" w:rsidRPr="008D1510">
        <w:rPr>
          <w:rFonts w:ascii="Times New Roman" w:hAnsi="Times New Roman"/>
          <w:lang w:val="en-HK"/>
        </w:rPr>
        <w:br/>
        <w:t>National policies that discriminate based on nationality undermine Article 45 TFEU, introducing inequality into the core of EU free movement law.</w:t>
      </w:r>
    </w:p>
    <w:p w14:paraId="754F997C" w14:textId="355D36D3"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8D1510" w:rsidRPr="008D1510">
        <w:rPr>
          <w:rFonts w:ascii="Times New Roman" w:hAnsi="Times New Roman"/>
          <w:b/>
          <w:bCs/>
          <w:lang w:val="en-HK"/>
        </w:rPr>
        <w:t>Political Opportunism Over Evidence:</w:t>
      </w:r>
      <w:r w:rsidR="008D1510" w:rsidRPr="008D1510">
        <w:rPr>
          <w:rFonts w:ascii="Times New Roman" w:hAnsi="Times New Roman"/>
          <w:lang w:val="en-HK"/>
        </w:rPr>
        <w:br/>
        <w:t>The justification for restrictions like the benefit brake often rests on vague or non-existent evidence of fiscal burden, driven more by political concerns than factual necessity.</w:t>
      </w:r>
    </w:p>
    <w:p w14:paraId="09C01340" w14:textId="268E34E4" w:rsidR="008D1510" w:rsidRPr="008D1510" w:rsidRDefault="006F7D3C" w:rsidP="006F7D3C">
      <w:pPr>
        <w:spacing w:before="100" w:beforeAutospacing="1" w:after="240" w:line="360" w:lineRule="auto"/>
        <w:outlineLvl w:val="2"/>
        <w:rPr>
          <w:rFonts w:ascii="Times New Roman" w:hAnsi="Times New Roman"/>
          <w:b/>
          <w:bCs/>
          <w:lang w:val="en-HK"/>
        </w:rPr>
      </w:pPr>
      <w:r>
        <w:rPr>
          <w:rFonts w:ascii="Times New Roman" w:hAnsi="Times New Roman"/>
          <w:b/>
          <w:bCs/>
          <w:lang w:val="en-HK"/>
        </w:rPr>
        <w:t xml:space="preserve">5. </w:t>
      </w:r>
      <w:r w:rsidR="008D1510" w:rsidRPr="008D1510">
        <w:rPr>
          <w:rFonts w:ascii="Times New Roman" w:hAnsi="Times New Roman"/>
          <w:b/>
          <w:bCs/>
          <w:lang w:val="en-HK"/>
        </w:rPr>
        <w:t>Recommendations</w:t>
      </w:r>
    </w:p>
    <w:p w14:paraId="28AF32A0" w14:textId="77777777" w:rsidR="008D1510" w:rsidRPr="008D1510" w:rsidRDefault="008D1510" w:rsidP="006F7D3C">
      <w:pPr>
        <w:spacing w:before="100" w:beforeAutospacing="1" w:after="240" w:line="360" w:lineRule="auto"/>
        <w:rPr>
          <w:rFonts w:ascii="Times New Roman" w:hAnsi="Times New Roman"/>
          <w:lang w:val="en-HK"/>
        </w:rPr>
      </w:pPr>
      <w:r w:rsidRPr="008D1510">
        <w:rPr>
          <w:rFonts w:ascii="Times New Roman" w:hAnsi="Times New Roman"/>
          <w:lang w:val="en-HK"/>
        </w:rPr>
        <w:t>To restore the moral and legal integrity of free movement, O’Brien calls for:</w:t>
      </w:r>
    </w:p>
    <w:p w14:paraId="6435FCB0" w14:textId="5760CA8A"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lastRenderedPageBreak/>
        <w:t xml:space="preserve">1. </w:t>
      </w:r>
      <w:r w:rsidR="008D1510" w:rsidRPr="008D1510">
        <w:rPr>
          <w:rFonts w:ascii="Times New Roman" w:hAnsi="Times New Roman"/>
          <w:b/>
          <w:bCs/>
          <w:lang w:val="en-HK"/>
        </w:rPr>
        <w:t>Reclaiming the Moral Dimension:</w:t>
      </w:r>
      <w:r w:rsidR="008D1510" w:rsidRPr="008D1510">
        <w:rPr>
          <w:rFonts w:ascii="Times New Roman" w:hAnsi="Times New Roman"/>
          <w:lang w:val="en-HK"/>
        </w:rPr>
        <w:br/>
        <w:t>The EU must reaffirm equal treatment as a fundamental principle, adapting protections to an increasingly atypical workforce.</w:t>
      </w:r>
    </w:p>
    <w:p w14:paraId="062BE09B" w14:textId="18877372"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2. </w:t>
      </w:r>
      <w:r w:rsidR="008D1510" w:rsidRPr="008D1510">
        <w:rPr>
          <w:rFonts w:ascii="Times New Roman" w:hAnsi="Times New Roman"/>
          <w:b/>
          <w:bCs/>
          <w:lang w:val="en-HK"/>
        </w:rPr>
        <w:t>Challenging National Distortions:</w:t>
      </w:r>
      <w:r w:rsidR="008D1510" w:rsidRPr="008D1510">
        <w:rPr>
          <w:rFonts w:ascii="Times New Roman" w:hAnsi="Times New Roman"/>
          <w:lang w:val="en-HK"/>
        </w:rPr>
        <w:br/>
        <w:t>The EU must hold Member States accountable for curbing rights and ensure that free movement is not reduced to a privilege for the wealthy.</w:t>
      </w:r>
    </w:p>
    <w:p w14:paraId="5C5446AA" w14:textId="26058F2C" w:rsidR="008D1510" w:rsidRPr="008D1510" w:rsidRDefault="006F7D3C" w:rsidP="006F7D3C">
      <w:pPr>
        <w:spacing w:before="100" w:beforeAutospacing="1" w:after="240" w:line="360" w:lineRule="auto"/>
        <w:rPr>
          <w:rFonts w:ascii="Times New Roman" w:hAnsi="Times New Roman"/>
          <w:lang w:val="en-HK"/>
        </w:rPr>
      </w:pPr>
      <w:r>
        <w:rPr>
          <w:rFonts w:ascii="Times New Roman" w:hAnsi="Times New Roman"/>
          <w:b/>
          <w:bCs/>
          <w:lang w:val="en-HK"/>
        </w:rPr>
        <w:t xml:space="preserve">3. </w:t>
      </w:r>
      <w:r w:rsidR="008D1510" w:rsidRPr="008D1510">
        <w:rPr>
          <w:rFonts w:ascii="Times New Roman" w:hAnsi="Times New Roman"/>
          <w:b/>
          <w:bCs/>
          <w:lang w:val="en-HK"/>
        </w:rPr>
        <w:t>Addressing Gender and Class Inequalities:</w:t>
      </w:r>
      <w:r w:rsidR="008D1510" w:rsidRPr="008D1510">
        <w:rPr>
          <w:rFonts w:ascii="Times New Roman" w:hAnsi="Times New Roman"/>
          <w:lang w:val="en-HK"/>
        </w:rPr>
        <w:br/>
        <w:t>Policies must explicitly account for the disproportionate impact on women and low-income workers, fostering a more inclusive approach to free movement rights.</w:t>
      </w:r>
    </w:p>
    <w:p w14:paraId="46E22E91" w14:textId="77777777" w:rsidR="008D1510" w:rsidRPr="00F919D6" w:rsidRDefault="008D1510" w:rsidP="006F7D3C">
      <w:pPr>
        <w:spacing w:after="240" w:line="360" w:lineRule="auto"/>
        <w:rPr>
          <w:rFonts w:ascii="Times New Roman" w:hAnsi="Times New Roman"/>
        </w:rPr>
      </w:pPr>
    </w:p>
    <w:sectPr w:rsidR="008D1510" w:rsidRPr="00F919D6" w:rsidSect="00F53D4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9EC6652"/>
    <w:multiLevelType w:val="multilevel"/>
    <w:tmpl w:val="4118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E2E65"/>
    <w:multiLevelType w:val="multilevel"/>
    <w:tmpl w:val="4BA0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81A05"/>
    <w:multiLevelType w:val="multilevel"/>
    <w:tmpl w:val="B3F4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522EF"/>
    <w:multiLevelType w:val="multilevel"/>
    <w:tmpl w:val="EAE63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8B2C8C"/>
    <w:multiLevelType w:val="multilevel"/>
    <w:tmpl w:val="5E4AC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747A4A"/>
    <w:multiLevelType w:val="multilevel"/>
    <w:tmpl w:val="818C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83A6E"/>
    <w:multiLevelType w:val="multilevel"/>
    <w:tmpl w:val="81922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BA2B9E"/>
    <w:multiLevelType w:val="multilevel"/>
    <w:tmpl w:val="EF78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F79FC"/>
    <w:multiLevelType w:val="multilevel"/>
    <w:tmpl w:val="3B02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B28CF"/>
    <w:multiLevelType w:val="multilevel"/>
    <w:tmpl w:val="90E2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70C82"/>
    <w:multiLevelType w:val="multilevel"/>
    <w:tmpl w:val="33D2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F4DD2"/>
    <w:multiLevelType w:val="multilevel"/>
    <w:tmpl w:val="7760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53195"/>
    <w:multiLevelType w:val="multilevel"/>
    <w:tmpl w:val="D86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B3844"/>
    <w:multiLevelType w:val="multilevel"/>
    <w:tmpl w:val="A32C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205D8"/>
    <w:multiLevelType w:val="multilevel"/>
    <w:tmpl w:val="E31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C180F"/>
    <w:multiLevelType w:val="multilevel"/>
    <w:tmpl w:val="7E0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01F16"/>
    <w:multiLevelType w:val="multilevel"/>
    <w:tmpl w:val="86DA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A596D"/>
    <w:multiLevelType w:val="multilevel"/>
    <w:tmpl w:val="CBE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802B5"/>
    <w:multiLevelType w:val="hybridMultilevel"/>
    <w:tmpl w:val="F54865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0B5313"/>
    <w:multiLevelType w:val="multilevel"/>
    <w:tmpl w:val="8C36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03173E"/>
    <w:multiLevelType w:val="hybridMultilevel"/>
    <w:tmpl w:val="D3C23EE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EB65203"/>
    <w:multiLevelType w:val="multilevel"/>
    <w:tmpl w:val="07C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1156C"/>
    <w:multiLevelType w:val="multilevel"/>
    <w:tmpl w:val="0F5A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F6D40"/>
    <w:multiLevelType w:val="multilevel"/>
    <w:tmpl w:val="FB04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1C7EFA"/>
    <w:multiLevelType w:val="multilevel"/>
    <w:tmpl w:val="192C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478A9"/>
    <w:multiLevelType w:val="multilevel"/>
    <w:tmpl w:val="8F7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508D9"/>
    <w:multiLevelType w:val="multilevel"/>
    <w:tmpl w:val="2E061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254838"/>
    <w:multiLevelType w:val="multilevel"/>
    <w:tmpl w:val="BA5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E1069"/>
    <w:multiLevelType w:val="multilevel"/>
    <w:tmpl w:val="9AB4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A1D58"/>
    <w:multiLevelType w:val="multilevel"/>
    <w:tmpl w:val="D48A6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777065">
    <w:abstractNumId w:val="0"/>
  </w:num>
  <w:num w:numId="2" w16cid:durableId="598176608">
    <w:abstractNumId w:val="1"/>
  </w:num>
  <w:num w:numId="3" w16cid:durableId="1195001096">
    <w:abstractNumId w:val="14"/>
  </w:num>
  <w:num w:numId="4" w16cid:durableId="1308900671">
    <w:abstractNumId w:val="5"/>
  </w:num>
  <w:num w:numId="5" w16cid:durableId="1439521046">
    <w:abstractNumId w:val="31"/>
  </w:num>
  <w:num w:numId="6" w16cid:durableId="1535843074">
    <w:abstractNumId w:val="29"/>
  </w:num>
  <w:num w:numId="7" w16cid:durableId="1983195541">
    <w:abstractNumId w:val="15"/>
  </w:num>
  <w:num w:numId="8" w16cid:durableId="1227834510">
    <w:abstractNumId w:val="33"/>
  </w:num>
  <w:num w:numId="9" w16cid:durableId="2000306805">
    <w:abstractNumId w:val="22"/>
  </w:num>
  <w:num w:numId="10" w16cid:durableId="1761486196">
    <w:abstractNumId w:val="17"/>
  </w:num>
  <w:num w:numId="11" w16cid:durableId="753015215">
    <w:abstractNumId w:val="7"/>
  </w:num>
  <w:num w:numId="12" w16cid:durableId="924654727">
    <w:abstractNumId w:val="6"/>
  </w:num>
  <w:num w:numId="13" w16cid:durableId="258224413">
    <w:abstractNumId w:val="12"/>
  </w:num>
  <w:num w:numId="14" w16cid:durableId="228267266">
    <w:abstractNumId w:val="28"/>
  </w:num>
  <w:num w:numId="15" w16cid:durableId="1226260736">
    <w:abstractNumId w:val="2"/>
  </w:num>
  <w:num w:numId="16" w16cid:durableId="1533300889">
    <w:abstractNumId w:val="3"/>
  </w:num>
  <w:num w:numId="17" w16cid:durableId="1062407540">
    <w:abstractNumId w:val="4"/>
  </w:num>
  <w:num w:numId="18" w16cid:durableId="1211378371">
    <w:abstractNumId w:val="30"/>
  </w:num>
  <w:num w:numId="19" w16cid:durableId="1338389992">
    <w:abstractNumId w:val="13"/>
  </w:num>
  <w:num w:numId="20" w16cid:durableId="108624268">
    <w:abstractNumId w:val="20"/>
  </w:num>
  <w:num w:numId="21" w16cid:durableId="1807044914">
    <w:abstractNumId w:val="16"/>
  </w:num>
  <w:num w:numId="22" w16cid:durableId="1920669663">
    <w:abstractNumId w:val="21"/>
  </w:num>
  <w:num w:numId="23" w16cid:durableId="662004266">
    <w:abstractNumId w:val="19"/>
  </w:num>
  <w:num w:numId="24" w16cid:durableId="1093938658">
    <w:abstractNumId w:val="18"/>
  </w:num>
  <w:num w:numId="25" w16cid:durableId="1771470107">
    <w:abstractNumId w:val="32"/>
  </w:num>
  <w:num w:numId="26" w16cid:durableId="1394499390">
    <w:abstractNumId w:val="26"/>
  </w:num>
  <w:num w:numId="27" w16cid:durableId="477067874">
    <w:abstractNumId w:val="10"/>
  </w:num>
  <w:num w:numId="28" w16cid:durableId="1503741427">
    <w:abstractNumId w:val="27"/>
  </w:num>
  <w:num w:numId="29" w16cid:durableId="1303582658">
    <w:abstractNumId w:val="24"/>
  </w:num>
  <w:num w:numId="30" w16cid:durableId="951404851">
    <w:abstractNumId w:val="9"/>
  </w:num>
  <w:num w:numId="31" w16cid:durableId="1002514872">
    <w:abstractNumId w:val="34"/>
  </w:num>
  <w:num w:numId="32" w16cid:durableId="1528717488">
    <w:abstractNumId w:val="11"/>
  </w:num>
  <w:num w:numId="33" w16cid:durableId="1105231697">
    <w:abstractNumId w:val="8"/>
  </w:num>
  <w:num w:numId="34" w16cid:durableId="2114864587">
    <w:abstractNumId w:val="23"/>
  </w:num>
  <w:num w:numId="35" w16cid:durableId="66810159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BC2"/>
    <w:rsid w:val="000147A9"/>
    <w:rsid w:val="00042755"/>
    <w:rsid w:val="0006107D"/>
    <w:rsid w:val="000623A3"/>
    <w:rsid w:val="000719DA"/>
    <w:rsid w:val="00094D65"/>
    <w:rsid w:val="000A2074"/>
    <w:rsid w:val="000A3F4D"/>
    <w:rsid w:val="000C4ABC"/>
    <w:rsid w:val="000C58D7"/>
    <w:rsid w:val="000E15ED"/>
    <w:rsid w:val="00101CCF"/>
    <w:rsid w:val="0019260C"/>
    <w:rsid w:val="001B0E31"/>
    <w:rsid w:val="001D2F2B"/>
    <w:rsid w:val="001D360C"/>
    <w:rsid w:val="001E2584"/>
    <w:rsid w:val="00223837"/>
    <w:rsid w:val="00243CED"/>
    <w:rsid w:val="00257540"/>
    <w:rsid w:val="0026510F"/>
    <w:rsid w:val="002A28DC"/>
    <w:rsid w:val="002D715D"/>
    <w:rsid w:val="002E46F2"/>
    <w:rsid w:val="002F1DB1"/>
    <w:rsid w:val="002F53C9"/>
    <w:rsid w:val="003048A0"/>
    <w:rsid w:val="0031138E"/>
    <w:rsid w:val="0031474F"/>
    <w:rsid w:val="00315815"/>
    <w:rsid w:val="003278F5"/>
    <w:rsid w:val="00330665"/>
    <w:rsid w:val="00361975"/>
    <w:rsid w:val="00376540"/>
    <w:rsid w:val="00376E23"/>
    <w:rsid w:val="0039416B"/>
    <w:rsid w:val="003A1271"/>
    <w:rsid w:val="003A5DF7"/>
    <w:rsid w:val="003B3510"/>
    <w:rsid w:val="003C116C"/>
    <w:rsid w:val="003E1CAA"/>
    <w:rsid w:val="0040210F"/>
    <w:rsid w:val="004222FD"/>
    <w:rsid w:val="004319FA"/>
    <w:rsid w:val="0048097D"/>
    <w:rsid w:val="0048175B"/>
    <w:rsid w:val="004845CE"/>
    <w:rsid w:val="004B1048"/>
    <w:rsid w:val="004D01FE"/>
    <w:rsid w:val="004E458E"/>
    <w:rsid w:val="004F0E12"/>
    <w:rsid w:val="004F5A36"/>
    <w:rsid w:val="00542B57"/>
    <w:rsid w:val="00557B52"/>
    <w:rsid w:val="0058416B"/>
    <w:rsid w:val="00595357"/>
    <w:rsid w:val="005B34ED"/>
    <w:rsid w:val="005C50B3"/>
    <w:rsid w:val="005D57DA"/>
    <w:rsid w:val="005E7702"/>
    <w:rsid w:val="00605F8E"/>
    <w:rsid w:val="00650543"/>
    <w:rsid w:val="00654D8B"/>
    <w:rsid w:val="00661136"/>
    <w:rsid w:val="0068027B"/>
    <w:rsid w:val="006C42B8"/>
    <w:rsid w:val="006C50C7"/>
    <w:rsid w:val="006E7E43"/>
    <w:rsid w:val="006F7D3C"/>
    <w:rsid w:val="00713CA9"/>
    <w:rsid w:val="007455C6"/>
    <w:rsid w:val="007475C7"/>
    <w:rsid w:val="0075265A"/>
    <w:rsid w:val="0075498E"/>
    <w:rsid w:val="00757BE5"/>
    <w:rsid w:val="00760E46"/>
    <w:rsid w:val="007643D2"/>
    <w:rsid w:val="007678B2"/>
    <w:rsid w:val="0078776B"/>
    <w:rsid w:val="00796A93"/>
    <w:rsid w:val="007E1559"/>
    <w:rsid w:val="007F776E"/>
    <w:rsid w:val="00830C88"/>
    <w:rsid w:val="00861B11"/>
    <w:rsid w:val="008829C2"/>
    <w:rsid w:val="008A54BE"/>
    <w:rsid w:val="008C7B0A"/>
    <w:rsid w:val="008D0642"/>
    <w:rsid w:val="008D1510"/>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03BC2"/>
    <w:rsid w:val="00A37AB0"/>
    <w:rsid w:val="00A4085F"/>
    <w:rsid w:val="00A45953"/>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54722"/>
    <w:rsid w:val="00C65F70"/>
    <w:rsid w:val="00C96A36"/>
    <w:rsid w:val="00CA350B"/>
    <w:rsid w:val="00CA3F60"/>
    <w:rsid w:val="00CC2EFF"/>
    <w:rsid w:val="00CC4FEF"/>
    <w:rsid w:val="00CD39F1"/>
    <w:rsid w:val="00CF74EF"/>
    <w:rsid w:val="00D02AC8"/>
    <w:rsid w:val="00D0623C"/>
    <w:rsid w:val="00D07271"/>
    <w:rsid w:val="00D16917"/>
    <w:rsid w:val="00DA31CB"/>
    <w:rsid w:val="00DA4488"/>
    <w:rsid w:val="00DC0040"/>
    <w:rsid w:val="00DC495B"/>
    <w:rsid w:val="00DC7181"/>
    <w:rsid w:val="00DD6F5C"/>
    <w:rsid w:val="00DE5754"/>
    <w:rsid w:val="00DE6C87"/>
    <w:rsid w:val="00E14A1A"/>
    <w:rsid w:val="00E14E1F"/>
    <w:rsid w:val="00E2730E"/>
    <w:rsid w:val="00E438AC"/>
    <w:rsid w:val="00E60DF5"/>
    <w:rsid w:val="00E80D33"/>
    <w:rsid w:val="00E95D8D"/>
    <w:rsid w:val="00EA6ED5"/>
    <w:rsid w:val="00EB7051"/>
    <w:rsid w:val="00EC68EB"/>
    <w:rsid w:val="00EC7C43"/>
    <w:rsid w:val="00F012E4"/>
    <w:rsid w:val="00F248D2"/>
    <w:rsid w:val="00F27F00"/>
    <w:rsid w:val="00F53D4E"/>
    <w:rsid w:val="00F71153"/>
    <w:rsid w:val="00F858D4"/>
    <w:rsid w:val="00F919D6"/>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9B376"/>
  <w15:chartTrackingRefBased/>
  <w15:docId w15:val="{74D879DA-D870-0240-8A98-55C843765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03B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B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3BC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03BC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A03BC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3BC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3BC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3BC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3BC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BC2"/>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03BC2"/>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03BC2"/>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A03BC2"/>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A03BC2"/>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03BC2"/>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03BC2"/>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03BC2"/>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03BC2"/>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03B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BC2"/>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03BC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BC2"/>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03B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3BC2"/>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03BC2"/>
    <w:pPr>
      <w:ind w:left="720"/>
      <w:contextualSpacing/>
    </w:pPr>
  </w:style>
  <w:style w:type="character" w:styleId="IntenseEmphasis">
    <w:name w:val="Intense Emphasis"/>
    <w:basedOn w:val="DefaultParagraphFont"/>
    <w:uiPriority w:val="21"/>
    <w:qFormat/>
    <w:rsid w:val="00A03BC2"/>
    <w:rPr>
      <w:i/>
      <w:iCs/>
      <w:color w:val="2F5496" w:themeColor="accent1" w:themeShade="BF"/>
    </w:rPr>
  </w:style>
  <w:style w:type="paragraph" w:styleId="IntenseQuote">
    <w:name w:val="Intense Quote"/>
    <w:basedOn w:val="Normal"/>
    <w:next w:val="Normal"/>
    <w:link w:val="IntenseQuoteChar"/>
    <w:uiPriority w:val="30"/>
    <w:qFormat/>
    <w:rsid w:val="00A03B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BC2"/>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03BC2"/>
    <w:rPr>
      <w:b/>
      <w:bCs/>
      <w:smallCaps/>
      <w:color w:val="2F5496" w:themeColor="accent1" w:themeShade="BF"/>
      <w:spacing w:val="5"/>
    </w:rPr>
  </w:style>
  <w:style w:type="character" w:styleId="Strong">
    <w:name w:val="Strong"/>
    <w:basedOn w:val="DefaultParagraphFont"/>
    <w:uiPriority w:val="22"/>
    <w:qFormat/>
    <w:rsid w:val="008D1510"/>
    <w:rPr>
      <w:b/>
      <w:bCs/>
    </w:rPr>
  </w:style>
  <w:style w:type="character" w:styleId="Emphasis">
    <w:name w:val="Emphasis"/>
    <w:basedOn w:val="DefaultParagraphFont"/>
    <w:uiPriority w:val="20"/>
    <w:qFormat/>
    <w:rsid w:val="008D1510"/>
    <w:rPr>
      <w:i/>
      <w:iCs/>
    </w:rPr>
  </w:style>
  <w:style w:type="paragraph" w:styleId="NormalWeb">
    <w:name w:val="Normal (Web)"/>
    <w:basedOn w:val="Normal"/>
    <w:uiPriority w:val="99"/>
    <w:semiHidden/>
    <w:unhideWhenUsed/>
    <w:rsid w:val="008D1510"/>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7960">
      <w:bodyDiv w:val="1"/>
      <w:marLeft w:val="0"/>
      <w:marRight w:val="0"/>
      <w:marTop w:val="0"/>
      <w:marBottom w:val="0"/>
      <w:divBdr>
        <w:top w:val="none" w:sz="0" w:space="0" w:color="auto"/>
        <w:left w:val="none" w:sz="0" w:space="0" w:color="auto"/>
        <w:bottom w:val="none" w:sz="0" w:space="0" w:color="auto"/>
        <w:right w:val="none" w:sz="0" w:space="0" w:color="auto"/>
      </w:divBdr>
    </w:div>
    <w:div w:id="521867255">
      <w:bodyDiv w:val="1"/>
      <w:marLeft w:val="0"/>
      <w:marRight w:val="0"/>
      <w:marTop w:val="0"/>
      <w:marBottom w:val="0"/>
      <w:divBdr>
        <w:top w:val="none" w:sz="0" w:space="0" w:color="auto"/>
        <w:left w:val="none" w:sz="0" w:space="0" w:color="auto"/>
        <w:bottom w:val="none" w:sz="0" w:space="0" w:color="auto"/>
        <w:right w:val="none" w:sz="0" w:space="0" w:color="auto"/>
      </w:divBdr>
    </w:div>
    <w:div w:id="596208252">
      <w:bodyDiv w:val="1"/>
      <w:marLeft w:val="0"/>
      <w:marRight w:val="0"/>
      <w:marTop w:val="0"/>
      <w:marBottom w:val="0"/>
      <w:divBdr>
        <w:top w:val="none" w:sz="0" w:space="0" w:color="auto"/>
        <w:left w:val="none" w:sz="0" w:space="0" w:color="auto"/>
        <w:bottom w:val="none" w:sz="0" w:space="0" w:color="auto"/>
        <w:right w:val="none" w:sz="0" w:space="0" w:color="auto"/>
      </w:divBdr>
    </w:div>
    <w:div w:id="596644363">
      <w:bodyDiv w:val="1"/>
      <w:marLeft w:val="0"/>
      <w:marRight w:val="0"/>
      <w:marTop w:val="0"/>
      <w:marBottom w:val="0"/>
      <w:divBdr>
        <w:top w:val="none" w:sz="0" w:space="0" w:color="auto"/>
        <w:left w:val="none" w:sz="0" w:space="0" w:color="auto"/>
        <w:bottom w:val="none" w:sz="0" w:space="0" w:color="auto"/>
        <w:right w:val="none" w:sz="0" w:space="0" w:color="auto"/>
      </w:divBdr>
    </w:div>
    <w:div w:id="646319562">
      <w:bodyDiv w:val="1"/>
      <w:marLeft w:val="0"/>
      <w:marRight w:val="0"/>
      <w:marTop w:val="0"/>
      <w:marBottom w:val="0"/>
      <w:divBdr>
        <w:top w:val="none" w:sz="0" w:space="0" w:color="auto"/>
        <w:left w:val="none" w:sz="0" w:space="0" w:color="auto"/>
        <w:bottom w:val="none" w:sz="0" w:space="0" w:color="auto"/>
        <w:right w:val="none" w:sz="0" w:space="0" w:color="auto"/>
      </w:divBdr>
    </w:div>
    <w:div w:id="1485317149">
      <w:bodyDiv w:val="1"/>
      <w:marLeft w:val="0"/>
      <w:marRight w:val="0"/>
      <w:marTop w:val="0"/>
      <w:marBottom w:val="0"/>
      <w:divBdr>
        <w:top w:val="none" w:sz="0" w:space="0" w:color="auto"/>
        <w:left w:val="none" w:sz="0" w:space="0" w:color="auto"/>
        <w:bottom w:val="none" w:sz="0" w:space="0" w:color="auto"/>
        <w:right w:val="none" w:sz="0" w:space="0" w:color="auto"/>
      </w:divBdr>
    </w:div>
    <w:div w:id="1939557169">
      <w:bodyDiv w:val="1"/>
      <w:marLeft w:val="0"/>
      <w:marRight w:val="0"/>
      <w:marTop w:val="0"/>
      <w:marBottom w:val="0"/>
      <w:divBdr>
        <w:top w:val="none" w:sz="0" w:space="0" w:color="auto"/>
        <w:left w:val="none" w:sz="0" w:space="0" w:color="auto"/>
        <w:bottom w:val="none" w:sz="0" w:space="0" w:color="auto"/>
        <w:right w:val="none" w:sz="0" w:space="0" w:color="auto"/>
      </w:divBdr>
    </w:div>
    <w:div w:id="205920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5610</Words>
  <Characters>31979</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2025-01-24T11:13:00Z</dcterms:created>
  <dcterms:modified xsi:type="dcterms:W3CDTF">2025-01-24T11:13:00Z</dcterms:modified>
</cp:coreProperties>
</file>