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6FDFC" w14:textId="77777777" w:rsidR="00FB12F5" w:rsidRPr="00FB12F5" w:rsidRDefault="00FB12F5" w:rsidP="00FB12F5">
      <w:pPr>
        <w:jc w:val="left"/>
        <w:rPr>
          <w:rFonts w:eastAsia="Calibri" w:cs="Times New Roman"/>
          <w:b/>
          <w:bCs/>
          <w:sz w:val="32"/>
          <w:szCs w:val="32"/>
        </w:rPr>
      </w:pPr>
      <w:r w:rsidRPr="00FB12F5">
        <w:rPr>
          <w:rFonts w:eastAsia="Calibri" w:cs="Times New Roman"/>
          <w:b/>
          <w:bCs/>
          <w:sz w:val="32"/>
          <w:szCs w:val="32"/>
        </w:rPr>
        <w:t>TORT LAW (2023-24)</w:t>
      </w:r>
    </w:p>
    <w:p w14:paraId="315AA0FD" w14:textId="0064EB1C" w:rsidR="00FB12F5" w:rsidRPr="00FB12F5" w:rsidRDefault="00FB12F5" w:rsidP="00FB12F5">
      <w:pPr>
        <w:jc w:val="left"/>
        <w:rPr>
          <w:rFonts w:eastAsia="Calibri" w:cs="Times New Roman"/>
          <w:b/>
          <w:bCs/>
          <w:sz w:val="32"/>
          <w:szCs w:val="32"/>
        </w:rPr>
      </w:pPr>
      <w:r w:rsidRPr="00FB12F5">
        <w:rPr>
          <w:rFonts w:eastAsia="Calibri" w:cs="Times New Roman"/>
          <w:b/>
          <w:bCs/>
          <w:sz w:val="32"/>
          <w:szCs w:val="32"/>
        </w:rPr>
        <w:t>LECTURE</w:t>
      </w:r>
      <w:r>
        <w:rPr>
          <w:rFonts w:eastAsia="Calibri" w:cs="Times New Roman"/>
          <w:b/>
          <w:bCs/>
          <w:sz w:val="32"/>
          <w:szCs w:val="32"/>
        </w:rPr>
        <w:t>S</w:t>
      </w:r>
      <w:r w:rsidRPr="00FB12F5">
        <w:rPr>
          <w:rFonts w:eastAsia="Calibri" w:cs="Times New Roman"/>
          <w:b/>
          <w:bCs/>
          <w:sz w:val="32"/>
          <w:szCs w:val="32"/>
        </w:rPr>
        <w:t xml:space="preserve"> </w:t>
      </w:r>
      <w:r>
        <w:rPr>
          <w:rFonts w:eastAsia="Calibri" w:cs="Times New Roman"/>
          <w:b/>
          <w:bCs/>
          <w:sz w:val="32"/>
          <w:szCs w:val="32"/>
        </w:rPr>
        <w:t>FOURTEEN AND FIFTEEN</w:t>
      </w:r>
      <w:r w:rsidRPr="00FB12F5">
        <w:rPr>
          <w:rFonts w:eastAsia="Calibri" w:cs="Times New Roman"/>
          <w:b/>
          <w:bCs/>
          <w:sz w:val="32"/>
          <w:szCs w:val="32"/>
        </w:rPr>
        <w:t xml:space="preserve">: </w:t>
      </w:r>
      <w:r>
        <w:rPr>
          <w:rFonts w:eastAsia="Calibri" w:cs="Times New Roman"/>
          <w:b/>
          <w:bCs/>
          <w:sz w:val="32"/>
          <w:szCs w:val="32"/>
        </w:rPr>
        <w:t>LAND TORTS</w:t>
      </w:r>
      <w:r w:rsidR="0003393C">
        <w:rPr>
          <w:rFonts w:eastAsia="Calibri" w:cs="Times New Roman"/>
          <w:b/>
          <w:bCs/>
          <w:sz w:val="32"/>
          <w:szCs w:val="32"/>
        </w:rPr>
        <w:t xml:space="preserve"> (PRIVATE NUISANCE AND RYLANDS)</w:t>
      </w:r>
    </w:p>
    <w:p w14:paraId="7CDEC7DF" w14:textId="77777777" w:rsidR="00FB12F5" w:rsidRPr="00FB12F5" w:rsidRDefault="00FB12F5" w:rsidP="00FB12F5">
      <w:pPr>
        <w:jc w:val="left"/>
        <w:rPr>
          <w:rFonts w:eastAsia="Calibri" w:cs="Times New Roman"/>
          <w:b/>
          <w:bCs/>
        </w:rPr>
      </w:pPr>
      <w:r w:rsidRPr="00FB12F5">
        <w:rPr>
          <w:rFonts w:eastAsia="Calibri" w:cs="Times New Roman"/>
          <w:b/>
          <w:bCs/>
        </w:rPr>
        <w:t>Dr Camilla Pickles</w:t>
      </w:r>
    </w:p>
    <w:p w14:paraId="09A6BE89" w14:textId="091F94DD" w:rsidR="00FB12F5" w:rsidRDefault="00FB12F5" w:rsidP="00FB12F5">
      <w:pPr>
        <w:rPr>
          <w:rFonts w:eastAsia="Calibri" w:cs="Times New Roman"/>
        </w:rPr>
      </w:pPr>
    </w:p>
    <w:p w14:paraId="1B9E9191" w14:textId="5C4BB782" w:rsidR="00FB12F5" w:rsidRDefault="00FB12F5" w:rsidP="00FB12F5">
      <w:pPr>
        <w:rPr>
          <w:rFonts w:eastAsia="Calibri" w:cs="Times New Roman"/>
        </w:rPr>
      </w:pPr>
      <w:r w:rsidRPr="00FB12F5">
        <w:rPr>
          <w:rFonts w:eastAsia="Calibri" w:cs="Times New Roman"/>
          <w:b/>
          <w:bCs/>
        </w:rPr>
        <w:t>NOTE:</w:t>
      </w:r>
      <w:r w:rsidRPr="00FB12F5">
        <w:rPr>
          <w:rFonts w:eastAsia="Calibri" w:cs="Times New Roman"/>
        </w:rPr>
        <w:t xml:space="preserve"> This series of lectures will look at private nuisance and actions under </w:t>
      </w:r>
      <w:r w:rsidRPr="00FB12F5">
        <w:rPr>
          <w:rFonts w:eastAsia="Calibri" w:cs="Times New Roman"/>
          <w:i/>
          <w:iCs/>
        </w:rPr>
        <w:t>Rylands v Fletcher</w:t>
      </w:r>
      <w:r w:rsidRPr="00FB12F5">
        <w:rPr>
          <w:rFonts w:eastAsia="Calibri" w:cs="Times New Roman"/>
        </w:rPr>
        <w:t xml:space="preserve"> only</w:t>
      </w:r>
    </w:p>
    <w:p w14:paraId="05FEF01B" w14:textId="77777777" w:rsidR="00FB12F5" w:rsidRPr="00FB12F5" w:rsidRDefault="00FB12F5" w:rsidP="00FB12F5">
      <w:pPr>
        <w:rPr>
          <w:rFonts w:eastAsia="Calibri" w:cs="Times New Roman"/>
        </w:rPr>
      </w:pPr>
    </w:p>
    <w:p w14:paraId="5CE83F72" w14:textId="77777777" w:rsidR="00FB12F5" w:rsidRPr="00FB12F5" w:rsidRDefault="00FB12F5" w:rsidP="00FB12F5">
      <w:pPr>
        <w:spacing w:after="0"/>
        <w:rPr>
          <w:rFonts w:eastAsia="Calibri" w:cs="Times New Roman"/>
          <w:b/>
          <w:bCs/>
        </w:rPr>
      </w:pPr>
      <w:r w:rsidRPr="00FB12F5">
        <w:rPr>
          <w:rFonts w:eastAsia="Calibri" w:cs="Times New Roman"/>
          <w:b/>
          <w:bCs/>
        </w:rPr>
        <w:t>Basic reading</w:t>
      </w:r>
    </w:p>
    <w:p w14:paraId="54D6E2A9" w14:textId="0BEACAD6" w:rsidR="00FB12F5" w:rsidRPr="00FB12F5" w:rsidRDefault="00FB12F5" w:rsidP="00FB12F5">
      <w:pPr>
        <w:numPr>
          <w:ilvl w:val="0"/>
          <w:numId w:val="1"/>
        </w:numPr>
        <w:contextualSpacing/>
        <w:rPr>
          <w:rFonts w:eastAsia="Calibri" w:cs="Times New Roman"/>
          <w:vertAlign w:val="superscript"/>
        </w:rPr>
      </w:pPr>
      <w:r w:rsidRPr="00FB12F5">
        <w:rPr>
          <w:rFonts w:eastAsia="Calibri" w:cs="Times New Roman"/>
        </w:rPr>
        <w:t>Horsey &amp; Rackley, chapter</w:t>
      </w:r>
      <w:r>
        <w:rPr>
          <w:rFonts w:eastAsia="Calibri" w:cs="Times New Roman"/>
        </w:rPr>
        <w:t>s</w:t>
      </w:r>
      <w:r w:rsidRPr="00FB12F5">
        <w:rPr>
          <w:rFonts w:eastAsia="Calibri" w:cs="Times New Roman"/>
        </w:rPr>
        <w:t xml:space="preserve"> 1</w:t>
      </w:r>
      <w:r>
        <w:rPr>
          <w:rFonts w:eastAsia="Calibri" w:cs="Times New Roman"/>
        </w:rPr>
        <w:t>8 (</w:t>
      </w:r>
      <w:proofErr w:type="spellStart"/>
      <w:r>
        <w:rPr>
          <w:rFonts w:eastAsia="Calibri" w:cs="Times New Roman"/>
        </w:rPr>
        <w:t>pgs</w:t>
      </w:r>
      <w:proofErr w:type="spellEnd"/>
      <w:r>
        <w:rPr>
          <w:rFonts w:eastAsia="Calibri" w:cs="Times New Roman"/>
        </w:rPr>
        <w:t xml:space="preserve"> 578-613) and 19</w:t>
      </w:r>
      <w:r w:rsidRPr="00FB12F5">
        <w:rPr>
          <w:rFonts w:eastAsia="Calibri" w:cs="Times New Roman"/>
          <w:b/>
          <w:bCs/>
          <w:vertAlign w:val="superscript"/>
        </w:rPr>
        <w:sym w:font="Symbol" w:char="F02A"/>
      </w:r>
      <w:r w:rsidRPr="00FB12F5">
        <w:rPr>
          <w:rFonts w:eastAsia="Calibri" w:cs="Times New Roman"/>
          <w:b/>
          <w:bCs/>
          <w:vertAlign w:val="superscript"/>
        </w:rPr>
        <w:t xml:space="preserve"> </w:t>
      </w:r>
    </w:p>
    <w:p w14:paraId="52C25CF6" w14:textId="24C4E035" w:rsidR="00FB12F5" w:rsidRPr="00FB12F5" w:rsidRDefault="00FB12F5" w:rsidP="00FB12F5">
      <w:pPr>
        <w:numPr>
          <w:ilvl w:val="0"/>
          <w:numId w:val="1"/>
        </w:numPr>
        <w:spacing w:after="0"/>
        <w:contextualSpacing/>
        <w:rPr>
          <w:rFonts w:eastAsia="Calibri" w:cs="Times New Roman"/>
        </w:rPr>
      </w:pPr>
      <w:r w:rsidRPr="00FB12F5">
        <w:rPr>
          <w:rFonts w:eastAsia="Calibri" w:cs="Times New Roman"/>
        </w:rPr>
        <w:t xml:space="preserve">Nolan &amp; Oliphant, chapter </w:t>
      </w:r>
      <w:r>
        <w:rPr>
          <w:rFonts w:eastAsia="Calibri" w:cs="Times New Roman"/>
        </w:rPr>
        <w:t>11</w:t>
      </w:r>
    </w:p>
    <w:p w14:paraId="057534F8" w14:textId="77777777" w:rsidR="00FB12F5" w:rsidRPr="00FB12F5" w:rsidRDefault="00FB12F5" w:rsidP="00FB12F5">
      <w:pPr>
        <w:spacing w:after="0"/>
        <w:rPr>
          <w:rFonts w:eastAsia="Calibri" w:cs="Times New Roman"/>
        </w:rPr>
      </w:pPr>
    </w:p>
    <w:p w14:paraId="7C7DBB46" w14:textId="77777777" w:rsidR="00FB12F5" w:rsidRPr="00FB12F5" w:rsidRDefault="00FB12F5" w:rsidP="00FB12F5">
      <w:pPr>
        <w:spacing w:after="0"/>
        <w:rPr>
          <w:rFonts w:eastAsia="Calibri" w:cs="Times New Roman"/>
        </w:rPr>
      </w:pPr>
      <w:r w:rsidRPr="00FB12F5">
        <w:rPr>
          <w:rFonts w:eastAsia="Calibri" w:cs="Times New Roman"/>
          <w:b/>
          <w:bCs/>
        </w:rPr>
        <w:t>Case law and relevant statutes</w:t>
      </w:r>
    </w:p>
    <w:p w14:paraId="5F1516C0" w14:textId="0225035F" w:rsidR="00FB12F5" w:rsidRPr="00FB12F5" w:rsidRDefault="00FB12F5" w:rsidP="00FB12F5">
      <w:pPr>
        <w:numPr>
          <w:ilvl w:val="0"/>
          <w:numId w:val="3"/>
        </w:numPr>
        <w:spacing w:after="0"/>
        <w:contextualSpacing/>
        <w:rPr>
          <w:rFonts w:eastAsia="Calibri" w:cs="Times New Roman"/>
          <w:i/>
          <w:iCs/>
        </w:rPr>
      </w:pPr>
      <w:r w:rsidRPr="00FB12F5">
        <w:rPr>
          <w:rFonts w:eastAsia="Calibri" w:cs="Times New Roman"/>
          <w:i/>
          <w:iCs/>
        </w:rPr>
        <w:t xml:space="preserve">Coventry v Lawrence </w:t>
      </w:r>
      <w:r w:rsidRPr="00FB12F5">
        <w:rPr>
          <w:rFonts w:eastAsia="Calibri" w:cs="Times New Roman"/>
        </w:rPr>
        <w:t>[2014] UKSC 13</w:t>
      </w:r>
      <w:r w:rsidR="0003393C" w:rsidRPr="00FB12F5">
        <w:rPr>
          <w:rFonts w:eastAsia="Calibri" w:cs="Times New Roman"/>
          <w:b/>
          <w:bCs/>
          <w:vertAlign w:val="superscript"/>
        </w:rPr>
        <w:sym w:font="Symbol" w:char="F02A"/>
      </w:r>
    </w:p>
    <w:p w14:paraId="30044175" w14:textId="5D006DCC" w:rsidR="00FB12F5" w:rsidRPr="0003393C" w:rsidRDefault="00FB12F5" w:rsidP="00FB12F5">
      <w:pPr>
        <w:numPr>
          <w:ilvl w:val="0"/>
          <w:numId w:val="3"/>
        </w:numPr>
        <w:spacing w:after="0"/>
        <w:contextualSpacing/>
        <w:rPr>
          <w:rFonts w:eastAsia="Calibri" w:cs="Times New Roman"/>
        </w:rPr>
      </w:pPr>
      <w:proofErr w:type="spellStart"/>
      <w:r w:rsidRPr="00FB12F5">
        <w:rPr>
          <w:rFonts w:eastAsia="Calibri" w:cs="Times New Roman"/>
          <w:i/>
          <w:iCs/>
        </w:rPr>
        <w:t>Fearn</w:t>
      </w:r>
      <w:proofErr w:type="spellEnd"/>
      <w:r w:rsidRPr="00FB12F5">
        <w:rPr>
          <w:rFonts w:eastAsia="Calibri" w:cs="Times New Roman"/>
          <w:i/>
          <w:iCs/>
        </w:rPr>
        <w:t xml:space="preserve"> v Trustees of the Tate Gallery </w:t>
      </w:r>
      <w:r w:rsidRPr="00FB12F5">
        <w:rPr>
          <w:rFonts w:eastAsia="Calibri" w:cs="Times New Roman"/>
        </w:rPr>
        <w:t xml:space="preserve">2020 EWCA </w:t>
      </w:r>
      <w:proofErr w:type="spellStart"/>
      <w:r w:rsidRPr="00FB12F5">
        <w:rPr>
          <w:rFonts w:eastAsia="Calibri" w:cs="Times New Roman"/>
        </w:rPr>
        <w:t>Civ</w:t>
      </w:r>
      <w:proofErr w:type="spellEnd"/>
      <w:r w:rsidRPr="00FB12F5">
        <w:rPr>
          <w:rFonts w:eastAsia="Calibri" w:cs="Times New Roman"/>
        </w:rPr>
        <w:t xml:space="preserve"> 104</w:t>
      </w:r>
      <w:r w:rsidR="0003393C" w:rsidRPr="00FB12F5">
        <w:rPr>
          <w:rFonts w:eastAsia="Calibri" w:cs="Times New Roman"/>
          <w:b/>
          <w:bCs/>
          <w:vertAlign w:val="superscript"/>
        </w:rPr>
        <w:sym w:font="Symbol" w:char="F02A"/>
      </w:r>
    </w:p>
    <w:p w14:paraId="19229C5A" w14:textId="56691E2C" w:rsidR="0003393C" w:rsidRPr="00A90E6D" w:rsidRDefault="0003393C" w:rsidP="0003393C">
      <w:pPr>
        <w:pStyle w:val="Default"/>
        <w:numPr>
          <w:ilvl w:val="0"/>
          <w:numId w:val="3"/>
        </w:numPr>
        <w:rPr>
          <w:rFonts w:ascii="Helvetica" w:hAnsi="Helvetica" w:cstheme="minorBidi"/>
          <w:color w:val="auto"/>
          <w:lang w:val="en-GB"/>
        </w:rPr>
      </w:pPr>
      <w:proofErr w:type="spellStart"/>
      <w:r w:rsidRPr="009D49AE">
        <w:rPr>
          <w:rFonts w:ascii="Helvetica" w:hAnsi="Helvetica" w:cstheme="minorBidi"/>
          <w:i/>
          <w:color w:val="auto"/>
          <w:lang w:val="en-GB"/>
        </w:rPr>
        <w:t>Fearn</w:t>
      </w:r>
      <w:proofErr w:type="spellEnd"/>
      <w:r w:rsidRPr="009D49AE">
        <w:rPr>
          <w:rFonts w:ascii="Helvetica" w:hAnsi="Helvetica" w:cstheme="minorBidi"/>
          <w:i/>
          <w:color w:val="auto"/>
          <w:lang w:val="en-GB"/>
        </w:rPr>
        <w:t xml:space="preserve"> and others v Board of Trustees of the Tate </w:t>
      </w:r>
      <w:proofErr w:type="gramStart"/>
      <w:r w:rsidRPr="009D49AE">
        <w:rPr>
          <w:rFonts w:ascii="Helvetica" w:hAnsi="Helvetica" w:cstheme="minorBidi"/>
          <w:i/>
          <w:color w:val="auto"/>
          <w:lang w:val="en-GB"/>
        </w:rPr>
        <w:t>Gallery</w:t>
      </w:r>
      <w:r w:rsidRPr="004B56FF">
        <w:rPr>
          <w:rFonts w:ascii="Helvetica" w:hAnsi="Helvetica" w:cstheme="minorBidi"/>
          <w:color w:val="auto"/>
          <w:lang w:val="en-GB"/>
        </w:rPr>
        <w:t xml:space="preserve">  [</w:t>
      </w:r>
      <w:proofErr w:type="gramEnd"/>
      <w:r w:rsidRPr="004B56FF">
        <w:rPr>
          <w:rFonts w:ascii="Helvetica" w:hAnsi="Helvetica" w:cstheme="minorBidi"/>
          <w:color w:val="auto"/>
          <w:lang w:val="en-GB"/>
        </w:rPr>
        <w:t>2023] UKSC 4</w:t>
      </w:r>
      <w:r w:rsidRPr="00FB12F5">
        <w:rPr>
          <w:rFonts w:cs="Times New Roman"/>
          <w:b/>
          <w:bCs/>
          <w:vertAlign w:val="superscript"/>
        </w:rPr>
        <w:sym w:font="Symbol" w:char="F02A"/>
      </w:r>
    </w:p>
    <w:p w14:paraId="19B7502F" w14:textId="25C70519" w:rsidR="00A90E6D" w:rsidRPr="004B56FF" w:rsidRDefault="00A90E6D" w:rsidP="0003393C">
      <w:pPr>
        <w:pStyle w:val="Default"/>
        <w:numPr>
          <w:ilvl w:val="0"/>
          <w:numId w:val="3"/>
        </w:numPr>
        <w:rPr>
          <w:rFonts w:ascii="Helvetica" w:hAnsi="Helvetica" w:cstheme="minorBidi"/>
          <w:color w:val="auto"/>
          <w:lang w:val="en-GB"/>
        </w:rPr>
      </w:pPr>
      <w:r w:rsidRPr="00A90E6D">
        <w:rPr>
          <w:rFonts w:ascii="Helvetica" w:hAnsi="Helvetica" w:cstheme="minorBidi"/>
          <w:i/>
          <w:iCs/>
          <w:color w:val="auto"/>
          <w:lang w:val="en-GB"/>
        </w:rPr>
        <w:t>Rylands v Fletcher</w:t>
      </w:r>
      <w:r w:rsidRPr="00A90E6D">
        <w:rPr>
          <w:rFonts w:ascii="Helvetica" w:hAnsi="Helvetica" w:cstheme="minorBidi"/>
          <w:color w:val="auto"/>
          <w:lang w:val="en-GB"/>
        </w:rPr>
        <w:t xml:space="preserve"> (1989) LR3 HL 330</w:t>
      </w:r>
      <w:r w:rsidRPr="00FB12F5">
        <w:rPr>
          <w:rFonts w:cs="Times New Roman"/>
          <w:b/>
          <w:bCs/>
          <w:vertAlign w:val="superscript"/>
        </w:rPr>
        <w:sym w:font="Symbol" w:char="F02A"/>
      </w:r>
    </w:p>
    <w:p w14:paraId="2E4FE23C" w14:textId="77777777" w:rsidR="00FB12F5" w:rsidRPr="00FB12F5" w:rsidRDefault="00FB12F5" w:rsidP="00FB12F5">
      <w:pPr>
        <w:spacing w:after="0"/>
        <w:rPr>
          <w:rFonts w:eastAsia="Calibri" w:cs="Times New Roman"/>
          <w:b/>
          <w:bCs/>
        </w:rPr>
      </w:pPr>
    </w:p>
    <w:p w14:paraId="49A6E6E2" w14:textId="77777777" w:rsidR="00FB12F5" w:rsidRPr="00FB12F5" w:rsidRDefault="00FB12F5" w:rsidP="00FB12F5">
      <w:pPr>
        <w:spacing w:after="0"/>
        <w:rPr>
          <w:rFonts w:eastAsia="Calibri" w:cs="Times New Roman"/>
          <w:b/>
          <w:bCs/>
        </w:rPr>
      </w:pPr>
      <w:r w:rsidRPr="00FB12F5">
        <w:rPr>
          <w:rFonts w:eastAsia="Calibri" w:cs="Times New Roman"/>
          <w:b/>
          <w:bCs/>
        </w:rPr>
        <w:t>Further reading</w:t>
      </w:r>
    </w:p>
    <w:p w14:paraId="0A622122" w14:textId="5DF81B89" w:rsidR="0003393C" w:rsidRPr="0003393C" w:rsidRDefault="0003393C" w:rsidP="00FB12F5">
      <w:pPr>
        <w:numPr>
          <w:ilvl w:val="0"/>
          <w:numId w:val="2"/>
        </w:numPr>
        <w:contextualSpacing/>
        <w:rPr>
          <w:rFonts w:eastAsia="Calibri" w:cs="Times New Roman"/>
        </w:rPr>
      </w:pPr>
      <w:r w:rsidRPr="00307915">
        <w:rPr>
          <w:rFonts w:ascii="Helvetica" w:hAnsi="Helvetica" w:cs="Arial"/>
          <w:szCs w:val="24"/>
        </w:rPr>
        <w:t>E Lees ‘</w:t>
      </w:r>
      <w:proofErr w:type="spellStart"/>
      <w:r w:rsidRPr="00307915">
        <w:rPr>
          <w:rFonts w:ascii="Helvetica" w:hAnsi="Helvetica" w:cs="Arial"/>
          <w:szCs w:val="24"/>
        </w:rPr>
        <w:t>Fearn</w:t>
      </w:r>
      <w:proofErr w:type="spellEnd"/>
      <w:r w:rsidRPr="00307915">
        <w:rPr>
          <w:rFonts w:ascii="Helvetica" w:hAnsi="Helvetica" w:cs="Arial"/>
          <w:szCs w:val="24"/>
        </w:rPr>
        <w:t xml:space="preserve"> v Tate Galleries: Privacy and the law of nuisance’ (2021) 23(1) </w:t>
      </w:r>
      <w:r w:rsidRPr="0003393C">
        <w:rPr>
          <w:rFonts w:ascii="Helvetica" w:hAnsi="Helvetica" w:cs="Arial"/>
          <w:i/>
          <w:iCs/>
          <w:szCs w:val="24"/>
        </w:rPr>
        <w:t>Environmental Law Review</w:t>
      </w:r>
      <w:r w:rsidRPr="00EA579F">
        <w:rPr>
          <w:rFonts w:ascii="Helvetica" w:hAnsi="Helvetica" w:cs="Arial"/>
          <w:szCs w:val="24"/>
        </w:rPr>
        <w:t xml:space="preserve"> 49–55</w:t>
      </w:r>
    </w:p>
    <w:p w14:paraId="2C325BAE" w14:textId="77777777" w:rsidR="0003393C" w:rsidRPr="0003393C" w:rsidRDefault="0003393C" w:rsidP="0003393C">
      <w:pPr>
        <w:numPr>
          <w:ilvl w:val="0"/>
          <w:numId w:val="2"/>
        </w:numPr>
        <w:contextualSpacing/>
        <w:rPr>
          <w:rFonts w:eastAsia="Calibri" w:cs="Times New Roman"/>
        </w:rPr>
      </w:pPr>
      <w:r w:rsidRPr="0003393C">
        <w:rPr>
          <w:rFonts w:eastAsia="Calibri" w:cs="Times New Roman"/>
        </w:rPr>
        <w:t xml:space="preserve">C </w:t>
      </w:r>
      <w:proofErr w:type="spellStart"/>
      <w:r w:rsidRPr="0003393C">
        <w:rPr>
          <w:rFonts w:eastAsia="Calibri" w:cs="Times New Roman"/>
        </w:rPr>
        <w:t>Gearty</w:t>
      </w:r>
      <w:proofErr w:type="spellEnd"/>
      <w:r w:rsidRPr="0003393C">
        <w:rPr>
          <w:rFonts w:eastAsia="Calibri" w:cs="Times New Roman"/>
        </w:rPr>
        <w:t xml:space="preserve">, ‘The Place of Private Nuisance in a Modern Law of Torts’ (1989) </w:t>
      </w:r>
      <w:r w:rsidRPr="0003393C">
        <w:rPr>
          <w:rFonts w:eastAsia="Calibri" w:cs="Times New Roman"/>
          <w:i/>
          <w:iCs/>
        </w:rPr>
        <w:t>Cambridge Law Journal</w:t>
      </w:r>
      <w:r w:rsidRPr="0003393C">
        <w:rPr>
          <w:rFonts w:eastAsia="Calibri" w:cs="Times New Roman"/>
        </w:rPr>
        <w:t xml:space="preserve"> 214</w:t>
      </w:r>
    </w:p>
    <w:p w14:paraId="22F3F5E8" w14:textId="77777777" w:rsidR="0003393C" w:rsidRPr="0003393C" w:rsidRDefault="0003393C" w:rsidP="0003393C">
      <w:pPr>
        <w:numPr>
          <w:ilvl w:val="0"/>
          <w:numId w:val="2"/>
        </w:numPr>
        <w:contextualSpacing/>
        <w:rPr>
          <w:rFonts w:eastAsia="Calibri" w:cs="Times New Roman"/>
        </w:rPr>
      </w:pPr>
      <w:r w:rsidRPr="0003393C">
        <w:rPr>
          <w:rFonts w:eastAsia="Calibri" w:cs="Times New Roman"/>
        </w:rPr>
        <w:t xml:space="preserve">M Lee, ‘What is Private Nuisance?’ (2003) 119 </w:t>
      </w:r>
      <w:r w:rsidRPr="0003393C">
        <w:rPr>
          <w:rFonts w:eastAsia="Calibri" w:cs="Times New Roman"/>
          <w:i/>
          <w:iCs/>
        </w:rPr>
        <w:t>LQR</w:t>
      </w:r>
      <w:r w:rsidRPr="0003393C">
        <w:rPr>
          <w:rFonts w:eastAsia="Calibri" w:cs="Times New Roman"/>
        </w:rPr>
        <w:t xml:space="preserve"> 298 </w:t>
      </w:r>
    </w:p>
    <w:p w14:paraId="042D9B01" w14:textId="77777777" w:rsidR="0003393C" w:rsidRPr="0003393C" w:rsidRDefault="0003393C" w:rsidP="0003393C">
      <w:pPr>
        <w:numPr>
          <w:ilvl w:val="0"/>
          <w:numId w:val="2"/>
        </w:numPr>
        <w:contextualSpacing/>
        <w:rPr>
          <w:rFonts w:eastAsia="Calibri" w:cs="Times New Roman"/>
        </w:rPr>
      </w:pPr>
      <w:r w:rsidRPr="0003393C">
        <w:rPr>
          <w:rFonts w:eastAsia="Calibri" w:cs="Times New Roman"/>
        </w:rPr>
        <w:t xml:space="preserve">P Singh, ‘Rethinking private nuisance in the 21st century: a critical analysis of Coventry v Lawrence (Case Comment on Coventry v Lawrence) (2016) 32(6) </w:t>
      </w:r>
      <w:proofErr w:type="spellStart"/>
      <w:r w:rsidRPr="0003393C">
        <w:rPr>
          <w:rFonts w:eastAsia="Calibri" w:cs="Times New Roman"/>
          <w:i/>
          <w:iCs/>
        </w:rPr>
        <w:t>Const</w:t>
      </w:r>
      <w:proofErr w:type="spellEnd"/>
      <w:r w:rsidRPr="0003393C">
        <w:rPr>
          <w:rFonts w:eastAsia="Calibri" w:cs="Times New Roman"/>
          <w:i/>
          <w:iCs/>
        </w:rPr>
        <w:t xml:space="preserve"> LJ</w:t>
      </w:r>
      <w:r w:rsidRPr="0003393C">
        <w:rPr>
          <w:rFonts w:eastAsia="Calibri" w:cs="Times New Roman"/>
        </w:rPr>
        <w:t xml:space="preserve"> 606 </w:t>
      </w:r>
    </w:p>
    <w:p w14:paraId="64A0210B" w14:textId="77777777" w:rsidR="0003393C" w:rsidRPr="0003393C" w:rsidRDefault="0003393C" w:rsidP="0003393C">
      <w:pPr>
        <w:numPr>
          <w:ilvl w:val="0"/>
          <w:numId w:val="2"/>
        </w:numPr>
        <w:contextualSpacing/>
        <w:rPr>
          <w:rFonts w:eastAsia="Calibri" w:cs="Times New Roman"/>
        </w:rPr>
      </w:pPr>
      <w:r w:rsidRPr="0003393C">
        <w:rPr>
          <w:rFonts w:eastAsia="Calibri" w:cs="Times New Roman"/>
        </w:rPr>
        <w:t xml:space="preserve">M Lee, “Private nuisance in the Supreme Court: Coventry v Lawrence” (2014) </w:t>
      </w:r>
      <w:r w:rsidRPr="0003393C">
        <w:rPr>
          <w:rFonts w:eastAsia="Calibri" w:cs="Times New Roman"/>
          <w:i/>
          <w:iCs/>
        </w:rPr>
        <w:t>Journal of Planning and Environmental Law</w:t>
      </w:r>
      <w:r w:rsidRPr="0003393C">
        <w:rPr>
          <w:rFonts w:eastAsia="Calibri" w:cs="Times New Roman"/>
        </w:rPr>
        <w:t xml:space="preserve"> 705</w:t>
      </w:r>
    </w:p>
    <w:p w14:paraId="6E209F3A" w14:textId="77777777" w:rsidR="0003393C" w:rsidRPr="0003393C" w:rsidRDefault="0003393C" w:rsidP="0003393C">
      <w:pPr>
        <w:numPr>
          <w:ilvl w:val="0"/>
          <w:numId w:val="2"/>
        </w:numPr>
        <w:contextualSpacing/>
        <w:rPr>
          <w:rFonts w:eastAsia="Calibri" w:cs="Times New Roman"/>
        </w:rPr>
      </w:pPr>
      <w:r w:rsidRPr="0003393C">
        <w:rPr>
          <w:rFonts w:eastAsia="Calibri" w:cs="Times New Roman"/>
        </w:rPr>
        <w:t>E Lees ‘</w:t>
      </w:r>
      <w:proofErr w:type="spellStart"/>
      <w:r w:rsidRPr="0003393C">
        <w:rPr>
          <w:rFonts w:eastAsia="Calibri" w:cs="Times New Roman"/>
        </w:rPr>
        <w:t>Fearn</w:t>
      </w:r>
      <w:proofErr w:type="spellEnd"/>
      <w:r w:rsidRPr="0003393C">
        <w:rPr>
          <w:rFonts w:eastAsia="Calibri" w:cs="Times New Roman"/>
        </w:rPr>
        <w:t xml:space="preserve"> v Tate Galleries: Privacy and the law of nuisance’ (2021) 23(1) </w:t>
      </w:r>
      <w:r w:rsidRPr="0003393C">
        <w:rPr>
          <w:rFonts w:eastAsia="Calibri" w:cs="Times New Roman"/>
          <w:i/>
          <w:iCs/>
        </w:rPr>
        <w:t>Environmental Law Review</w:t>
      </w:r>
      <w:r w:rsidRPr="0003393C">
        <w:rPr>
          <w:rFonts w:eastAsia="Calibri" w:cs="Times New Roman"/>
        </w:rPr>
        <w:t xml:space="preserve"> 49–55</w:t>
      </w:r>
    </w:p>
    <w:p w14:paraId="7489540D" w14:textId="77777777" w:rsidR="0003393C" w:rsidRPr="0003393C" w:rsidRDefault="0003393C" w:rsidP="0003393C">
      <w:pPr>
        <w:numPr>
          <w:ilvl w:val="0"/>
          <w:numId w:val="2"/>
        </w:numPr>
        <w:contextualSpacing/>
        <w:rPr>
          <w:rFonts w:eastAsia="Calibri" w:cs="Times New Roman"/>
        </w:rPr>
      </w:pPr>
      <w:r w:rsidRPr="0003393C">
        <w:rPr>
          <w:rFonts w:eastAsia="Calibri" w:cs="Times New Roman"/>
        </w:rPr>
        <w:t xml:space="preserve">B Pontin ‘The Common Law Clean Up of the ‘Workshop of the World’: More Realism About Nuisance Law's Historic Environmental Achievements’ (2013) 40(2) </w:t>
      </w:r>
      <w:r w:rsidRPr="0003393C">
        <w:rPr>
          <w:rFonts w:eastAsia="Calibri" w:cs="Times New Roman"/>
          <w:i/>
          <w:iCs/>
        </w:rPr>
        <w:t>Journal of Law and Society</w:t>
      </w:r>
      <w:r w:rsidRPr="0003393C">
        <w:rPr>
          <w:rFonts w:eastAsia="Calibri" w:cs="Times New Roman"/>
        </w:rPr>
        <w:t xml:space="preserve"> 173</w:t>
      </w:r>
    </w:p>
    <w:p w14:paraId="536A6AC9" w14:textId="77777777" w:rsidR="0003393C" w:rsidRPr="0003393C" w:rsidRDefault="0003393C" w:rsidP="0003393C">
      <w:pPr>
        <w:numPr>
          <w:ilvl w:val="0"/>
          <w:numId w:val="2"/>
        </w:numPr>
        <w:contextualSpacing/>
        <w:rPr>
          <w:rFonts w:eastAsia="Calibri" w:cs="Times New Roman"/>
        </w:rPr>
      </w:pPr>
      <w:r w:rsidRPr="0003393C">
        <w:rPr>
          <w:rFonts w:eastAsia="Calibri" w:cs="Times New Roman"/>
        </w:rPr>
        <w:t xml:space="preserve">J Steele, ‘Private law and the environment: nuisance in context’ (1995) 15 </w:t>
      </w:r>
      <w:r w:rsidRPr="0003393C">
        <w:rPr>
          <w:rFonts w:eastAsia="Calibri" w:cs="Times New Roman"/>
          <w:i/>
          <w:iCs/>
        </w:rPr>
        <w:t>Legal Stud</w:t>
      </w:r>
      <w:r w:rsidRPr="0003393C">
        <w:rPr>
          <w:rFonts w:eastAsia="Calibri" w:cs="Times New Roman"/>
        </w:rPr>
        <w:t xml:space="preserve"> 236.</w:t>
      </w:r>
    </w:p>
    <w:p w14:paraId="348F88CC" w14:textId="77777777" w:rsidR="0003393C" w:rsidRPr="0003393C" w:rsidRDefault="0003393C" w:rsidP="0003393C">
      <w:pPr>
        <w:numPr>
          <w:ilvl w:val="0"/>
          <w:numId w:val="2"/>
        </w:numPr>
        <w:contextualSpacing/>
        <w:rPr>
          <w:rFonts w:eastAsia="Calibri" w:cs="Times New Roman"/>
        </w:rPr>
      </w:pPr>
      <w:r w:rsidRPr="0003393C">
        <w:rPr>
          <w:rFonts w:eastAsia="Calibri" w:cs="Times New Roman"/>
        </w:rPr>
        <w:t xml:space="preserve">V Kumar and W Frank, (2018) ‘Holding Private Emitters to Account for the Effects of Climate Change: Could a Case Like </w:t>
      </w:r>
      <w:proofErr w:type="spellStart"/>
      <w:r w:rsidRPr="0003393C">
        <w:rPr>
          <w:rFonts w:eastAsia="Calibri" w:cs="Times New Roman"/>
        </w:rPr>
        <w:t>Lliuya</w:t>
      </w:r>
      <w:proofErr w:type="spellEnd"/>
      <w:r w:rsidRPr="0003393C">
        <w:rPr>
          <w:rFonts w:eastAsia="Calibri" w:cs="Times New Roman"/>
        </w:rPr>
        <w:t xml:space="preserve"> Succeed under English Nuisance Laws?’ 2018 (11) </w:t>
      </w:r>
      <w:r w:rsidRPr="0003393C">
        <w:rPr>
          <w:rFonts w:eastAsia="Calibri" w:cs="Times New Roman"/>
          <w:i/>
          <w:iCs/>
        </w:rPr>
        <w:t>Carbon and Climate Law Review</w:t>
      </w:r>
      <w:r w:rsidRPr="0003393C">
        <w:rPr>
          <w:rFonts w:eastAsia="Calibri" w:cs="Times New Roman"/>
        </w:rPr>
        <w:t xml:space="preserve"> 110 </w:t>
      </w:r>
    </w:p>
    <w:p w14:paraId="017FC38B" w14:textId="77777777" w:rsidR="0003393C" w:rsidRPr="0003393C" w:rsidRDefault="0003393C" w:rsidP="0003393C">
      <w:pPr>
        <w:numPr>
          <w:ilvl w:val="0"/>
          <w:numId w:val="2"/>
        </w:numPr>
        <w:contextualSpacing/>
        <w:rPr>
          <w:rFonts w:eastAsia="Calibri" w:cs="Times New Roman"/>
        </w:rPr>
      </w:pPr>
      <w:r w:rsidRPr="0003393C">
        <w:rPr>
          <w:rFonts w:eastAsia="Calibri" w:cs="Times New Roman"/>
        </w:rPr>
        <w:t xml:space="preserve">D Nolan, ‘The Distinctiveness of Rylands v Fletcher’ (2005) 121 </w:t>
      </w:r>
      <w:r w:rsidRPr="0003393C">
        <w:rPr>
          <w:rFonts w:eastAsia="Calibri" w:cs="Times New Roman"/>
          <w:i/>
          <w:iCs/>
        </w:rPr>
        <w:t>Law Quarterly Review</w:t>
      </w:r>
      <w:r w:rsidRPr="0003393C">
        <w:rPr>
          <w:rFonts w:eastAsia="Calibri" w:cs="Times New Roman"/>
        </w:rPr>
        <w:t xml:space="preserve"> 421 </w:t>
      </w:r>
    </w:p>
    <w:p w14:paraId="1D7D5F46" w14:textId="7E42A670" w:rsidR="0003393C" w:rsidRPr="0003393C" w:rsidRDefault="0003393C" w:rsidP="0003393C">
      <w:pPr>
        <w:numPr>
          <w:ilvl w:val="0"/>
          <w:numId w:val="2"/>
        </w:numPr>
        <w:contextualSpacing/>
        <w:rPr>
          <w:rFonts w:eastAsia="Calibri" w:cs="Times New Roman"/>
        </w:rPr>
      </w:pPr>
      <w:r w:rsidRPr="0003393C">
        <w:rPr>
          <w:rFonts w:eastAsia="Calibri" w:cs="Times New Roman"/>
        </w:rPr>
        <w:lastRenderedPageBreak/>
        <w:t xml:space="preserve">RA Costello ‘Reviving Rylands: How the Doctrine Could Be Used to Claim Compensation for Environmental Damages Caused by Fracking’ (2014) 23 (1) </w:t>
      </w:r>
      <w:r w:rsidRPr="0003393C">
        <w:rPr>
          <w:rFonts w:eastAsia="Calibri" w:cs="Times New Roman"/>
          <w:i/>
          <w:iCs/>
        </w:rPr>
        <w:t>Review of European Community and International Environmental Law</w:t>
      </w:r>
      <w:r w:rsidRPr="0003393C">
        <w:rPr>
          <w:rFonts w:eastAsia="Calibri" w:cs="Times New Roman"/>
        </w:rPr>
        <w:t xml:space="preserve"> 134</w:t>
      </w:r>
    </w:p>
    <w:p w14:paraId="5A1EF3A8" w14:textId="6DBCC79C" w:rsidR="0003393C" w:rsidRDefault="0003393C" w:rsidP="0003393C">
      <w:pPr>
        <w:numPr>
          <w:ilvl w:val="0"/>
          <w:numId w:val="2"/>
        </w:numPr>
        <w:contextualSpacing/>
        <w:rPr>
          <w:rFonts w:eastAsia="Calibri" w:cs="Times New Roman"/>
        </w:rPr>
      </w:pPr>
      <w:r w:rsidRPr="0003393C">
        <w:rPr>
          <w:rFonts w:eastAsia="Calibri" w:cs="Times New Roman"/>
        </w:rPr>
        <w:t xml:space="preserve">R Meeran ‘Perspectives on the Development and Significance of Tort Litigation against Multinational Parent Companies’ in R Meeran and J Meeran </w:t>
      </w:r>
      <w:r w:rsidRPr="0003393C">
        <w:rPr>
          <w:rFonts w:eastAsia="Calibri" w:cs="Times New Roman"/>
          <w:i/>
          <w:iCs/>
        </w:rPr>
        <w:t>Human Rights Litigation against Multinationals in Practice</w:t>
      </w:r>
      <w:r w:rsidRPr="0003393C">
        <w:rPr>
          <w:rFonts w:eastAsia="Calibri" w:cs="Times New Roman"/>
        </w:rPr>
        <w:t xml:space="preserve"> (OUP; 2021)</w:t>
      </w:r>
    </w:p>
    <w:p w14:paraId="04FC8D2A" w14:textId="77777777" w:rsidR="00FB12F5" w:rsidRPr="00FB12F5" w:rsidRDefault="00FB12F5" w:rsidP="00FB12F5">
      <w:pPr>
        <w:rPr>
          <w:rFonts w:eastAsia="Calibri" w:cs="Times New Roman"/>
        </w:rPr>
      </w:pPr>
    </w:p>
    <w:p w14:paraId="67C02BD1" w14:textId="77777777" w:rsidR="00FB12F5" w:rsidRPr="00FB12F5" w:rsidRDefault="00FB12F5" w:rsidP="00FB12F5">
      <w:pPr>
        <w:jc w:val="left"/>
        <w:rPr>
          <w:rFonts w:eastAsia="Calibri" w:cs="Times New Roman"/>
          <w:b/>
          <w:bCs/>
          <w:sz w:val="28"/>
          <w:szCs w:val="28"/>
        </w:rPr>
      </w:pPr>
      <w:r w:rsidRPr="00FB12F5">
        <w:rPr>
          <w:rFonts w:eastAsia="Calibri" w:cs="Times New Roman"/>
          <w:b/>
          <w:bCs/>
          <w:sz w:val="28"/>
          <w:szCs w:val="28"/>
        </w:rPr>
        <w:br w:type="page"/>
      </w:r>
    </w:p>
    <w:p w14:paraId="79107649" w14:textId="77777777" w:rsidR="0003393C" w:rsidRPr="0003393C" w:rsidRDefault="0003393C" w:rsidP="0003393C">
      <w:pPr>
        <w:rPr>
          <w:rFonts w:eastAsia="Calibri" w:cs="Times New Roman"/>
          <w:b/>
          <w:bCs/>
          <w:sz w:val="28"/>
          <w:szCs w:val="28"/>
        </w:rPr>
      </w:pPr>
      <w:r w:rsidRPr="0003393C">
        <w:rPr>
          <w:rFonts w:eastAsia="Calibri" w:cs="Times New Roman"/>
          <w:b/>
          <w:bCs/>
          <w:sz w:val="28"/>
          <w:szCs w:val="28"/>
        </w:rPr>
        <w:t>Outline</w:t>
      </w:r>
    </w:p>
    <w:p w14:paraId="70164E82" w14:textId="05B025B8" w:rsidR="0003393C" w:rsidRDefault="0003393C" w:rsidP="0003393C">
      <w:pPr>
        <w:spacing w:after="0" w:line="240" w:lineRule="auto"/>
        <w:jc w:val="left"/>
        <w:rPr>
          <w:rFonts w:ascii="Helvetica" w:eastAsia="Calibri" w:hAnsi="Helvetica" w:cs="Times New Roman"/>
          <w:szCs w:val="24"/>
        </w:rPr>
      </w:pPr>
      <w:r w:rsidRPr="0003393C">
        <w:rPr>
          <w:rFonts w:ascii="Helvetica" w:eastAsia="Calibri" w:hAnsi="Helvetica" w:cs="Times New Roman"/>
          <w:szCs w:val="24"/>
        </w:rPr>
        <w:t xml:space="preserve">The land torts (that is private nuisance, </w:t>
      </w:r>
      <w:proofErr w:type="gramStart"/>
      <w:r w:rsidRPr="0003393C">
        <w:rPr>
          <w:rFonts w:ascii="Helvetica" w:eastAsia="Calibri" w:hAnsi="Helvetica" w:cs="Times New Roman"/>
          <w:szCs w:val="24"/>
        </w:rPr>
        <w:t>occupiers</w:t>
      </w:r>
      <w:proofErr w:type="gramEnd"/>
      <w:r w:rsidRPr="0003393C">
        <w:rPr>
          <w:rFonts w:ascii="Helvetica" w:eastAsia="Calibri" w:hAnsi="Helvetica" w:cs="Times New Roman"/>
          <w:szCs w:val="24"/>
        </w:rPr>
        <w:t xml:space="preserve"> liability, trespass to land, public nuisance, and </w:t>
      </w:r>
      <w:r w:rsidRPr="0003393C">
        <w:rPr>
          <w:rFonts w:ascii="Helvetica" w:eastAsia="Calibri" w:hAnsi="Helvetica" w:cs="Times New Roman"/>
          <w:i/>
          <w:iCs/>
          <w:szCs w:val="24"/>
        </w:rPr>
        <w:t>Rylands v Fletcher</w:t>
      </w:r>
      <w:r w:rsidRPr="0003393C">
        <w:rPr>
          <w:rFonts w:ascii="Helvetica" w:eastAsia="Calibri" w:hAnsi="Helvetica" w:cs="Times New Roman"/>
          <w:szCs w:val="24"/>
        </w:rPr>
        <w:t>) predate the emergence of negligence. They seek to protect an individual’s ability to use and enjoy their land freely without unwanted and unwarranted interference from others.</w:t>
      </w:r>
    </w:p>
    <w:p w14:paraId="51A3BCB7" w14:textId="539B6520" w:rsidR="00A90E6D" w:rsidRDefault="00A90E6D" w:rsidP="00A90E6D">
      <w:pPr>
        <w:spacing w:before="240" w:line="240" w:lineRule="auto"/>
        <w:jc w:val="left"/>
        <w:rPr>
          <w:rFonts w:ascii="Helvetica" w:eastAsia="Calibri" w:hAnsi="Helvetica" w:cs="Times New Roman"/>
          <w:szCs w:val="24"/>
        </w:rPr>
      </w:pPr>
      <w:r w:rsidRPr="00A90E6D">
        <w:rPr>
          <w:rFonts w:ascii="Helvetica" w:eastAsia="Calibri" w:hAnsi="Helvetica" w:cs="Times New Roman"/>
          <w:i/>
          <w:iCs/>
          <w:szCs w:val="24"/>
        </w:rPr>
        <w:t>Corby Group Litigation Claimants v Corby BC</w:t>
      </w:r>
      <w:r w:rsidRPr="00A90E6D">
        <w:rPr>
          <w:rFonts w:ascii="Helvetica" w:eastAsia="Calibri" w:hAnsi="Helvetica" w:cs="Times New Roman"/>
          <w:szCs w:val="24"/>
        </w:rPr>
        <w:t xml:space="preserve"> [2008] EWCA </w:t>
      </w:r>
      <w:proofErr w:type="spellStart"/>
      <w:r w:rsidRPr="00A90E6D">
        <w:rPr>
          <w:rFonts w:ascii="Helvetica" w:eastAsia="Calibri" w:hAnsi="Helvetica" w:cs="Times New Roman"/>
          <w:szCs w:val="24"/>
        </w:rPr>
        <w:t>Civ</w:t>
      </w:r>
      <w:proofErr w:type="spellEnd"/>
      <w:r w:rsidRPr="00A90E6D">
        <w:rPr>
          <w:rFonts w:ascii="Helvetica" w:eastAsia="Calibri" w:hAnsi="Helvetica" w:cs="Times New Roman"/>
          <w:szCs w:val="24"/>
        </w:rPr>
        <w:t xml:space="preserve"> 463</w:t>
      </w:r>
      <w:r>
        <w:rPr>
          <w:rFonts w:ascii="Helvetica" w:eastAsia="Calibri" w:hAnsi="Helvetica" w:cs="Times New Roman"/>
          <w:szCs w:val="24"/>
        </w:rPr>
        <w:t xml:space="preserve">: </w:t>
      </w:r>
      <w:r w:rsidRPr="00A90E6D">
        <w:rPr>
          <w:rFonts w:ascii="Helvetica" w:eastAsia="Calibri" w:hAnsi="Helvetica" w:cs="Times New Roman"/>
          <w:szCs w:val="24"/>
        </w:rPr>
        <w:t>‘The essence of the right that is protected by the tort of private nuisance is the right to enjoy one's property.  … The essence of the right that is protected by the crime and tort of public nuisance is the right not to be adversely affected by an unlawful act or omission whose effect is to endanger the life, safety, health etc of the public’ [29]</w:t>
      </w:r>
    </w:p>
    <w:p w14:paraId="0B83544B" w14:textId="1E94A4D7" w:rsidR="00A90E6D" w:rsidRDefault="00A90E6D" w:rsidP="00A90E6D">
      <w:pPr>
        <w:spacing w:before="240" w:line="240" w:lineRule="auto"/>
        <w:jc w:val="left"/>
        <w:rPr>
          <w:rFonts w:ascii="Helvetica" w:eastAsia="Calibri" w:hAnsi="Helvetica" w:cs="Times New Roman"/>
          <w:szCs w:val="24"/>
        </w:rPr>
      </w:pPr>
      <w:r w:rsidRPr="00A90E6D">
        <w:rPr>
          <w:rFonts w:ascii="Helvetica" w:eastAsia="Calibri" w:hAnsi="Helvetica" w:cs="Times New Roman"/>
          <w:szCs w:val="24"/>
        </w:rPr>
        <w:t xml:space="preserve">We will be looking at private nuisance and actions under </w:t>
      </w:r>
      <w:r w:rsidRPr="00A90E6D">
        <w:rPr>
          <w:rFonts w:ascii="Helvetica" w:eastAsia="Calibri" w:hAnsi="Helvetica" w:cs="Times New Roman"/>
          <w:i/>
          <w:iCs/>
          <w:szCs w:val="24"/>
        </w:rPr>
        <w:t>Ryland v Fletcher</w:t>
      </w:r>
      <w:r w:rsidRPr="00A90E6D">
        <w:rPr>
          <w:rFonts w:ascii="Helvetica" w:eastAsia="Calibri" w:hAnsi="Helvetica" w:cs="Times New Roman"/>
          <w:szCs w:val="24"/>
        </w:rPr>
        <w:t xml:space="preserve"> only. NOTE: Nuisance is only a small part of the picture of the law on control of land use. Planning, </w:t>
      </w:r>
      <w:proofErr w:type="gramStart"/>
      <w:r w:rsidRPr="00A90E6D">
        <w:rPr>
          <w:rFonts w:ascii="Helvetica" w:eastAsia="Calibri" w:hAnsi="Helvetica" w:cs="Times New Roman"/>
          <w:szCs w:val="24"/>
        </w:rPr>
        <w:t>pollution</w:t>
      </w:r>
      <w:proofErr w:type="gramEnd"/>
      <w:r w:rsidRPr="00A90E6D">
        <w:rPr>
          <w:rFonts w:ascii="Helvetica" w:eastAsia="Calibri" w:hAnsi="Helvetica" w:cs="Times New Roman"/>
          <w:szCs w:val="24"/>
        </w:rPr>
        <w:t xml:space="preserve"> and statutory nuisance also relevant, for instance, see case of </w:t>
      </w:r>
      <w:r w:rsidRPr="00A90E6D">
        <w:rPr>
          <w:rFonts w:ascii="Helvetica" w:eastAsia="Calibri" w:hAnsi="Helvetica" w:cs="Times New Roman"/>
          <w:i/>
          <w:iCs/>
          <w:szCs w:val="24"/>
        </w:rPr>
        <w:t>Forster v Secretary of State for Communities and Local Government</w:t>
      </w:r>
      <w:r w:rsidRPr="00A90E6D">
        <w:rPr>
          <w:rFonts w:ascii="Helvetica" w:eastAsia="Calibri" w:hAnsi="Helvetica" w:cs="Times New Roman"/>
          <w:szCs w:val="24"/>
        </w:rPr>
        <w:t xml:space="preserve"> [2016] EWCA </w:t>
      </w:r>
      <w:proofErr w:type="spellStart"/>
      <w:r w:rsidRPr="00A90E6D">
        <w:rPr>
          <w:rFonts w:ascii="Helvetica" w:eastAsia="Calibri" w:hAnsi="Helvetica" w:cs="Times New Roman"/>
          <w:szCs w:val="24"/>
        </w:rPr>
        <w:t>Civ</w:t>
      </w:r>
      <w:proofErr w:type="spellEnd"/>
      <w:r w:rsidRPr="00A90E6D">
        <w:rPr>
          <w:rFonts w:ascii="Helvetica" w:eastAsia="Calibri" w:hAnsi="Helvetica" w:cs="Times New Roman"/>
          <w:szCs w:val="24"/>
        </w:rPr>
        <w:t xml:space="preserve"> 609.</w:t>
      </w:r>
    </w:p>
    <w:p w14:paraId="3097A3CF" w14:textId="77777777" w:rsidR="00A90E6D" w:rsidRDefault="00A90E6D" w:rsidP="00A90E6D">
      <w:pPr>
        <w:spacing w:before="240" w:line="240" w:lineRule="auto"/>
        <w:jc w:val="left"/>
        <w:rPr>
          <w:rFonts w:ascii="Helvetica" w:eastAsia="Calibri" w:hAnsi="Helvetica" w:cs="Times New Roman"/>
          <w:szCs w:val="24"/>
        </w:rPr>
      </w:pPr>
    </w:p>
    <w:p w14:paraId="15FBBBE7" w14:textId="768D1078" w:rsidR="00A90E6D" w:rsidRDefault="00A90E6D" w:rsidP="00A90E6D">
      <w:pPr>
        <w:spacing w:after="0"/>
        <w:rPr>
          <w:rFonts w:eastAsia="Calibri" w:cs="Times New Roman"/>
          <w:b/>
          <w:bCs/>
          <w:sz w:val="28"/>
          <w:szCs w:val="28"/>
        </w:rPr>
      </w:pPr>
      <w:r>
        <w:rPr>
          <w:rFonts w:eastAsia="Calibri" w:cs="Times New Roman"/>
          <w:b/>
          <w:bCs/>
          <w:sz w:val="28"/>
          <w:szCs w:val="28"/>
        </w:rPr>
        <w:t>Private nuisance</w:t>
      </w:r>
    </w:p>
    <w:p w14:paraId="1CBDB9F7" w14:textId="1AA95E9D" w:rsidR="00A90E6D" w:rsidRPr="00A90E6D" w:rsidRDefault="00A90E6D" w:rsidP="00A90E6D">
      <w:r w:rsidRPr="00A90E6D">
        <w:t xml:space="preserve">This concerns indirect interferences and is only actionable with proof of damage. It seeks to regulate the relationship between neighbours, defining their mutual rights and obligations with respect to their use of their property. Since </w:t>
      </w:r>
      <w:r w:rsidRPr="00A90E6D">
        <w:rPr>
          <w:i/>
          <w:iCs/>
        </w:rPr>
        <w:t>St Helen’s Smelting Co v Tipping</w:t>
      </w:r>
      <w:r w:rsidRPr="00A90E6D">
        <w:t xml:space="preserve"> (1865) 11 HLC 642 a distinction is drawn between damage to property and interference with use and enjoyment of property, called ‘amenity harm’. These are all considered harm to property interests. The kind of harm caused does determine, to some extent, what constitutes reasonable use.</w:t>
      </w:r>
    </w:p>
    <w:p w14:paraId="678DDB98" w14:textId="0E763824" w:rsidR="00322DB9" w:rsidRDefault="00A90E6D" w:rsidP="00A90E6D">
      <w:r>
        <w:t xml:space="preserve">According to </w:t>
      </w:r>
      <w:r>
        <w:t xml:space="preserve">Percy Winfield, private nuisance is </w:t>
      </w:r>
      <w:r>
        <w:t>‘</w:t>
      </w:r>
      <w:r>
        <w:t>any unlawful interference with a person’s use or enjoyment of land or some right over it</w:t>
      </w:r>
      <w:r>
        <w:t>’</w:t>
      </w:r>
      <w:r>
        <w:t>. There are three kind</w:t>
      </w:r>
      <w:r>
        <w:t>s</w:t>
      </w:r>
      <w:r>
        <w:t xml:space="preserve"> of private nuisance:</w:t>
      </w:r>
      <w:r>
        <w:t xml:space="preserve"> N</w:t>
      </w:r>
      <w:r>
        <w:t xml:space="preserve">uisance by encroachment on a neighbour’s land; </w:t>
      </w:r>
      <w:r>
        <w:t>n</w:t>
      </w:r>
      <w:r>
        <w:t>uisance by direct physical injury to a neighbour’s land</w:t>
      </w:r>
      <w:r>
        <w:t>;</w:t>
      </w:r>
      <w:r>
        <w:t xml:space="preserve"> and nuisance by interference with a neighbour’s quiet enjoyment of his land’ (Lord Lloyd in </w:t>
      </w:r>
      <w:r w:rsidRPr="00A90E6D">
        <w:rPr>
          <w:i/>
          <w:iCs/>
        </w:rPr>
        <w:t>Hunter v Canary Wharf</w:t>
      </w:r>
      <w:r>
        <w:t>).</w:t>
      </w:r>
    </w:p>
    <w:p w14:paraId="2181F07A" w14:textId="77777777" w:rsidR="00A90E6D" w:rsidRDefault="00A90E6D" w:rsidP="00A90E6D">
      <w:pPr>
        <w:spacing w:after="0"/>
      </w:pPr>
      <w:r w:rsidRPr="00A90E6D">
        <w:t xml:space="preserve">To be able to take a claim in private nuisance a claimant must </w:t>
      </w:r>
      <w:r>
        <w:t>overcome four hurdles:</w:t>
      </w:r>
    </w:p>
    <w:p w14:paraId="685466E3" w14:textId="1F162FE1" w:rsidR="00A90E6D" w:rsidRDefault="00A90E6D" w:rsidP="00A90E6D">
      <w:pPr>
        <w:pStyle w:val="ListParagraph"/>
        <w:numPr>
          <w:ilvl w:val="0"/>
          <w:numId w:val="4"/>
        </w:numPr>
      </w:pPr>
      <w:r>
        <w:t>Establish ‘standing’</w:t>
      </w:r>
    </w:p>
    <w:p w14:paraId="313792D2" w14:textId="20D29CB9" w:rsidR="00A90E6D" w:rsidRDefault="00A90E6D" w:rsidP="00A90E6D">
      <w:pPr>
        <w:pStyle w:val="ListParagraph"/>
        <w:numPr>
          <w:ilvl w:val="0"/>
          <w:numId w:val="4"/>
        </w:numPr>
      </w:pPr>
      <w:r>
        <w:t>Emanation</w:t>
      </w:r>
    </w:p>
    <w:p w14:paraId="4AD319CF" w14:textId="1D8D260D" w:rsidR="00A90E6D" w:rsidRDefault="00A90E6D" w:rsidP="00A90E6D">
      <w:pPr>
        <w:pStyle w:val="ListParagraph"/>
        <w:numPr>
          <w:ilvl w:val="0"/>
          <w:numId w:val="4"/>
        </w:numPr>
      </w:pPr>
      <w:r>
        <w:t>Unreasonable use (matrix of factors)</w:t>
      </w:r>
    </w:p>
    <w:p w14:paraId="4AF97A1E" w14:textId="1C391D25" w:rsidR="00A90E6D" w:rsidRDefault="00BB2E59" w:rsidP="00A90E6D">
      <w:pPr>
        <w:pStyle w:val="ListParagraph"/>
        <w:numPr>
          <w:ilvl w:val="0"/>
          <w:numId w:val="4"/>
        </w:numPr>
      </w:pPr>
      <w:r>
        <w:t>No defences</w:t>
      </w:r>
    </w:p>
    <w:p w14:paraId="561FDA46" w14:textId="3DADE306" w:rsidR="00BB2E59" w:rsidRPr="00BB2E59" w:rsidRDefault="00BB2E59" w:rsidP="00BB2E59">
      <w:pPr>
        <w:spacing w:after="0"/>
        <w:rPr>
          <w:b/>
          <w:bCs/>
        </w:rPr>
      </w:pPr>
      <w:r w:rsidRPr="00BB2E59">
        <w:rPr>
          <w:b/>
          <w:bCs/>
        </w:rPr>
        <w:t>Standing</w:t>
      </w:r>
    </w:p>
    <w:p w14:paraId="144530D5" w14:textId="0EAF7B31" w:rsidR="00BB2E59" w:rsidRDefault="00BB2E59" w:rsidP="00BB2E59">
      <w:pPr>
        <w:spacing w:after="0"/>
      </w:pPr>
      <w:r w:rsidRPr="00BB2E59">
        <w:rPr>
          <w:i/>
          <w:iCs/>
        </w:rPr>
        <w:t>Who can sue?</w:t>
      </w:r>
      <w:r>
        <w:t xml:space="preserve"> </w:t>
      </w:r>
      <w:r w:rsidRPr="00BB2E59">
        <w:t xml:space="preserve">Nuisance is a tort against land, which can include the amenity value of land. Who has standing to sue is determined by proprietary rights in land – so owners of the freehold, leaseholders but not </w:t>
      </w:r>
      <w:proofErr w:type="gramStart"/>
      <w:r w:rsidRPr="00BB2E59">
        <w:t>licensees</w:t>
      </w:r>
      <w:proofErr w:type="gramEnd"/>
    </w:p>
    <w:p w14:paraId="52EB3BD0" w14:textId="709BDAE0" w:rsidR="00BB2E59" w:rsidRDefault="00BB2E59" w:rsidP="00BB2E59">
      <w:pPr>
        <w:pStyle w:val="ListParagraph"/>
        <w:numPr>
          <w:ilvl w:val="0"/>
          <w:numId w:val="5"/>
        </w:numPr>
      </w:pPr>
      <w:r w:rsidRPr="00BB2E59">
        <w:rPr>
          <w:i/>
          <w:iCs/>
        </w:rPr>
        <w:t>Hunter v Canary Wharf Ltd</w:t>
      </w:r>
      <w:r w:rsidRPr="00BB2E59">
        <w:t xml:space="preserve"> [1997] A.C. 655</w:t>
      </w:r>
      <w:r>
        <w:t>: O</w:t>
      </w:r>
      <w:r w:rsidRPr="00BB2E59">
        <w:t>nly those with a proprietary interest had standing in nuisance</w:t>
      </w:r>
      <w:r>
        <w:t>.</w:t>
      </w:r>
    </w:p>
    <w:p w14:paraId="2628A48F" w14:textId="2C3FA29A" w:rsidR="00BB2E59" w:rsidRDefault="00BB2E59" w:rsidP="00BB2E59">
      <w:pPr>
        <w:pStyle w:val="ListParagraph"/>
        <w:numPr>
          <w:ilvl w:val="0"/>
          <w:numId w:val="5"/>
        </w:numPr>
      </w:pPr>
      <w:r w:rsidRPr="00BB2E59">
        <w:rPr>
          <w:i/>
          <w:iCs/>
        </w:rPr>
        <w:t>Malone v Laskey</w:t>
      </w:r>
      <w:r w:rsidRPr="00BB2E59">
        <w:t xml:space="preserve"> [1907] 2 K.B. 141</w:t>
      </w:r>
      <w:r>
        <w:t xml:space="preserve">; </w:t>
      </w:r>
      <w:r w:rsidRPr="00BB2E59">
        <w:rPr>
          <w:i/>
          <w:iCs/>
        </w:rPr>
        <w:t>McKenna v British Aluminium</w:t>
      </w:r>
      <w:r w:rsidRPr="00BB2E59">
        <w:t xml:space="preserve"> [2002] Env. L.R. 30</w:t>
      </w:r>
    </w:p>
    <w:p w14:paraId="204DC3AA" w14:textId="168A3BB3" w:rsidR="00BB2E59" w:rsidRDefault="00BB2E59" w:rsidP="00BB2E59">
      <w:pPr>
        <w:spacing w:after="0"/>
      </w:pPr>
      <w:r w:rsidRPr="00BB2E59">
        <w:rPr>
          <w:i/>
          <w:iCs/>
        </w:rPr>
        <w:t>Who can be sued?</w:t>
      </w:r>
      <w:r>
        <w:t xml:space="preserve"> </w:t>
      </w:r>
      <w:r>
        <w:t xml:space="preserve">‘Neighbours’ </w:t>
      </w:r>
      <w:r>
        <w:t xml:space="preserve">but not in </w:t>
      </w:r>
      <w:r>
        <w:t xml:space="preserve">the </w:t>
      </w:r>
      <w:r w:rsidRPr="00BB2E59">
        <w:rPr>
          <w:i/>
          <w:iCs/>
        </w:rPr>
        <w:t>Donoghue v Stevenson</w:t>
      </w:r>
      <w:r>
        <w:t xml:space="preserve"> sense. Narrower than this – but goes beyond literal neighbours</w:t>
      </w:r>
      <w:r>
        <w:t xml:space="preserve">. </w:t>
      </w:r>
      <w:r>
        <w:t>Essentially: the creator (or adopter) of the nuisance</w:t>
      </w:r>
      <w:r>
        <w:t>, and we ask: W</w:t>
      </w:r>
      <w:r>
        <w:t>ho has possession and control</w:t>
      </w:r>
      <w:r>
        <w:t>?</w:t>
      </w:r>
    </w:p>
    <w:p w14:paraId="5020F6B4" w14:textId="5281C794" w:rsidR="00BB2E59" w:rsidRDefault="00BB2E59" w:rsidP="00BB2E59">
      <w:pPr>
        <w:pStyle w:val="ListParagraph"/>
        <w:numPr>
          <w:ilvl w:val="0"/>
          <w:numId w:val="6"/>
        </w:numPr>
        <w:spacing w:after="0"/>
      </w:pPr>
      <w:r w:rsidRPr="00BB2E59">
        <w:rPr>
          <w:i/>
          <w:iCs/>
        </w:rPr>
        <w:t xml:space="preserve">Cocking v </w:t>
      </w:r>
      <w:proofErr w:type="spellStart"/>
      <w:r w:rsidRPr="00BB2E59">
        <w:rPr>
          <w:i/>
          <w:iCs/>
        </w:rPr>
        <w:t>Eacott</w:t>
      </w:r>
      <w:proofErr w:type="spellEnd"/>
      <w:r>
        <w:t xml:space="preserve"> [2016] EWCA </w:t>
      </w:r>
      <w:proofErr w:type="spellStart"/>
      <w:r>
        <w:t>Civ</w:t>
      </w:r>
      <w:proofErr w:type="spellEnd"/>
      <w:r>
        <w:t xml:space="preserve"> 140</w:t>
      </w:r>
    </w:p>
    <w:p w14:paraId="57D25F0B" w14:textId="3A536F0D" w:rsidR="00BB2E59" w:rsidRDefault="00BB2E59" w:rsidP="00BB2E59">
      <w:pPr>
        <w:spacing w:before="240" w:after="0"/>
      </w:pPr>
      <w:r w:rsidRPr="00BB2E59">
        <w:rPr>
          <w:i/>
          <w:iCs/>
        </w:rPr>
        <w:t>What can they be sued for?</w:t>
      </w:r>
      <w:r>
        <w:t xml:space="preserve"> Bring an action </w:t>
      </w:r>
      <w:r>
        <w:t xml:space="preserve">get them to stop doing what they’re doing on their land (injunction – partial or full) AND/OR </w:t>
      </w:r>
      <w:r>
        <w:t>d</w:t>
      </w:r>
      <w:r>
        <w:t>amages to compensate for either property damage (if this has occurred) or lost enjoyment of land (lost amenity)</w:t>
      </w:r>
      <w:r>
        <w:t xml:space="preserve">. </w:t>
      </w:r>
      <w:r>
        <w:t>Can only claim for harm done to the land (though this can include harm to its ‘amenity’)</w:t>
      </w:r>
      <w:r>
        <w:t>. If</w:t>
      </w:r>
      <w:r>
        <w:t xml:space="preserve"> loss has been suffered because of a </w:t>
      </w:r>
      <w:proofErr w:type="gramStart"/>
      <w:r>
        <w:t>nuisance</w:t>
      </w:r>
      <w:proofErr w:type="gramEnd"/>
      <w:r>
        <w:t xml:space="preserve"> then damages will be available. Where the loss is damage to property, quantification is straightforward, but damages for interference with amenity and personal ‘discomfort’ are more problematic</w:t>
      </w:r>
      <w:r w:rsidR="009653CD">
        <w:t>.</w:t>
      </w:r>
    </w:p>
    <w:p w14:paraId="2DD828EE" w14:textId="26BF58BA" w:rsidR="009653CD" w:rsidRDefault="009653CD" w:rsidP="009653CD">
      <w:pPr>
        <w:pStyle w:val="ListParagraph"/>
        <w:numPr>
          <w:ilvl w:val="0"/>
          <w:numId w:val="6"/>
        </w:numPr>
        <w:spacing w:after="0"/>
      </w:pPr>
      <w:r w:rsidRPr="009653CD">
        <w:rPr>
          <w:i/>
          <w:iCs/>
        </w:rPr>
        <w:t>Bone v Seale</w:t>
      </w:r>
      <w:r w:rsidRPr="009653CD">
        <w:t xml:space="preserve"> [1975] 1 W.L.R. 797</w:t>
      </w:r>
    </w:p>
    <w:p w14:paraId="15BB92D7" w14:textId="7FA945B5" w:rsidR="009653CD" w:rsidRDefault="009653CD" w:rsidP="009653CD">
      <w:pPr>
        <w:pStyle w:val="ListParagraph"/>
        <w:numPr>
          <w:ilvl w:val="0"/>
          <w:numId w:val="6"/>
        </w:numPr>
        <w:spacing w:before="240" w:after="0"/>
      </w:pPr>
      <w:proofErr w:type="spellStart"/>
      <w:r w:rsidRPr="009653CD">
        <w:rPr>
          <w:i/>
          <w:iCs/>
        </w:rPr>
        <w:t>Andreae</w:t>
      </w:r>
      <w:proofErr w:type="spellEnd"/>
      <w:r w:rsidRPr="009653CD">
        <w:rPr>
          <w:i/>
          <w:iCs/>
        </w:rPr>
        <w:t xml:space="preserve"> v Selfridge</w:t>
      </w:r>
      <w:r w:rsidRPr="009653CD">
        <w:t xml:space="preserve"> &amp; Co Ltd [1938] Ch. 1</w:t>
      </w:r>
    </w:p>
    <w:p w14:paraId="1BE43D6F" w14:textId="0F1B8FA4" w:rsidR="009653CD" w:rsidRDefault="009653CD" w:rsidP="009653CD">
      <w:pPr>
        <w:pStyle w:val="ListParagraph"/>
        <w:numPr>
          <w:ilvl w:val="0"/>
          <w:numId w:val="6"/>
        </w:numPr>
        <w:spacing w:before="240"/>
      </w:pPr>
      <w:r w:rsidRPr="009653CD">
        <w:rPr>
          <w:i/>
          <w:iCs/>
        </w:rPr>
        <w:t>Halsey v Esso Petroleum Co Ltd</w:t>
      </w:r>
      <w:r w:rsidRPr="009653CD">
        <w:t xml:space="preserve"> [1961] 1 W.L.R. 683</w:t>
      </w:r>
    </w:p>
    <w:p w14:paraId="7C112B0B" w14:textId="49775052" w:rsidR="009653CD" w:rsidRDefault="009653CD" w:rsidP="009653CD">
      <w:r>
        <w:t>As with negligence, it seems that liability in nuisance will only arise where the damage caused to the claimant’s land is reasonably foreseeable: ‘if a plaintiff is in ordinary circumstances only able to claim damages in respect of personal injuries where he can prove such foreseeability on the part of the defendant, it is difficult to see why, in common justice, he should be in a stronger position to claim damages for interference with the enjoyment of his land where the defendant was unable to foresee such damage’</w:t>
      </w:r>
      <w:r>
        <w:t xml:space="preserve"> (</w:t>
      </w:r>
      <w:r w:rsidRPr="009653CD">
        <w:rPr>
          <w:i/>
          <w:iCs/>
        </w:rPr>
        <w:t>C</w:t>
      </w:r>
      <w:r w:rsidRPr="009653CD">
        <w:rPr>
          <w:i/>
          <w:iCs/>
        </w:rPr>
        <w:t>ambridge Water Co v Eastern counties Leather plc</w:t>
      </w:r>
      <w:r>
        <w:t xml:space="preserve"> [1994] 2 A.C. 264, 300 (Lord Goff)</w:t>
      </w:r>
      <w:r>
        <w:t>)</w:t>
      </w:r>
    </w:p>
    <w:p w14:paraId="23EE70E3" w14:textId="3FD4569B" w:rsidR="009653CD" w:rsidRDefault="009653CD" w:rsidP="00BB2E59">
      <w:pPr>
        <w:spacing w:after="0"/>
        <w:rPr>
          <w:b/>
          <w:bCs/>
        </w:rPr>
      </w:pPr>
      <w:r w:rsidRPr="009653CD">
        <w:rPr>
          <w:b/>
          <w:bCs/>
        </w:rPr>
        <w:t>Emanation</w:t>
      </w:r>
    </w:p>
    <w:p w14:paraId="500B4E64" w14:textId="3169CF6F" w:rsidR="009653CD" w:rsidRDefault="009653CD" w:rsidP="00556252">
      <w:pPr>
        <w:rPr>
          <w:i/>
          <w:iCs/>
        </w:rPr>
      </w:pPr>
      <w:r w:rsidRPr="009653CD">
        <w:t xml:space="preserve">In essence anything </w:t>
      </w:r>
      <w:proofErr w:type="gramStart"/>
      <w:r w:rsidRPr="009653CD">
        <w:t>is capable of amounting</w:t>
      </w:r>
      <w:proofErr w:type="gramEnd"/>
      <w:r w:rsidRPr="009653CD">
        <w:t xml:space="preserve"> to a nuisance, as long as there is an 'emanation' – something (for example a smell, smoke, or noise) must move from one neighbour's property onto another. </w:t>
      </w:r>
      <w:r w:rsidRPr="009653CD">
        <w:rPr>
          <w:i/>
          <w:iCs/>
        </w:rPr>
        <w:t>Hunter v Canary Warf</w:t>
      </w:r>
    </w:p>
    <w:p w14:paraId="6B815896" w14:textId="762C4B01" w:rsidR="009653CD" w:rsidRDefault="009653CD" w:rsidP="00556252">
      <w:r>
        <w:t>T</w:t>
      </w:r>
      <w:r w:rsidRPr="009653CD">
        <w:t xml:space="preserve">his principle was cast into doubt in </w:t>
      </w:r>
      <w:proofErr w:type="spellStart"/>
      <w:r w:rsidRPr="009653CD">
        <w:rPr>
          <w:i/>
          <w:iCs/>
        </w:rPr>
        <w:t>Fearn</w:t>
      </w:r>
      <w:proofErr w:type="spellEnd"/>
      <w:r w:rsidRPr="009653CD">
        <w:rPr>
          <w:i/>
          <w:iCs/>
        </w:rPr>
        <w:t xml:space="preserve"> v Trustees of the Tate Gallery [</w:t>
      </w:r>
      <w:r w:rsidRPr="009653CD">
        <w:t xml:space="preserve">2018] EWHC 246 (Ch): The Tate Modern, an art gallery in central London, has a viewing platform which partly overlooks luxury flats adjacent to the building. The owners of the flats complained that the viewing platform was a nuisance because many visitors stared into the flats, with some waiving, taking photos etc. Held: A deliberate act of overlooking can amount to an actionable nuisance. Art 8 of the Human Rights Act protects privacy, and the court should interpret private nuisance as including activities that do not relate to emanations, such as staring into property, when this is necessary to protect people’s Art 8 rights. However, the viewing platform was not a nuisance because it serves a legitimate purpose for tourists to view London. Also, the claimants’ flats constituted a particularly sensitive use of land due to their flats having floor to ceiling glass walls. The claimants must tolerate the consequences of their </w:t>
      </w:r>
      <w:proofErr w:type="gramStart"/>
      <w:r w:rsidRPr="009653CD">
        <w:t>particular sensitive</w:t>
      </w:r>
      <w:proofErr w:type="gramEnd"/>
      <w:r w:rsidRPr="009653CD">
        <w:t xml:space="preserve"> use of their land. </w:t>
      </w:r>
      <w:r w:rsidR="00556252" w:rsidRPr="009653CD">
        <w:t>This decision went on appea</w:t>
      </w:r>
      <w:r w:rsidR="00556252">
        <w:t>l.</w:t>
      </w:r>
    </w:p>
    <w:p w14:paraId="4347A93E" w14:textId="52CA67F9" w:rsidR="009653CD" w:rsidRDefault="009653CD" w:rsidP="00556252">
      <w:proofErr w:type="spellStart"/>
      <w:r w:rsidRPr="009653CD">
        <w:rPr>
          <w:i/>
          <w:iCs/>
        </w:rPr>
        <w:t>Fearn</w:t>
      </w:r>
      <w:proofErr w:type="spellEnd"/>
      <w:r w:rsidRPr="009653CD">
        <w:rPr>
          <w:i/>
          <w:iCs/>
        </w:rPr>
        <w:t xml:space="preserve"> v Trustees of the Tate Gallery</w:t>
      </w:r>
      <w:r>
        <w:t xml:space="preserve"> 2020 EWCA </w:t>
      </w:r>
      <w:proofErr w:type="spellStart"/>
      <w:r>
        <w:t>Civ</w:t>
      </w:r>
      <w:proofErr w:type="spellEnd"/>
      <w:r>
        <w:t xml:space="preserve"> 104</w:t>
      </w:r>
      <w:r>
        <w:t>, held</w:t>
      </w:r>
      <w:r>
        <w:t>: While affirming the result of the court below, the Court of Appeal went further, holding that it had been a mistake to open the door to privacy claims at all. As a matter of authority and principle an invasion of privacy by overlooking was simply not capable of being actionable in private nuisance. It considered further extensions of the legal protection of privacy interests should be a matter for Parliament.</w:t>
      </w:r>
      <w:r w:rsidR="00556252">
        <w:t xml:space="preserve"> This went on appeal to the Supreme Court.</w:t>
      </w:r>
    </w:p>
    <w:p w14:paraId="0E11031F" w14:textId="76D26621" w:rsidR="00556252" w:rsidRPr="009611C3" w:rsidRDefault="00556252" w:rsidP="009611C3">
      <w:pPr>
        <w:spacing w:before="240"/>
        <w:rPr>
          <w:i/>
          <w:iCs/>
        </w:rPr>
      </w:pPr>
      <w:proofErr w:type="spellStart"/>
      <w:r w:rsidRPr="00556252">
        <w:rPr>
          <w:i/>
          <w:iCs/>
        </w:rPr>
        <w:t>Fearn</w:t>
      </w:r>
      <w:proofErr w:type="spellEnd"/>
      <w:r w:rsidRPr="00556252">
        <w:rPr>
          <w:i/>
          <w:iCs/>
        </w:rPr>
        <w:t xml:space="preserve"> and others v Board of Trustees of the Tate Gallery</w:t>
      </w:r>
      <w:r w:rsidRPr="00556252">
        <w:t xml:space="preserve"> [2023] UKSC 4</w:t>
      </w:r>
      <w:r>
        <w:t xml:space="preserve">: the </w:t>
      </w:r>
      <w:r>
        <w:t xml:space="preserve">Court </w:t>
      </w:r>
      <w:r>
        <w:t>finds</w:t>
      </w:r>
      <w:r>
        <w:t xml:space="preserve"> that it is possible in principle for overlooking to cause a nuisance. The majority hold that the ordinary person would regard the photo-taking and viewing as a substantial intrusion. Lord Leggatt describes the nature of the intrusion at [92] and finds at [148] that it was ‘beyond doubt that the viewing and photography which take place from the Tate’s building cause a substantial interference with the ordinary use and enjoyment of the claimants’ </w:t>
      </w:r>
      <w:proofErr w:type="gramStart"/>
      <w:r>
        <w:t>properties’</w:t>
      </w:r>
      <w:proofErr w:type="gramEnd"/>
      <w:r>
        <w:t>.</w:t>
      </w:r>
      <w:r>
        <w:t xml:space="preserve"> </w:t>
      </w:r>
      <w:r w:rsidRPr="00556252">
        <w:t>Lord Leggatt</w:t>
      </w:r>
      <w:r>
        <w:t xml:space="preserve"> relie</w:t>
      </w:r>
      <w:r>
        <w:t>s</w:t>
      </w:r>
      <w:r>
        <w:t xml:space="preserve"> quite heavily on an analysis of what the ‘ordinary’ use of an art gallery is</w:t>
      </w:r>
      <w:r>
        <w:t xml:space="preserve">. </w:t>
      </w:r>
      <w:r>
        <w:t>See para [50]: The judge characterised the locality in which the Tate Modern and the Neo Bankside flats are situated as “a part of urban south London used for a mixture of residential, cultural, tourist and commercial purposes.” He noted that an occupier in that environment “can expect rather less privacy than perhaps a rural occupier might” and that “[a]</w:t>
      </w:r>
      <w:proofErr w:type="spellStart"/>
      <w:r>
        <w:t>nyone</w:t>
      </w:r>
      <w:proofErr w:type="spellEnd"/>
      <w:r>
        <w:t xml:space="preserve"> who lives in an inner city can expect to live quite cheek by jowl with neighbours”: para 190. But he made no finding that there is any other viewing platform in that part of London; nor that operating a public viewing gallery is necessary for the common and ordinary use and occupation of the Tate’s land. The Tate did not make, and could not credibly have made, any such allegation. Inviting members of the public to look out from a viewing gallery is manifestly a very particular and exceptional use of land. It cannot even be said to be a necessary or ordinary incident of operating an art museum. Hence, the Tate cannot rely on the principle of give and take and argue that it seeks no more toleration from its neighbours for its activities than they would expect the Tate to show for them. The Court seems to reject the notion that the claimants are sensitive users. Basing its view on the concept of ‘ordinary use’ – Lord Leggatt</w:t>
      </w:r>
      <w:r>
        <w:t>: T</w:t>
      </w:r>
      <w:r>
        <w:t>he claimants have a right to build and live as they please, but that if the design of their buildings results in intrusion caused by ordinary use that’s something they would have to put up with - see [72] – [75].  On the facts he says that the: ‘nature and extent of the viewing of the claimants’ flats goes far beyond anything that could reasonably be regarded as a necessary or natural consequence of the common and ordinary use and occupation of the Tate’s land’</w:t>
      </w:r>
      <w:r>
        <w:t xml:space="preserve"> </w:t>
      </w:r>
      <w:r>
        <w:t>[74]</w:t>
      </w:r>
      <w:r>
        <w:t xml:space="preserve">. </w:t>
      </w:r>
      <w:r w:rsidRPr="00556252">
        <w:t xml:space="preserve">Finally, the decision of the Court suggests that the </w:t>
      </w:r>
      <w:r w:rsidR="009611C3" w:rsidRPr="00556252">
        <w:t>claimant’s</w:t>
      </w:r>
      <w:r w:rsidRPr="00556252">
        <w:t xml:space="preserve"> privacy interests can be protected through their property rights, as an invasion of privacy can be considered an amenity nuisance.</w:t>
      </w:r>
      <w:r w:rsidR="009611C3">
        <w:t xml:space="preserve"> (</w:t>
      </w:r>
      <w:r w:rsidR="009611C3" w:rsidRPr="009611C3">
        <w:rPr>
          <w:i/>
          <w:iCs/>
        </w:rPr>
        <w:t>Summary of Supreme Court finding provided by Dr Kim Bouwer</w:t>
      </w:r>
      <w:r w:rsidR="009611C3" w:rsidRPr="009611C3">
        <w:t xml:space="preserve">) </w:t>
      </w:r>
    </w:p>
    <w:p w14:paraId="64413C69" w14:textId="4E4A2136" w:rsidR="009611C3" w:rsidRPr="009611C3" w:rsidRDefault="009611C3" w:rsidP="006272D2">
      <w:pPr>
        <w:spacing w:before="240" w:after="0"/>
        <w:rPr>
          <w:b/>
          <w:bCs/>
        </w:rPr>
      </w:pPr>
      <w:r w:rsidRPr="009611C3">
        <w:rPr>
          <w:b/>
          <w:bCs/>
        </w:rPr>
        <w:t xml:space="preserve">Unreasonable use </w:t>
      </w:r>
    </w:p>
    <w:p w14:paraId="2AAA85FB" w14:textId="269E72FB" w:rsidR="009611C3" w:rsidRDefault="009611C3" w:rsidP="009611C3">
      <w:pPr>
        <w:spacing w:after="0"/>
      </w:pPr>
      <w:r>
        <w:t>Not every interference with a person's use and enjoyment of land can amount to a private nuisance. The question is this: was there an unreasonable interference with the claimant’s use and enjoyment of land?</w:t>
      </w:r>
      <w:r>
        <w:t xml:space="preserve"> </w:t>
      </w:r>
      <w:r w:rsidRPr="009611C3">
        <w:t xml:space="preserve">The factors that the court can </w:t>
      </w:r>
      <w:proofErr w:type="gramStart"/>
      <w:r w:rsidRPr="009611C3">
        <w:t>take into account</w:t>
      </w:r>
      <w:proofErr w:type="gramEnd"/>
      <w:r w:rsidRPr="009611C3">
        <w:t xml:space="preserve"> can be split into three categories:</w:t>
      </w:r>
    </w:p>
    <w:p w14:paraId="2182FBB4" w14:textId="13517562" w:rsidR="009611C3" w:rsidRPr="009611C3" w:rsidRDefault="009611C3" w:rsidP="009611C3">
      <w:pPr>
        <w:pStyle w:val="ListParagraph"/>
        <w:numPr>
          <w:ilvl w:val="0"/>
          <w:numId w:val="7"/>
        </w:numPr>
        <w:rPr>
          <w:rFonts w:eastAsia="Calibri" w:cs="Arial"/>
        </w:rPr>
      </w:pPr>
      <w:r w:rsidRPr="009611C3">
        <w:rPr>
          <w:i/>
          <w:iCs/>
        </w:rPr>
        <w:t>Factors that are always considered</w:t>
      </w:r>
      <w:r w:rsidRPr="009611C3">
        <w:rPr>
          <w:i/>
          <w:iCs/>
        </w:rPr>
        <w:t>:</w:t>
      </w:r>
      <w:r>
        <w:t xml:space="preserve"> </w:t>
      </w:r>
      <w:r w:rsidRPr="009611C3">
        <w:rPr>
          <w:rFonts w:eastAsia="Calibri" w:cs="Arial"/>
        </w:rPr>
        <w:t>Intensity</w:t>
      </w:r>
      <w:r w:rsidRPr="009611C3">
        <w:rPr>
          <w:rFonts w:eastAsia="Calibri" w:cs="Arial"/>
        </w:rPr>
        <w:t xml:space="preserve"> of the interference, </w:t>
      </w:r>
      <w:r w:rsidRPr="009611C3">
        <w:rPr>
          <w:rFonts w:eastAsia="Calibri" w:cs="Arial"/>
        </w:rPr>
        <w:t>including</w:t>
      </w:r>
      <w:r w:rsidRPr="009611C3">
        <w:rPr>
          <w:rFonts w:eastAsia="Calibri" w:cs="Arial"/>
        </w:rPr>
        <w:t xml:space="preserve"> the</w:t>
      </w:r>
      <w:r w:rsidRPr="009611C3">
        <w:rPr>
          <w:rFonts w:eastAsia="Calibri" w:cs="Arial"/>
        </w:rPr>
        <w:t xml:space="preserve"> duration, </w:t>
      </w:r>
      <w:proofErr w:type="gramStart"/>
      <w:r w:rsidRPr="009611C3">
        <w:rPr>
          <w:rFonts w:eastAsia="Calibri" w:cs="Arial"/>
        </w:rPr>
        <w:t>frequency</w:t>
      </w:r>
      <w:proofErr w:type="gramEnd"/>
      <w:r w:rsidRPr="009611C3">
        <w:rPr>
          <w:rFonts w:eastAsia="Calibri" w:cs="Arial"/>
        </w:rPr>
        <w:t xml:space="preserve"> and timing of the interference</w:t>
      </w:r>
      <w:r w:rsidRPr="009611C3">
        <w:rPr>
          <w:rFonts w:eastAsia="Calibri" w:cs="Arial"/>
        </w:rPr>
        <w:t xml:space="preserve"> = </w:t>
      </w:r>
      <w:proofErr w:type="spellStart"/>
      <w:r w:rsidRPr="009611C3">
        <w:rPr>
          <w:rFonts w:eastAsia="Calibri" w:cs="Arial"/>
          <w:i/>
          <w:iCs/>
        </w:rPr>
        <w:t>Kennaway</w:t>
      </w:r>
      <w:proofErr w:type="spellEnd"/>
      <w:r w:rsidRPr="009611C3">
        <w:rPr>
          <w:rFonts w:eastAsia="Calibri" w:cs="Arial"/>
          <w:i/>
          <w:iCs/>
        </w:rPr>
        <w:t xml:space="preserve"> v Thompson</w:t>
      </w:r>
      <w:r w:rsidRPr="009611C3">
        <w:rPr>
          <w:rFonts w:eastAsia="Calibri" w:cs="Arial"/>
        </w:rPr>
        <w:t xml:space="preserve"> [1981] Q.B. 88, 94</w:t>
      </w:r>
      <w:r>
        <w:rPr>
          <w:rFonts w:eastAsia="Calibri" w:cs="Arial"/>
        </w:rPr>
        <w:t xml:space="preserve">; </w:t>
      </w:r>
      <w:r w:rsidRPr="009611C3">
        <w:rPr>
          <w:rFonts w:eastAsia="Calibri" w:cs="Arial"/>
          <w:i/>
          <w:iCs/>
        </w:rPr>
        <w:t>Crown River Cruises Ltd v Kimbolton Fireworks Ltd</w:t>
      </w:r>
      <w:r w:rsidRPr="009611C3">
        <w:rPr>
          <w:rFonts w:eastAsia="Calibri" w:cs="Arial"/>
        </w:rPr>
        <w:t xml:space="preserve"> [1996] 2 Lloyd's Rep. 533</w:t>
      </w:r>
    </w:p>
    <w:p w14:paraId="27ADDD47" w14:textId="3BAD123B" w:rsidR="009611C3" w:rsidRDefault="009611C3" w:rsidP="009611C3">
      <w:pPr>
        <w:pStyle w:val="ListParagraph"/>
        <w:numPr>
          <w:ilvl w:val="0"/>
          <w:numId w:val="7"/>
        </w:numPr>
        <w:spacing w:before="240"/>
      </w:pPr>
      <w:r w:rsidRPr="009611C3">
        <w:rPr>
          <w:i/>
          <w:iCs/>
        </w:rPr>
        <w:t>A factor that is sometimes considered, only for amenity harm</w:t>
      </w:r>
      <w:r>
        <w:t xml:space="preserve">: </w:t>
      </w:r>
      <w:r w:rsidR="003B79DB">
        <w:t>L</w:t>
      </w:r>
      <w:r w:rsidRPr="009611C3">
        <w:t>ocality</w:t>
      </w:r>
      <w:r w:rsidR="003B79DB">
        <w:t xml:space="preserve"> = </w:t>
      </w:r>
      <w:r w:rsidR="003B79DB" w:rsidRPr="003B79DB">
        <w:t>The reasonableness of the use of land can depend on, alongside other considerations, the character or nature of the area of land it is in – its 'locality'</w:t>
      </w:r>
      <w:r w:rsidR="003B79DB">
        <w:t xml:space="preserve">. </w:t>
      </w:r>
      <w:r w:rsidR="003B79DB" w:rsidRPr="003B79DB">
        <w:rPr>
          <w:i/>
          <w:iCs/>
        </w:rPr>
        <w:t>Sturges v Bridgman</w:t>
      </w:r>
      <w:r w:rsidR="003B79DB" w:rsidRPr="003B79DB">
        <w:t xml:space="preserve"> (1879) 11 Ch. D. 852</w:t>
      </w:r>
      <w:r w:rsidR="003B79DB">
        <w:t xml:space="preserve">; </w:t>
      </w:r>
      <w:r w:rsidR="003B79DB" w:rsidRPr="003B79DB">
        <w:rPr>
          <w:i/>
          <w:iCs/>
        </w:rPr>
        <w:t>St Helens Smelting Co v Tipping</w:t>
      </w:r>
      <w:r w:rsidR="003B79DB" w:rsidRPr="003B79DB">
        <w:t xml:space="preserve"> (1865) 11 E.R. 1483</w:t>
      </w:r>
      <w:r w:rsidR="003B79DB">
        <w:t xml:space="preserve">; </w:t>
      </w:r>
      <w:r w:rsidR="003B79DB" w:rsidRPr="003B79DB">
        <w:rPr>
          <w:i/>
          <w:iCs/>
        </w:rPr>
        <w:t>Hirose Electrical UK Ltd v Peak Ingredients</w:t>
      </w:r>
      <w:r w:rsidR="003B79DB" w:rsidRPr="003B79DB">
        <w:t xml:space="preserve"> Ltd [2011] EWCA </w:t>
      </w:r>
      <w:proofErr w:type="spellStart"/>
      <w:r w:rsidR="003B79DB" w:rsidRPr="003B79DB">
        <w:t>Civ</w:t>
      </w:r>
      <w:proofErr w:type="spellEnd"/>
      <w:r w:rsidR="003B79DB" w:rsidRPr="003B79DB">
        <w:t xml:space="preserve"> 987</w:t>
      </w:r>
      <w:r w:rsidR="003B79DB">
        <w:t xml:space="preserve">; </w:t>
      </w:r>
      <w:r w:rsidR="003B79DB" w:rsidRPr="003B79DB">
        <w:rPr>
          <w:i/>
          <w:iCs/>
        </w:rPr>
        <w:t>Coventry v Lawrence</w:t>
      </w:r>
      <w:r w:rsidR="003B79DB" w:rsidRPr="003B79DB">
        <w:rPr>
          <w:i/>
          <w:iCs/>
        </w:rPr>
        <w:t xml:space="preserve">; </w:t>
      </w:r>
      <w:r w:rsidR="003B79DB" w:rsidRPr="003B79DB">
        <w:rPr>
          <w:i/>
          <w:iCs/>
        </w:rPr>
        <w:t>Baxter v Camden London Borough Council</w:t>
      </w:r>
      <w:r w:rsidR="003B79DB" w:rsidRPr="003B79DB">
        <w:t xml:space="preserve"> (No 2) [2001</w:t>
      </w:r>
      <w:r w:rsidR="003B79DB">
        <w:t xml:space="preserve">]. On planning permissions changing ‘locality’: </w:t>
      </w:r>
      <w:r w:rsidR="003B79DB" w:rsidRPr="003B79DB">
        <w:rPr>
          <w:i/>
          <w:iCs/>
        </w:rPr>
        <w:t>Gillingham Borough Council v Medway</w:t>
      </w:r>
      <w:r w:rsidR="003B79DB" w:rsidRPr="003B79DB">
        <w:t xml:space="preserve"> </w:t>
      </w:r>
      <w:r w:rsidR="003B79DB" w:rsidRPr="003B79DB">
        <w:rPr>
          <w:i/>
          <w:iCs/>
        </w:rPr>
        <w:t>(Chatham) Dock Co Ltd</w:t>
      </w:r>
      <w:r w:rsidR="003B79DB" w:rsidRPr="003B79DB">
        <w:t xml:space="preserve"> [1993]</w:t>
      </w:r>
      <w:r w:rsidR="003B79DB">
        <w:t xml:space="preserve">; </w:t>
      </w:r>
      <w:r w:rsidR="003B79DB" w:rsidRPr="003B79DB">
        <w:rPr>
          <w:i/>
          <w:iCs/>
        </w:rPr>
        <w:t>Coventry v Lawrence</w:t>
      </w:r>
      <w:r w:rsidR="003B79DB" w:rsidRPr="003B79DB">
        <w:t xml:space="preserve"> [2014] UKSC 13</w:t>
      </w:r>
      <w:r w:rsidR="003B79DB">
        <w:t xml:space="preserve">; </w:t>
      </w:r>
      <w:r w:rsidR="003B79DB" w:rsidRPr="003B79DB">
        <w:rPr>
          <w:i/>
          <w:iCs/>
        </w:rPr>
        <w:t>Wheeler v JJ Saunders Ltd</w:t>
      </w:r>
      <w:r w:rsidR="003B79DB" w:rsidRPr="003B79DB">
        <w:t xml:space="preserve"> [1996] Ch. 19</w:t>
      </w:r>
    </w:p>
    <w:p w14:paraId="79A125D7" w14:textId="2C7ED0CE" w:rsidR="003B79DB" w:rsidRDefault="003B79DB" w:rsidP="009611C3">
      <w:pPr>
        <w:pStyle w:val="ListParagraph"/>
        <w:numPr>
          <w:ilvl w:val="0"/>
          <w:numId w:val="7"/>
        </w:numPr>
        <w:spacing w:before="240"/>
      </w:pPr>
      <w:r w:rsidRPr="003B79DB">
        <w:rPr>
          <w:i/>
          <w:iCs/>
        </w:rPr>
        <w:t>Other factors that are sometimes considered, if relevant and for amenity harm</w:t>
      </w:r>
      <w:r w:rsidRPr="003B79DB">
        <w:t xml:space="preserve">: </w:t>
      </w:r>
      <w:r w:rsidRPr="003B79DB">
        <w:rPr>
          <w:u w:val="single"/>
        </w:rPr>
        <w:t>Sensitivity of the claimant</w:t>
      </w:r>
      <w:r>
        <w:t xml:space="preserve">: </w:t>
      </w:r>
      <w:r w:rsidRPr="00267BA5">
        <w:rPr>
          <w:i/>
          <w:iCs/>
        </w:rPr>
        <w:t>Robinson v Kilvert</w:t>
      </w:r>
      <w:r w:rsidRPr="003B79DB">
        <w:t xml:space="preserve"> (1889) 41 Ch. D. 88</w:t>
      </w:r>
      <w:r>
        <w:t xml:space="preserve">; </w:t>
      </w:r>
      <w:r w:rsidRPr="00267BA5">
        <w:rPr>
          <w:i/>
          <w:iCs/>
        </w:rPr>
        <w:t xml:space="preserve">Network Rail Infrastructure Ltd v Morris (t/a </w:t>
      </w:r>
      <w:proofErr w:type="spellStart"/>
      <w:r w:rsidRPr="00267BA5">
        <w:rPr>
          <w:i/>
          <w:iCs/>
        </w:rPr>
        <w:t>Soundstar</w:t>
      </w:r>
      <w:proofErr w:type="spellEnd"/>
      <w:r w:rsidRPr="00267BA5">
        <w:rPr>
          <w:i/>
          <w:iCs/>
        </w:rPr>
        <w:t xml:space="preserve"> Studio)</w:t>
      </w:r>
      <w:r w:rsidRPr="003B79DB">
        <w:t xml:space="preserve"> [2004] EWCA </w:t>
      </w:r>
      <w:proofErr w:type="spellStart"/>
      <w:r w:rsidRPr="003B79DB">
        <w:t>Civ</w:t>
      </w:r>
      <w:proofErr w:type="spellEnd"/>
      <w:r w:rsidRPr="003B79DB">
        <w:t xml:space="preserve"> 172</w:t>
      </w:r>
      <w:r>
        <w:t xml:space="preserve">; </w:t>
      </w:r>
      <w:r w:rsidRPr="00267BA5">
        <w:rPr>
          <w:i/>
          <w:iCs/>
        </w:rPr>
        <w:t xml:space="preserve">Walter v </w:t>
      </w:r>
      <w:proofErr w:type="spellStart"/>
      <w:r w:rsidRPr="00267BA5">
        <w:rPr>
          <w:i/>
          <w:iCs/>
        </w:rPr>
        <w:t>Selfe</w:t>
      </w:r>
      <w:proofErr w:type="spellEnd"/>
      <w:r w:rsidRPr="003B79DB">
        <w:t xml:space="preserve"> (1851) 64 E.R. 849</w:t>
      </w:r>
      <w:r>
        <w:t xml:space="preserve">; </w:t>
      </w:r>
      <w:proofErr w:type="spellStart"/>
      <w:r w:rsidRPr="00267BA5">
        <w:rPr>
          <w:i/>
          <w:iCs/>
        </w:rPr>
        <w:t>Fearn</w:t>
      </w:r>
      <w:proofErr w:type="spellEnd"/>
      <w:r w:rsidRPr="00267BA5">
        <w:rPr>
          <w:i/>
          <w:iCs/>
        </w:rPr>
        <w:t xml:space="preserve"> and others v Board of Trustees of the Tate Gallery</w:t>
      </w:r>
      <w:r w:rsidRPr="003B79DB">
        <w:t xml:space="preserve"> [2023] UKSC 4</w:t>
      </w:r>
      <w:r>
        <w:t>.</w:t>
      </w:r>
    </w:p>
    <w:p w14:paraId="181D46BB" w14:textId="13F64D0B" w:rsidR="003B79DB" w:rsidRPr="003B79DB" w:rsidRDefault="003B79DB" w:rsidP="003B79DB">
      <w:pPr>
        <w:pStyle w:val="ListParagraph"/>
        <w:spacing w:before="240"/>
      </w:pPr>
      <w:r w:rsidRPr="003B79DB">
        <w:rPr>
          <w:u w:val="single"/>
        </w:rPr>
        <w:t>Malice:</w:t>
      </w:r>
      <w:r>
        <w:t xml:space="preserve"> </w:t>
      </w:r>
      <w:r w:rsidRPr="00D71306">
        <w:rPr>
          <w:i/>
          <w:iCs/>
        </w:rPr>
        <w:t>Christie v Davey</w:t>
      </w:r>
      <w:r w:rsidRPr="003B79DB">
        <w:t xml:space="preserve"> [1893] 1 Ch. 316</w:t>
      </w:r>
      <w:r>
        <w:t xml:space="preserve">; </w:t>
      </w:r>
      <w:r w:rsidRPr="00D71306">
        <w:rPr>
          <w:i/>
          <w:iCs/>
        </w:rPr>
        <w:t>Hollywood Silver Fox Farm Ltd v Emmett</w:t>
      </w:r>
      <w:r w:rsidRPr="003B79DB">
        <w:t xml:space="preserve"> [1936] 2 K.B. 468</w:t>
      </w:r>
      <w:r>
        <w:t xml:space="preserve">; </w:t>
      </w:r>
      <w:r w:rsidRPr="00D71306">
        <w:rPr>
          <w:i/>
          <w:iCs/>
        </w:rPr>
        <w:t>Bradford Corporation v Pickles</w:t>
      </w:r>
      <w:r w:rsidRPr="003B79DB">
        <w:t xml:space="preserve"> [1895] 1 Ch. 145</w:t>
      </w:r>
      <w:r>
        <w:t xml:space="preserve">; </w:t>
      </w:r>
      <w:r w:rsidRPr="00D71306">
        <w:rPr>
          <w:i/>
          <w:iCs/>
        </w:rPr>
        <w:t>Hunter v Canary Wharf</w:t>
      </w:r>
      <w:r w:rsidRPr="003B79DB">
        <w:t xml:space="preserve"> [1997] AC 655</w:t>
      </w:r>
    </w:p>
    <w:p w14:paraId="5434FA0D" w14:textId="17AA517F" w:rsidR="009611C3" w:rsidRDefault="00D71306" w:rsidP="00D71306">
      <w:pPr>
        <w:spacing w:before="240" w:after="0"/>
        <w:rPr>
          <w:b/>
          <w:bCs/>
        </w:rPr>
      </w:pPr>
      <w:r w:rsidRPr="00D71306">
        <w:rPr>
          <w:b/>
          <w:bCs/>
        </w:rPr>
        <w:t>Defences</w:t>
      </w:r>
    </w:p>
    <w:p w14:paraId="7C052264" w14:textId="1008096F" w:rsidR="00D71306" w:rsidRDefault="00D71306" w:rsidP="007B7DF4">
      <w:pPr>
        <w:spacing w:after="0"/>
      </w:pPr>
      <w:r w:rsidRPr="00D71306">
        <w:t xml:space="preserve">There are </w:t>
      </w:r>
      <w:proofErr w:type="gramStart"/>
      <w:r w:rsidRPr="00D71306">
        <w:t>a number of</w:t>
      </w:r>
      <w:proofErr w:type="gramEnd"/>
      <w:r w:rsidRPr="00D71306">
        <w:t xml:space="preserve"> defences which can be raised against an action in private nuisance. (</w:t>
      </w:r>
      <w:r>
        <w:t>Some of these</w:t>
      </w:r>
      <w:r w:rsidRPr="00D71306">
        <w:t xml:space="preserve"> are summarised in </w:t>
      </w:r>
      <w:r w:rsidRPr="00D71306">
        <w:rPr>
          <w:i/>
          <w:iCs/>
        </w:rPr>
        <w:t>Coventry v Lawrence</w:t>
      </w:r>
      <w:r w:rsidRPr="00D71306">
        <w:t>.)</w:t>
      </w:r>
      <w:r>
        <w:t xml:space="preserve"> I</w:t>
      </w:r>
      <w:r w:rsidRPr="00D71306">
        <w:t xml:space="preserve">t is important to note that the general defences of </w:t>
      </w:r>
      <w:proofErr w:type="spellStart"/>
      <w:r w:rsidRPr="00D71306">
        <w:t>volenti</w:t>
      </w:r>
      <w:proofErr w:type="spellEnd"/>
      <w:r w:rsidRPr="00D71306">
        <w:t xml:space="preserve"> non fit injuria and contributory negligence also apply to nuisance. However, there are more defences that are specific to nuisance claims</w:t>
      </w:r>
      <w:r w:rsidR="007B7DF4">
        <w:t>:</w:t>
      </w:r>
    </w:p>
    <w:p w14:paraId="4B53FA84" w14:textId="0CA1E313" w:rsidR="007B7DF4" w:rsidRDefault="007B7DF4" w:rsidP="007B7DF4">
      <w:pPr>
        <w:pStyle w:val="ListParagraph"/>
        <w:numPr>
          <w:ilvl w:val="0"/>
          <w:numId w:val="8"/>
        </w:numPr>
        <w:spacing w:after="0"/>
      </w:pPr>
      <w:r w:rsidRPr="007B7DF4">
        <w:rPr>
          <w:i/>
          <w:iCs/>
        </w:rPr>
        <w:t>Statutory authority</w:t>
      </w:r>
      <w:r>
        <w:t xml:space="preserve">: </w:t>
      </w:r>
      <w:r w:rsidRPr="00267BA5">
        <w:rPr>
          <w:i/>
          <w:iCs/>
        </w:rPr>
        <w:t>Allen v Gulf Oil Refining Ltd</w:t>
      </w:r>
      <w:r w:rsidRPr="007B7DF4">
        <w:t xml:space="preserve"> [1981] 2 W.L.R. 188</w:t>
      </w:r>
      <w:r>
        <w:t xml:space="preserve">; </w:t>
      </w:r>
      <w:r w:rsidRPr="00267BA5">
        <w:rPr>
          <w:i/>
          <w:iCs/>
        </w:rPr>
        <w:t>Hatton v UK</w:t>
      </w:r>
      <w:r w:rsidRPr="007B7DF4">
        <w:t xml:space="preserve"> [2003] 37 EHRR 611</w:t>
      </w:r>
      <w:r>
        <w:t xml:space="preserve">; </w:t>
      </w:r>
      <w:r w:rsidRPr="00267BA5">
        <w:rPr>
          <w:i/>
          <w:iCs/>
        </w:rPr>
        <w:t>Barr v Biffa Waste Services Ltd</w:t>
      </w:r>
      <w:r w:rsidRPr="007B7DF4">
        <w:t xml:space="preserve"> [2012] EWCA </w:t>
      </w:r>
      <w:proofErr w:type="spellStart"/>
      <w:r w:rsidRPr="007B7DF4">
        <w:t>Civ</w:t>
      </w:r>
      <w:proofErr w:type="spellEnd"/>
      <w:r w:rsidRPr="007B7DF4">
        <w:t xml:space="preserve"> 312</w:t>
      </w:r>
    </w:p>
    <w:p w14:paraId="399107BA" w14:textId="09EF5A90" w:rsidR="007B7DF4" w:rsidRDefault="007B7DF4" w:rsidP="007B7DF4">
      <w:pPr>
        <w:pStyle w:val="ListParagraph"/>
        <w:numPr>
          <w:ilvl w:val="0"/>
          <w:numId w:val="8"/>
        </w:numPr>
        <w:spacing w:after="0"/>
      </w:pPr>
      <w:r w:rsidRPr="007B7DF4">
        <w:rPr>
          <w:i/>
          <w:iCs/>
        </w:rPr>
        <w:t>20 years prescription</w:t>
      </w:r>
      <w:r>
        <w:t xml:space="preserve">: </w:t>
      </w:r>
      <w:r w:rsidRPr="007B7DF4">
        <w:t>Sturges v Bridgman (1879) 11 Ch. D. 852</w:t>
      </w:r>
    </w:p>
    <w:p w14:paraId="3E720A59" w14:textId="33F0B395" w:rsidR="007B7DF4" w:rsidRDefault="007B7DF4" w:rsidP="007B7DF4">
      <w:pPr>
        <w:pStyle w:val="ListParagraph"/>
        <w:numPr>
          <w:ilvl w:val="0"/>
          <w:numId w:val="8"/>
        </w:numPr>
        <w:spacing w:after="0"/>
      </w:pPr>
      <w:r w:rsidRPr="007B7DF4">
        <w:rPr>
          <w:i/>
          <w:iCs/>
        </w:rPr>
        <w:t>Public benefit or ‘utility’ of the defendant’s activity</w:t>
      </w:r>
      <w:r>
        <w:t xml:space="preserve">: </w:t>
      </w:r>
      <w:r>
        <w:t xml:space="preserve">Generally, not taken into consideration when establishing reasonableness of use of land – but is </w:t>
      </w:r>
      <w:proofErr w:type="gramStart"/>
      <w:r>
        <w:t>taken into account</w:t>
      </w:r>
      <w:proofErr w:type="gramEnd"/>
      <w:r>
        <w:t xml:space="preserve"> when considering what remedy to grant. The courts have been reluctant to accept that, just because there is a public benefit to D’s actions, that by itself this will mean that no nuisance is caused. The question is rather, after compensation has been paid, is the activity acceptable? </w:t>
      </w:r>
      <w:r w:rsidRPr="00267BA5">
        <w:rPr>
          <w:i/>
          <w:iCs/>
        </w:rPr>
        <w:t>Barr v Biffa Waste Services</w:t>
      </w:r>
      <w:r w:rsidRPr="00267BA5">
        <w:rPr>
          <w:i/>
          <w:iCs/>
        </w:rPr>
        <w:t xml:space="preserve">; </w:t>
      </w:r>
      <w:r w:rsidRPr="00267BA5">
        <w:rPr>
          <w:i/>
          <w:iCs/>
        </w:rPr>
        <w:t>Dennis v Ministry of Defenc</w:t>
      </w:r>
      <w:r w:rsidRPr="007B7DF4">
        <w:t>e [2003] EWHC 793 (QB)</w:t>
      </w:r>
    </w:p>
    <w:p w14:paraId="3426253C" w14:textId="0812CF09" w:rsidR="007B7DF4" w:rsidRDefault="007B7DF4" w:rsidP="007B7DF4">
      <w:pPr>
        <w:pStyle w:val="ListParagraph"/>
        <w:numPr>
          <w:ilvl w:val="0"/>
          <w:numId w:val="8"/>
        </w:numPr>
        <w:spacing w:after="0"/>
      </w:pPr>
      <w:r w:rsidRPr="007B7DF4">
        <w:t xml:space="preserve">‘Coming to the nuisance’ </w:t>
      </w:r>
      <w:r w:rsidRPr="007B7DF4">
        <w:rPr>
          <w:b/>
          <w:bCs/>
        </w:rPr>
        <w:t>is not a defence</w:t>
      </w:r>
      <w:r w:rsidRPr="007B7DF4">
        <w:t xml:space="preserve"> to nuisance</w:t>
      </w:r>
      <w:r>
        <w:t xml:space="preserve">: </w:t>
      </w:r>
      <w:r w:rsidRPr="00267BA5">
        <w:rPr>
          <w:i/>
          <w:iCs/>
        </w:rPr>
        <w:t>Miller v Jackson</w:t>
      </w:r>
      <w:r w:rsidRPr="007B7DF4">
        <w:t xml:space="preserve"> [1977] Q.B. 966</w:t>
      </w:r>
      <w:r>
        <w:t xml:space="preserve">; </w:t>
      </w:r>
      <w:r w:rsidRPr="00267BA5">
        <w:rPr>
          <w:i/>
          <w:iCs/>
        </w:rPr>
        <w:t>Coventry v Lawrence</w:t>
      </w:r>
      <w:r>
        <w:t xml:space="preserve"> [2014] UKSC 13</w:t>
      </w:r>
      <w:r>
        <w:t xml:space="preserve"> = </w:t>
      </w:r>
      <w:r>
        <w:t>No defence of coming to the nuisance where ‘the claimant in nuisance uses her property for essentially the same purpose as that for which it has been used by her predecessors since before the alleged nuisance started’ ([51], per Lord Neuberger)</w:t>
      </w:r>
    </w:p>
    <w:p w14:paraId="549D4357" w14:textId="06E8A5F2" w:rsidR="007B7DF4" w:rsidRPr="007B7DF4" w:rsidRDefault="007B7DF4" w:rsidP="007B7DF4">
      <w:pPr>
        <w:spacing w:before="240" w:after="0"/>
        <w:rPr>
          <w:b/>
          <w:bCs/>
        </w:rPr>
      </w:pPr>
      <w:r w:rsidRPr="007B7DF4">
        <w:rPr>
          <w:b/>
          <w:bCs/>
        </w:rPr>
        <w:t>Remedies</w:t>
      </w:r>
    </w:p>
    <w:p w14:paraId="2EC55AF5" w14:textId="0DCFD145" w:rsidR="007B7DF4" w:rsidRDefault="007B7DF4" w:rsidP="007B7DF4">
      <w:pPr>
        <w:pStyle w:val="ListParagraph"/>
        <w:numPr>
          <w:ilvl w:val="0"/>
          <w:numId w:val="9"/>
        </w:numPr>
        <w:spacing w:after="0"/>
      </w:pPr>
      <w:r w:rsidRPr="007B7DF4">
        <w:rPr>
          <w:i/>
          <w:iCs/>
        </w:rPr>
        <w:t>I</w:t>
      </w:r>
      <w:r w:rsidRPr="007B7DF4">
        <w:rPr>
          <w:i/>
          <w:iCs/>
        </w:rPr>
        <w:t>njunctions</w:t>
      </w:r>
      <w:r w:rsidRPr="007B7DF4">
        <w:t xml:space="preserve"> (which seek to prevent or stop a nuisance)</w:t>
      </w:r>
      <w:r>
        <w:t xml:space="preserve">: </w:t>
      </w:r>
      <w:proofErr w:type="spellStart"/>
      <w:r w:rsidRPr="007B7DF4">
        <w:rPr>
          <w:rFonts w:ascii="Helvetica" w:hAnsi="Helvetica"/>
          <w:i/>
          <w:szCs w:val="24"/>
        </w:rPr>
        <w:t>Shelfer</w:t>
      </w:r>
      <w:proofErr w:type="spellEnd"/>
      <w:r w:rsidRPr="007B7DF4">
        <w:rPr>
          <w:rFonts w:ascii="Helvetica" w:hAnsi="Helvetica"/>
          <w:i/>
          <w:szCs w:val="24"/>
        </w:rPr>
        <w:t xml:space="preserve"> v City of London Electric Lighting Co</w:t>
      </w:r>
      <w:r w:rsidRPr="007B7DF4">
        <w:rPr>
          <w:rFonts w:ascii="Helvetica" w:hAnsi="Helvetica"/>
          <w:szCs w:val="24"/>
        </w:rPr>
        <w:t xml:space="preserve"> [1895] 1 Ch. 287</w:t>
      </w:r>
      <w:r w:rsidRPr="007B7DF4">
        <w:rPr>
          <w:rFonts w:ascii="Helvetica" w:hAnsi="Helvetica"/>
          <w:szCs w:val="24"/>
        </w:rPr>
        <w:t xml:space="preserve"> (</w:t>
      </w:r>
      <w:proofErr w:type="spellStart"/>
      <w:r w:rsidRPr="007B7DF4">
        <w:rPr>
          <w:rFonts w:ascii="Helvetica" w:hAnsi="Helvetica"/>
          <w:szCs w:val="24"/>
        </w:rPr>
        <w:t>Shelfer</w:t>
      </w:r>
      <w:proofErr w:type="spellEnd"/>
      <w:r w:rsidRPr="007B7DF4">
        <w:rPr>
          <w:rFonts w:ascii="Helvetica" w:hAnsi="Helvetica"/>
          <w:szCs w:val="24"/>
        </w:rPr>
        <w:t xml:space="preserve"> requirements) but </w:t>
      </w:r>
      <w:r w:rsidRPr="001A2E37">
        <w:rPr>
          <w:rFonts w:ascii="Helvetica" w:hAnsi="Helvetica"/>
          <w:i/>
          <w:iCs/>
          <w:szCs w:val="24"/>
        </w:rPr>
        <w:t>Coventry v Lawrence</w:t>
      </w:r>
      <w:r w:rsidRPr="007B7DF4">
        <w:rPr>
          <w:rFonts w:ascii="Helvetica" w:hAnsi="Helvetica"/>
          <w:szCs w:val="24"/>
        </w:rPr>
        <w:t xml:space="preserve"> [2014] UKSC 13</w:t>
      </w:r>
      <w:r w:rsidRPr="007B7DF4">
        <w:rPr>
          <w:rFonts w:ascii="Helvetica" w:hAnsi="Helvetica"/>
          <w:szCs w:val="24"/>
        </w:rPr>
        <w:t xml:space="preserve"> = </w:t>
      </w:r>
      <w:r w:rsidRPr="007B7DF4">
        <w:rPr>
          <w:rFonts w:ascii="Helvetica" w:hAnsi="Helvetica"/>
          <w:szCs w:val="24"/>
        </w:rPr>
        <w:t xml:space="preserve">the </w:t>
      </w:r>
      <w:proofErr w:type="spellStart"/>
      <w:r w:rsidRPr="007B7DF4">
        <w:rPr>
          <w:rFonts w:ascii="Helvetica" w:hAnsi="Helvetica"/>
          <w:szCs w:val="24"/>
        </w:rPr>
        <w:t>Shelfer</w:t>
      </w:r>
      <w:proofErr w:type="spellEnd"/>
      <w:r w:rsidRPr="007B7DF4">
        <w:rPr>
          <w:rFonts w:ascii="Helvetica" w:hAnsi="Helvetica"/>
          <w:szCs w:val="24"/>
        </w:rPr>
        <w:t xml:space="preserve"> criteria should no longer be strictly applied. Lord Neuberger: ‘First, the application of the four tests must not be such as “to be a fetter on the exercise of the court’s discretion”. Secondly, it would, in the absence of additional relevant circumstances pointing the other way, normally be right to refuse an injunction if those four tests were satisfied. Thirdly, the fact that those tests are not all satisfied does not mean that an injunction should be granted’ [</w:t>
      </w:r>
      <w:proofErr w:type="gramStart"/>
      <w:r w:rsidRPr="007B7DF4">
        <w:rPr>
          <w:rFonts w:ascii="Helvetica" w:hAnsi="Helvetica"/>
          <w:szCs w:val="24"/>
        </w:rPr>
        <w:t>123 ]</w:t>
      </w:r>
      <w:proofErr w:type="gramEnd"/>
      <w:r w:rsidRPr="007B7DF4">
        <w:rPr>
          <w:rFonts w:ascii="Helvetica" w:hAnsi="Helvetica"/>
          <w:szCs w:val="24"/>
        </w:rPr>
        <w:t xml:space="preserve">. </w:t>
      </w:r>
      <w:r w:rsidRPr="007B7DF4">
        <w:rPr>
          <w:rFonts w:ascii="Helvetica" w:hAnsi="Helvetica"/>
          <w:szCs w:val="24"/>
        </w:rPr>
        <w:t>‘As for … public interest, I find it hard to see how there could be any circumstances in which it arose and could not, as a matter of law, be a relevant factor’ [124]</w:t>
      </w:r>
      <w:r w:rsidRPr="007B7DF4">
        <w:rPr>
          <w:rFonts w:ascii="Helvetica" w:hAnsi="Helvetica"/>
          <w:szCs w:val="24"/>
        </w:rPr>
        <w:t xml:space="preserve">. </w:t>
      </w:r>
      <w:r w:rsidRPr="007B7DF4">
        <w:rPr>
          <w:rFonts w:ascii="Helvetica" w:hAnsi="Helvetica"/>
          <w:szCs w:val="24"/>
        </w:rPr>
        <w:t>Planning permission in turn ‘may provide strong support for the contention that the activity is of benefit to the public.’ [125]</w:t>
      </w:r>
      <w:r>
        <w:rPr>
          <w:rFonts w:ascii="Helvetica" w:hAnsi="Helvetica"/>
          <w:szCs w:val="24"/>
        </w:rPr>
        <w:t>.</w:t>
      </w:r>
    </w:p>
    <w:p w14:paraId="2632E565" w14:textId="4594E700" w:rsidR="007B7DF4" w:rsidRDefault="007B7DF4" w:rsidP="007B7DF4">
      <w:pPr>
        <w:pStyle w:val="ListParagraph"/>
        <w:numPr>
          <w:ilvl w:val="0"/>
          <w:numId w:val="9"/>
        </w:numPr>
        <w:spacing w:after="0"/>
      </w:pPr>
      <w:r w:rsidRPr="007B7DF4">
        <w:rPr>
          <w:i/>
          <w:iCs/>
        </w:rPr>
        <w:t>D</w:t>
      </w:r>
      <w:r w:rsidRPr="007B7DF4">
        <w:rPr>
          <w:i/>
          <w:iCs/>
        </w:rPr>
        <w:t>amages</w:t>
      </w:r>
      <w:r w:rsidRPr="007B7DF4">
        <w:t xml:space="preserve"> (compensation)</w:t>
      </w:r>
      <w:r>
        <w:t xml:space="preserve">: </w:t>
      </w:r>
      <w:r w:rsidRPr="00267BA5">
        <w:rPr>
          <w:i/>
          <w:iCs/>
        </w:rPr>
        <w:t>Dennis v Ministry of Defence</w:t>
      </w:r>
      <w:r w:rsidRPr="007B7DF4">
        <w:t xml:space="preserve"> [2003]</w:t>
      </w:r>
    </w:p>
    <w:p w14:paraId="7C6EBB3F" w14:textId="2B089137" w:rsidR="007B7DF4" w:rsidRDefault="007B7DF4" w:rsidP="007B7DF4">
      <w:pPr>
        <w:pStyle w:val="ListParagraph"/>
        <w:numPr>
          <w:ilvl w:val="0"/>
          <w:numId w:val="9"/>
        </w:numPr>
        <w:spacing w:after="0"/>
        <w:rPr>
          <w:i/>
          <w:iCs/>
        </w:rPr>
      </w:pPr>
      <w:r w:rsidRPr="007B7DF4">
        <w:rPr>
          <w:i/>
          <w:iCs/>
        </w:rPr>
        <w:t>Abatement</w:t>
      </w:r>
    </w:p>
    <w:p w14:paraId="4CA868D5" w14:textId="77777777" w:rsidR="006272D2" w:rsidRDefault="006272D2" w:rsidP="006272D2">
      <w:pPr>
        <w:spacing w:before="240" w:line="240" w:lineRule="auto"/>
        <w:jc w:val="left"/>
        <w:rPr>
          <w:rFonts w:ascii="Helvetica" w:eastAsia="Calibri" w:hAnsi="Helvetica" w:cs="Times New Roman"/>
          <w:szCs w:val="24"/>
        </w:rPr>
      </w:pPr>
    </w:p>
    <w:p w14:paraId="221CAF63" w14:textId="582DA171" w:rsidR="006272D2" w:rsidRDefault="006272D2" w:rsidP="006272D2">
      <w:pPr>
        <w:spacing w:after="0"/>
        <w:jc w:val="left"/>
        <w:rPr>
          <w:rFonts w:eastAsia="Calibri" w:cs="Times New Roman"/>
          <w:b/>
          <w:bCs/>
          <w:sz w:val="28"/>
          <w:szCs w:val="28"/>
        </w:rPr>
      </w:pPr>
      <w:r>
        <w:rPr>
          <w:rFonts w:eastAsia="Calibri" w:cs="Times New Roman"/>
          <w:b/>
          <w:bCs/>
          <w:sz w:val="28"/>
          <w:szCs w:val="28"/>
        </w:rPr>
        <w:t>Actions under Rylands v Fletcher</w:t>
      </w:r>
    </w:p>
    <w:p w14:paraId="69974091" w14:textId="244D2C16" w:rsidR="006272D2" w:rsidRDefault="006272D2" w:rsidP="006272D2">
      <w:pPr>
        <w:spacing w:after="0"/>
        <w:jc w:val="left"/>
      </w:pPr>
      <w:r w:rsidRPr="006272D2">
        <w:t xml:space="preserve">The Rule in </w:t>
      </w:r>
      <w:r w:rsidRPr="006272D2">
        <w:rPr>
          <w:i/>
          <w:iCs/>
        </w:rPr>
        <w:t>Rylands v Fletcher</w:t>
      </w:r>
      <w:r w:rsidRPr="006272D2">
        <w:t xml:space="preserve"> [1865] protects an occupier against interference due to an isolated escape from (as opposed to an ongoing interference with) his/her/</w:t>
      </w:r>
      <w:r w:rsidRPr="006272D2">
        <w:t>their</w:t>
      </w:r>
      <w:r w:rsidRPr="006272D2">
        <w:t xml:space="preserve"> neighbour’s land.</w:t>
      </w:r>
      <w:r>
        <w:t xml:space="preserve"> Consists of three requirements/hurdles:</w:t>
      </w:r>
    </w:p>
    <w:p w14:paraId="0C76C384" w14:textId="5A4AC30E" w:rsidR="006272D2" w:rsidRDefault="006272D2" w:rsidP="006272D2">
      <w:pPr>
        <w:pStyle w:val="ListParagraph"/>
        <w:numPr>
          <w:ilvl w:val="0"/>
          <w:numId w:val="10"/>
        </w:numPr>
        <w:spacing w:after="0"/>
        <w:jc w:val="left"/>
      </w:pPr>
      <w:proofErr w:type="gramStart"/>
      <w:r>
        <w:t>Standing</w:t>
      </w:r>
      <w:r>
        <w:t>;</w:t>
      </w:r>
      <w:proofErr w:type="gramEnd"/>
    </w:p>
    <w:p w14:paraId="4337556D" w14:textId="467A9ABF" w:rsidR="006272D2" w:rsidRDefault="006272D2" w:rsidP="006272D2">
      <w:pPr>
        <w:pStyle w:val="ListParagraph"/>
        <w:numPr>
          <w:ilvl w:val="0"/>
          <w:numId w:val="10"/>
        </w:numPr>
        <w:spacing w:after="0"/>
        <w:jc w:val="left"/>
      </w:pPr>
      <w:r>
        <w:t>Must be a</w:t>
      </w:r>
      <w:r>
        <w:t xml:space="preserve">n escape of a dangerous thing </w:t>
      </w:r>
      <w:proofErr w:type="gramStart"/>
      <w:r>
        <w:t>in the course of</w:t>
      </w:r>
      <w:proofErr w:type="gramEnd"/>
      <w:r>
        <w:t xml:space="preserve"> a non-natural use of land</w:t>
      </w:r>
      <w:r>
        <w:t>; and</w:t>
      </w:r>
      <w:r>
        <w:t xml:space="preserve"> </w:t>
      </w:r>
    </w:p>
    <w:p w14:paraId="6E499014" w14:textId="3FA1013D" w:rsidR="006272D2" w:rsidRDefault="006272D2" w:rsidP="006272D2">
      <w:pPr>
        <w:pStyle w:val="ListParagraph"/>
        <w:numPr>
          <w:ilvl w:val="0"/>
          <w:numId w:val="10"/>
        </w:numPr>
        <w:spacing w:after="0"/>
        <w:jc w:val="left"/>
      </w:pPr>
      <w:r>
        <w:t>D</w:t>
      </w:r>
      <w:r>
        <w:t>efences</w:t>
      </w:r>
    </w:p>
    <w:p w14:paraId="1EB9524F" w14:textId="4775D954" w:rsidR="006272D2" w:rsidRDefault="006272D2" w:rsidP="006272D2">
      <w:pPr>
        <w:spacing w:after="0"/>
        <w:jc w:val="left"/>
      </w:pPr>
    </w:p>
    <w:p w14:paraId="0F1F4967" w14:textId="74175BC7" w:rsidR="006272D2" w:rsidRPr="006272D2" w:rsidRDefault="006272D2" w:rsidP="006272D2">
      <w:pPr>
        <w:spacing w:after="0"/>
        <w:jc w:val="left"/>
        <w:rPr>
          <w:b/>
          <w:bCs/>
        </w:rPr>
      </w:pPr>
      <w:r w:rsidRPr="006272D2">
        <w:rPr>
          <w:b/>
          <w:bCs/>
        </w:rPr>
        <w:t>Standing</w:t>
      </w:r>
    </w:p>
    <w:p w14:paraId="39A29C13" w14:textId="375043D2" w:rsidR="006272D2" w:rsidRDefault="006272D2" w:rsidP="006272D2">
      <w:pPr>
        <w:spacing w:after="0"/>
        <w:jc w:val="left"/>
      </w:pPr>
      <w:r w:rsidRPr="006272D2">
        <w:rPr>
          <w:i/>
          <w:iCs/>
        </w:rPr>
        <w:t xml:space="preserve">Rylands v Fletcher </w:t>
      </w:r>
      <w:r>
        <w:t>(1868) L.R. 3 H.L. 330</w:t>
      </w:r>
      <w:r>
        <w:t xml:space="preserve">: </w:t>
      </w:r>
      <w:r>
        <w:t>Defendant employed some people to build a reservoir on his land. The contractors found disused mines when digging but failed to seal them properly. They filled the reservoir with water. As a result, water flooded through the mineshafts into the plaintiff’s mines on the adjoining property.</w:t>
      </w:r>
    </w:p>
    <w:p w14:paraId="3F28E47E" w14:textId="48FF84A8" w:rsidR="006272D2" w:rsidRDefault="006272D2" w:rsidP="003059E0">
      <w:pPr>
        <w:jc w:val="left"/>
      </w:pPr>
      <w:r>
        <w:t>Held: ‘[T]he person who, for his own purposes, brings on his land and collects and keeps there anything [which is a non-natural use of the land] likely to do mischief if it escapes, must keep it in at his peril; and if he does not do so, is prim</w:t>
      </w:r>
      <w:r>
        <w:t>a</w:t>
      </w:r>
      <w:r>
        <w:t xml:space="preserve"> facie answerable for all the damage which is the natural consequence of its escape.’ The defendant </w:t>
      </w:r>
      <w:r>
        <w:t>was</w:t>
      </w:r>
      <w:r>
        <w:t xml:space="preserve"> held liable.</w:t>
      </w:r>
    </w:p>
    <w:p w14:paraId="5059B946" w14:textId="2F0EB893" w:rsidR="006272D2" w:rsidRPr="003059E0" w:rsidRDefault="003059E0" w:rsidP="006272D2">
      <w:pPr>
        <w:spacing w:after="0"/>
        <w:jc w:val="left"/>
        <w:rPr>
          <w:b/>
          <w:bCs/>
        </w:rPr>
      </w:pPr>
      <w:r w:rsidRPr="003059E0">
        <w:rPr>
          <w:b/>
          <w:bCs/>
        </w:rPr>
        <w:t xml:space="preserve">An escape of a dangerous thing </w:t>
      </w:r>
      <w:proofErr w:type="gramStart"/>
      <w:r w:rsidRPr="003059E0">
        <w:rPr>
          <w:b/>
          <w:bCs/>
        </w:rPr>
        <w:t>in the course of</w:t>
      </w:r>
      <w:proofErr w:type="gramEnd"/>
      <w:r w:rsidRPr="003059E0">
        <w:rPr>
          <w:b/>
          <w:bCs/>
        </w:rPr>
        <w:t xml:space="preserve"> a non-natural use of land</w:t>
      </w:r>
    </w:p>
    <w:p w14:paraId="3AA6637D" w14:textId="259465B0" w:rsidR="003059E0" w:rsidRDefault="003059E0" w:rsidP="003059E0">
      <w:pPr>
        <w:spacing w:after="0"/>
        <w:jc w:val="left"/>
      </w:pPr>
      <w:r>
        <w:t>Four requirements are relevant here:</w:t>
      </w:r>
    </w:p>
    <w:p w14:paraId="60395842" w14:textId="508550FF" w:rsidR="003059E0" w:rsidRDefault="003059E0" w:rsidP="003059E0">
      <w:pPr>
        <w:pStyle w:val="ListParagraph"/>
        <w:numPr>
          <w:ilvl w:val="0"/>
          <w:numId w:val="11"/>
        </w:numPr>
        <w:spacing w:after="0"/>
        <w:jc w:val="left"/>
      </w:pPr>
      <w:r>
        <w:t>The defendant brings on his land for his own purposes something likely to do mischief</w:t>
      </w:r>
      <w:r>
        <w:t xml:space="preserve">: </w:t>
      </w:r>
      <w:r w:rsidRPr="00267BA5">
        <w:rPr>
          <w:i/>
          <w:iCs/>
        </w:rPr>
        <w:t>Transco v Stockport Metropolitan Borough Council</w:t>
      </w:r>
      <w:r w:rsidRPr="003059E0">
        <w:t xml:space="preserve"> [2003] UKHL 61</w:t>
      </w:r>
      <w:r>
        <w:t xml:space="preserve">; </w:t>
      </w:r>
      <w:r w:rsidRPr="00267BA5">
        <w:rPr>
          <w:i/>
          <w:iCs/>
        </w:rPr>
        <w:t>Stannard v Gore</w:t>
      </w:r>
      <w:r w:rsidRPr="003059E0">
        <w:t xml:space="preserve"> [2012] EWCA </w:t>
      </w:r>
      <w:proofErr w:type="spellStart"/>
      <w:r w:rsidRPr="003059E0">
        <w:t>Civ</w:t>
      </w:r>
      <w:proofErr w:type="spellEnd"/>
      <w:r w:rsidRPr="003059E0">
        <w:t xml:space="preserve"> 1248</w:t>
      </w:r>
    </w:p>
    <w:p w14:paraId="12FBBE6F" w14:textId="4F2A07A7" w:rsidR="003059E0" w:rsidRDefault="003059E0" w:rsidP="003059E0">
      <w:pPr>
        <w:pStyle w:val="ListParagraph"/>
        <w:numPr>
          <w:ilvl w:val="0"/>
          <w:numId w:val="11"/>
        </w:numPr>
        <w:spacing w:after="0"/>
        <w:jc w:val="left"/>
      </w:pPr>
      <w:r>
        <w:t>I</w:t>
      </w:r>
      <w:r>
        <w:t>t escapes</w:t>
      </w:r>
      <w:r>
        <w:t xml:space="preserve">: </w:t>
      </w:r>
      <w:r w:rsidRPr="00267BA5">
        <w:rPr>
          <w:i/>
          <w:iCs/>
        </w:rPr>
        <w:t>Read v Lyons</w:t>
      </w:r>
      <w:r w:rsidRPr="003059E0">
        <w:t xml:space="preserve"> [1947] A.C. 156</w:t>
      </w:r>
    </w:p>
    <w:p w14:paraId="1A747566" w14:textId="5019E5CC" w:rsidR="003059E0" w:rsidRDefault="003059E0" w:rsidP="003059E0">
      <w:pPr>
        <w:pStyle w:val="ListParagraph"/>
        <w:numPr>
          <w:ilvl w:val="0"/>
          <w:numId w:val="11"/>
        </w:numPr>
        <w:spacing w:after="0"/>
        <w:jc w:val="left"/>
      </w:pPr>
      <w:r>
        <w:t>W</w:t>
      </w:r>
      <w:r>
        <w:t>hich represents a non-natural use of land</w:t>
      </w:r>
      <w:r>
        <w:t xml:space="preserve">: </w:t>
      </w:r>
      <w:r w:rsidRPr="00267BA5">
        <w:rPr>
          <w:i/>
          <w:iCs/>
        </w:rPr>
        <w:t>Rickards v Lothian</w:t>
      </w:r>
      <w:r w:rsidRPr="003059E0">
        <w:t xml:space="preserve"> [1913] A.C. 263</w:t>
      </w:r>
      <w:r>
        <w:t xml:space="preserve">; </w:t>
      </w:r>
      <w:r w:rsidRPr="00267BA5">
        <w:rPr>
          <w:i/>
          <w:iCs/>
        </w:rPr>
        <w:t>Cambridge Water Co Ltd v Eastern Counties Leather p</w:t>
      </w:r>
      <w:r w:rsidRPr="003059E0">
        <w:t>lc [1994] 2 A.C. 264</w:t>
      </w:r>
      <w:r>
        <w:t xml:space="preserve">; </w:t>
      </w:r>
      <w:r w:rsidRPr="00267BA5">
        <w:rPr>
          <w:i/>
          <w:iCs/>
        </w:rPr>
        <w:t>Standard v Gore</w:t>
      </w:r>
      <w:r>
        <w:t xml:space="preserve">; </w:t>
      </w:r>
      <w:r w:rsidRPr="00267BA5">
        <w:rPr>
          <w:i/>
          <w:iCs/>
        </w:rPr>
        <w:t>Transco v Stockport Metropolitan Borough Council</w:t>
      </w:r>
    </w:p>
    <w:p w14:paraId="0C919310" w14:textId="4311F0EB" w:rsidR="003059E0" w:rsidRDefault="003059E0" w:rsidP="003059E0">
      <w:pPr>
        <w:pStyle w:val="ListParagraph"/>
        <w:numPr>
          <w:ilvl w:val="0"/>
          <w:numId w:val="11"/>
        </w:numPr>
        <w:jc w:val="left"/>
      </w:pPr>
      <w:r>
        <w:t>W</w:t>
      </w:r>
      <w:r>
        <w:t>hich causes foreseeable damage of the relevant type</w:t>
      </w:r>
      <w:r>
        <w:t xml:space="preserve">: </w:t>
      </w:r>
      <w:r>
        <w:t xml:space="preserve">The fourth requirement to the </w:t>
      </w:r>
      <w:r w:rsidRPr="003059E0">
        <w:rPr>
          <w:i/>
          <w:iCs/>
        </w:rPr>
        <w:t xml:space="preserve">Rylands </w:t>
      </w:r>
      <w:r>
        <w:t xml:space="preserve">test was added in </w:t>
      </w:r>
      <w:r w:rsidRPr="003059E0">
        <w:rPr>
          <w:i/>
          <w:iCs/>
        </w:rPr>
        <w:t>Cambridge Water</w:t>
      </w:r>
      <w:r>
        <w:t>—what prevented the claimant’s recovery of damages was the fact that the harm suffered was regarded as too remote. There has been some discussion as to how far the test of foreseeability goes and about what exactly must be foreseeable—the harm alone or also the escape in the first place? Lord Goff’s opinion is not entirely clear on these points, but the commonly held view is that it is not the escape that must be foreseeable, merely the damage resulting from the escape. Therefore, the correct question is: Once there has been an escape, is the damage suffered by the claimant of a type or kind that was a reasonably foreseeable consequence of such an escape?</w:t>
      </w:r>
    </w:p>
    <w:p w14:paraId="62CBA529" w14:textId="58500E76" w:rsidR="003059E0" w:rsidRDefault="003059E0" w:rsidP="003059E0">
      <w:pPr>
        <w:spacing w:after="0"/>
        <w:jc w:val="left"/>
        <w:rPr>
          <w:b/>
          <w:bCs/>
        </w:rPr>
      </w:pPr>
      <w:r w:rsidRPr="003059E0">
        <w:rPr>
          <w:b/>
          <w:bCs/>
        </w:rPr>
        <w:t>Defences</w:t>
      </w:r>
    </w:p>
    <w:p w14:paraId="1247BC3B" w14:textId="3D738D5B" w:rsidR="003059E0" w:rsidRDefault="003059E0" w:rsidP="003059E0">
      <w:pPr>
        <w:spacing w:after="0"/>
        <w:jc w:val="left"/>
      </w:pPr>
      <w:r w:rsidRPr="003059E0">
        <w:t>Statutory authority, contributory negligence and consent</w:t>
      </w:r>
      <w:r w:rsidR="001A2E37">
        <w:t xml:space="preserve"> are relevant here too, </w:t>
      </w:r>
      <w:r w:rsidRPr="003059E0">
        <w:t xml:space="preserve">but </w:t>
      </w:r>
      <w:r w:rsidR="001A2E37">
        <w:t xml:space="preserve">there are special </w:t>
      </w:r>
      <w:r w:rsidRPr="003059E0">
        <w:t>Rylands defences</w:t>
      </w:r>
      <w:r w:rsidR="001A2E37">
        <w:t>:</w:t>
      </w:r>
    </w:p>
    <w:p w14:paraId="1502B17B" w14:textId="071B736F" w:rsidR="001A2E37" w:rsidRDefault="001A2E37" w:rsidP="001A2E37">
      <w:pPr>
        <w:pStyle w:val="ListParagraph"/>
        <w:numPr>
          <w:ilvl w:val="0"/>
          <w:numId w:val="12"/>
        </w:numPr>
        <w:spacing w:after="0"/>
        <w:jc w:val="left"/>
      </w:pPr>
      <w:r w:rsidRPr="001A2E37">
        <w:t>Fault of the claimant or express or implied consent</w:t>
      </w:r>
      <w:r>
        <w:t xml:space="preserve">: </w:t>
      </w:r>
      <w:r w:rsidRPr="00267BA5">
        <w:rPr>
          <w:i/>
          <w:iCs/>
        </w:rPr>
        <w:t>Ponting v Noakes</w:t>
      </w:r>
      <w:r w:rsidRPr="001A2E37">
        <w:t xml:space="preserve"> [1894] 2 Q.B. 281</w:t>
      </w:r>
    </w:p>
    <w:p w14:paraId="43282558" w14:textId="474F9FC0" w:rsidR="001A2E37" w:rsidRDefault="001A2E37" w:rsidP="001A2E37">
      <w:pPr>
        <w:pStyle w:val="ListParagraph"/>
        <w:numPr>
          <w:ilvl w:val="0"/>
          <w:numId w:val="12"/>
        </w:numPr>
        <w:spacing w:after="0"/>
        <w:jc w:val="left"/>
      </w:pPr>
      <w:r w:rsidRPr="001A2E37">
        <w:t>Escape caused by the unforeseeable act of a stranger</w:t>
      </w:r>
      <w:r>
        <w:t xml:space="preserve">: </w:t>
      </w:r>
      <w:r w:rsidRPr="001A2E37">
        <w:rPr>
          <w:i/>
          <w:iCs/>
        </w:rPr>
        <w:t>Perry v Kendricks Transport Ltd</w:t>
      </w:r>
      <w:r w:rsidRPr="001A2E37">
        <w:t xml:space="preserve"> [1956] 1 W.L.R. 85</w:t>
      </w:r>
      <w:r>
        <w:t xml:space="preserve">; </w:t>
      </w:r>
      <w:r w:rsidRPr="00267BA5">
        <w:rPr>
          <w:i/>
          <w:iCs/>
        </w:rPr>
        <w:t xml:space="preserve">Rickards v </w:t>
      </w:r>
      <w:proofErr w:type="gramStart"/>
      <w:r w:rsidRPr="00267BA5">
        <w:rPr>
          <w:i/>
          <w:iCs/>
        </w:rPr>
        <w:t>Lothian</w:t>
      </w:r>
      <w:proofErr w:type="gramEnd"/>
    </w:p>
    <w:p w14:paraId="54B06B21" w14:textId="156438AF" w:rsidR="001A2E37" w:rsidRDefault="001A2E37" w:rsidP="001A2E37">
      <w:pPr>
        <w:pStyle w:val="ListParagraph"/>
        <w:numPr>
          <w:ilvl w:val="0"/>
          <w:numId w:val="12"/>
        </w:numPr>
        <w:jc w:val="left"/>
      </w:pPr>
      <w:r w:rsidRPr="001A2E37">
        <w:t>Escape caused by an ‘act of God’</w:t>
      </w:r>
      <w:r>
        <w:t xml:space="preserve">: </w:t>
      </w:r>
      <w:r w:rsidRPr="00267BA5">
        <w:rPr>
          <w:i/>
          <w:iCs/>
        </w:rPr>
        <w:t xml:space="preserve">Nichols v </w:t>
      </w:r>
      <w:proofErr w:type="spellStart"/>
      <w:r w:rsidRPr="00267BA5">
        <w:rPr>
          <w:i/>
          <w:iCs/>
        </w:rPr>
        <w:t>Marsland</w:t>
      </w:r>
      <w:proofErr w:type="spellEnd"/>
      <w:r w:rsidRPr="001A2E37">
        <w:t xml:space="preserve"> (1876) 2 Ex. D. 1</w:t>
      </w:r>
      <w:r>
        <w:t xml:space="preserve">; </w:t>
      </w:r>
      <w:r w:rsidRPr="00267BA5">
        <w:rPr>
          <w:i/>
          <w:iCs/>
        </w:rPr>
        <w:t>Greenock Corporation v Caledonian Railway</w:t>
      </w:r>
      <w:r w:rsidRPr="001A2E37">
        <w:t xml:space="preserve"> [1917] A.C. 556</w:t>
      </w:r>
    </w:p>
    <w:p w14:paraId="40DF4161" w14:textId="1C867EE4" w:rsidR="001A2E37" w:rsidRPr="001A2E37" w:rsidRDefault="001A2E37" w:rsidP="001A2E37">
      <w:pPr>
        <w:spacing w:after="0"/>
        <w:jc w:val="left"/>
        <w:rPr>
          <w:b/>
          <w:bCs/>
        </w:rPr>
      </w:pPr>
      <w:r w:rsidRPr="001A2E37">
        <w:rPr>
          <w:b/>
          <w:bCs/>
        </w:rPr>
        <w:t>Rylands today</w:t>
      </w:r>
    </w:p>
    <w:p w14:paraId="2C9C9506" w14:textId="5C46A4C4" w:rsidR="001A2E37" w:rsidRDefault="001A2E37" w:rsidP="001A2E37">
      <w:pPr>
        <w:jc w:val="left"/>
      </w:pPr>
      <w:r>
        <w:t xml:space="preserve">Lord Hoffmann said in </w:t>
      </w:r>
      <w:r w:rsidRPr="001A2E37">
        <w:rPr>
          <w:i/>
          <w:iCs/>
        </w:rPr>
        <w:t>Transco v Stockport MBC</w:t>
      </w:r>
      <w:r>
        <w:t xml:space="preserve">, ‘It is hard to escape the conclusion that the intellectual effort devoted to the rule by judges and writers over many years has brought forth a mouse.’ In </w:t>
      </w:r>
      <w:r w:rsidRPr="001A2E37">
        <w:rPr>
          <w:i/>
          <w:iCs/>
        </w:rPr>
        <w:t>Cambridge Water</w:t>
      </w:r>
      <w:r>
        <w:t>, Lord Goff questioned whether the rule from Rylands was best seen as analytically distinct from nuisance or if they should be viewed as two parts of the same thing. Even though the Rylands rule had developed out of a desire to protect landowners from the risks of isolated escapes from industry and other risky activities, he held that ‘it would… lead to a more coherent body of common law principles if the rule were to be regarded as essentially an extension of the law of nuisance to isolated escapes from land’ (at 306).</w:t>
      </w:r>
    </w:p>
    <w:p w14:paraId="1D2BCDF2" w14:textId="0845267E" w:rsidR="001A2E37" w:rsidRPr="001A2E37" w:rsidRDefault="001A2E37" w:rsidP="001A2E37">
      <w:pPr>
        <w:spacing w:after="0"/>
        <w:jc w:val="left"/>
        <w:rPr>
          <w:b/>
          <w:bCs/>
        </w:rPr>
      </w:pPr>
      <w:r w:rsidRPr="001A2E37">
        <w:rPr>
          <w:b/>
          <w:bCs/>
        </w:rPr>
        <w:t>The nuisance/Rylands v Fletcher/negligence overlap</w:t>
      </w:r>
    </w:p>
    <w:p w14:paraId="711BA032" w14:textId="44875A8B" w:rsidR="001A2E37" w:rsidRDefault="001A2E37" w:rsidP="001A2E37">
      <w:pPr>
        <w:jc w:val="left"/>
      </w:pPr>
      <w:r w:rsidRPr="001A2E37">
        <w:t xml:space="preserve">Lord Walker, in </w:t>
      </w:r>
      <w:r w:rsidRPr="00267BA5">
        <w:rPr>
          <w:i/>
          <w:iCs/>
        </w:rPr>
        <w:t>Transco</w:t>
      </w:r>
      <w:r w:rsidRPr="001A2E37">
        <w:t xml:space="preserve">, suggested that liability in nuisance (and presumably, therefore, the rule in </w:t>
      </w:r>
      <w:r w:rsidRPr="00267BA5">
        <w:rPr>
          <w:i/>
          <w:iCs/>
        </w:rPr>
        <w:t>Ryland</w:t>
      </w:r>
      <w:r w:rsidRPr="001A2E37">
        <w:t>s) ‘overlaps with (indeed, is a sort of condominium with) that of negligence’ (at [96])</w:t>
      </w:r>
      <w:r>
        <w:t>.</w:t>
      </w:r>
    </w:p>
    <w:p w14:paraId="203DB380" w14:textId="77777777" w:rsidR="001A2E37" w:rsidRDefault="001A2E37" w:rsidP="001A2E37">
      <w:pPr>
        <w:spacing w:after="0"/>
        <w:jc w:val="left"/>
      </w:pPr>
      <w:proofErr w:type="spellStart"/>
      <w:r w:rsidRPr="00267BA5">
        <w:rPr>
          <w:i/>
          <w:iCs/>
        </w:rPr>
        <w:t>Sedleigh-Denfield</w:t>
      </w:r>
      <w:proofErr w:type="spellEnd"/>
      <w:r w:rsidRPr="00267BA5">
        <w:rPr>
          <w:i/>
          <w:iCs/>
        </w:rPr>
        <w:t xml:space="preserve"> v O’Callaghan</w:t>
      </w:r>
      <w:r>
        <w:t xml:space="preserve"> [1940] A.C. 880</w:t>
      </w:r>
      <w:r>
        <w:t xml:space="preserve">: </w:t>
      </w:r>
      <w:r>
        <w:t>A water pipe was installed on the defendant’s property, a monastery. It was poorly constructed which cause it to become blocked. A monk knew about this issue but did nothing to fix it. It subsequently flooded the claimant's property.</w:t>
      </w:r>
      <w:r>
        <w:t xml:space="preserve"> </w:t>
      </w:r>
      <w:r>
        <w:t>Held: Liable in private nuisance.</w:t>
      </w:r>
      <w:r>
        <w:t xml:space="preserve"> </w:t>
      </w:r>
    </w:p>
    <w:p w14:paraId="4BF661C3" w14:textId="697A9F49" w:rsidR="001A2E37" w:rsidRDefault="001A2E37" w:rsidP="001A2E37">
      <w:pPr>
        <w:spacing w:after="0"/>
        <w:jc w:val="left"/>
      </w:pPr>
      <w:r>
        <w:t xml:space="preserve">This case shows clearly what we mean by a claim ‘straddling’ the tort of private nuisance and an action under Rylands. The applicability of a particular action turns on what is categorised as the ‘nuisance’ or problem in the first place. </w:t>
      </w:r>
    </w:p>
    <w:p w14:paraId="4611578C" w14:textId="1D2A0075" w:rsidR="001A2E37" w:rsidRDefault="001A2E37" w:rsidP="001A2E37">
      <w:pPr>
        <w:pStyle w:val="ListParagraph"/>
        <w:numPr>
          <w:ilvl w:val="0"/>
          <w:numId w:val="13"/>
        </w:numPr>
        <w:spacing w:after="0"/>
        <w:jc w:val="left"/>
      </w:pPr>
      <w:r>
        <w:t xml:space="preserve">If it is the pipe, then this is an ongoing situation (at least, the risk created would be) and would fall in the private nuisance category.  </w:t>
      </w:r>
    </w:p>
    <w:p w14:paraId="22586A4E" w14:textId="3D3E5C16" w:rsidR="001A2E37" w:rsidRDefault="001A2E37" w:rsidP="001A2E37">
      <w:pPr>
        <w:pStyle w:val="ListParagraph"/>
        <w:numPr>
          <w:ilvl w:val="0"/>
          <w:numId w:val="13"/>
        </w:numPr>
        <w:spacing w:after="0"/>
        <w:jc w:val="left"/>
      </w:pPr>
      <w:r>
        <w:t xml:space="preserve">However, if it is the flooding of the claimant’s land then it could be viewed that the water, once accumulated behind the blockage in the pipe, had ‘escaped’, making this case sit squarely in Rylands.  </w:t>
      </w:r>
    </w:p>
    <w:p w14:paraId="05C8A0C9" w14:textId="7CC1A7BC" w:rsidR="001A2E37" w:rsidRPr="003059E0" w:rsidRDefault="001A2E37" w:rsidP="001A2E37">
      <w:pPr>
        <w:pStyle w:val="ListParagraph"/>
        <w:numPr>
          <w:ilvl w:val="0"/>
          <w:numId w:val="13"/>
        </w:numPr>
        <w:spacing w:after="0"/>
        <w:jc w:val="left"/>
      </w:pPr>
      <w:r>
        <w:t>However, it also seems eminently possible that what we are talking about here is, in fact, negligence—the defendants did not act reasonably or failed to take reasonable steps to do something about the grate and the potential problem that the pipe could become blocked.</w:t>
      </w:r>
    </w:p>
    <w:sectPr w:rsidR="001A2E37" w:rsidRPr="003059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altName w:val="Merriweather"/>
    <w:charset w:val="00"/>
    <w:family w:val="auto"/>
    <w:pitch w:val="variable"/>
    <w:sig w:usb0="20000207" w:usb1="00000002" w:usb2="00000000" w:usb3="00000000" w:csb0="00000197"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56ACE"/>
    <w:multiLevelType w:val="hybridMultilevel"/>
    <w:tmpl w:val="3D185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274270"/>
    <w:multiLevelType w:val="hybridMultilevel"/>
    <w:tmpl w:val="A9C6A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1C0A3A"/>
    <w:multiLevelType w:val="hybridMultilevel"/>
    <w:tmpl w:val="09EE3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013D29"/>
    <w:multiLevelType w:val="hybridMultilevel"/>
    <w:tmpl w:val="18003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6E15B3"/>
    <w:multiLevelType w:val="hybridMultilevel"/>
    <w:tmpl w:val="3AFA1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297810"/>
    <w:multiLevelType w:val="hybridMultilevel"/>
    <w:tmpl w:val="07BE8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CE0002"/>
    <w:multiLevelType w:val="hybridMultilevel"/>
    <w:tmpl w:val="2206B290"/>
    <w:lvl w:ilvl="0" w:tplc="C90EA508">
      <w:start w:val="1"/>
      <w:numFmt w:val="bullet"/>
      <w:lvlText w:val=""/>
      <w:lvlJc w:val="left"/>
      <w:pPr>
        <w:ind w:left="720" w:hanging="360"/>
      </w:pPr>
      <w:rPr>
        <w:rFonts w:ascii="Symbol" w:hAnsi="Symbol" w:hint="default"/>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A933F8"/>
    <w:multiLevelType w:val="hybridMultilevel"/>
    <w:tmpl w:val="72DA6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8754EB"/>
    <w:multiLevelType w:val="hybridMultilevel"/>
    <w:tmpl w:val="F6AE2020"/>
    <w:lvl w:ilvl="0" w:tplc="08090001">
      <w:start w:val="1"/>
      <w:numFmt w:val="bullet"/>
      <w:lvlText w:val=""/>
      <w:lvlJc w:val="left"/>
      <w:pPr>
        <w:ind w:left="788" w:hanging="360"/>
      </w:pPr>
      <w:rPr>
        <w:rFonts w:ascii="Symbol" w:hAnsi="Symbol" w:hint="default"/>
      </w:rPr>
    </w:lvl>
    <w:lvl w:ilvl="1" w:tplc="08090003" w:tentative="1">
      <w:start w:val="1"/>
      <w:numFmt w:val="bullet"/>
      <w:lvlText w:val="o"/>
      <w:lvlJc w:val="left"/>
      <w:pPr>
        <w:ind w:left="1508" w:hanging="360"/>
      </w:pPr>
      <w:rPr>
        <w:rFonts w:ascii="Courier New" w:hAnsi="Courier New" w:cs="Courier New" w:hint="default"/>
      </w:rPr>
    </w:lvl>
    <w:lvl w:ilvl="2" w:tplc="08090005" w:tentative="1">
      <w:start w:val="1"/>
      <w:numFmt w:val="bullet"/>
      <w:lvlText w:val=""/>
      <w:lvlJc w:val="left"/>
      <w:pPr>
        <w:ind w:left="2228" w:hanging="360"/>
      </w:pPr>
      <w:rPr>
        <w:rFonts w:ascii="Wingdings" w:hAnsi="Wingdings" w:hint="default"/>
      </w:rPr>
    </w:lvl>
    <w:lvl w:ilvl="3" w:tplc="08090001" w:tentative="1">
      <w:start w:val="1"/>
      <w:numFmt w:val="bullet"/>
      <w:lvlText w:val=""/>
      <w:lvlJc w:val="left"/>
      <w:pPr>
        <w:ind w:left="2948" w:hanging="360"/>
      </w:pPr>
      <w:rPr>
        <w:rFonts w:ascii="Symbol" w:hAnsi="Symbol" w:hint="default"/>
      </w:rPr>
    </w:lvl>
    <w:lvl w:ilvl="4" w:tplc="08090003" w:tentative="1">
      <w:start w:val="1"/>
      <w:numFmt w:val="bullet"/>
      <w:lvlText w:val="o"/>
      <w:lvlJc w:val="left"/>
      <w:pPr>
        <w:ind w:left="3668" w:hanging="360"/>
      </w:pPr>
      <w:rPr>
        <w:rFonts w:ascii="Courier New" w:hAnsi="Courier New" w:cs="Courier New" w:hint="default"/>
      </w:rPr>
    </w:lvl>
    <w:lvl w:ilvl="5" w:tplc="08090005" w:tentative="1">
      <w:start w:val="1"/>
      <w:numFmt w:val="bullet"/>
      <w:lvlText w:val=""/>
      <w:lvlJc w:val="left"/>
      <w:pPr>
        <w:ind w:left="4388" w:hanging="360"/>
      </w:pPr>
      <w:rPr>
        <w:rFonts w:ascii="Wingdings" w:hAnsi="Wingdings" w:hint="default"/>
      </w:rPr>
    </w:lvl>
    <w:lvl w:ilvl="6" w:tplc="08090001" w:tentative="1">
      <w:start w:val="1"/>
      <w:numFmt w:val="bullet"/>
      <w:lvlText w:val=""/>
      <w:lvlJc w:val="left"/>
      <w:pPr>
        <w:ind w:left="5108" w:hanging="360"/>
      </w:pPr>
      <w:rPr>
        <w:rFonts w:ascii="Symbol" w:hAnsi="Symbol" w:hint="default"/>
      </w:rPr>
    </w:lvl>
    <w:lvl w:ilvl="7" w:tplc="08090003" w:tentative="1">
      <w:start w:val="1"/>
      <w:numFmt w:val="bullet"/>
      <w:lvlText w:val="o"/>
      <w:lvlJc w:val="left"/>
      <w:pPr>
        <w:ind w:left="5828" w:hanging="360"/>
      </w:pPr>
      <w:rPr>
        <w:rFonts w:ascii="Courier New" w:hAnsi="Courier New" w:cs="Courier New" w:hint="default"/>
      </w:rPr>
    </w:lvl>
    <w:lvl w:ilvl="8" w:tplc="08090005" w:tentative="1">
      <w:start w:val="1"/>
      <w:numFmt w:val="bullet"/>
      <w:lvlText w:val=""/>
      <w:lvlJc w:val="left"/>
      <w:pPr>
        <w:ind w:left="6548" w:hanging="360"/>
      </w:pPr>
      <w:rPr>
        <w:rFonts w:ascii="Wingdings" w:hAnsi="Wingdings" w:hint="default"/>
      </w:rPr>
    </w:lvl>
  </w:abstractNum>
  <w:abstractNum w:abstractNumId="9" w15:restartNumberingAfterBreak="0">
    <w:nsid w:val="51C36EAD"/>
    <w:multiLevelType w:val="hybridMultilevel"/>
    <w:tmpl w:val="063C9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0965F4"/>
    <w:multiLevelType w:val="hybridMultilevel"/>
    <w:tmpl w:val="24DC9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C3A5EBD"/>
    <w:multiLevelType w:val="hybridMultilevel"/>
    <w:tmpl w:val="86BEC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6D3DCE"/>
    <w:multiLevelType w:val="hybridMultilevel"/>
    <w:tmpl w:val="98F803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1857389">
    <w:abstractNumId w:val="6"/>
  </w:num>
  <w:num w:numId="2" w16cid:durableId="1007026760">
    <w:abstractNumId w:val="1"/>
  </w:num>
  <w:num w:numId="3" w16cid:durableId="964967407">
    <w:abstractNumId w:val="2"/>
  </w:num>
  <w:num w:numId="4" w16cid:durableId="1198814137">
    <w:abstractNumId w:val="8"/>
  </w:num>
  <w:num w:numId="5" w16cid:durableId="519241804">
    <w:abstractNumId w:val="3"/>
  </w:num>
  <w:num w:numId="6" w16cid:durableId="1588147986">
    <w:abstractNumId w:val="11"/>
  </w:num>
  <w:num w:numId="7" w16cid:durableId="526144113">
    <w:abstractNumId w:val="0"/>
  </w:num>
  <w:num w:numId="8" w16cid:durableId="238910345">
    <w:abstractNumId w:val="12"/>
  </w:num>
  <w:num w:numId="9" w16cid:durableId="276450624">
    <w:abstractNumId w:val="10"/>
  </w:num>
  <w:num w:numId="10" w16cid:durableId="740636609">
    <w:abstractNumId w:val="5"/>
  </w:num>
  <w:num w:numId="11" w16cid:durableId="1169104475">
    <w:abstractNumId w:val="7"/>
  </w:num>
  <w:num w:numId="12" w16cid:durableId="633606929">
    <w:abstractNumId w:val="4"/>
  </w:num>
  <w:num w:numId="13" w16cid:durableId="15559671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2F5"/>
    <w:rsid w:val="0003393C"/>
    <w:rsid w:val="001258DB"/>
    <w:rsid w:val="001A2E37"/>
    <w:rsid w:val="00267BA5"/>
    <w:rsid w:val="003059E0"/>
    <w:rsid w:val="00386221"/>
    <w:rsid w:val="003B79DB"/>
    <w:rsid w:val="00494999"/>
    <w:rsid w:val="00546B03"/>
    <w:rsid w:val="00556252"/>
    <w:rsid w:val="005B7B25"/>
    <w:rsid w:val="00605DD0"/>
    <w:rsid w:val="006272D2"/>
    <w:rsid w:val="006A4860"/>
    <w:rsid w:val="0078498C"/>
    <w:rsid w:val="007B7DF4"/>
    <w:rsid w:val="008678BC"/>
    <w:rsid w:val="00882970"/>
    <w:rsid w:val="008F638A"/>
    <w:rsid w:val="009611C3"/>
    <w:rsid w:val="009653CD"/>
    <w:rsid w:val="009A25C8"/>
    <w:rsid w:val="00A31781"/>
    <w:rsid w:val="00A36DC0"/>
    <w:rsid w:val="00A90E6D"/>
    <w:rsid w:val="00B3426C"/>
    <w:rsid w:val="00BB2E59"/>
    <w:rsid w:val="00D71306"/>
    <w:rsid w:val="00D75415"/>
    <w:rsid w:val="00E05CD9"/>
    <w:rsid w:val="00E702B0"/>
    <w:rsid w:val="00EE5F80"/>
    <w:rsid w:val="00FB12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CC7A5"/>
  <w15:chartTrackingRefBased/>
  <w15:docId w15:val="{388CB492-D979-4B5D-9932-E600D0FB3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2D2"/>
    <w:pPr>
      <w:jc w:val="both"/>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3393C"/>
    <w:pPr>
      <w:widowControl w:val="0"/>
      <w:autoSpaceDE w:val="0"/>
      <w:autoSpaceDN w:val="0"/>
      <w:adjustRightInd w:val="0"/>
      <w:spacing w:after="0" w:line="240" w:lineRule="auto"/>
    </w:pPr>
    <w:rPr>
      <w:rFonts w:ascii="Merriweather" w:eastAsia="Calibri" w:hAnsi="Merriweather" w:cs="Merriweather"/>
      <w:color w:val="000000"/>
      <w:sz w:val="24"/>
      <w:szCs w:val="24"/>
      <w:lang w:val="en-US"/>
    </w:rPr>
  </w:style>
  <w:style w:type="paragraph" w:styleId="ListParagraph">
    <w:name w:val="List Paragraph"/>
    <w:basedOn w:val="Normal"/>
    <w:uiPriority w:val="34"/>
    <w:qFormat/>
    <w:rsid w:val="00A90E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3027</Words>
  <Characters>17255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20242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PICKLES, CAMILLA M.S.</dc:creator>
  <cp:keywords/>
  <dc:description/>
  <cp:lastModifiedBy>PICKLES, CAMILLA M.S.</cp:lastModifiedBy>
  <cp:revision>1</cp:revision>
  <dcterms:created xsi:type="dcterms:W3CDTF">2024-01-31T14:24:00Z</dcterms:created>
  <dcterms:modified xsi:type="dcterms:W3CDTF">2024-01-31T16:39:00Z</dcterms:modified>
</cp:coreProperties>
</file>