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A7F6" w14:textId="77777777" w:rsidR="00CE2229" w:rsidRPr="004F293D" w:rsidRDefault="00CE2229" w:rsidP="00CE2229">
      <w:pPr>
        <w:jc w:val="left"/>
        <w:rPr>
          <w:b/>
          <w:bCs/>
          <w:sz w:val="32"/>
          <w:szCs w:val="32"/>
        </w:rPr>
      </w:pPr>
      <w:r w:rsidRPr="004F293D">
        <w:rPr>
          <w:b/>
          <w:bCs/>
          <w:sz w:val="32"/>
          <w:szCs w:val="32"/>
        </w:rPr>
        <w:t>TORT LAW</w:t>
      </w:r>
      <w:r>
        <w:rPr>
          <w:b/>
          <w:bCs/>
          <w:sz w:val="32"/>
          <w:szCs w:val="32"/>
        </w:rPr>
        <w:t xml:space="preserve"> (2023-24)</w:t>
      </w:r>
    </w:p>
    <w:p w14:paraId="5B558126" w14:textId="780106D0" w:rsidR="00CE2229" w:rsidRPr="004F293D" w:rsidRDefault="00CE2229" w:rsidP="00CE2229">
      <w:pPr>
        <w:jc w:val="left"/>
        <w:rPr>
          <w:b/>
          <w:bCs/>
          <w:sz w:val="32"/>
          <w:szCs w:val="32"/>
        </w:rPr>
      </w:pPr>
      <w:r w:rsidRPr="004F293D">
        <w:rPr>
          <w:b/>
          <w:bCs/>
          <w:sz w:val="32"/>
          <w:szCs w:val="32"/>
        </w:rPr>
        <w:t xml:space="preserve">LECTURE </w:t>
      </w:r>
      <w:r>
        <w:rPr>
          <w:b/>
          <w:bCs/>
          <w:sz w:val="32"/>
          <w:szCs w:val="32"/>
        </w:rPr>
        <w:t>FIVE</w:t>
      </w:r>
      <w:r w:rsidRPr="004F293D">
        <w:rPr>
          <w:b/>
          <w:bCs/>
          <w:sz w:val="32"/>
          <w:szCs w:val="32"/>
        </w:rPr>
        <w:t xml:space="preserve">: </w:t>
      </w:r>
      <w:r>
        <w:rPr>
          <w:b/>
          <w:bCs/>
          <w:sz w:val="32"/>
          <w:szCs w:val="32"/>
        </w:rPr>
        <w:t>BREACH OF DUTY</w:t>
      </w:r>
      <w:r w:rsidR="00B9604C">
        <w:rPr>
          <w:b/>
          <w:bCs/>
          <w:sz w:val="32"/>
          <w:szCs w:val="32"/>
        </w:rPr>
        <w:t xml:space="preserve"> </w:t>
      </w:r>
    </w:p>
    <w:p w14:paraId="7A488783" w14:textId="77777777" w:rsidR="00CE2229" w:rsidRPr="004F293D" w:rsidRDefault="00CE2229" w:rsidP="00CE2229">
      <w:pPr>
        <w:jc w:val="left"/>
        <w:rPr>
          <w:b/>
          <w:bCs/>
        </w:rPr>
      </w:pPr>
      <w:r w:rsidRPr="004F293D">
        <w:rPr>
          <w:b/>
          <w:bCs/>
        </w:rPr>
        <w:t>Dr Camilla Pickles</w:t>
      </w:r>
    </w:p>
    <w:p w14:paraId="36F12F90" w14:textId="2EDEA166" w:rsidR="00112A57" w:rsidRDefault="00112A57" w:rsidP="00CE2229"/>
    <w:p w14:paraId="711324C4" w14:textId="77777777" w:rsidR="00CE2229" w:rsidRPr="00AC72AD" w:rsidRDefault="00CE2229" w:rsidP="00CE2229">
      <w:pPr>
        <w:spacing w:after="0"/>
        <w:rPr>
          <w:b/>
          <w:bCs/>
        </w:rPr>
      </w:pPr>
      <w:bookmarkStart w:id="0" w:name="_Hlk147143435"/>
      <w:r w:rsidRPr="00AC72AD">
        <w:rPr>
          <w:b/>
          <w:bCs/>
        </w:rPr>
        <w:t>Basic reading</w:t>
      </w:r>
    </w:p>
    <w:p w14:paraId="06765EF4" w14:textId="3F94C838" w:rsidR="00CE2229" w:rsidRPr="004C1462" w:rsidRDefault="00CE2229" w:rsidP="00CE2229">
      <w:pPr>
        <w:pStyle w:val="ListParagraph"/>
        <w:numPr>
          <w:ilvl w:val="0"/>
          <w:numId w:val="1"/>
        </w:numPr>
        <w:rPr>
          <w:vertAlign w:val="superscript"/>
        </w:rPr>
      </w:pPr>
      <w:r>
        <w:t xml:space="preserve">Horsey &amp; Rackley, chapter </w:t>
      </w:r>
      <w:r>
        <w:t>8</w:t>
      </w:r>
      <w:r w:rsidRPr="004C1462">
        <w:rPr>
          <w:vertAlign w:val="superscript"/>
        </w:rPr>
        <w:sym w:font="Symbol" w:char="F02A"/>
      </w:r>
    </w:p>
    <w:p w14:paraId="062571EA" w14:textId="114DE639" w:rsidR="00CE2229" w:rsidRDefault="00CE2229" w:rsidP="00CE2229">
      <w:pPr>
        <w:pStyle w:val="ListParagraph"/>
        <w:numPr>
          <w:ilvl w:val="0"/>
          <w:numId w:val="1"/>
        </w:numPr>
      </w:pPr>
      <w:r>
        <w:t xml:space="preserve">Nolan &amp; Oliphant, chapter </w:t>
      </w:r>
      <w:r>
        <w:t>4</w:t>
      </w:r>
    </w:p>
    <w:bookmarkEnd w:id="0"/>
    <w:p w14:paraId="658FC51E" w14:textId="77777777" w:rsidR="00CE2229" w:rsidRDefault="00CE2229" w:rsidP="00CE2229"/>
    <w:p w14:paraId="578A090E" w14:textId="435A51DD" w:rsidR="00CE2229" w:rsidRDefault="00CE2229" w:rsidP="00CE2229">
      <w:pPr>
        <w:rPr>
          <w:b/>
          <w:bCs/>
        </w:rPr>
      </w:pPr>
      <w:r w:rsidRPr="00C11BBE">
        <w:rPr>
          <w:b/>
          <w:bCs/>
        </w:rPr>
        <w:t>Case law</w:t>
      </w:r>
    </w:p>
    <w:p w14:paraId="3054E9C5" w14:textId="0FD7E0B2" w:rsidR="00CE2229" w:rsidRPr="00CE2229" w:rsidRDefault="00CE2229" w:rsidP="00CE2229">
      <w:pPr>
        <w:pStyle w:val="ListParagraph"/>
        <w:numPr>
          <w:ilvl w:val="0"/>
          <w:numId w:val="6"/>
        </w:numPr>
      </w:pPr>
      <w:r w:rsidRPr="00CE2229">
        <w:rPr>
          <w:i/>
        </w:rPr>
        <w:t xml:space="preserve">Bolton v Stone </w:t>
      </w:r>
      <w:r w:rsidRPr="00CE2229">
        <w:t>[1951] AC 850</w:t>
      </w:r>
      <w:r w:rsidR="00B9604C" w:rsidRPr="00B9604C">
        <w:rPr>
          <w:b/>
          <w:bCs/>
          <w:vertAlign w:val="superscript"/>
        </w:rPr>
        <w:sym w:font="Symbol" w:char="F02A"/>
      </w:r>
    </w:p>
    <w:p w14:paraId="4498E66F" w14:textId="42C6A802" w:rsidR="00CE2229" w:rsidRPr="00CE2229" w:rsidRDefault="00CE2229" w:rsidP="00CE2229">
      <w:pPr>
        <w:pStyle w:val="ListParagraph"/>
        <w:numPr>
          <w:ilvl w:val="0"/>
          <w:numId w:val="6"/>
        </w:numPr>
      </w:pPr>
      <w:r w:rsidRPr="00CE2229">
        <w:rPr>
          <w:i/>
        </w:rPr>
        <w:t xml:space="preserve">The Wagon Mound (no. 2) </w:t>
      </w:r>
      <w:r w:rsidRPr="00CE2229">
        <w:t>(</w:t>
      </w:r>
      <w:r w:rsidRPr="00CE2229">
        <w:rPr>
          <w:i/>
        </w:rPr>
        <w:t>Overseas Tankship (UK) Ltd v The Miller Steamship Co Pty</w:t>
      </w:r>
      <w:r w:rsidRPr="00CE2229">
        <w:t>) [1967] 1 AC 617</w:t>
      </w:r>
      <w:r w:rsidR="00B9604C" w:rsidRPr="00B9604C">
        <w:rPr>
          <w:b/>
          <w:bCs/>
          <w:vertAlign w:val="superscript"/>
        </w:rPr>
        <w:sym w:font="Symbol" w:char="F02A"/>
      </w:r>
    </w:p>
    <w:p w14:paraId="38CD0F2F" w14:textId="3B01DD58" w:rsidR="00CE2229" w:rsidRPr="00CE2229" w:rsidRDefault="00CE2229" w:rsidP="00CE2229">
      <w:pPr>
        <w:pStyle w:val="ListParagraph"/>
        <w:numPr>
          <w:ilvl w:val="0"/>
          <w:numId w:val="6"/>
        </w:numPr>
      </w:pPr>
      <w:r w:rsidRPr="00CE2229">
        <w:rPr>
          <w:i/>
        </w:rPr>
        <w:t xml:space="preserve">Orchard v Lee </w:t>
      </w:r>
      <w:r w:rsidRPr="00CE2229">
        <w:t xml:space="preserve">[2009] EWCA </w:t>
      </w:r>
      <w:proofErr w:type="spellStart"/>
      <w:r w:rsidRPr="00CE2229">
        <w:t>Civ</w:t>
      </w:r>
      <w:proofErr w:type="spellEnd"/>
      <w:r w:rsidRPr="00CE2229">
        <w:t xml:space="preserve"> 295</w:t>
      </w:r>
      <w:r w:rsidR="00B9604C" w:rsidRPr="00B9604C">
        <w:rPr>
          <w:b/>
          <w:bCs/>
          <w:vertAlign w:val="superscript"/>
        </w:rPr>
        <w:sym w:font="Symbol" w:char="F02A"/>
      </w:r>
    </w:p>
    <w:p w14:paraId="2DCC5644" w14:textId="519551DF" w:rsidR="00CE2229" w:rsidRPr="00CE2229" w:rsidRDefault="00CE2229" w:rsidP="00CE2229">
      <w:pPr>
        <w:pStyle w:val="ListParagraph"/>
        <w:numPr>
          <w:ilvl w:val="0"/>
          <w:numId w:val="6"/>
        </w:numPr>
      </w:pPr>
      <w:r w:rsidRPr="00CE2229">
        <w:rPr>
          <w:i/>
        </w:rPr>
        <w:t xml:space="preserve">Nettleship v Weston </w:t>
      </w:r>
      <w:r w:rsidRPr="00CE2229">
        <w:t>[1971] 2 QB 691</w:t>
      </w:r>
      <w:r w:rsidR="00B9604C" w:rsidRPr="00B9604C">
        <w:rPr>
          <w:b/>
          <w:bCs/>
          <w:vertAlign w:val="superscript"/>
        </w:rPr>
        <w:sym w:font="Symbol" w:char="F02A"/>
      </w:r>
    </w:p>
    <w:p w14:paraId="13164087" w14:textId="6872B286" w:rsidR="00CE2229" w:rsidRPr="00CE2229" w:rsidRDefault="00CE2229" w:rsidP="00CE2229">
      <w:pPr>
        <w:pStyle w:val="ListParagraph"/>
        <w:numPr>
          <w:ilvl w:val="0"/>
          <w:numId w:val="6"/>
        </w:numPr>
      </w:pPr>
      <w:proofErr w:type="spellStart"/>
      <w:r w:rsidRPr="00CE2229">
        <w:rPr>
          <w:i/>
        </w:rPr>
        <w:t>Bolam</w:t>
      </w:r>
      <w:proofErr w:type="spellEnd"/>
      <w:r w:rsidRPr="00CE2229">
        <w:rPr>
          <w:i/>
        </w:rPr>
        <w:t xml:space="preserve"> v Friern Hospital Management Committee </w:t>
      </w:r>
      <w:r w:rsidRPr="00CE2229">
        <w:t>[1957] 1 WLR 582</w:t>
      </w:r>
      <w:r w:rsidR="00B9604C" w:rsidRPr="00B9604C">
        <w:rPr>
          <w:b/>
          <w:bCs/>
          <w:vertAlign w:val="superscript"/>
        </w:rPr>
        <w:sym w:font="Symbol" w:char="F02A"/>
      </w:r>
    </w:p>
    <w:p w14:paraId="57B63C01" w14:textId="53F5013C" w:rsidR="00CE2229" w:rsidRDefault="00CE2229" w:rsidP="00CE2229">
      <w:pPr>
        <w:pStyle w:val="ListParagraph"/>
        <w:numPr>
          <w:ilvl w:val="0"/>
          <w:numId w:val="6"/>
        </w:numPr>
      </w:pPr>
      <w:r w:rsidRPr="00CE2229">
        <w:rPr>
          <w:i/>
        </w:rPr>
        <w:t xml:space="preserve">Bolitho v City &amp; Hackney Health Authority </w:t>
      </w:r>
      <w:r w:rsidRPr="00CE2229">
        <w:t>[1998] AC 232</w:t>
      </w:r>
      <w:r w:rsidR="00B9604C" w:rsidRPr="00B9604C">
        <w:rPr>
          <w:b/>
          <w:bCs/>
          <w:vertAlign w:val="superscript"/>
        </w:rPr>
        <w:sym w:font="Symbol" w:char="F02A"/>
      </w:r>
    </w:p>
    <w:p w14:paraId="6360C0B4" w14:textId="74758C21" w:rsidR="00B9604C" w:rsidRDefault="00B9604C" w:rsidP="00B9604C">
      <w:pPr>
        <w:pStyle w:val="ListParagraph"/>
        <w:numPr>
          <w:ilvl w:val="0"/>
          <w:numId w:val="6"/>
        </w:numPr>
      </w:pPr>
      <w:r w:rsidRPr="00B9604C">
        <w:rPr>
          <w:i/>
          <w:iCs/>
        </w:rPr>
        <w:t>Paris v Stepney Borough Council</w:t>
      </w:r>
      <w:r>
        <w:t xml:space="preserve"> [1951] AC 367 </w:t>
      </w:r>
    </w:p>
    <w:p w14:paraId="11CD9A81" w14:textId="68A6037D" w:rsidR="00B9604C" w:rsidRDefault="00B9604C" w:rsidP="00B9604C">
      <w:pPr>
        <w:pStyle w:val="ListParagraph"/>
        <w:numPr>
          <w:ilvl w:val="0"/>
          <w:numId w:val="6"/>
        </w:numPr>
      </w:pPr>
      <w:r w:rsidRPr="00B9604C">
        <w:rPr>
          <w:i/>
          <w:iCs/>
        </w:rPr>
        <w:t>Latimer v AEC Ltd</w:t>
      </w:r>
      <w:r>
        <w:t xml:space="preserve"> [1953] AC 643</w:t>
      </w:r>
    </w:p>
    <w:p w14:paraId="17ACEF07" w14:textId="48CD6ECF" w:rsidR="00B9604C" w:rsidRDefault="00B9604C" w:rsidP="00B9604C">
      <w:pPr>
        <w:pStyle w:val="ListParagraph"/>
        <w:numPr>
          <w:ilvl w:val="0"/>
          <w:numId w:val="6"/>
        </w:numPr>
      </w:pPr>
      <w:r w:rsidRPr="00B9604C">
        <w:rPr>
          <w:i/>
          <w:iCs/>
        </w:rPr>
        <w:t xml:space="preserve">Watt v Hertfordshire County Council </w:t>
      </w:r>
      <w:r>
        <w:t xml:space="preserve">[1954] 1 WLR 835 </w:t>
      </w:r>
    </w:p>
    <w:p w14:paraId="3283DC49" w14:textId="6483FC9B" w:rsidR="00CE2229" w:rsidRDefault="00B9604C" w:rsidP="00CE2229">
      <w:pPr>
        <w:pStyle w:val="ListParagraph"/>
        <w:numPr>
          <w:ilvl w:val="0"/>
          <w:numId w:val="6"/>
        </w:numPr>
      </w:pPr>
      <w:r w:rsidRPr="00B9604C">
        <w:rPr>
          <w:i/>
          <w:iCs/>
        </w:rPr>
        <w:t>Roe v Minister of Health</w:t>
      </w:r>
      <w:r>
        <w:t xml:space="preserve"> [1954] 2 QB 66</w:t>
      </w:r>
    </w:p>
    <w:p w14:paraId="3B692C62" w14:textId="77777777" w:rsidR="00B9604C" w:rsidRDefault="00B9604C" w:rsidP="00B9604C"/>
    <w:p w14:paraId="07A6A295" w14:textId="77777777" w:rsidR="00CE2229" w:rsidRPr="00AC72AD" w:rsidRDefault="00CE2229" w:rsidP="00CE2229">
      <w:pPr>
        <w:spacing w:after="0"/>
        <w:rPr>
          <w:b/>
          <w:bCs/>
        </w:rPr>
      </w:pPr>
      <w:r w:rsidRPr="00AC72AD">
        <w:rPr>
          <w:b/>
          <w:bCs/>
        </w:rPr>
        <w:t>Further reading</w:t>
      </w:r>
    </w:p>
    <w:p w14:paraId="4B8CC00A" w14:textId="4AA3D135" w:rsidR="00CE2229" w:rsidRPr="00CE2229" w:rsidRDefault="00CE2229" w:rsidP="00B9604C">
      <w:pPr>
        <w:pStyle w:val="ListParagraph"/>
        <w:numPr>
          <w:ilvl w:val="0"/>
          <w:numId w:val="7"/>
        </w:numPr>
      </w:pPr>
      <w:r w:rsidRPr="00CE2229">
        <w:t xml:space="preserve">Weir, </w:t>
      </w:r>
      <w:r w:rsidRPr="00B9604C">
        <w:rPr>
          <w:i/>
        </w:rPr>
        <w:t xml:space="preserve">An Introduction to Tort Law </w:t>
      </w:r>
      <w:r w:rsidRPr="00CE2229">
        <w:t>(Clarendon Press</w:t>
      </w:r>
      <w:r w:rsidR="00432552">
        <w:t>,</w:t>
      </w:r>
      <w:r w:rsidRPr="00CE2229">
        <w:t xml:space="preserve"> 2</w:t>
      </w:r>
      <w:r w:rsidRPr="00B9604C">
        <w:rPr>
          <w:vertAlign w:val="superscript"/>
        </w:rPr>
        <w:t>nd</w:t>
      </w:r>
      <w:r w:rsidRPr="00CE2229">
        <w:t xml:space="preserve"> </w:t>
      </w:r>
      <w:proofErr w:type="spellStart"/>
      <w:r w:rsidRPr="00CE2229">
        <w:t>edn</w:t>
      </w:r>
      <w:proofErr w:type="spellEnd"/>
      <w:r w:rsidRPr="00CE2229">
        <w:t xml:space="preserve">, 2006) </w:t>
      </w:r>
      <w:proofErr w:type="spellStart"/>
      <w:r w:rsidRPr="00CE2229">
        <w:t>ch</w:t>
      </w:r>
      <w:proofErr w:type="spellEnd"/>
      <w:r w:rsidRPr="00CE2229">
        <w:t xml:space="preserve"> 3 </w:t>
      </w:r>
    </w:p>
    <w:p w14:paraId="71B00EFB" w14:textId="4DDAF808" w:rsidR="00CE2229" w:rsidRPr="00CE2229" w:rsidRDefault="00CE2229" w:rsidP="00B9604C">
      <w:pPr>
        <w:pStyle w:val="ListParagraph"/>
        <w:numPr>
          <w:ilvl w:val="0"/>
          <w:numId w:val="7"/>
        </w:numPr>
      </w:pPr>
      <w:r w:rsidRPr="00CE2229">
        <w:t xml:space="preserve">Cane, </w:t>
      </w:r>
      <w:proofErr w:type="spellStart"/>
      <w:r w:rsidRPr="00B9604C">
        <w:rPr>
          <w:i/>
        </w:rPr>
        <w:t>Atiyah’s</w:t>
      </w:r>
      <w:proofErr w:type="spellEnd"/>
      <w:r w:rsidRPr="00B9604C">
        <w:rPr>
          <w:i/>
        </w:rPr>
        <w:t xml:space="preserve"> Accidents, Compensation and the Law </w:t>
      </w:r>
      <w:r w:rsidRPr="00CE2229">
        <w:t>(CUP, 7</w:t>
      </w:r>
      <w:r w:rsidRPr="00B9604C">
        <w:rPr>
          <w:vertAlign w:val="superscript"/>
        </w:rPr>
        <w:t>th</w:t>
      </w:r>
      <w:r w:rsidRPr="00CE2229">
        <w:t xml:space="preserve"> </w:t>
      </w:r>
      <w:proofErr w:type="spellStart"/>
      <w:r w:rsidRPr="00CE2229">
        <w:t>edn</w:t>
      </w:r>
      <w:proofErr w:type="spellEnd"/>
      <w:r w:rsidRPr="00CE2229">
        <w:t xml:space="preserve">, 2006) </w:t>
      </w:r>
      <w:proofErr w:type="spellStart"/>
      <w:r w:rsidRPr="00CE2229">
        <w:t>ch</w:t>
      </w:r>
      <w:proofErr w:type="spellEnd"/>
      <w:r w:rsidRPr="00CE2229">
        <w:t xml:space="preserve"> 2</w:t>
      </w:r>
    </w:p>
    <w:p w14:paraId="7ECAF1BD" w14:textId="20A20610" w:rsidR="00B9604C" w:rsidRDefault="00B9604C" w:rsidP="00B9604C">
      <w:pPr>
        <w:pStyle w:val="ListParagraph"/>
        <w:numPr>
          <w:ilvl w:val="0"/>
          <w:numId w:val="7"/>
        </w:numPr>
      </w:pPr>
      <w:r w:rsidRPr="00CE2229">
        <w:t xml:space="preserve">Brazier, and </w:t>
      </w:r>
      <w:proofErr w:type="spellStart"/>
      <w:r w:rsidRPr="00CE2229">
        <w:t>Miola</w:t>
      </w:r>
      <w:proofErr w:type="spellEnd"/>
      <w:r w:rsidRPr="00CE2229">
        <w:t xml:space="preserve"> ‘Bye-Bye </w:t>
      </w:r>
      <w:proofErr w:type="spellStart"/>
      <w:r w:rsidRPr="00B9604C">
        <w:rPr>
          <w:i/>
        </w:rPr>
        <w:t>Bolam</w:t>
      </w:r>
      <w:proofErr w:type="spellEnd"/>
      <w:r w:rsidRPr="00CE2229">
        <w:t>: A Medical Litigation Revolution?’ (2000)</w:t>
      </w:r>
      <w:r w:rsidRPr="00B9604C">
        <w:t xml:space="preserve"> </w:t>
      </w:r>
      <w:r w:rsidRPr="00CE2229">
        <w:t xml:space="preserve">8 </w:t>
      </w:r>
      <w:r w:rsidRPr="00B9604C">
        <w:rPr>
          <w:i/>
        </w:rPr>
        <w:t xml:space="preserve">Medical Law Review </w:t>
      </w:r>
      <w:r w:rsidRPr="00CE2229">
        <w:t>85–114</w:t>
      </w:r>
    </w:p>
    <w:p w14:paraId="02CF4831" w14:textId="7E8A2E2D" w:rsidR="00B9604C" w:rsidRPr="00CE2229" w:rsidRDefault="00B9604C" w:rsidP="00B9604C">
      <w:pPr>
        <w:pStyle w:val="ListParagraph"/>
        <w:numPr>
          <w:ilvl w:val="0"/>
          <w:numId w:val="7"/>
        </w:numPr>
      </w:pPr>
      <w:r>
        <w:t xml:space="preserve">Sheldon, ‘A Responsible Body of Medical Men Skilled in That Particular Art: Rethinking the </w:t>
      </w:r>
      <w:proofErr w:type="spellStart"/>
      <w:r>
        <w:t>Bolam</w:t>
      </w:r>
      <w:proofErr w:type="spellEnd"/>
      <w:r>
        <w:t xml:space="preserve"> Test’ in Sheldon and Thomson Feminist Perspectives on </w:t>
      </w:r>
      <w:r w:rsidR="00432552">
        <w:t xml:space="preserve">Health Care Law (Cavendish, 1998) </w:t>
      </w:r>
      <w:proofErr w:type="spellStart"/>
      <w:r w:rsidR="00432552">
        <w:t>ch</w:t>
      </w:r>
      <w:proofErr w:type="spellEnd"/>
      <w:r w:rsidR="00432552">
        <w:t xml:space="preserve"> 2</w:t>
      </w:r>
    </w:p>
    <w:p w14:paraId="2DE28765" w14:textId="5BB44117" w:rsidR="00B9604C" w:rsidRDefault="00B9604C">
      <w:pPr>
        <w:jc w:val="left"/>
      </w:pPr>
      <w:r>
        <w:br w:type="page"/>
      </w:r>
    </w:p>
    <w:p w14:paraId="7DBC84F0" w14:textId="77777777" w:rsidR="00B9604C" w:rsidRPr="008E61A7" w:rsidRDefault="00B9604C" w:rsidP="00B9604C">
      <w:pPr>
        <w:rPr>
          <w:b/>
          <w:bCs/>
          <w:sz w:val="28"/>
          <w:szCs w:val="28"/>
        </w:rPr>
      </w:pPr>
      <w:r w:rsidRPr="008E61A7">
        <w:rPr>
          <w:b/>
          <w:bCs/>
          <w:sz w:val="28"/>
          <w:szCs w:val="28"/>
        </w:rPr>
        <w:lastRenderedPageBreak/>
        <w:t>Outline</w:t>
      </w:r>
    </w:p>
    <w:p w14:paraId="7FFFD98A" w14:textId="77777777" w:rsidR="00432552" w:rsidRDefault="00432552" w:rsidP="00432552">
      <w:pPr>
        <w:pStyle w:val="ListParagraph"/>
        <w:ind w:left="360"/>
      </w:pPr>
      <w:r w:rsidRPr="00BF1566">
        <w:t xml:space="preserve">Duty of care + </w:t>
      </w:r>
      <w:r w:rsidRPr="00432552">
        <w:rPr>
          <w:b/>
          <w:bCs/>
          <w:i/>
          <w:iCs/>
        </w:rPr>
        <w:t>breach of duty</w:t>
      </w:r>
      <w:r w:rsidRPr="00BF1566">
        <w:t xml:space="preserve"> + causation- defences = negligence</w:t>
      </w:r>
    </w:p>
    <w:p w14:paraId="0CBB1C5F" w14:textId="5433F76F" w:rsidR="00745DAC" w:rsidRDefault="00432552" w:rsidP="00745DAC">
      <w:r>
        <w:t xml:space="preserve">After establishing that a defendant owes a duty of care, we need to establish </w:t>
      </w:r>
      <w:r w:rsidR="00745DAC">
        <w:t xml:space="preserve">if the defendant </w:t>
      </w:r>
      <w:r w:rsidR="00745DAC" w:rsidRPr="00745DAC">
        <w:rPr>
          <w:i/>
          <w:iCs/>
        </w:rPr>
        <w:t>breached</w:t>
      </w:r>
      <w:r w:rsidR="00745DAC">
        <w:t xml:space="preserve"> his/her/their duty of care. </w:t>
      </w:r>
      <w:r w:rsidR="00745DAC">
        <w:t>Breach is a key hurdle to establish negligence: If the claimant cannot establish that the defendant breached her/her/their duty of care, the negligence claim will fail.</w:t>
      </w:r>
      <w:r w:rsidR="00745DAC">
        <w:t xml:space="preserve"> To establish breach, we ask two questions:</w:t>
      </w:r>
    </w:p>
    <w:p w14:paraId="59C7E414" w14:textId="4ACF14B1" w:rsidR="00F76979" w:rsidRPr="00CF0020" w:rsidRDefault="00745DAC" w:rsidP="00467D20">
      <w:pPr>
        <w:pStyle w:val="ListParagraph"/>
        <w:numPr>
          <w:ilvl w:val="0"/>
          <w:numId w:val="10"/>
        </w:numPr>
      </w:pPr>
      <w:r>
        <w:t>What is the standard required by law in these circumstances?</w:t>
      </w:r>
      <w:r w:rsidR="00CF0020">
        <w:t xml:space="preserve"> </w:t>
      </w:r>
      <w:r w:rsidR="00CF0020" w:rsidRPr="00CF0020">
        <w:t>Or: How ought the defendant to have behaved in the circumstances?</w:t>
      </w:r>
    </w:p>
    <w:p w14:paraId="4992F51B" w14:textId="6430A3A4" w:rsidR="00CF0020" w:rsidRPr="00CF0020" w:rsidRDefault="00CF0020" w:rsidP="00467D20">
      <w:pPr>
        <w:pStyle w:val="ListParagraph"/>
        <w:numPr>
          <w:ilvl w:val="0"/>
          <w:numId w:val="11"/>
        </w:numPr>
        <w:rPr>
          <w:i/>
          <w:iCs/>
        </w:rPr>
      </w:pPr>
      <w:r w:rsidRPr="00CF0020">
        <w:rPr>
          <w:i/>
          <w:iCs/>
        </w:rPr>
        <w:t xml:space="preserve">This </w:t>
      </w:r>
      <w:r w:rsidRPr="00CF0020">
        <w:rPr>
          <w:i/>
          <w:iCs/>
        </w:rPr>
        <w:t>is</w:t>
      </w:r>
      <w:r w:rsidRPr="00CF0020">
        <w:rPr>
          <w:i/>
          <w:iCs/>
        </w:rPr>
        <w:t xml:space="preserve"> determined by a combination of statute and common law and is described as a matter of law</w:t>
      </w:r>
      <w:r w:rsidRPr="00CF0020">
        <w:rPr>
          <w:i/>
          <w:iCs/>
        </w:rPr>
        <w:t>.</w:t>
      </w:r>
    </w:p>
    <w:p w14:paraId="3902A82A" w14:textId="77777777" w:rsidR="00CF0020" w:rsidRPr="00CF0020" w:rsidRDefault="00CF0020" w:rsidP="00467D20">
      <w:pPr>
        <w:pStyle w:val="ListParagraph"/>
        <w:ind w:left="1800"/>
      </w:pPr>
    </w:p>
    <w:p w14:paraId="010E1EFA" w14:textId="7FD037D7" w:rsidR="00745DAC" w:rsidRDefault="00745DAC" w:rsidP="00467D20">
      <w:pPr>
        <w:pStyle w:val="ListParagraph"/>
        <w:numPr>
          <w:ilvl w:val="0"/>
          <w:numId w:val="10"/>
        </w:numPr>
      </w:pPr>
      <w:r>
        <w:t>Did the defendant</w:t>
      </w:r>
      <w:r w:rsidR="00CF0020">
        <w:t>’s behaviour</w:t>
      </w:r>
      <w:r>
        <w:t xml:space="preserve"> fall below this standard?</w:t>
      </w:r>
      <w:r w:rsidR="00F76979">
        <w:t xml:space="preserve"> </w:t>
      </w:r>
    </w:p>
    <w:p w14:paraId="71FB212C" w14:textId="36EFB29C" w:rsidR="00CF0020" w:rsidRPr="00CF0020" w:rsidRDefault="00CF0020" w:rsidP="00467D20">
      <w:pPr>
        <w:pStyle w:val="ListParagraph"/>
        <w:numPr>
          <w:ilvl w:val="1"/>
          <w:numId w:val="10"/>
        </w:numPr>
        <w:rPr>
          <w:i/>
          <w:iCs/>
        </w:rPr>
      </w:pPr>
      <w:r w:rsidRPr="00CF0020">
        <w:rPr>
          <w:i/>
          <w:iCs/>
        </w:rPr>
        <w:t>This depends on assessing what actually happened in the case and is described as a matter of fact.</w:t>
      </w:r>
    </w:p>
    <w:p w14:paraId="430E269D" w14:textId="5374CE74" w:rsidR="00F76979" w:rsidRDefault="00F76979" w:rsidP="00745DAC">
      <w:r>
        <w:t xml:space="preserve">The determination of whether breach has occurred depends on the facts of each case but there are </w:t>
      </w:r>
      <w:r w:rsidR="008F2923">
        <w:t>some broad principles that the courts use when seeking to define the appropriate standard of care</w:t>
      </w:r>
      <w:r>
        <w:t>. These principles give us an indication as to what the law requires us to do to avoid causing harm.</w:t>
      </w:r>
    </w:p>
    <w:p w14:paraId="4E81A80C" w14:textId="77777777" w:rsidR="00F76979" w:rsidRDefault="00F76979" w:rsidP="00745DAC"/>
    <w:p w14:paraId="41848E61" w14:textId="43440462" w:rsidR="006160D7" w:rsidRDefault="00A25832" w:rsidP="00467D20">
      <w:pPr>
        <w:pStyle w:val="ListParagraph"/>
        <w:numPr>
          <w:ilvl w:val="0"/>
          <w:numId w:val="13"/>
        </w:numPr>
      </w:pPr>
      <w:r w:rsidRPr="00011BA1">
        <w:rPr>
          <w:b/>
          <w:bCs/>
        </w:rPr>
        <w:t>A test of reasonableness</w:t>
      </w:r>
      <w:r w:rsidR="00467D20" w:rsidRPr="00011BA1">
        <w:rPr>
          <w:b/>
          <w:bCs/>
        </w:rPr>
        <w:t>:</w:t>
      </w:r>
      <w:r w:rsidR="00011BA1" w:rsidRPr="00011BA1">
        <w:rPr>
          <w:b/>
          <w:bCs/>
        </w:rPr>
        <w:t xml:space="preserve"> </w:t>
      </w:r>
      <w:r w:rsidR="006160D7">
        <w:t xml:space="preserve">In answering the question, ‘what standard of care did the circumstances require?’, the courts compare what the defendant did to the imagined actions of the </w:t>
      </w:r>
      <w:r w:rsidR="006160D7" w:rsidRPr="00011BA1">
        <w:rPr>
          <w:b/>
          <w:bCs/>
        </w:rPr>
        <w:t>reasonable person</w:t>
      </w:r>
      <w:r w:rsidR="006160D7">
        <w:t xml:space="preserve">, asking what a reasonable person in the position of the defendant would have done in the circumstances. The ‘reasonable man’/’reasonable person’: </w:t>
      </w:r>
    </w:p>
    <w:p w14:paraId="3DAA402E" w14:textId="47F29D2C" w:rsidR="006160D7" w:rsidRDefault="006160D7" w:rsidP="00467D20">
      <w:pPr>
        <w:pStyle w:val="ListParagraph"/>
        <w:numPr>
          <w:ilvl w:val="1"/>
          <w:numId w:val="13"/>
        </w:numPr>
        <w:ind w:left="1440"/>
      </w:pPr>
      <w:r>
        <w:t xml:space="preserve">‘The man on the Clapham omnibus’ (Lord Bowen, </w:t>
      </w:r>
      <w:r w:rsidRPr="006160D7">
        <w:rPr>
          <w:i/>
          <w:iCs/>
        </w:rPr>
        <w:t>Hall v Brooklands Auto-Racing Club</w:t>
      </w:r>
      <w:r>
        <w:t xml:space="preserve"> </w:t>
      </w:r>
      <w:r>
        <w:t>(1933) p 224).</w:t>
      </w:r>
    </w:p>
    <w:p w14:paraId="6E1C4750" w14:textId="77777777" w:rsidR="006160D7" w:rsidRDefault="006160D7" w:rsidP="00467D20">
      <w:pPr>
        <w:pStyle w:val="ListParagraph"/>
        <w:numPr>
          <w:ilvl w:val="1"/>
          <w:numId w:val="13"/>
        </w:numPr>
        <w:ind w:left="1440"/>
      </w:pPr>
      <w:r>
        <w:t xml:space="preserve">A ‘traveller on the London underground’ (Lord Steyn, </w:t>
      </w:r>
      <w:r w:rsidRPr="006160D7">
        <w:rPr>
          <w:i/>
          <w:iCs/>
        </w:rPr>
        <w:t>McFarlane v Tayside Health Board</w:t>
      </w:r>
      <w:r>
        <w:t xml:space="preserve"> </w:t>
      </w:r>
      <w:r>
        <w:t>[1999] p 82).</w:t>
      </w:r>
    </w:p>
    <w:p w14:paraId="59DD909A" w14:textId="24B0AC24" w:rsidR="00A25832" w:rsidRDefault="006160D7" w:rsidP="00467D20">
      <w:pPr>
        <w:pStyle w:val="ListParagraph"/>
        <w:numPr>
          <w:ilvl w:val="1"/>
          <w:numId w:val="13"/>
        </w:numPr>
        <w:ind w:left="1440"/>
      </w:pPr>
      <w:r>
        <w:t>’</w:t>
      </w:r>
      <w:r>
        <w:t>The anthropomorphic conception of justice’ (Lord</w:t>
      </w:r>
      <w:r w:rsidR="00467D20">
        <w:t xml:space="preserve"> </w:t>
      </w:r>
      <w:r>
        <w:t xml:space="preserve">Radcliffe, </w:t>
      </w:r>
      <w:r w:rsidRPr="006160D7">
        <w:rPr>
          <w:i/>
          <w:iCs/>
        </w:rPr>
        <w:t>Davis Contractors v Fareham Urban District Council</w:t>
      </w:r>
      <w:r>
        <w:t xml:space="preserve"> [1956] p 728).</w:t>
      </w:r>
    </w:p>
    <w:p w14:paraId="28C8B436" w14:textId="77777777" w:rsidR="00467D20" w:rsidRDefault="00467D20" w:rsidP="00467D20">
      <w:pPr>
        <w:ind w:left="1080"/>
      </w:pPr>
    </w:p>
    <w:p w14:paraId="6726755C" w14:textId="77CE3484" w:rsidR="00467D20" w:rsidRDefault="00467D20" w:rsidP="00467D20">
      <w:pPr>
        <w:pStyle w:val="ListParagraph"/>
        <w:numPr>
          <w:ilvl w:val="0"/>
          <w:numId w:val="13"/>
        </w:numPr>
      </w:pPr>
      <w:r w:rsidRPr="00011BA1">
        <w:rPr>
          <w:b/>
          <w:bCs/>
        </w:rPr>
        <w:t>An objective standard:</w:t>
      </w:r>
      <w:r w:rsidR="00011BA1" w:rsidRPr="00011BA1">
        <w:rPr>
          <w:b/>
          <w:bCs/>
        </w:rPr>
        <w:t xml:space="preserve"> </w:t>
      </w:r>
      <w:r w:rsidR="007B0F83">
        <w:t>‘</w:t>
      </w:r>
      <w:r w:rsidR="007B0F83">
        <w:t xml:space="preserve">The standard of foresight of the reasonable man is, in one sense, an impersonal test. It eliminates the personal equation and is independent of the idiosyncrasies of the particular person whose conduct is in question. </w:t>
      </w:r>
      <w:r>
        <w:t>…</w:t>
      </w:r>
      <w:r w:rsidR="007B0F83">
        <w:t xml:space="preserve"> The reasonable man is presumed to be free both from over-apprehension and from over-confidence.</w:t>
      </w:r>
      <w:r w:rsidR="007B0F83">
        <w:t>’ (</w:t>
      </w:r>
      <w:r w:rsidR="007B0F83" w:rsidRPr="007B0F83">
        <w:t>Lord Macmillan</w:t>
      </w:r>
      <w:r w:rsidR="007B0F83">
        <w:t>,</w:t>
      </w:r>
      <w:r w:rsidR="007B0F83" w:rsidRPr="007B0F83">
        <w:t xml:space="preserve"> </w:t>
      </w:r>
      <w:r w:rsidR="007B0F83" w:rsidRPr="007B0F83">
        <w:t>Glasgow Corp v Muir (1943)</w:t>
      </w:r>
      <w:r w:rsidR="007B0F83">
        <w:t>)</w:t>
      </w:r>
    </w:p>
    <w:p w14:paraId="60CF85CC" w14:textId="19DDA598" w:rsidR="007B0F83" w:rsidRDefault="007B0F83" w:rsidP="00467D20">
      <w:pPr>
        <w:ind w:left="360"/>
      </w:pPr>
      <w:r w:rsidRPr="007B0F83">
        <w:t>Objective standard is independent of characteristics and capacities of the defendant:</w:t>
      </w:r>
      <w:r w:rsidRPr="00802566">
        <w:rPr>
          <w:i/>
          <w:iCs/>
        </w:rPr>
        <w:t xml:space="preserve"> Nettleship v Weston </w:t>
      </w:r>
      <w:r w:rsidRPr="007B0F83">
        <w:t>[1971]</w:t>
      </w:r>
      <w:r>
        <w:t xml:space="preserve">; </w:t>
      </w:r>
      <w:r w:rsidRPr="00802566">
        <w:rPr>
          <w:i/>
          <w:iCs/>
        </w:rPr>
        <w:t>Roberts v Ramsbottom</w:t>
      </w:r>
      <w:r>
        <w:t xml:space="preserve"> [1980]</w:t>
      </w:r>
      <w:r>
        <w:t xml:space="preserve">; </w:t>
      </w:r>
      <w:r w:rsidRPr="00802566">
        <w:rPr>
          <w:i/>
          <w:iCs/>
        </w:rPr>
        <w:t>Mansfield v Weetabix Ltd</w:t>
      </w:r>
      <w:r>
        <w:t xml:space="preserve"> [1998]</w:t>
      </w:r>
      <w:r>
        <w:t xml:space="preserve"> </w:t>
      </w:r>
      <w:r w:rsidR="00802566">
        <w:t>but does not require a standard of perfection =</w:t>
      </w:r>
      <w:r>
        <w:t xml:space="preserve"> </w:t>
      </w:r>
      <w:r w:rsidR="00802566" w:rsidRPr="00802566">
        <w:rPr>
          <w:i/>
          <w:iCs/>
        </w:rPr>
        <w:t>Birch v Paulson</w:t>
      </w:r>
      <w:r w:rsidR="00802566">
        <w:t xml:space="preserve"> [2012]</w:t>
      </w:r>
    </w:p>
    <w:p w14:paraId="7D01E260" w14:textId="3E78AECA" w:rsidR="00802566" w:rsidRDefault="00802566" w:rsidP="00467D20">
      <w:pPr>
        <w:pStyle w:val="ListParagraph"/>
        <w:ind w:left="360"/>
        <w:rPr>
          <w:b/>
          <w:bCs/>
        </w:rPr>
      </w:pPr>
      <w:r w:rsidRPr="00802566">
        <w:rPr>
          <w:b/>
          <w:bCs/>
        </w:rPr>
        <w:t>Modifications to the objective test</w:t>
      </w:r>
      <w:r>
        <w:rPr>
          <w:b/>
          <w:bCs/>
        </w:rPr>
        <w:t>:</w:t>
      </w:r>
    </w:p>
    <w:p w14:paraId="36D64124" w14:textId="44E866C6" w:rsidR="00802566" w:rsidRDefault="00802566" w:rsidP="00467D20">
      <w:pPr>
        <w:pStyle w:val="ListParagraph"/>
        <w:numPr>
          <w:ilvl w:val="1"/>
          <w:numId w:val="13"/>
        </w:numPr>
      </w:pPr>
      <w:r w:rsidRPr="00467D20">
        <w:rPr>
          <w:b/>
          <w:bCs/>
        </w:rPr>
        <w:t>Children:</w:t>
      </w:r>
      <w:r>
        <w:t xml:space="preserve"> </w:t>
      </w:r>
      <w:r w:rsidRPr="00802566">
        <w:t xml:space="preserve">The standard of care is </w:t>
      </w:r>
      <w:r>
        <w:t>“</w:t>
      </w:r>
      <w:r w:rsidRPr="00802566">
        <w:t>whether any ordinary child of 13½ [for example] can be expected to have done any more than this child did. I say ‘any ordinary child’. I do not mean a paragon of prudence; nor do I mean a scatter-brained child; but the ordinary girl of 13½</w:t>
      </w:r>
      <w:r>
        <w:t>”</w:t>
      </w:r>
      <w:r w:rsidRPr="00802566">
        <w:t xml:space="preserve"> (</w:t>
      </w:r>
      <w:r w:rsidRPr="00467D20">
        <w:rPr>
          <w:i/>
          <w:iCs/>
        </w:rPr>
        <w:t>Gough v Thorne</w:t>
      </w:r>
      <w:r w:rsidRPr="00802566">
        <w:t xml:space="preserve"> [1966]).</w:t>
      </w:r>
    </w:p>
    <w:p w14:paraId="4888AC4F" w14:textId="68FFBFA0" w:rsidR="00802566" w:rsidRDefault="00802566" w:rsidP="00467D20">
      <w:pPr>
        <w:pStyle w:val="ListParagraph"/>
        <w:numPr>
          <w:ilvl w:val="1"/>
          <w:numId w:val="13"/>
        </w:numPr>
      </w:pPr>
      <w:r w:rsidRPr="00467D20">
        <w:rPr>
          <w:b/>
          <w:bCs/>
        </w:rPr>
        <w:t>Common Practice</w:t>
      </w:r>
      <w:r w:rsidR="00745872" w:rsidRPr="00467D20">
        <w:rPr>
          <w:b/>
          <w:bCs/>
        </w:rPr>
        <w:t xml:space="preserve"> vs special skill</w:t>
      </w:r>
      <w:r w:rsidRPr="00467D20">
        <w:rPr>
          <w:b/>
          <w:bCs/>
        </w:rPr>
        <w:t>:</w:t>
      </w:r>
      <w:r>
        <w:t xml:space="preserve"> “</w:t>
      </w:r>
      <w:r>
        <w:t>Nobody expects the passenger on the Clapham omnibus to have any skill as a surgeon, a lawyer, a pilot, or a plumber, unless he is one; but if he professes to be one, then the law requires him to show such a skill as any ordinary member of the</w:t>
      </w:r>
      <w:r>
        <w:t xml:space="preserve"> </w:t>
      </w:r>
      <w:r>
        <w:t>profession or calling to which he belongs, or claims to belong, would display</w:t>
      </w:r>
      <w:r>
        <w:t>”</w:t>
      </w:r>
      <w:r>
        <w:t xml:space="preserve"> (</w:t>
      </w:r>
      <w:r w:rsidRPr="00467D20">
        <w:rPr>
          <w:i/>
          <w:iCs/>
        </w:rPr>
        <w:t xml:space="preserve">Winfield and </w:t>
      </w:r>
      <w:proofErr w:type="spellStart"/>
      <w:r w:rsidRPr="00467D20">
        <w:rPr>
          <w:i/>
          <w:iCs/>
        </w:rPr>
        <w:t>Jolowicz</w:t>
      </w:r>
      <w:proofErr w:type="spellEnd"/>
      <w:r w:rsidRPr="00467D20">
        <w:rPr>
          <w:i/>
          <w:iCs/>
        </w:rPr>
        <w:t xml:space="preserve"> on Tort</w:t>
      </w:r>
      <w:r>
        <w:t>,</w:t>
      </w:r>
      <w:r>
        <w:t xml:space="preserve"> </w:t>
      </w:r>
      <w:r>
        <w:t>2</w:t>
      </w:r>
      <w:r>
        <w:t>77).</w:t>
      </w:r>
    </w:p>
    <w:p w14:paraId="1D0A8467" w14:textId="36118538" w:rsidR="00745872" w:rsidRDefault="00745872" w:rsidP="00467D20">
      <w:pPr>
        <w:ind w:left="1080"/>
      </w:pPr>
      <w:r>
        <w:t>‘</w:t>
      </w:r>
      <w:proofErr w:type="spellStart"/>
      <w:r w:rsidR="00802566">
        <w:t>Bolam</w:t>
      </w:r>
      <w:proofErr w:type="spellEnd"/>
      <w:r w:rsidR="00802566">
        <w:t xml:space="preserve"> test</w:t>
      </w:r>
      <w:r>
        <w:t>’</w:t>
      </w:r>
      <w:r w:rsidRPr="00745872">
        <w:t xml:space="preserve"> </w:t>
      </w:r>
      <w:r>
        <w:t>(</w:t>
      </w:r>
      <w:proofErr w:type="spellStart"/>
      <w:r w:rsidRPr="00745872">
        <w:rPr>
          <w:i/>
          <w:iCs/>
        </w:rPr>
        <w:t>Bolam</w:t>
      </w:r>
      <w:proofErr w:type="spellEnd"/>
      <w:r w:rsidRPr="00745872">
        <w:rPr>
          <w:i/>
          <w:iCs/>
        </w:rPr>
        <w:t xml:space="preserve"> v Friern Hospital Management Committee</w:t>
      </w:r>
      <w:r w:rsidRPr="00745872">
        <w:t xml:space="preserve"> [1957]</w:t>
      </w:r>
      <w:r>
        <w:t>)</w:t>
      </w:r>
      <w:r w:rsidR="00802566">
        <w:t>:</w:t>
      </w:r>
      <w:r>
        <w:t xml:space="preserve"> Professional skill = the actions of the defendant are judged against those of the ordinary skilled man professing to exercise that skill. Applicable to all professionals exercising a special skill or competence. Modifications:</w:t>
      </w:r>
    </w:p>
    <w:p w14:paraId="59308DE8" w14:textId="7E8D54CD" w:rsidR="00745872" w:rsidRDefault="00745872" w:rsidP="00467D20">
      <w:pPr>
        <w:pStyle w:val="ListParagraph"/>
        <w:numPr>
          <w:ilvl w:val="1"/>
          <w:numId w:val="13"/>
        </w:numPr>
        <w:ind w:left="2160"/>
      </w:pPr>
      <w:r w:rsidRPr="00745872">
        <w:t xml:space="preserve">Where </w:t>
      </w:r>
      <w:r>
        <w:t>the defendant</w:t>
      </w:r>
      <w:r w:rsidRPr="00745872">
        <w:t xml:space="preserve"> occup</w:t>
      </w:r>
      <w:r>
        <w:t>ies</w:t>
      </w:r>
      <w:r w:rsidRPr="00745872">
        <w:t xml:space="preserve"> a particular </w:t>
      </w:r>
      <w:r w:rsidRPr="00745872">
        <w:rPr>
          <w:b/>
          <w:bCs/>
          <w:i/>
          <w:iCs/>
        </w:rPr>
        <w:t xml:space="preserve">rank or </w:t>
      </w:r>
      <w:r>
        <w:rPr>
          <w:b/>
          <w:bCs/>
          <w:i/>
          <w:iCs/>
        </w:rPr>
        <w:t>status</w:t>
      </w:r>
      <w:r w:rsidRPr="00745872">
        <w:t>, their conduct will be assessed according to the standard reasonably expected of someone occupying such a post</w:t>
      </w:r>
      <w:r>
        <w:t xml:space="preserve">: </w:t>
      </w:r>
      <w:proofErr w:type="spellStart"/>
      <w:r w:rsidRPr="00745872">
        <w:rPr>
          <w:i/>
          <w:iCs/>
        </w:rPr>
        <w:t>Wilsher</w:t>
      </w:r>
      <w:proofErr w:type="spellEnd"/>
      <w:r w:rsidRPr="00745872">
        <w:rPr>
          <w:i/>
          <w:iCs/>
        </w:rPr>
        <w:t xml:space="preserve"> v Essex Area Health Authority</w:t>
      </w:r>
      <w:r w:rsidRPr="00745872">
        <w:t xml:space="preserve"> [1987]</w:t>
      </w:r>
    </w:p>
    <w:p w14:paraId="088BA6DF" w14:textId="213A24A0" w:rsidR="00745872" w:rsidRDefault="00745872" w:rsidP="00467D20">
      <w:pPr>
        <w:pStyle w:val="ListParagraph"/>
        <w:numPr>
          <w:ilvl w:val="1"/>
          <w:numId w:val="13"/>
        </w:numPr>
        <w:ind w:left="2160"/>
      </w:pPr>
      <w:r w:rsidRPr="00745872">
        <w:t>Common practice must be logical and reasonable</w:t>
      </w:r>
      <w:r>
        <w:t xml:space="preserve">: </w:t>
      </w:r>
      <w:r w:rsidRPr="00745872">
        <w:rPr>
          <w:i/>
          <w:iCs/>
        </w:rPr>
        <w:t>Bolitho v City and Hackney Health Authority</w:t>
      </w:r>
      <w:r w:rsidRPr="00745872">
        <w:t xml:space="preserve"> [1998]</w:t>
      </w:r>
    </w:p>
    <w:p w14:paraId="5D31B19F" w14:textId="343B3ED9" w:rsidR="00BA48D4" w:rsidRDefault="007F51C7" w:rsidP="007F51C7">
      <w:pPr>
        <w:pStyle w:val="ListParagraph"/>
        <w:numPr>
          <w:ilvl w:val="1"/>
          <w:numId w:val="13"/>
        </w:numPr>
        <w:ind w:left="2160"/>
      </w:pPr>
      <w:r w:rsidRPr="007F51C7">
        <w:t xml:space="preserve">See, </w:t>
      </w:r>
      <w:proofErr w:type="spellStart"/>
      <w:r w:rsidR="00BA48D4" w:rsidRPr="007F51C7">
        <w:rPr>
          <w:i/>
          <w:iCs/>
        </w:rPr>
        <w:t>Sidaway</w:t>
      </w:r>
      <w:proofErr w:type="spellEnd"/>
      <w:r w:rsidR="00BA48D4" w:rsidRPr="007F51C7">
        <w:rPr>
          <w:i/>
          <w:iCs/>
        </w:rPr>
        <w:t xml:space="preserve"> v Bethlem Royal Hospital</w:t>
      </w:r>
      <w:r w:rsidR="00BA48D4">
        <w:t xml:space="preserve"> [1985</w:t>
      </w:r>
      <w:r w:rsidR="00BA48D4">
        <w:t xml:space="preserve">]; </w:t>
      </w:r>
      <w:r w:rsidR="00BA48D4" w:rsidRPr="007F51C7">
        <w:rPr>
          <w:i/>
          <w:iCs/>
        </w:rPr>
        <w:t xml:space="preserve">Chester v Afshar </w:t>
      </w:r>
      <w:r w:rsidR="00BA48D4">
        <w:t>[2005]</w:t>
      </w:r>
      <w:r w:rsidR="00BA48D4">
        <w:t xml:space="preserve">; </w:t>
      </w:r>
      <w:r w:rsidR="00BA48D4" w:rsidRPr="007F51C7">
        <w:rPr>
          <w:i/>
          <w:iCs/>
        </w:rPr>
        <w:t>Montgomery v Lanarkshire Health Board</w:t>
      </w:r>
      <w:r w:rsidR="00BA48D4">
        <w:t xml:space="preserve"> [2015]</w:t>
      </w:r>
    </w:p>
    <w:p w14:paraId="46B1EEF9" w14:textId="60227A7B" w:rsidR="00467D20" w:rsidRDefault="00467D20" w:rsidP="00467D20"/>
    <w:p w14:paraId="1B12D56F" w14:textId="33675793" w:rsidR="00467D20" w:rsidRDefault="00467D20" w:rsidP="00467D20">
      <w:pPr>
        <w:pStyle w:val="ListParagraph"/>
        <w:numPr>
          <w:ilvl w:val="0"/>
          <w:numId w:val="13"/>
        </w:numPr>
        <w:spacing w:after="0"/>
      </w:pPr>
      <w:r w:rsidRPr="00011BA1">
        <w:rPr>
          <w:b/>
          <w:bCs/>
        </w:rPr>
        <w:t>Setting the standard of care:</w:t>
      </w:r>
      <w:r w:rsidR="00011BA1" w:rsidRPr="00011BA1">
        <w:rPr>
          <w:b/>
          <w:bCs/>
        </w:rPr>
        <w:t xml:space="preserve"> </w:t>
      </w:r>
      <w:r w:rsidRPr="00467D20">
        <w:t xml:space="preserve">When seeking to define the standard of care required of </w:t>
      </w:r>
      <w:r>
        <w:t>the defendant</w:t>
      </w:r>
      <w:r w:rsidRPr="00467D20">
        <w:t xml:space="preserve"> </w:t>
      </w:r>
      <w:r>
        <w:t>(</w:t>
      </w:r>
      <w:r w:rsidRPr="00467D20">
        <w:t xml:space="preserve">that is, what </w:t>
      </w:r>
      <w:r>
        <w:t>the defendant</w:t>
      </w:r>
      <w:r w:rsidRPr="00467D20">
        <w:t xml:space="preserve"> ought to have done or what is reasonable in the circumstances of the case</w:t>
      </w:r>
      <w:r>
        <w:t>),</w:t>
      </w:r>
      <w:r w:rsidRPr="00467D20">
        <w:t xml:space="preserve"> the courts take a number of factors into account:</w:t>
      </w:r>
    </w:p>
    <w:p w14:paraId="6D48D49E" w14:textId="399113FB" w:rsidR="00467D20" w:rsidRDefault="00467D20" w:rsidP="00467D20">
      <w:pPr>
        <w:pStyle w:val="ListParagraph"/>
        <w:numPr>
          <w:ilvl w:val="1"/>
          <w:numId w:val="13"/>
        </w:numPr>
      </w:pPr>
      <w:r>
        <w:t xml:space="preserve">Probability or risk of injury: </w:t>
      </w:r>
      <w:r w:rsidR="007F51C7" w:rsidRPr="007F51C7">
        <w:t>Bolton v Stone [1951]</w:t>
      </w:r>
      <w:r w:rsidR="007F51C7">
        <w:t xml:space="preserve">; </w:t>
      </w:r>
      <w:r w:rsidR="00953A70" w:rsidRPr="00953A70">
        <w:t>Roe v Ministry of Health [1954]</w:t>
      </w:r>
    </w:p>
    <w:p w14:paraId="0DB8575B" w14:textId="670A3A74" w:rsidR="00953A70" w:rsidRDefault="00953A70" w:rsidP="00467D20">
      <w:pPr>
        <w:pStyle w:val="ListParagraph"/>
        <w:numPr>
          <w:ilvl w:val="1"/>
          <w:numId w:val="13"/>
        </w:numPr>
      </w:pPr>
      <w:r>
        <w:t xml:space="preserve">Seriousness of the injury: </w:t>
      </w:r>
      <w:r w:rsidRPr="00953A70">
        <w:t>Paris v Stepney Borough Council [1951]</w:t>
      </w:r>
    </w:p>
    <w:p w14:paraId="0E7171E0" w14:textId="1496EAA7" w:rsidR="00953A70" w:rsidRDefault="00953A70" w:rsidP="00467D20">
      <w:pPr>
        <w:pStyle w:val="ListParagraph"/>
        <w:numPr>
          <w:ilvl w:val="1"/>
          <w:numId w:val="13"/>
        </w:numPr>
      </w:pPr>
      <w:r>
        <w:t xml:space="preserve">Cost of precautions: </w:t>
      </w:r>
      <w:r w:rsidRPr="00953A70">
        <w:t>Latimer v AEC Ltd [1953]</w:t>
      </w:r>
    </w:p>
    <w:p w14:paraId="62A5F0C9" w14:textId="13AEEFFD" w:rsidR="00C146AD" w:rsidRDefault="00953A70" w:rsidP="00C146AD">
      <w:pPr>
        <w:pStyle w:val="ListParagraph"/>
        <w:numPr>
          <w:ilvl w:val="1"/>
          <w:numId w:val="13"/>
        </w:numPr>
      </w:pPr>
      <w:r>
        <w:t xml:space="preserve">Social value of the activity: </w:t>
      </w:r>
      <w:r w:rsidRPr="00953A70">
        <w:t>Watt v Hertfordshire County Council [1954]</w:t>
      </w:r>
      <w:r>
        <w:t xml:space="preserve">; </w:t>
      </w:r>
      <w:r w:rsidRPr="00953A70">
        <w:t>Scout Association v Barnes [2010]</w:t>
      </w:r>
      <w:r>
        <w:t xml:space="preserve">; </w:t>
      </w:r>
      <w:r w:rsidRPr="00953A70">
        <w:t>Marshall v Osmond [1983]</w:t>
      </w:r>
    </w:p>
    <w:p w14:paraId="39396B11" w14:textId="1905C75B" w:rsidR="00C146AD" w:rsidRDefault="00C146AD" w:rsidP="00C146AD"/>
    <w:p w14:paraId="0DBDABBA" w14:textId="42CBECD5" w:rsidR="00C146AD" w:rsidRPr="00C146AD" w:rsidRDefault="00C146AD" w:rsidP="00C146AD">
      <w:pPr>
        <w:pStyle w:val="ListParagraph"/>
        <w:numPr>
          <w:ilvl w:val="0"/>
          <w:numId w:val="13"/>
        </w:numPr>
        <w:rPr>
          <w:b/>
          <w:bCs/>
        </w:rPr>
      </w:pPr>
      <w:r w:rsidRPr="00C146AD">
        <w:rPr>
          <w:b/>
          <w:bCs/>
        </w:rPr>
        <w:t>Parliamentary interventions:</w:t>
      </w:r>
      <w:r w:rsidR="00011BA1">
        <w:rPr>
          <w:b/>
          <w:bCs/>
        </w:rPr>
        <w:t xml:space="preserve"> </w:t>
      </w:r>
      <w:r w:rsidR="00011BA1" w:rsidRPr="00011BA1">
        <w:t xml:space="preserve">Introduced </w:t>
      </w:r>
      <w:r w:rsidR="00011BA1">
        <w:t>to address concerns about the</w:t>
      </w:r>
      <w:r w:rsidR="00011BA1" w:rsidRPr="00011BA1">
        <w:t xml:space="preserve"> growing compensation culture in the UK</w:t>
      </w:r>
      <w:r w:rsidR="00011BA1">
        <w:t>:</w:t>
      </w:r>
    </w:p>
    <w:p w14:paraId="21878831" w14:textId="58CF3E0B" w:rsidR="00C146AD" w:rsidRDefault="00C146AD" w:rsidP="00011BA1">
      <w:pPr>
        <w:pStyle w:val="ListParagraph"/>
        <w:numPr>
          <w:ilvl w:val="1"/>
          <w:numId w:val="13"/>
        </w:numPr>
      </w:pPr>
      <w:r w:rsidRPr="00011BA1">
        <w:rPr>
          <w:b/>
          <w:bCs/>
        </w:rPr>
        <w:t>Compensation Act 2006</w:t>
      </w:r>
      <w:r>
        <w:t xml:space="preserve"> (s 1) = </w:t>
      </w:r>
      <w:r w:rsidR="00011BA1" w:rsidRPr="00011BA1">
        <w:t>reflects the existing law and has not altered the way courts approach the issue of determining the standard of care</w:t>
      </w:r>
    </w:p>
    <w:p w14:paraId="00977A50" w14:textId="7F46CA60" w:rsidR="00C146AD" w:rsidRDefault="00C146AD" w:rsidP="00011BA1">
      <w:pPr>
        <w:pStyle w:val="ListParagraph"/>
        <w:numPr>
          <w:ilvl w:val="1"/>
          <w:numId w:val="13"/>
        </w:numPr>
      </w:pPr>
      <w:r w:rsidRPr="00011BA1">
        <w:rPr>
          <w:b/>
          <w:bCs/>
        </w:rPr>
        <w:t>Social Action, Responsibility and Heroism Act 2015</w:t>
      </w:r>
      <w:r w:rsidRPr="00C146AD">
        <w:t xml:space="preserve">: </w:t>
      </w:r>
      <w:r w:rsidR="00011BA1">
        <w:t>No change in substantive law but merely mandates courts address these issues systematically in setting the relevant standard of care</w:t>
      </w:r>
      <w:r w:rsidR="00596712">
        <w:t>.</w:t>
      </w:r>
    </w:p>
    <w:p w14:paraId="7C138BEE" w14:textId="72CF2EAE" w:rsidR="00144E41" w:rsidRDefault="00144E41" w:rsidP="00144E41">
      <w:pPr>
        <w:pStyle w:val="ListParagraph"/>
        <w:numPr>
          <w:ilvl w:val="0"/>
          <w:numId w:val="13"/>
        </w:numPr>
      </w:pPr>
      <w:r w:rsidRPr="00144E41">
        <w:rPr>
          <w:b/>
          <w:bCs/>
        </w:rPr>
        <w:t>Establishing breach</w:t>
      </w:r>
      <w:r>
        <w:t xml:space="preserve">: The </w:t>
      </w:r>
      <w:r w:rsidRPr="00144E41">
        <w:t>burden is on the claimant to establish that there has been a breach of duty. The standard of proof is the balance of probabilities.</w:t>
      </w:r>
      <w:r>
        <w:t xml:space="preserve"> However, </w:t>
      </w:r>
      <w:r w:rsidRPr="00144E41">
        <w:rPr>
          <w:i/>
          <w:iCs/>
        </w:rPr>
        <w:t xml:space="preserve">res </w:t>
      </w:r>
      <w:proofErr w:type="spellStart"/>
      <w:r w:rsidRPr="00144E41">
        <w:rPr>
          <w:i/>
          <w:iCs/>
        </w:rPr>
        <w:t>ipsa</w:t>
      </w:r>
      <w:proofErr w:type="spellEnd"/>
      <w:r w:rsidRPr="00144E41">
        <w:rPr>
          <w:i/>
          <w:iCs/>
        </w:rPr>
        <w:t xml:space="preserve"> loquitur</w:t>
      </w:r>
      <w:r>
        <w:t xml:space="preserve"> (the thing speaks for itself’): </w:t>
      </w:r>
      <w:r w:rsidRPr="00144E41">
        <w:t>The accident must be of the kind which does not normally happen in the absence of negligence</w:t>
      </w:r>
      <w:r>
        <w:t>; t</w:t>
      </w:r>
      <w:r w:rsidRPr="00144E41">
        <w:t>he cause of the accident must have been under the defendant’s control</w:t>
      </w:r>
      <w:r>
        <w:t>; and t</w:t>
      </w:r>
      <w:r w:rsidRPr="00144E41">
        <w:t>he cause of the accident must have been under the defendant’s control</w:t>
      </w:r>
      <w:r w:rsidR="00A619FE">
        <w:t xml:space="preserve"> = </w:t>
      </w:r>
      <w:r w:rsidR="00A619FE" w:rsidRPr="00A619FE">
        <w:t>It allows the court to infer that the defendant has been negligent, but only in the absence of plausible evidence from the defendant of lack of negligence.</w:t>
      </w:r>
    </w:p>
    <w:sectPr w:rsidR="00144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altName w:val="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35902"/>
    <w:multiLevelType w:val="hybridMultilevel"/>
    <w:tmpl w:val="E910A5C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554058D"/>
    <w:multiLevelType w:val="hybridMultilevel"/>
    <w:tmpl w:val="744CF1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216DB7"/>
    <w:multiLevelType w:val="hybridMultilevel"/>
    <w:tmpl w:val="BEE600FE"/>
    <w:lvl w:ilvl="0" w:tplc="647450A0">
      <w:numFmt w:val="bullet"/>
      <w:lvlText w:val=""/>
      <w:lvlJc w:val="left"/>
      <w:pPr>
        <w:ind w:left="468" w:hanging="360"/>
      </w:pPr>
      <w:rPr>
        <w:rFonts w:ascii="Symbol" w:eastAsia="Symbol" w:hAnsi="Symbol" w:cs="Symbol" w:hint="default"/>
        <w:w w:val="100"/>
        <w:sz w:val="22"/>
        <w:szCs w:val="22"/>
        <w:lang w:val="en-GB" w:eastAsia="en-US" w:bidi="ar-SA"/>
      </w:rPr>
    </w:lvl>
    <w:lvl w:ilvl="1" w:tplc="8518499C">
      <w:numFmt w:val="bullet"/>
      <w:lvlText w:val="•"/>
      <w:lvlJc w:val="left"/>
      <w:pPr>
        <w:ind w:left="640" w:hanging="360"/>
      </w:pPr>
      <w:rPr>
        <w:rFonts w:hint="default"/>
        <w:lang w:val="en-GB" w:eastAsia="en-US" w:bidi="ar-SA"/>
      </w:rPr>
    </w:lvl>
    <w:lvl w:ilvl="2" w:tplc="525CF770">
      <w:numFmt w:val="bullet"/>
      <w:lvlText w:val="•"/>
      <w:lvlJc w:val="left"/>
      <w:pPr>
        <w:ind w:left="1596" w:hanging="360"/>
      </w:pPr>
      <w:rPr>
        <w:rFonts w:hint="default"/>
        <w:lang w:val="en-GB" w:eastAsia="en-US" w:bidi="ar-SA"/>
      </w:rPr>
    </w:lvl>
    <w:lvl w:ilvl="3" w:tplc="2728AAAA">
      <w:numFmt w:val="bullet"/>
      <w:lvlText w:val="•"/>
      <w:lvlJc w:val="left"/>
      <w:pPr>
        <w:ind w:left="2551" w:hanging="360"/>
      </w:pPr>
      <w:rPr>
        <w:rFonts w:hint="default"/>
        <w:lang w:val="en-GB" w:eastAsia="en-US" w:bidi="ar-SA"/>
      </w:rPr>
    </w:lvl>
    <w:lvl w:ilvl="4" w:tplc="B276C4B6">
      <w:numFmt w:val="bullet"/>
      <w:lvlText w:val="•"/>
      <w:lvlJc w:val="left"/>
      <w:pPr>
        <w:ind w:left="3507" w:hanging="360"/>
      </w:pPr>
      <w:rPr>
        <w:rFonts w:hint="default"/>
        <w:lang w:val="en-GB" w:eastAsia="en-US" w:bidi="ar-SA"/>
      </w:rPr>
    </w:lvl>
    <w:lvl w:ilvl="5" w:tplc="EB8E6EEC">
      <w:numFmt w:val="bullet"/>
      <w:lvlText w:val="•"/>
      <w:lvlJc w:val="left"/>
      <w:pPr>
        <w:ind w:left="4463" w:hanging="360"/>
      </w:pPr>
      <w:rPr>
        <w:rFonts w:hint="default"/>
        <w:lang w:val="en-GB" w:eastAsia="en-US" w:bidi="ar-SA"/>
      </w:rPr>
    </w:lvl>
    <w:lvl w:ilvl="6" w:tplc="C46C1538">
      <w:numFmt w:val="bullet"/>
      <w:lvlText w:val="•"/>
      <w:lvlJc w:val="left"/>
      <w:pPr>
        <w:ind w:left="5419" w:hanging="360"/>
      </w:pPr>
      <w:rPr>
        <w:rFonts w:hint="default"/>
        <w:lang w:val="en-GB" w:eastAsia="en-US" w:bidi="ar-SA"/>
      </w:rPr>
    </w:lvl>
    <w:lvl w:ilvl="7" w:tplc="687CE8D4">
      <w:numFmt w:val="bullet"/>
      <w:lvlText w:val="•"/>
      <w:lvlJc w:val="left"/>
      <w:pPr>
        <w:ind w:left="6375" w:hanging="360"/>
      </w:pPr>
      <w:rPr>
        <w:rFonts w:hint="default"/>
        <w:lang w:val="en-GB" w:eastAsia="en-US" w:bidi="ar-SA"/>
      </w:rPr>
    </w:lvl>
    <w:lvl w:ilvl="8" w:tplc="95625EAA">
      <w:numFmt w:val="bullet"/>
      <w:lvlText w:val="•"/>
      <w:lvlJc w:val="left"/>
      <w:pPr>
        <w:ind w:left="7331" w:hanging="360"/>
      </w:pPr>
      <w:rPr>
        <w:rFonts w:hint="default"/>
        <w:lang w:val="en-GB" w:eastAsia="en-US" w:bidi="ar-SA"/>
      </w:rPr>
    </w:lvl>
  </w:abstractNum>
  <w:abstractNum w:abstractNumId="3" w15:restartNumberingAfterBreak="0">
    <w:nsid w:val="192E245A"/>
    <w:multiLevelType w:val="hybridMultilevel"/>
    <w:tmpl w:val="95648E8E"/>
    <w:lvl w:ilvl="0" w:tplc="01D222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E9E46AF"/>
    <w:multiLevelType w:val="hybridMultilevel"/>
    <w:tmpl w:val="F8047408"/>
    <w:lvl w:ilvl="0" w:tplc="01D222F0">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287DBF"/>
    <w:multiLevelType w:val="hybridMultilevel"/>
    <w:tmpl w:val="B100C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A95971"/>
    <w:multiLevelType w:val="hybridMultilevel"/>
    <w:tmpl w:val="282A3EF6"/>
    <w:lvl w:ilvl="0" w:tplc="DB40C250">
      <w:numFmt w:val="bullet"/>
      <w:lvlText w:val="*"/>
      <w:lvlJc w:val="left"/>
      <w:pPr>
        <w:ind w:left="159" w:hanging="159"/>
      </w:pPr>
      <w:rPr>
        <w:rFonts w:ascii="Candara" w:eastAsia="Candara" w:hAnsi="Candara" w:cs="Candara" w:hint="default"/>
        <w:w w:val="100"/>
        <w:sz w:val="22"/>
        <w:szCs w:val="22"/>
        <w:lang w:val="en-GB" w:eastAsia="en-US" w:bidi="ar-SA"/>
      </w:rPr>
    </w:lvl>
    <w:lvl w:ilvl="1" w:tplc="11F0778A">
      <w:numFmt w:val="bullet"/>
      <w:lvlText w:val="•"/>
      <w:lvlJc w:val="left"/>
      <w:pPr>
        <w:ind w:left="1014" w:hanging="159"/>
      </w:pPr>
      <w:rPr>
        <w:rFonts w:hint="default"/>
        <w:lang w:val="en-GB" w:eastAsia="en-US" w:bidi="ar-SA"/>
      </w:rPr>
    </w:lvl>
    <w:lvl w:ilvl="2" w:tplc="5FC47144">
      <w:numFmt w:val="bullet"/>
      <w:lvlText w:val="•"/>
      <w:lvlJc w:val="left"/>
      <w:pPr>
        <w:ind w:left="1928" w:hanging="159"/>
      </w:pPr>
      <w:rPr>
        <w:rFonts w:hint="default"/>
        <w:lang w:val="en-GB" w:eastAsia="en-US" w:bidi="ar-SA"/>
      </w:rPr>
    </w:lvl>
    <w:lvl w:ilvl="3" w:tplc="CB46EE26">
      <w:numFmt w:val="bullet"/>
      <w:lvlText w:val="•"/>
      <w:lvlJc w:val="left"/>
      <w:pPr>
        <w:ind w:left="2843" w:hanging="159"/>
      </w:pPr>
      <w:rPr>
        <w:rFonts w:hint="default"/>
        <w:lang w:val="en-GB" w:eastAsia="en-US" w:bidi="ar-SA"/>
      </w:rPr>
    </w:lvl>
    <w:lvl w:ilvl="4" w:tplc="D7C2B5E0">
      <w:numFmt w:val="bullet"/>
      <w:lvlText w:val="•"/>
      <w:lvlJc w:val="left"/>
      <w:pPr>
        <w:ind w:left="3757" w:hanging="159"/>
      </w:pPr>
      <w:rPr>
        <w:rFonts w:hint="default"/>
        <w:lang w:val="en-GB" w:eastAsia="en-US" w:bidi="ar-SA"/>
      </w:rPr>
    </w:lvl>
    <w:lvl w:ilvl="5" w:tplc="E1AE640A">
      <w:numFmt w:val="bullet"/>
      <w:lvlText w:val="•"/>
      <w:lvlJc w:val="left"/>
      <w:pPr>
        <w:ind w:left="4671" w:hanging="159"/>
      </w:pPr>
      <w:rPr>
        <w:rFonts w:hint="default"/>
        <w:lang w:val="en-GB" w:eastAsia="en-US" w:bidi="ar-SA"/>
      </w:rPr>
    </w:lvl>
    <w:lvl w:ilvl="6" w:tplc="4A2A9EA0">
      <w:numFmt w:val="bullet"/>
      <w:lvlText w:val="•"/>
      <w:lvlJc w:val="left"/>
      <w:pPr>
        <w:ind w:left="5586" w:hanging="159"/>
      </w:pPr>
      <w:rPr>
        <w:rFonts w:hint="default"/>
        <w:lang w:val="en-GB" w:eastAsia="en-US" w:bidi="ar-SA"/>
      </w:rPr>
    </w:lvl>
    <w:lvl w:ilvl="7" w:tplc="090201C6">
      <w:numFmt w:val="bullet"/>
      <w:lvlText w:val="•"/>
      <w:lvlJc w:val="left"/>
      <w:pPr>
        <w:ind w:left="6500" w:hanging="159"/>
      </w:pPr>
      <w:rPr>
        <w:rFonts w:hint="default"/>
        <w:lang w:val="en-GB" w:eastAsia="en-US" w:bidi="ar-SA"/>
      </w:rPr>
    </w:lvl>
    <w:lvl w:ilvl="8" w:tplc="51267184">
      <w:numFmt w:val="bullet"/>
      <w:lvlText w:val="•"/>
      <w:lvlJc w:val="left"/>
      <w:pPr>
        <w:ind w:left="7415" w:hanging="159"/>
      </w:pPr>
      <w:rPr>
        <w:rFonts w:hint="default"/>
        <w:lang w:val="en-GB" w:eastAsia="en-US" w:bidi="ar-SA"/>
      </w:rPr>
    </w:lvl>
  </w:abstractNum>
  <w:abstractNum w:abstractNumId="8" w15:restartNumberingAfterBreak="0">
    <w:nsid w:val="48AF1F74"/>
    <w:multiLevelType w:val="hybridMultilevel"/>
    <w:tmpl w:val="D3CCEC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F7B6551"/>
    <w:multiLevelType w:val="hybridMultilevel"/>
    <w:tmpl w:val="9310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0E4C48"/>
    <w:multiLevelType w:val="hybridMultilevel"/>
    <w:tmpl w:val="CF0EFEAA"/>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24A0D9D"/>
    <w:multiLevelType w:val="hybridMultilevel"/>
    <w:tmpl w:val="CA4A3728"/>
    <w:lvl w:ilvl="0" w:tplc="41CA33CC">
      <w:numFmt w:val="bullet"/>
      <w:lvlText w:val="*"/>
      <w:lvlJc w:val="left"/>
      <w:pPr>
        <w:ind w:left="108" w:hanging="156"/>
      </w:pPr>
      <w:rPr>
        <w:rFonts w:ascii="Candara" w:eastAsia="Candara" w:hAnsi="Candara" w:cs="Candara" w:hint="default"/>
        <w:i/>
        <w:w w:val="100"/>
        <w:sz w:val="22"/>
        <w:szCs w:val="22"/>
        <w:lang w:val="en-GB" w:eastAsia="en-US" w:bidi="ar-SA"/>
      </w:rPr>
    </w:lvl>
    <w:lvl w:ilvl="1" w:tplc="81DC75F2">
      <w:numFmt w:val="bullet"/>
      <w:lvlText w:val="•"/>
      <w:lvlJc w:val="left"/>
      <w:pPr>
        <w:ind w:left="1014" w:hanging="156"/>
      </w:pPr>
      <w:rPr>
        <w:rFonts w:hint="default"/>
        <w:lang w:val="en-GB" w:eastAsia="en-US" w:bidi="ar-SA"/>
      </w:rPr>
    </w:lvl>
    <w:lvl w:ilvl="2" w:tplc="57724B24">
      <w:numFmt w:val="bullet"/>
      <w:lvlText w:val="•"/>
      <w:lvlJc w:val="left"/>
      <w:pPr>
        <w:ind w:left="1928" w:hanging="156"/>
      </w:pPr>
      <w:rPr>
        <w:rFonts w:hint="default"/>
        <w:lang w:val="en-GB" w:eastAsia="en-US" w:bidi="ar-SA"/>
      </w:rPr>
    </w:lvl>
    <w:lvl w:ilvl="3" w:tplc="FE82688C">
      <w:numFmt w:val="bullet"/>
      <w:lvlText w:val="•"/>
      <w:lvlJc w:val="left"/>
      <w:pPr>
        <w:ind w:left="2843" w:hanging="156"/>
      </w:pPr>
      <w:rPr>
        <w:rFonts w:hint="default"/>
        <w:lang w:val="en-GB" w:eastAsia="en-US" w:bidi="ar-SA"/>
      </w:rPr>
    </w:lvl>
    <w:lvl w:ilvl="4" w:tplc="5DAA9D30">
      <w:numFmt w:val="bullet"/>
      <w:lvlText w:val="•"/>
      <w:lvlJc w:val="left"/>
      <w:pPr>
        <w:ind w:left="3757" w:hanging="156"/>
      </w:pPr>
      <w:rPr>
        <w:rFonts w:hint="default"/>
        <w:lang w:val="en-GB" w:eastAsia="en-US" w:bidi="ar-SA"/>
      </w:rPr>
    </w:lvl>
    <w:lvl w:ilvl="5" w:tplc="E0FE1F94">
      <w:numFmt w:val="bullet"/>
      <w:lvlText w:val="•"/>
      <w:lvlJc w:val="left"/>
      <w:pPr>
        <w:ind w:left="4671" w:hanging="156"/>
      </w:pPr>
      <w:rPr>
        <w:rFonts w:hint="default"/>
        <w:lang w:val="en-GB" w:eastAsia="en-US" w:bidi="ar-SA"/>
      </w:rPr>
    </w:lvl>
    <w:lvl w:ilvl="6" w:tplc="C64CCFD2">
      <w:numFmt w:val="bullet"/>
      <w:lvlText w:val="•"/>
      <w:lvlJc w:val="left"/>
      <w:pPr>
        <w:ind w:left="5586" w:hanging="156"/>
      </w:pPr>
      <w:rPr>
        <w:rFonts w:hint="default"/>
        <w:lang w:val="en-GB" w:eastAsia="en-US" w:bidi="ar-SA"/>
      </w:rPr>
    </w:lvl>
    <w:lvl w:ilvl="7" w:tplc="4600F3B6">
      <w:numFmt w:val="bullet"/>
      <w:lvlText w:val="•"/>
      <w:lvlJc w:val="left"/>
      <w:pPr>
        <w:ind w:left="6500" w:hanging="156"/>
      </w:pPr>
      <w:rPr>
        <w:rFonts w:hint="default"/>
        <w:lang w:val="en-GB" w:eastAsia="en-US" w:bidi="ar-SA"/>
      </w:rPr>
    </w:lvl>
    <w:lvl w:ilvl="8" w:tplc="1F9ADB16">
      <w:numFmt w:val="bullet"/>
      <w:lvlText w:val="•"/>
      <w:lvlJc w:val="left"/>
      <w:pPr>
        <w:ind w:left="7415" w:hanging="156"/>
      </w:pPr>
      <w:rPr>
        <w:rFonts w:hint="default"/>
        <w:lang w:val="en-GB" w:eastAsia="en-US" w:bidi="ar-SA"/>
      </w:rPr>
    </w:lvl>
  </w:abstractNum>
  <w:abstractNum w:abstractNumId="12" w15:restartNumberingAfterBreak="0">
    <w:nsid w:val="75521901"/>
    <w:multiLevelType w:val="hybridMultilevel"/>
    <w:tmpl w:val="B7CC7C0A"/>
    <w:lvl w:ilvl="0" w:tplc="01D222F0">
      <w:start w:val="1"/>
      <w:numFmt w:val="decimal"/>
      <w:lvlText w:val="%1."/>
      <w:lvlJc w:val="left"/>
      <w:pPr>
        <w:ind w:left="1080" w:hanging="360"/>
      </w:pPr>
      <w:rPr>
        <w:rFonts w:hint="default"/>
      </w:r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9A2325"/>
    <w:multiLevelType w:val="hybridMultilevel"/>
    <w:tmpl w:val="4D8EB81E"/>
    <w:lvl w:ilvl="0" w:tplc="0AB40724">
      <w:start w:val="1"/>
      <w:numFmt w:val="bullet"/>
      <w:lvlText w:val=""/>
      <w:lvlJc w:val="left"/>
      <w:pPr>
        <w:ind w:left="720" w:hanging="360"/>
      </w:pPr>
      <w:rPr>
        <w:rFonts w:ascii="Symbol" w:hAnsi="Symbol" w:hint="default"/>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5313250">
    <w:abstractNumId w:val="6"/>
  </w:num>
  <w:num w:numId="2" w16cid:durableId="1913075311">
    <w:abstractNumId w:val="13"/>
  </w:num>
  <w:num w:numId="3" w16cid:durableId="1515991894">
    <w:abstractNumId w:val="11"/>
  </w:num>
  <w:num w:numId="4" w16cid:durableId="797796966">
    <w:abstractNumId w:val="7"/>
  </w:num>
  <w:num w:numId="5" w16cid:durableId="257446891">
    <w:abstractNumId w:val="2"/>
  </w:num>
  <w:num w:numId="6" w16cid:durableId="1572425014">
    <w:abstractNumId w:val="9"/>
  </w:num>
  <w:num w:numId="7" w16cid:durableId="1595432750">
    <w:abstractNumId w:val="5"/>
  </w:num>
  <w:num w:numId="8" w16cid:durableId="1813862909">
    <w:abstractNumId w:val="3"/>
  </w:num>
  <w:num w:numId="9" w16cid:durableId="1281381849">
    <w:abstractNumId w:val="4"/>
  </w:num>
  <w:num w:numId="10" w16cid:durableId="182088244">
    <w:abstractNumId w:val="12"/>
  </w:num>
  <w:num w:numId="11" w16cid:durableId="1893468947">
    <w:abstractNumId w:val="0"/>
  </w:num>
  <w:num w:numId="12" w16cid:durableId="1048261586">
    <w:abstractNumId w:val="8"/>
  </w:num>
  <w:num w:numId="13" w16cid:durableId="588972880">
    <w:abstractNumId w:val="10"/>
  </w:num>
  <w:num w:numId="14" w16cid:durableId="19177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020"/>
    <w:rsid w:val="00011BA1"/>
    <w:rsid w:val="00112A57"/>
    <w:rsid w:val="001258DB"/>
    <w:rsid w:val="00144E41"/>
    <w:rsid w:val="00386221"/>
    <w:rsid w:val="00432552"/>
    <w:rsid w:val="00467D20"/>
    <w:rsid w:val="00494999"/>
    <w:rsid w:val="00546B03"/>
    <w:rsid w:val="00593D1A"/>
    <w:rsid w:val="00596712"/>
    <w:rsid w:val="005B7B25"/>
    <w:rsid w:val="00605DD0"/>
    <w:rsid w:val="006160D7"/>
    <w:rsid w:val="006A4860"/>
    <w:rsid w:val="00745872"/>
    <w:rsid w:val="00745DAC"/>
    <w:rsid w:val="0078498C"/>
    <w:rsid w:val="007B0F83"/>
    <w:rsid w:val="007F51C7"/>
    <w:rsid w:val="00802566"/>
    <w:rsid w:val="008678BC"/>
    <w:rsid w:val="00882970"/>
    <w:rsid w:val="008F2923"/>
    <w:rsid w:val="008F638A"/>
    <w:rsid w:val="00953A70"/>
    <w:rsid w:val="009A25C8"/>
    <w:rsid w:val="00A25832"/>
    <w:rsid w:val="00A31781"/>
    <w:rsid w:val="00A36DC0"/>
    <w:rsid w:val="00A619FE"/>
    <w:rsid w:val="00B12020"/>
    <w:rsid w:val="00B3426C"/>
    <w:rsid w:val="00B9604C"/>
    <w:rsid w:val="00BA48D4"/>
    <w:rsid w:val="00C146AD"/>
    <w:rsid w:val="00CE2229"/>
    <w:rsid w:val="00CF0020"/>
    <w:rsid w:val="00D75415"/>
    <w:rsid w:val="00E05CD9"/>
    <w:rsid w:val="00E702B0"/>
    <w:rsid w:val="00EE5F80"/>
    <w:rsid w:val="00F769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FF96"/>
  <w15:chartTrackingRefBased/>
  <w15:docId w15:val="{D520BDC6-31A2-4EAD-9D2D-C048ECF2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229"/>
    <w:pPr>
      <w:jc w:val="both"/>
    </w:pPr>
    <w:rPr>
      <w:rFonts w:ascii="Arial" w:hAnsi="Arial"/>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558F8-DDEF-4717-9A72-B25C23B39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4</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4</cp:revision>
  <dcterms:created xsi:type="dcterms:W3CDTF">2023-10-27T07:11:00Z</dcterms:created>
  <dcterms:modified xsi:type="dcterms:W3CDTF">2023-10-27T14:36:00Z</dcterms:modified>
</cp:coreProperties>
</file>