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606AF" w14:textId="77777777" w:rsidR="004F293D" w:rsidRPr="004F293D" w:rsidRDefault="00AC72AD" w:rsidP="004F293D">
      <w:pPr>
        <w:jc w:val="left"/>
        <w:rPr>
          <w:b/>
          <w:bCs/>
          <w:sz w:val="32"/>
          <w:szCs w:val="32"/>
        </w:rPr>
      </w:pPr>
      <w:r w:rsidRPr="004F293D">
        <w:rPr>
          <w:b/>
          <w:bCs/>
          <w:sz w:val="32"/>
          <w:szCs w:val="32"/>
        </w:rPr>
        <w:t>T</w:t>
      </w:r>
      <w:r w:rsidR="004F293D" w:rsidRPr="004F293D">
        <w:rPr>
          <w:b/>
          <w:bCs/>
          <w:sz w:val="32"/>
          <w:szCs w:val="32"/>
        </w:rPr>
        <w:t>ORT LAW</w:t>
      </w:r>
      <w:r w:rsidR="004F293D">
        <w:rPr>
          <w:b/>
          <w:bCs/>
          <w:sz w:val="32"/>
          <w:szCs w:val="32"/>
        </w:rPr>
        <w:t xml:space="preserve"> (2023-24)</w:t>
      </w:r>
    </w:p>
    <w:p w14:paraId="1F0B2D56" w14:textId="77777777" w:rsidR="00322DB9" w:rsidRPr="004F293D" w:rsidRDefault="004F293D" w:rsidP="004F293D">
      <w:pPr>
        <w:jc w:val="left"/>
        <w:rPr>
          <w:b/>
          <w:bCs/>
          <w:sz w:val="32"/>
          <w:szCs w:val="32"/>
        </w:rPr>
      </w:pPr>
      <w:r w:rsidRPr="004F293D">
        <w:rPr>
          <w:b/>
          <w:bCs/>
          <w:sz w:val="32"/>
          <w:szCs w:val="32"/>
        </w:rPr>
        <w:t xml:space="preserve">LECTURE </w:t>
      </w:r>
      <w:r w:rsidR="00BF1566">
        <w:rPr>
          <w:b/>
          <w:bCs/>
          <w:sz w:val="32"/>
          <w:szCs w:val="32"/>
        </w:rPr>
        <w:t>ONE</w:t>
      </w:r>
      <w:r w:rsidRPr="004F293D">
        <w:rPr>
          <w:b/>
          <w:bCs/>
          <w:sz w:val="32"/>
          <w:szCs w:val="32"/>
        </w:rPr>
        <w:t>: INTRODUCTION TO TORT LAW AND NEGLIGENCE</w:t>
      </w:r>
    </w:p>
    <w:p w14:paraId="0AD6F3D8" w14:textId="77777777" w:rsidR="00AC72AD" w:rsidRPr="004F293D" w:rsidRDefault="00AC72AD" w:rsidP="004F293D">
      <w:pPr>
        <w:jc w:val="left"/>
        <w:rPr>
          <w:b/>
          <w:bCs/>
        </w:rPr>
      </w:pPr>
      <w:r w:rsidRPr="004F293D">
        <w:rPr>
          <w:b/>
          <w:bCs/>
        </w:rPr>
        <w:t>Dr Camilla Pickles</w:t>
      </w:r>
    </w:p>
    <w:p w14:paraId="73555066" w14:textId="77777777" w:rsidR="00AC72AD" w:rsidRDefault="00AC72AD"/>
    <w:p w14:paraId="2AFA5C55" w14:textId="77777777" w:rsidR="004F293D" w:rsidRDefault="004F293D">
      <w:r>
        <w:t>Take note:</w:t>
      </w:r>
    </w:p>
    <w:p w14:paraId="61B4E558" w14:textId="77777777" w:rsidR="00AC72AD" w:rsidRDefault="00AC72AD" w:rsidP="00AC72AD">
      <w:r w:rsidRPr="00AC72AD">
        <w:t xml:space="preserve">During the first term of tort </w:t>
      </w:r>
      <w:proofErr w:type="gramStart"/>
      <w:r w:rsidRPr="00AC72AD">
        <w:t>law</w:t>
      </w:r>
      <w:proofErr w:type="gramEnd"/>
      <w:r w:rsidRPr="00AC72AD">
        <w:t xml:space="preserve"> we will be looking at the tort of negligence. Ten lectures are prepared for negligence and this handout contains the lecture outline and reading list for the first lecture: Introduction to Tort Law and Introduction to Negligence. </w:t>
      </w:r>
      <w:r>
        <w:t xml:space="preserve">It is recommended that you read through the lecture outline </w:t>
      </w:r>
      <w:r w:rsidR="004F293D">
        <w:t>before</w:t>
      </w:r>
      <w:r>
        <w:t xml:space="preserve"> each lecture. </w:t>
      </w:r>
    </w:p>
    <w:p w14:paraId="73CF5135" w14:textId="77777777" w:rsidR="00AC72AD" w:rsidRDefault="00AC72AD"/>
    <w:p w14:paraId="736B6233" w14:textId="77777777" w:rsidR="00AC72AD" w:rsidRDefault="00AC72AD">
      <w:r w:rsidRPr="00AC72AD">
        <w:t>In this handout you will find references to the relevant pages from the recommended texts as well as academic articles and key cases. It is strongly recommended that, at minimum, you should complete the reading marked by an asterisk (*).</w:t>
      </w:r>
      <w:r>
        <w:t xml:space="preserve"> </w:t>
      </w:r>
      <w:r w:rsidRPr="00AC72AD">
        <w:t>Case law forms an integral part of</w:t>
      </w:r>
      <w:r w:rsidR="004F293D">
        <w:t xml:space="preserve"> the</w:t>
      </w:r>
      <w:r w:rsidRPr="00AC72AD">
        <w:t xml:space="preserve"> </w:t>
      </w:r>
      <w:r w:rsidR="004F293D" w:rsidRPr="00AC72AD">
        <w:t>law,</w:t>
      </w:r>
      <w:r w:rsidRPr="00AC72AD">
        <w:t xml:space="preserve"> and your understanding of tort law will only be improved by reading cases. However, over the next year you will come across more than 100 cases in tort law alone. For this reason, it will be impossible for you to read every case in detail. You should try to read the cases marked with an asterisk. Some cases are discussed and extracted at length in </w:t>
      </w:r>
      <w:r w:rsidR="000F5788">
        <w:t>Nolan</w:t>
      </w:r>
      <w:r w:rsidRPr="00AC72AD">
        <w:t xml:space="preserve"> and Oliphant</w:t>
      </w:r>
      <w:r>
        <w:t>.</w:t>
      </w:r>
      <w:r w:rsidRPr="00AC72AD">
        <w:t xml:space="preserve"> Full judgments to all UK cases can be found at: www.bailii.org or via Westlaw and Lexis-Nexis.</w:t>
      </w:r>
    </w:p>
    <w:p w14:paraId="79A339C8" w14:textId="77777777" w:rsidR="00AC72AD" w:rsidRDefault="00AC72AD" w:rsidP="00AC72AD"/>
    <w:p w14:paraId="05ECA638" w14:textId="77777777" w:rsidR="00AC72AD" w:rsidRDefault="00AC72AD" w:rsidP="00AC72AD">
      <w:r>
        <w:t xml:space="preserve">PowerPoint slides will be uploaded to Learn </w:t>
      </w:r>
      <w:r w:rsidRPr="004F293D">
        <w:rPr>
          <w:i/>
          <w:iCs/>
        </w:rPr>
        <w:t xml:space="preserve">after </w:t>
      </w:r>
      <w:r>
        <w:t>each lecture.</w:t>
      </w:r>
    </w:p>
    <w:p w14:paraId="62B16FDC" w14:textId="77777777" w:rsidR="004F293D" w:rsidRDefault="004F293D">
      <w:pPr>
        <w:jc w:val="left"/>
      </w:pPr>
      <w:r>
        <w:br w:type="page"/>
      </w:r>
    </w:p>
    <w:p w14:paraId="4C1D29A1" w14:textId="77777777" w:rsidR="004F293D" w:rsidRDefault="00EB70B3" w:rsidP="0081189C">
      <w:pPr>
        <w:jc w:val="center"/>
      </w:pPr>
      <w:r>
        <w:rPr>
          <w:b/>
          <w:bCs/>
          <w:sz w:val="32"/>
          <w:szCs w:val="32"/>
        </w:rPr>
        <w:lastRenderedPageBreak/>
        <w:t xml:space="preserve">PART ONE: </w:t>
      </w:r>
      <w:r w:rsidR="004F293D">
        <w:rPr>
          <w:b/>
          <w:bCs/>
          <w:sz w:val="32"/>
          <w:szCs w:val="32"/>
        </w:rPr>
        <w:t>INTRODUCTION TO TORT LAW</w:t>
      </w:r>
    </w:p>
    <w:p w14:paraId="15D2F61C" w14:textId="77777777" w:rsidR="004F293D" w:rsidRDefault="004F293D" w:rsidP="00AC72AD">
      <w:pPr>
        <w:rPr>
          <w:b/>
          <w:bCs/>
        </w:rPr>
      </w:pPr>
    </w:p>
    <w:p w14:paraId="593843DF" w14:textId="77777777" w:rsidR="00AC72AD" w:rsidRPr="00AC72AD" w:rsidRDefault="00AC72AD" w:rsidP="00EB70B3">
      <w:pPr>
        <w:spacing w:after="0"/>
        <w:rPr>
          <w:b/>
          <w:bCs/>
        </w:rPr>
      </w:pPr>
      <w:r w:rsidRPr="00AC72AD">
        <w:rPr>
          <w:b/>
          <w:bCs/>
        </w:rPr>
        <w:t>Basic reading</w:t>
      </w:r>
    </w:p>
    <w:p w14:paraId="5E90A896" w14:textId="3511EBB2" w:rsidR="00AC72AD" w:rsidRPr="00AC72AD" w:rsidRDefault="00AC72AD" w:rsidP="00AC72AD">
      <w:pPr>
        <w:pStyle w:val="ListParagraph"/>
        <w:numPr>
          <w:ilvl w:val="0"/>
          <w:numId w:val="1"/>
        </w:numPr>
        <w:rPr>
          <w:vertAlign w:val="superscript"/>
        </w:rPr>
      </w:pPr>
      <w:r>
        <w:t>Horsey &amp; Rackley, chap</w:t>
      </w:r>
      <w:r w:rsidR="008C0C39">
        <w:t>ters</w:t>
      </w:r>
      <w:r>
        <w:t xml:space="preserve"> 1</w:t>
      </w:r>
      <w:r w:rsidR="008C0C39">
        <w:t xml:space="preserve"> and 2</w:t>
      </w:r>
      <w:r w:rsidRPr="00AC72AD">
        <w:rPr>
          <w:vertAlign w:val="superscript"/>
        </w:rPr>
        <w:sym w:font="Symbol" w:char="F02A"/>
      </w:r>
    </w:p>
    <w:p w14:paraId="6EA075E1" w14:textId="5AF0C0A2" w:rsidR="00AC72AD" w:rsidRDefault="0081189C" w:rsidP="00AC72AD">
      <w:pPr>
        <w:pStyle w:val="ListParagraph"/>
        <w:numPr>
          <w:ilvl w:val="0"/>
          <w:numId w:val="1"/>
        </w:numPr>
      </w:pPr>
      <w:r>
        <w:t>Nolan</w:t>
      </w:r>
      <w:r w:rsidR="00AC72AD">
        <w:t xml:space="preserve"> &amp; Oliphant, chap</w:t>
      </w:r>
      <w:r w:rsidR="008C0C39">
        <w:t>ters</w:t>
      </w:r>
      <w:r w:rsidR="00AC72AD">
        <w:t xml:space="preserve"> 1</w:t>
      </w:r>
      <w:r w:rsidR="00B94A6A">
        <w:t xml:space="preserve"> and 3</w:t>
      </w:r>
    </w:p>
    <w:p w14:paraId="1CD72E74" w14:textId="77777777" w:rsidR="00AC72AD" w:rsidRDefault="00AC72AD" w:rsidP="00AC72AD"/>
    <w:p w14:paraId="061DD968" w14:textId="77777777" w:rsidR="00AC72AD" w:rsidRPr="00AC72AD" w:rsidRDefault="00AC72AD" w:rsidP="00EB70B3">
      <w:pPr>
        <w:spacing w:after="0"/>
        <w:rPr>
          <w:b/>
          <w:bCs/>
        </w:rPr>
      </w:pPr>
      <w:r w:rsidRPr="00AC72AD">
        <w:rPr>
          <w:b/>
          <w:bCs/>
        </w:rPr>
        <w:t>Further reading</w:t>
      </w:r>
    </w:p>
    <w:p w14:paraId="422A2646" w14:textId="77777777" w:rsidR="00AC72AD" w:rsidRDefault="00AC72AD" w:rsidP="00AC72AD">
      <w:pPr>
        <w:pStyle w:val="ListParagraph"/>
        <w:numPr>
          <w:ilvl w:val="0"/>
          <w:numId w:val="2"/>
        </w:numPr>
      </w:pPr>
      <w:r>
        <w:t xml:space="preserve">Harlow, </w:t>
      </w:r>
      <w:r w:rsidRPr="00AC72AD">
        <w:rPr>
          <w:i/>
          <w:iCs/>
        </w:rPr>
        <w:t>Understanding Tort Law</w:t>
      </w:r>
      <w:r>
        <w:t xml:space="preserve"> (Sweet and Maxwell: 3rd </w:t>
      </w:r>
      <w:proofErr w:type="spellStart"/>
      <w:r>
        <w:t>edn</w:t>
      </w:r>
      <w:proofErr w:type="spellEnd"/>
      <w:r>
        <w:t xml:space="preserve">, 2005) </w:t>
      </w:r>
      <w:proofErr w:type="spellStart"/>
      <w:r>
        <w:t>ch</w:t>
      </w:r>
      <w:proofErr w:type="spellEnd"/>
      <w:r>
        <w:t xml:space="preserve"> </w:t>
      </w:r>
      <w:proofErr w:type="gramStart"/>
      <w:r>
        <w:t>2</w:t>
      </w:r>
      <w:proofErr w:type="gramEnd"/>
    </w:p>
    <w:p w14:paraId="660B2DCF" w14:textId="77777777" w:rsidR="00AC72AD" w:rsidRDefault="00AC72AD" w:rsidP="00AC72AD">
      <w:pPr>
        <w:pStyle w:val="ListParagraph"/>
        <w:numPr>
          <w:ilvl w:val="0"/>
          <w:numId w:val="2"/>
        </w:numPr>
      </w:pPr>
      <w:r>
        <w:t xml:space="preserve">Weir, </w:t>
      </w:r>
      <w:r w:rsidRPr="00AC72AD">
        <w:rPr>
          <w:i/>
          <w:iCs/>
        </w:rPr>
        <w:t>An Introduction to Tort Law</w:t>
      </w:r>
      <w:r>
        <w:t xml:space="preserve"> (Oxford, Clarendon Press: 2nd </w:t>
      </w:r>
      <w:proofErr w:type="spellStart"/>
      <w:r>
        <w:t>edn</w:t>
      </w:r>
      <w:proofErr w:type="spellEnd"/>
      <w:r>
        <w:t xml:space="preserve">, 2006) </w:t>
      </w:r>
      <w:proofErr w:type="spellStart"/>
      <w:r>
        <w:t>ch</w:t>
      </w:r>
      <w:proofErr w:type="spellEnd"/>
      <w:r>
        <w:t xml:space="preserve"> 1</w:t>
      </w:r>
    </w:p>
    <w:p w14:paraId="55E94AFE" w14:textId="77777777" w:rsidR="00AC72AD" w:rsidRDefault="00AC72AD" w:rsidP="00AC72AD">
      <w:pPr>
        <w:pStyle w:val="ListParagraph"/>
        <w:numPr>
          <w:ilvl w:val="0"/>
          <w:numId w:val="2"/>
        </w:numPr>
      </w:pPr>
      <w:r>
        <w:t>Lord Dyson, ‘Compensation Culture: Fact or Fantasy?’ Holdsworth Club Lecture, 15 March 2013</w:t>
      </w:r>
    </w:p>
    <w:p w14:paraId="71EEE895" w14:textId="77777777" w:rsidR="00AC72AD" w:rsidRDefault="00AC72AD" w:rsidP="00AC72AD">
      <w:pPr>
        <w:pStyle w:val="ListParagraph"/>
        <w:numPr>
          <w:ilvl w:val="0"/>
          <w:numId w:val="2"/>
        </w:numPr>
      </w:pPr>
      <w:r>
        <w:t>Cane</w:t>
      </w:r>
      <w:r w:rsidR="00BF1566">
        <w:t xml:space="preserve"> and </w:t>
      </w:r>
      <w:proofErr w:type="spellStart"/>
      <w:r w:rsidR="00BF1566">
        <w:t>Goudkamp</w:t>
      </w:r>
      <w:proofErr w:type="spellEnd"/>
      <w:r>
        <w:t xml:space="preserve">, </w:t>
      </w:r>
      <w:proofErr w:type="spellStart"/>
      <w:r w:rsidRPr="00AC72AD">
        <w:rPr>
          <w:i/>
          <w:iCs/>
        </w:rPr>
        <w:t>Atiyah’s</w:t>
      </w:r>
      <w:proofErr w:type="spellEnd"/>
      <w:r w:rsidRPr="00AC72AD">
        <w:rPr>
          <w:i/>
          <w:iCs/>
        </w:rPr>
        <w:t xml:space="preserve"> Accidents, </w:t>
      </w:r>
      <w:proofErr w:type="gramStart"/>
      <w:r w:rsidRPr="00AC72AD">
        <w:rPr>
          <w:i/>
          <w:iCs/>
        </w:rPr>
        <w:t>Compensation</w:t>
      </w:r>
      <w:proofErr w:type="gramEnd"/>
      <w:r w:rsidRPr="00AC72AD">
        <w:rPr>
          <w:i/>
          <w:iCs/>
        </w:rPr>
        <w:t xml:space="preserve"> and the Law</w:t>
      </w:r>
      <w:r>
        <w:t xml:space="preserve"> (CUP, 7th </w:t>
      </w:r>
      <w:proofErr w:type="spellStart"/>
      <w:r>
        <w:t>edn</w:t>
      </w:r>
      <w:proofErr w:type="spellEnd"/>
      <w:r>
        <w:t xml:space="preserve">, 2006) </w:t>
      </w:r>
      <w:proofErr w:type="spellStart"/>
      <w:r>
        <w:t>ch</w:t>
      </w:r>
      <w:proofErr w:type="spellEnd"/>
      <w:r>
        <w:t xml:space="preserve"> 1, 13, 15 (on the realities of tort law)</w:t>
      </w:r>
    </w:p>
    <w:p w14:paraId="755D950F" w14:textId="77777777" w:rsidR="00AC72AD" w:rsidRDefault="00AC72AD" w:rsidP="00AC72AD">
      <w:pPr>
        <w:pStyle w:val="ListParagraph"/>
        <w:numPr>
          <w:ilvl w:val="0"/>
          <w:numId w:val="2"/>
        </w:numPr>
      </w:pPr>
      <w:r>
        <w:t xml:space="preserve">Goldberg, ‘Twentieth-Century Tort Theory’ (2003) 91 </w:t>
      </w:r>
      <w:r w:rsidRPr="00AC72AD">
        <w:rPr>
          <w:i/>
          <w:iCs/>
        </w:rPr>
        <w:t>Georgetown Law Journal</w:t>
      </w:r>
      <w:r>
        <w:t xml:space="preserve"> 513 (on theory)</w:t>
      </w:r>
    </w:p>
    <w:p w14:paraId="222C673F" w14:textId="77777777" w:rsidR="00AC72AD" w:rsidRDefault="00AC72AD" w:rsidP="00AC72AD">
      <w:pPr>
        <w:pStyle w:val="ListParagraph"/>
        <w:numPr>
          <w:ilvl w:val="0"/>
          <w:numId w:val="2"/>
        </w:numPr>
      </w:pPr>
      <w:r>
        <w:t xml:space="preserve">Morgan, ‘Tort, Insurance and Incoherence’ (2004) 67 </w:t>
      </w:r>
      <w:r w:rsidRPr="00AC72AD">
        <w:rPr>
          <w:i/>
          <w:iCs/>
        </w:rPr>
        <w:t>Modern Law Review</w:t>
      </w:r>
      <w:r>
        <w:t xml:space="preserve"> 384 (on insurance)</w:t>
      </w:r>
    </w:p>
    <w:p w14:paraId="1C81AD09" w14:textId="77777777" w:rsidR="00AC72AD" w:rsidRDefault="00AC72AD" w:rsidP="00AC72AD">
      <w:pPr>
        <w:pStyle w:val="ListParagraph"/>
        <w:numPr>
          <w:ilvl w:val="0"/>
          <w:numId w:val="2"/>
        </w:numPr>
      </w:pPr>
      <w:r>
        <w:t xml:space="preserve">Steele, ‘Damages in Tort and under the Human Rights Act: Remedial or Functional Separation?’ (2008) 67 </w:t>
      </w:r>
      <w:r w:rsidRPr="00AC72AD">
        <w:rPr>
          <w:i/>
          <w:iCs/>
        </w:rPr>
        <w:t>Cambridge Law Journal</w:t>
      </w:r>
      <w:r>
        <w:t xml:space="preserve"> 606 (on human rights imperatives)</w:t>
      </w:r>
    </w:p>
    <w:p w14:paraId="35D8013F" w14:textId="77777777" w:rsidR="00AC72AD" w:rsidRDefault="00AC72AD" w:rsidP="00AC72AD">
      <w:pPr>
        <w:pStyle w:val="ListParagraph"/>
        <w:numPr>
          <w:ilvl w:val="0"/>
          <w:numId w:val="2"/>
        </w:numPr>
      </w:pPr>
      <w:r>
        <w:t xml:space="preserve">Williams, ‘State of Fear: Britain’s “Compensation Culture” </w:t>
      </w:r>
      <w:r w:rsidR="00C853A3">
        <w:t>R</w:t>
      </w:r>
      <w:r>
        <w:t xml:space="preserve">eviewed’ (2005) 25 </w:t>
      </w:r>
      <w:r w:rsidRPr="00AC72AD">
        <w:rPr>
          <w:i/>
          <w:iCs/>
        </w:rPr>
        <w:t>Legal Studies</w:t>
      </w:r>
      <w:r>
        <w:t xml:space="preserve"> 499</w:t>
      </w:r>
    </w:p>
    <w:p w14:paraId="3AB49299" w14:textId="77777777" w:rsidR="00AC72AD" w:rsidRDefault="00AC72AD" w:rsidP="00AC72AD"/>
    <w:p w14:paraId="3C68C0B6" w14:textId="77777777" w:rsidR="00AC72AD" w:rsidRPr="008E61A7" w:rsidRDefault="00AC72AD" w:rsidP="00AC72AD">
      <w:pPr>
        <w:rPr>
          <w:b/>
          <w:bCs/>
          <w:sz w:val="28"/>
          <w:szCs w:val="28"/>
        </w:rPr>
      </w:pPr>
      <w:r w:rsidRPr="008E61A7">
        <w:rPr>
          <w:b/>
          <w:bCs/>
          <w:sz w:val="28"/>
          <w:szCs w:val="28"/>
        </w:rPr>
        <w:t>Outline</w:t>
      </w:r>
    </w:p>
    <w:p w14:paraId="19B5EAC0" w14:textId="77777777" w:rsidR="00AC72AD" w:rsidRDefault="00AC72AD" w:rsidP="00AC72AD">
      <w:pPr>
        <w:pStyle w:val="ListParagraph"/>
        <w:numPr>
          <w:ilvl w:val="0"/>
          <w:numId w:val="3"/>
        </w:numPr>
        <w:rPr>
          <w:b/>
          <w:bCs/>
        </w:rPr>
      </w:pPr>
      <w:r>
        <w:rPr>
          <w:b/>
          <w:bCs/>
        </w:rPr>
        <w:t>What is tort law?</w:t>
      </w:r>
    </w:p>
    <w:p w14:paraId="72FB790D" w14:textId="77777777" w:rsidR="006F1940" w:rsidRDefault="006F1940" w:rsidP="001951EE">
      <w:pPr>
        <w:ind w:left="360"/>
      </w:pPr>
      <w:r>
        <w:t>The law of non-criminal wrongs = a civil wrong for which the law provides a remedy</w:t>
      </w:r>
      <w:r w:rsidR="00994BA5">
        <w:t xml:space="preserve"> (tort</w:t>
      </w:r>
      <w:r w:rsidR="001951EE">
        <w:t xml:space="preserve">, </w:t>
      </w:r>
      <w:r w:rsidR="00994BA5">
        <w:t>breach of contract</w:t>
      </w:r>
      <w:r w:rsidR="001951EE">
        <w:t>, equitable obligations</w:t>
      </w:r>
      <w:r w:rsidR="00994BA5">
        <w:t xml:space="preserve">: </w:t>
      </w:r>
      <w:r w:rsidR="001951EE">
        <w:t xml:space="preserve">chap 1, </w:t>
      </w:r>
      <w:proofErr w:type="spellStart"/>
      <w:r w:rsidR="00994BA5">
        <w:t>fn</w:t>
      </w:r>
      <w:proofErr w:type="spellEnd"/>
      <w:r w:rsidR="00994BA5">
        <w:t xml:space="preserve"> </w:t>
      </w:r>
      <w:r w:rsidR="001951EE">
        <w:t>2 of Horsey &amp; Rackley)</w:t>
      </w:r>
    </w:p>
    <w:p w14:paraId="345FD57E" w14:textId="77777777" w:rsidR="006F1940" w:rsidRDefault="006F1940" w:rsidP="001951EE">
      <w:pPr>
        <w:ind w:left="360"/>
      </w:pPr>
      <w:r>
        <w:t>Collection of wrongs: ‘Swiss Army knife of the common law’</w:t>
      </w:r>
      <w:r w:rsidR="001951EE">
        <w:t>: negligence, trespass to land, assault, misuse of private information…</w:t>
      </w:r>
    </w:p>
    <w:p w14:paraId="5B8E20A8" w14:textId="77777777" w:rsidR="00451078" w:rsidRDefault="00451078">
      <w:pPr>
        <w:jc w:val="left"/>
      </w:pPr>
      <w:r>
        <w:br w:type="page"/>
      </w:r>
    </w:p>
    <w:p w14:paraId="7687BDB8" w14:textId="77777777" w:rsidR="00994BA5" w:rsidRPr="006F1940" w:rsidRDefault="00994BA5" w:rsidP="006F1940">
      <w:pPr>
        <w:ind w:left="720"/>
      </w:pPr>
    </w:p>
    <w:p w14:paraId="5086433D" w14:textId="77777777" w:rsidR="00AC72AD" w:rsidRDefault="00AC72AD" w:rsidP="00AC72AD">
      <w:pPr>
        <w:pStyle w:val="ListParagraph"/>
        <w:numPr>
          <w:ilvl w:val="0"/>
          <w:numId w:val="3"/>
        </w:numPr>
        <w:rPr>
          <w:b/>
          <w:bCs/>
        </w:rPr>
      </w:pPr>
      <w:r>
        <w:rPr>
          <w:b/>
          <w:bCs/>
        </w:rPr>
        <w:t>What interests does tort law protect</w:t>
      </w:r>
      <w:r w:rsidR="00C853A3">
        <w:rPr>
          <w:b/>
          <w:bCs/>
        </w:rPr>
        <w:t>?</w:t>
      </w:r>
    </w:p>
    <w:p w14:paraId="49CE5DB1" w14:textId="77777777" w:rsidR="00451078" w:rsidRDefault="00451078" w:rsidP="00276A69">
      <w:pPr>
        <w:pStyle w:val="ListParagraph"/>
        <w:ind w:left="360"/>
      </w:pPr>
      <w:r w:rsidRPr="00451078">
        <w:t>While some torts protect specific types of interests, others are much more general and protect several interests</w:t>
      </w:r>
      <w:r>
        <w:t xml:space="preserve">. </w:t>
      </w:r>
      <w:r w:rsidRPr="00451078">
        <w:t xml:space="preserve">Not all interferences with an individual’s interests are recognised (see, </w:t>
      </w:r>
      <w:proofErr w:type="spellStart"/>
      <w:r w:rsidRPr="00451078">
        <w:t>eg</w:t>
      </w:r>
      <w:proofErr w:type="spellEnd"/>
      <w:r w:rsidRPr="00451078">
        <w:t xml:space="preserve">, </w:t>
      </w:r>
      <w:r w:rsidRPr="00451078">
        <w:rPr>
          <w:i/>
          <w:iCs/>
        </w:rPr>
        <w:t>McFarlane v Tayside Health Board</w:t>
      </w:r>
      <w:r w:rsidRPr="00451078">
        <w:t xml:space="preserve"> [2000])</w:t>
      </w:r>
      <w:r w:rsidR="00276A69">
        <w:t xml:space="preserve">. </w:t>
      </w:r>
      <w:r w:rsidRPr="00451078">
        <w:t>No</w:t>
      </w:r>
      <w:r w:rsidR="00276A69">
        <w:t xml:space="preserve"> </w:t>
      </w:r>
      <w:r w:rsidRPr="00451078">
        <w:t>general principle as to when conduct will or will not give rise to liability in tort</w:t>
      </w:r>
      <w:r w:rsidR="008E61A7">
        <w:t>, and public policy considerations are a common feature in decision-making.</w:t>
      </w:r>
    </w:p>
    <w:p w14:paraId="0CED23AC" w14:textId="77777777" w:rsidR="00451078" w:rsidRDefault="00451078" w:rsidP="00451078">
      <w:pPr>
        <w:pStyle w:val="ListParagraph"/>
        <w:ind w:left="360"/>
        <w:rPr>
          <w:b/>
          <w:bCs/>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624"/>
      </w:tblGrid>
      <w:tr w:rsidR="00451078" w:rsidRPr="00451078" w14:paraId="06DC4A82" w14:textId="77777777" w:rsidTr="00E21693">
        <w:trPr>
          <w:trHeight w:val="537"/>
        </w:trPr>
        <w:tc>
          <w:tcPr>
            <w:tcW w:w="4621" w:type="dxa"/>
          </w:tcPr>
          <w:p w14:paraId="007E4532" w14:textId="77777777" w:rsidR="00451078" w:rsidRPr="00451078" w:rsidRDefault="00451078" w:rsidP="00451078">
            <w:pPr>
              <w:pStyle w:val="ListParagraph"/>
              <w:ind w:left="360"/>
              <w:rPr>
                <w:b/>
              </w:rPr>
            </w:pPr>
            <w:r w:rsidRPr="00451078">
              <w:rPr>
                <w:b/>
              </w:rPr>
              <w:t>INTEREST</w:t>
            </w:r>
          </w:p>
        </w:tc>
        <w:tc>
          <w:tcPr>
            <w:tcW w:w="4624" w:type="dxa"/>
          </w:tcPr>
          <w:p w14:paraId="07313C20" w14:textId="77777777" w:rsidR="00451078" w:rsidRPr="00451078" w:rsidRDefault="00451078" w:rsidP="00451078">
            <w:pPr>
              <w:pStyle w:val="ListParagraph"/>
              <w:ind w:left="360"/>
              <w:rPr>
                <w:b/>
              </w:rPr>
            </w:pPr>
            <w:r w:rsidRPr="00451078">
              <w:rPr>
                <w:b/>
              </w:rPr>
              <w:t>TORT</w:t>
            </w:r>
          </w:p>
        </w:tc>
      </w:tr>
      <w:tr w:rsidR="00451078" w:rsidRPr="00451078" w14:paraId="1071C149" w14:textId="77777777" w:rsidTr="00E21693">
        <w:trPr>
          <w:trHeight w:val="2954"/>
        </w:trPr>
        <w:tc>
          <w:tcPr>
            <w:tcW w:w="4621" w:type="dxa"/>
          </w:tcPr>
          <w:p w14:paraId="4C2302A7" w14:textId="77777777" w:rsidR="00451078" w:rsidRPr="00451078" w:rsidRDefault="00451078" w:rsidP="00451078">
            <w:pPr>
              <w:pStyle w:val="ListParagraph"/>
              <w:ind w:left="360"/>
              <w:jc w:val="left"/>
            </w:pPr>
            <w:r w:rsidRPr="00451078">
              <w:t>Personal (both physical and mental) integrity including the right to self-determination</w:t>
            </w:r>
          </w:p>
        </w:tc>
        <w:tc>
          <w:tcPr>
            <w:tcW w:w="4624" w:type="dxa"/>
          </w:tcPr>
          <w:p w14:paraId="7629A34F" w14:textId="77777777" w:rsidR="00451078" w:rsidRPr="00451078" w:rsidRDefault="00451078" w:rsidP="00451078">
            <w:pPr>
              <w:pStyle w:val="ListParagraph"/>
              <w:ind w:left="360"/>
              <w:jc w:val="left"/>
            </w:pPr>
            <w:r w:rsidRPr="00451078">
              <w:t>Negligence</w:t>
            </w:r>
          </w:p>
          <w:p w14:paraId="366AFFBE" w14:textId="77777777" w:rsidR="00451078" w:rsidRPr="00451078" w:rsidRDefault="00451078" w:rsidP="00451078">
            <w:pPr>
              <w:pStyle w:val="ListParagraph"/>
              <w:ind w:left="360"/>
              <w:jc w:val="left"/>
            </w:pPr>
            <w:r w:rsidRPr="00451078">
              <w:t>Occupiers’ liability Employers’ liability Product liability</w:t>
            </w:r>
          </w:p>
          <w:p w14:paraId="41E1E12F" w14:textId="77777777" w:rsidR="00451078" w:rsidRPr="00451078" w:rsidRDefault="00451078" w:rsidP="00451078">
            <w:pPr>
              <w:pStyle w:val="ListParagraph"/>
              <w:ind w:left="360"/>
              <w:jc w:val="left"/>
            </w:pPr>
            <w:r w:rsidRPr="00451078">
              <w:t>Trespass to the person (assault, battery, false imprisonment)</w:t>
            </w:r>
          </w:p>
          <w:p w14:paraId="118894A7" w14:textId="77777777" w:rsidR="00451078" w:rsidRPr="00451078" w:rsidRDefault="00451078" w:rsidP="00451078">
            <w:pPr>
              <w:pStyle w:val="ListParagraph"/>
              <w:ind w:left="360"/>
              <w:jc w:val="left"/>
              <w:rPr>
                <w:i/>
              </w:rPr>
            </w:pPr>
            <w:r w:rsidRPr="00451078">
              <w:t xml:space="preserve">The rule in </w:t>
            </w:r>
            <w:r w:rsidRPr="00451078">
              <w:rPr>
                <w:i/>
              </w:rPr>
              <w:t>Wilkinson v Downton</w:t>
            </w:r>
          </w:p>
          <w:p w14:paraId="3FBB9692" w14:textId="77777777" w:rsidR="00451078" w:rsidRPr="00451078" w:rsidRDefault="00451078" w:rsidP="00451078">
            <w:pPr>
              <w:pStyle w:val="ListParagraph"/>
              <w:ind w:left="360"/>
              <w:jc w:val="left"/>
            </w:pPr>
            <w:r w:rsidRPr="00451078">
              <w:t>An action under the Protection from Harassment Act 1997</w:t>
            </w:r>
          </w:p>
          <w:p w14:paraId="1A8C38F5" w14:textId="77777777" w:rsidR="00451078" w:rsidRPr="00451078" w:rsidRDefault="00451078" w:rsidP="00451078">
            <w:pPr>
              <w:pStyle w:val="ListParagraph"/>
              <w:ind w:left="360"/>
              <w:jc w:val="left"/>
            </w:pPr>
            <w:r w:rsidRPr="00451078">
              <w:t>Nuisance (public)</w:t>
            </w:r>
          </w:p>
        </w:tc>
      </w:tr>
      <w:tr w:rsidR="00451078" w:rsidRPr="00451078" w14:paraId="74520BAE" w14:textId="77777777" w:rsidTr="00E21693">
        <w:trPr>
          <w:trHeight w:val="2148"/>
        </w:trPr>
        <w:tc>
          <w:tcPr>
            <w:tcW w:w="4621" w:type="dxa"/>
          </w:tcPr>
          <w:p w14:paraId="7710BC6C" w14:textId="77777777" w:rsidR="00451078" w:rsidRPr="00451078" w:rsidRDefault="00451078" w:rsidP="00451078">
            <w:pPr>
              <w:pStyle w:val="ListParagraph"/>
              <w:ind w:left="360"/>
              <w:jc w:val="left"/>
            </w:pPr>
            <w:r w:rsidRPr="00451078">
              <w:t>Damage to Property</w:t>
            </w:r>
          </w:p>
        </w:tc>
        <w:tc>
          <w:tcPr>
            <w:tcW w:w="4624" w:type="dxa"/>
          </w:tcPr>
          <w:p w14:paraId="58197032" w14:textId="77777777" w:rsidR="00451078" w:rsidRPr="00451078" w:rsidRDefault="00451078" w:rsidP="00451078">
            <w:pPr>
              <w:pStyle w:val="ListParagraph"/>
              <w:ind w:left="360"/>
              <w:jc w:val="left"/>
            </w:pPr>
            <w:r w:rsidRPr="00451078">
              <w:t>Negligence</w:t>
            </w:r>
          </w:p>
          <w:p w14:paraId="62F21CD5" w14:textId="77777777" w:rsidR="00451078" w:rsidRPr="00451078" w:rsidRDefault="00451078" w:rsidP="00451078">
            <w:pPr>
              <w:pStyle w:val="ListParagraph"/>
              <w:ind w:left="360"/>
              <w:jc w:val="left"/>
            </w:pPr>
            <w:r w:rsidRPr="00451078">
              <w:t>Occupiers’ liability</w:t>
            </w:r>
          </w:p>
          <w:p w14:paraId="7D48FC14" w14:textId="77777777" w:rsidR="00451078" w:rsidRPr="00451078" w:rsidRDefault="00451078" w:rsidP="00451078">
            <w:pPr>
              <w:pStyle w:val="ListParagraph"/>
              <w:ind w:left="360"/>
              <w:jc w:val="left"/>
            </w:pPr>
            <w:r w:rsidRPr="00451078">
              <w:t>Product liability</w:t>
            </w:r>
          </w:p>
          <w:p w14:paraId="73FB9043" w14:textId="77777777" w:rsidR="00451078" w:rsidRPr="00451078" w:rsidRDefault="00451078" w:rsidP="00451078">
            <w:pPr>
              <w:pStyle w:val="ListParagraph"/>
              <w:ind w:left="360"/>
              <w:jc w:val="left"/>
            </w:pPr>
            <w:r w:rsidRPr="00451078">
              <w:t>Employers’ liability</w:t>
            </w:r>
          </w:p>
          <w:p w14:paraId="14DA4411" w14:textId="77777777" w:rsidR="00451078" w:rsidRPr="00451078" w:rsidRDefault="00451078" w:rsidP="00451078">
            <w:pPr>
              <w:pStyle w:val="ListParagraph"/>
              <w:ind w:left="360"/>
              <w:jc w:val="left"/>
            </w:pPr>
            <w:r w:rsidRPr="00451078">
              <w:t>Trespass to land</w:t>
            </w:r>
          </w:p>
          <w:p w14:paraId="1471FF0B" w14:textId="77777777" w:rsidR="00451078" w:rsidRPr="00451078" w:rsidRDefault="00451078" w:rsidP="00451078">
            <w:pPr>
              <w:pStyle w:val="ListParagraph"/>
              <w:ind w:left="360"/>
              <w:jc w:val="left"/>
              <w:rPr>
                <w:i/>
              </w:rPr>
            </w:pPr>
            <w:r w:rsidRPr="00451078">
              <w:t xml:space="preserve">Nuisance (public and private) The rule in </w:t>
            </w:r>
            <w:r w:rsidRPr="00451078">
              <w:rPr>
                <w:i/>
              </w:rPr>
              <w:t>Rylands v Fletcher</w:t>
            </w:r>
          </w:p>
        </w:tc>
      </w:tr>
      <w:tr w:rsidR="00451078" w:rsidRPr="00451078" w14:paraId="67494E47" w14:textId="77777777" w:rsidTr="00E21693">
        <w:trPr>
          <w:trHeight w:val="1343"/>
        </w:trPr>
        <w:tc>
          <w:tcPr>
            <w:tcW w:w="4621" w:type="dxa"/>
          </w:tcPr>
          <w:p w14:paraId="0A970561" w14:textId="77777777" w:rsidR="00451078" w:rsidRPr="00451078" w:rsidRDefault="00451078" w:rsidP="00451078">
            <w:pPr>
              <w:pStyle w:val="ListParagraph"/>
              <w:ind w:left="360"/>
              <w:jc w:val="left"/>
            </w:pPr>
            <w:r w:rsidRPr="00451078">
              <w:t>Financial loss (pure and consequential)</w:t>
            </w:r>
          </w:p>
        </w:tc>
        <w:tc>
          <w:tcPr>
            <w:tcW w:w="4624" w:type="dxa"/>
          </w:tcPr>
          <w:p w14:paraId="5EB614C1" w14:textId="77777777" w:rsidR="00451078" w:rsidRPr="00451078" w:rsidRDefault="00451078" w:rsidP="00451078">
            <w:pPr>
              <w:pStyle w:val="ListParagraph"/>
              <w:ind w:left="360"/>
              <w:jc w:val="left"/>
            </w:pPr>
            <w:r w:rsidRPr="00451078">
              <w:t>Negligence Product liability</w:t>
            </w:r>
          </w:p>
          <w:p w14:paraId="0A472B00" w14:textId="77777777" w:rsidR="00451078" w:rsidRPr="00451078" w:rsidRDefault="00451078" w:rsidP="00451078">
            <w:pPr>
              <w:pStyle w:val="ListParagraph"/>
              <w:ind w:left="360"/>
              <w:jc w:val="left"/>
            </w:pPr>
            <w:r w:rsidRPr="00451078">
              <w:t>Defamation (libel and slander) Nuisance (public and private)</w:t>
            </w:r>
          </w:p>
        </w:tc>
      </w:tr>
      <w:tr w:rsidR="00451078" w:rsidRPr="00451078" w14:paraId="0ACEBD7D" w14:textId="77777777" w:rsidTr="00E21693">
        <w:trPr>
          <w:trHeight w:val="1879"/>
        </w:trPr>
        <w:tc>
          <w:tcPr>
            <w:tcW w:w="4621" w:type="dxa"/>
          </w:tcPr>
          <w:p w14:paraId="024CEB3D" w14:textId="77777777" w:rsidR="00451078" w:rsidRPr="00451078" w:rsidRDefault="00451078" w:rsidP="00451078">
            <w:pPr>
              <w:pStyle w:val="ListParagraph"/>
              <w:ind w:left="360"/>
              <w:jc w:val="left"/>
            </w:pPr>
            <w:r w:rsidRPr="00451078">
              <w:t>Possession, use and Enjoyment of Land</w:t>
            </w:r>
          </w:p>
        </w:tc>
        <w:tc>
          <w:tcPr>
            <w:tcW w:w="4624" w:type="dxa"/>
          </w:tcPr>
          <w:p w14:paraId="5BE936C9" w14:textId="77777777" w:rsidR="00451078" w:rsidRPr="00451078" w:rsidRDefault="00451078" w:rsidP="00451078">
            <w:pPr>
              <w:pStyle w:val="ListParagraph"/>
              <w:ind w:left="360"/>
              <w:jc w:val="left"/>
            </w:pPr>
            <w:r w:rsidRPr="00451078">
              <w:t>Trespass to land</w:t>
            </w:r>
          </w:p>
          <w:p w14:paraId="1CE79CA2" w14:textId="77777777" w:rsidR="00451078" w:rsidRPr="00451078" w:rsidRDefault="00451078" w:rsidP="00451078">
            <w:pPr>
              <w:pStyle w:val="ListParagraph"/>
              <w:ind w:left="360"/>
              <w:jc w:val="left"/>
            </w:pPr>
            <w:r w:rsidRPr="00451078">
              <w:t xml:space="preserve">Nuisance (public and private) The rule in </w:t>
            </w:r>
            <w:r w:rsidRPr="00451078">
              <w:rPr>
                <w:i/>
              </w:rPr>
              <w:t xml:space="preserve">Rylands v Fletcher </w:t>
            </w:r>
            <w:r w:rsidRPr="00451078">
              <w:t>Negligence</w:t>
            </w:r>
          </w:p>
          <w:p w14:paraId="7C70B4A3" w14:textId="77777777" w:rsidR="00451078" w:rsidRPr="00451078" w:rsidRDefault="00451078" w:rsidP="00451078">
            <w:pPr>
              <w:pStyle w:val="ListParagraph"/>
              <w:ind w:left="360"/>
              <w:jc w:val="left"/>
            </w:pPr>
            <w:r w:rsidRPr="00451078">
              <w:t>Claims under the Protection from Harassment Act 1997</w:t>
            </w:r>
          </w:p>
        </w:tc>
      </w:tr>
      <w:tr w:rsidR="00451078" w:rsidRPr="00451078" w14:paraId="3FFEFEA5" w14:textId="77777777" w:rsidTr="00E21693">
        <w:trPr>
          <w:trHeight w:val="806"/>
        </w:trPr>
        <w:tc>
          <w:tcPr>
            <w:tcW w:w="4621" w:type="dxa"/>
          </w:tcPr>
          <w:p w14:paraId="38482A05" w14:textId="77777777" w:rsidR="00451078" w:rsidRPr="00451078" w:rsidRDefault="00451078" w:rsidP="00451078">
            <w:pPr>
              <w:pStyle w:val="ListParagraph"/>
              <w:ind w:left="360"/>
              <w:jc w:val="left"/>
            </w:pPr>
            <w:r w:rsidRPr="00451078">
              <w:t>Reputation</w:t>
            </w:r>
          </w:p>
        </w:tc>
        <w:tc>
          <w:tcPr>
            <w:tcW w:w="4624" w:type="dxa"/>
          </w:tcPr>
          <w:p w14:paraId="4380D1D7" w14:textId="77777777" w:rsidR="00451078" w:rsidRPr="00451078" w:rsidRDefault="00451078" w:rsidP="00451078">
            <w:pPr>
              <w:pStyle w:val="ListParagraph"/>
              <w:ind w:left="360"/>
              <w:jc w:val="left"/>
            </w:pPr>
            <w:r w:rsidRPr="00451078">
              <w:t>Defamation (libel and slander) Breach of Confidence</w:t>
            </w:r>
          </w:p>
        </w:tc>
      </w:tr>
      <w:tr w:rsidR="00451078" w:rsidRPr="00451078" w14:paraId="594911A4" w14:textId="77777777" w:rsidTr="00E21693">
        <w:trPr>
          <w:trHeight w:val="1878"/>
        </w:trPr>
        <w:tc>
          <w:tcPr>
            <w:tcW w:w="4621" w:type="dxa"/>
          </w:tcPr>
          <w:p w14:paraId="347BDC1B" w14:textId="77777777" w:rsidR="00451078" w:rsidRPr="00451078" w:rsidRDefault="00451078" w:rsidP="00451078">
            <w:pPr>
              <w:pStyle w:val="ListParagraph"/>
              <w:ind w:left="360"/>
              <w:jc w:val="left"/>
            </w:pPr>
            <w:r w:rsidRPr="00451078">
              <w:t>Privacy</w:t>
            </w:r>
          </w:p>
        </w:tc>
        <w:tc>
          <w:tcPr>
            <w:tcW w:w="4624" w:type="dxa"/>
          </w:tcPr>
          <w:p w14:paraId="0EB7BB53" w14:textId="77777777" w:rsidR="00451078" w:rsidRPr="00451078" w:rsidRDefault="00451078" w:rsidP="00451078">
            <w:pPr>
              <w:pStyle w:val="ListParagraph"/>
              <w:ind w:left="360"/>
              <w:jc w:val="left"/>
            </w:pPr>
            <w:r w:rsidRPr="00451078">
              <w:t>Negligence</w:t>
            </w:r>
            <w:r>
              <w:t>,</w:t>
            </w:r>
            <w:r w:rsidRPr="00451078">
              <w:t xml:space="preserve"> Trespass to land</w:t>
            </w:r>
          </w:p>
          <w:p w14:paraId="399A0584" w14:textId="77777777" w:rsidR="00451078" w:rsidRPr="00451078" w:rsidRDefault="00451078" w:rsidP="00451078">
            <w:pPr>
              <w:pStyle w:val="ListParagraph"/>
              <w:ind w:left="360"/>
              <w:jc w:val="left"/>
            </w:pPr>
            <w:r w:rsidRPr="00451078">
              <w:t>Nuisance (public and private)</w:t>
            </w:r>
          </w:p>
          <w:p w14:paraId="64D272CA" w14:textId="77777777" w:rsidR="00451078" w:rsidRPr="00451078" w:rsidRDefault="00451078" w:rsidP="00451078">
            <w:pPr>
              <w:pStyle w:val="ListParagraph"/>
              <w:ind w:left="360"/>
              <w:jc w:val="left"/>
            </w:pPr>
            <w:r w:rsidRPr="00451078">
              <w:t>Breach of Confidence</w:t>
            </w:r>
          </w:p>
          <w:p w14:paraId="788AA76A" w14:textId="77777777" w:rsidR="00451078" w:rsidRPr="00451078" w:rsidRDefault="00451078" w:rsidP="00451078">
            <w:pPr>
              <w:pStyle w:val="ListParagraph"/>
              <w:ind w:left="360"/>
              <w:jc w:val="left"/>
            </w:pPr>
            <w:r w:rsidRPr="00451078">
              <w:t>‘Tort’ of Invasion of Privacy</w:t>
            </w:r>
          </w:p>
          <w:p w14:paraId="7A458D42" w14:textId="77777777" w:rsidR="00451078" w:rsidRPr="00451078" w:rsidRDefault="00451078" w:rsidP="00451078">
            <w:pPr>
              <w:pStyle w:val="ListParagraph"/>
              <w:ind w:left="360"/>
              <w:jc w:val="left"/>
            </w:pPr>
            <w:r w:rsidRPr="00451078">
              <w:t>Claims under the Protection from Harassment</w:t>
            </w:r>
            <w:r>
              <w:t xml:space="preserve"> </w:t>
            </w:r>
            <w:r w:rsidRPr="00451078">
              <w:t>Act 1997</w:t>
            </w:r>
          </w:p>
        </w:tc>
      </w:tr>
    </w:tbl>
    <w:p w14:paraId="6336935F" w14:textId="77777777" w:rsidR="001951EE" w:rsidRPr="00451078" w:rsidRDefault="001951EE" w:rsidP="001951EE">
      <w:pPr>
        <w:pStyle w:val="ListParagraph"/>
        <w:ind w:left="360"/>
      </w:pPr>
    </w:p>
    <w:p w14:paraId="3FC098B3" w14:textId="77777777" w:rsidR="00AC72AD" w:rsidRDefault="00AC72AD" w:rsidP="00AC72AD">
      <w:pPr>
        <w:pStyle w:val="ListParagraph"/>
        <w:numPr>
          <w:ilvl w:val="0"/>
          <w:numId w:val="3"/>
        </w:numPr>
        <w:rPr>
          <w:b/>
          <w:bCs/>
        </w:rPr>
      </w:pPr>
      <w:r>
        <w:rPr>
          <w:b/>
          <w:bCs/>
        </w:rPr>
        <w:t xml:space="preserve">Aims of tort </w:t>
      </w:r>
      <w:proofErr w:type="gramStart"/>
      <w:r>
        <w:rPr>
          <w:b/>
          <w:bCs/>
        </w:rPr>
        <w:t>law</w:t>
      </w:r>
      <w:r w:rsidR="00C853A3">
        <w:rPr>
          <w:b/>
          <w:bCs/>
        </w:rPr>
        <w:t>?</w:t>
      </w:r>
      <w:proofErr w:type="gramEnd"/>
    </w:p>
    <w:p w14:paraId="5AAEE829" w14:textId="77777777" w:rsidR="00C853A3" w:rsidRPr="00276A69" w:rsidRDefault="00276A69" w:rsidP="00276A69">
      <w:pPr>
        <w:pStyle w:val="ListParagraph"/>
        <w:ind w:left="360"/>
      </w:pPr>
      <w:r w:rsidRPr="00276A69">
        <w:t>Tort law has both backward- and forward- looking elements. It looks backward at what happened</w:t>
      </w:r>
      <w:r>
        <w:t xml:space="preserve"> (the wrong) </w:t>
      </w:r>
      <w:r w:rsidRPr="00276A69">
        <w:t>and addresses the harm done, while also looking to the future and at ways of regulating behaviour and developing a response to the risk of harm. It seeks to protect an</w:t>
      </w:r>
      <w:r>
        <w:t xml:space="preserve"> </w:t>
      </w:r>
      <w:r w:rsidRPr="00276A69">
        <w:t>individual’s interests both prospectively, that is to prevent or deter harm and retrospectively through the provision of compensation and the distribution of losses. Thus, tort law has several disparate functions or purposes</w:t>
      </w:r>
      <w:r>
        <w:t>,</w:t>
      </w:r>
      <w:r w:rsidRPr="00276A69">
        <w:t xml:space="preserve"> typically identified </w:t>
      </w:r>
      <w:r>
        <w:t>as</w:t>
      </w:r>
      <w:r w:rsidRPr="00276A69">
        <w:t>:</w:t>
      </w:r>
      <w:r>
        <w:t xml:space="preserve"> </w:t>
      </w:r>
      <w:r w:rsidRPr="00276A69">
        <w:t>(corrective) justice</w:t>
      </w:r>
      <w:r>
        <w:t xml:space="preserve">; </w:t>
      </w:r>
      <w:r w:rsidRPr="00276A69">
        <w:t>compensation</w:t>
      </w:r>
      <w:r>
        <w:t xml:space="preserve">; </w:t>
      </w:r>
      <w:r w:rsidRPr="00276A69">
        <w:t>deterrence</w:t>
      </w:r>
      <w:r>
        <w:t xml:space="preserve">; and </w:t>
      </w:r>
      <w:r w:rsidRPr="00276A69">
        <w:t>inquiry and/or publicity.</w:t>
      </w:r>
    </w:p>
    <w:p w14:paraId="030D64A2" w14:textId="77777777" w:rsidR="00AC72AD" w:rsidRDefault="00AC72AD" w:rsidP="00AC72AD">
      <w:pPr>
        <w:rPr>
          <w:b/>
          <w:bCs/>
        </w:rPr>
      </w:pPr>
    </w:p>
    <w:p w14:paraId="33DA585E" w14:textId="77777777" w:rsidR="008E61A7" w:rsidRDefault="007F265F" w:rsidP="007F265F">
      <w:pPr>
        <w:pStyle w:val="ListParagraph"/>
        <w:numPr>
          <w:ilvl w:val="0"/>
          <w:numId w:val="3"/>
        </w:numPr>
        <w:rPr>
          <w:b/>
          <w:bCs/>
        </w:rPr>
      </w:pPr>
      <w:r>
        <w:rPr>
          <w:b/>
          <w:bCs/>
        </w:rPr>
        <w:t>Human rights</w:t>
      </w:r>
    </w:p>
    <w:p w14:paraId="5A7CECDC" w14:textId="77777777" w:rsidR="007F265F" w:rsidRDefault="007F265F" w:rsidP="007F265F">
      <w:pPr>
        <w:pStyle w:val="ListParagraph"/>
        <w:ind w:left="360"/>
      </w:pPr>
      <w:r w:rsidRPr="007F265F">
        <w:t>Human Rights Act 1998</w:t>
      </w:r>
      <w:r>
        <w:t xml:space="preserve">: Creates the space for individuals to hold the state liable and influences claims between individuals in so far as courts need to ensure their decisions are in line with Act when determining the existence and scope </w:t>
      </w:r>
      <w:r w:rsidR="004F293D">
        <w:t>of liability in tort.</w:t>
      </w:r>
    </w:p>
    <w:p w14:paraId="0597952F" w14:textId="77777777" w:rsidR="004F293D" w:rsidRDefault="004F293D" w:rsidP="004F293D"/>
    <w:p w14:paraId="2342D6B6" w14:textId="77777777" w:rsidR="004F293D" w:rsidRDefault="00EB70B3" w:rsidP="00EB70B3">
      <w:pPr>
        <w:jc w:val="center"/>
        <w:rPr>
          <w:b/>
          <w:bCs/>
          <w:sz w:val="32"/>
          <w:szCs w:val="32"/>
        </w:rPr>
      </w:pPr>
      <w:r>
        <w:rPr>
          <w:b/>
          <w:bCs/>
          <w:sz w:val="32"/>
          <w:szCs w:val="32"/>
        </w:rPr>
        <w:t xml:space="preserve">PART TWO: </w:t>
      </w:r>
      <w:r w:rsidR="004F293D" w:rsidRPr="004F293D">
        <w:rPr>
          <w:b/>
          <w:bCs/>
          <w:sz w:val="32"/>
          <w:szCs w:val="32"/>
        </w:rPr>
        <w:t>I</w:t>
      </w:r>
      <w:r w:rsidR="004F293D">
        <w:rPr>
          <w:b/>
          <w:bCs/>
          <w:sz w:val="32"/>
          <w:szCs w:val="32"/>
        </w:rPr>
        <w:t>NTRODUCTION TO NEGLIGNECE</w:t>
      </w:r>
    </w:p>
    <w:p w14:paraId="5633C527" w14:textId="77777777" w:rsidR="004F293D" w:rsidRDefault="004F293D" w:rsidP="004F293D"/>
    <w:p w14:paraId="1B1F5C7C" w14:textId="77777777" w:rsidR="004F293D" w:rsidRPr="0081189C" w:rsidRDefault="004F293D" w:rsidP="00EB70B3">
      <w:pPr>
        <w:spacing w:after="0"/>
        <w:rPr>
          <w:b/>
          <w:bCs/>
        </w:rPr>
      </w:pPr>
      <w:r w:rsidRPr="0081189C">
        <w:rPr>
          <w:b/>
          <w:bCs/>
        </w:rPr>
        <w:t xml:space="preserve">Basic reading </w:t>
      </w:r>
    </w:p>
    <w:p w14:paraId="1D2BC96E" w14:textId="77777777" w:rsidR="004F293D" w:rsidRPr="0081189C" w:rsidRDefault="004F293D" w:rsidP="0081189C">
      <w:pPr>
        <w:pStyle w:val="ListParagraph"/>
        <w:numPr>
          <w:ilvl w:val="0"/>
          <w:numId w:val="3"/>
        </w:numPr>
        <w:rPr>
          <w:vertAlign w:val="superscript"/>
        </w:rPr>
      </w:pPr>
      <w:r>
        <w:t>Horsey and Rackley, chapter 2</w:t>
      </w:r>
      <w:r w:rsidR="0081189C" w:rsidRPr="0081189C">
        <w:rPr>
          <w:vertAlign w:val="superscript"/>
        </w:rPr>
        <w:sym w:font="Symbol" w:char="F02A"/>
      </w:r>
    </w:p>
    <w:p w14:paraId="33DB4645" w14:textId="77777777" w:rsidR="004F293D" w:rsidRDefault="0081189C" w:rsidP="0081189C">
      <w:pPr>
        <w:pStyle w:val="ListParagraph"/>
        <w:numPr>
          <w:ilvl w:val="0"/>
          <w:numId w:val="3"/>
        </w:numPr>
      </w:pPr>
      <w:r>
        <w:t>Nolan and Oliphant, chapter 2</w:t>
      </w:r>
    </w:p>
    <w:p w14:paraId="7E239F94" w14:textId="77777777" w:rsidR="0081189C" w:rsidRDefault="0081189C" w:rsidP="0081189C">
      <w:pPr>
        <w:pStyle w:val="ListParagraph"/>
        <w:numPr>
          <w:ilvl w:val="0"/>
          <w:numId w:val="3"/>
        </w:numPr>
      </w:pPr>
      <w:r w:rsidRPr="0081189C">
        <w:rPr>
          <w:i/>
          <w:iCs/>
        </w:rPr>
        <w:t>Donoghue v Stevenson</w:t>
      </w:r>
      <w:r w:rsidRPr="0081189C">
        <w:t xml:space="preserve"> [1932] AC 562</w:t>
      </w:r>
      <w:r w:rsidRPr="0081189C">
        <w:rPr>
          <w:vertAlign w:val="superscript"/>
        </w:rPr>
        <w:sym w:font="Symbol" w:char="F02A"/>
      </w:r>
    </w:p>
    <w:p w14:paraId="37ADDACA" w14:textId="77777777" w:rsidR="0081189C" w:rsidRDefault="0081189C" w:rsidP="0081189C"/>
    <w:p w14:paraId="23AF521F" w14:textId="77777777" w:rsidR="0081189C" w:rsidRPr="0081189C" w:rsidRDefault="0081189C" w:rsidP="00EB70B3">
      <w:pPr>
        <w:spacing w:after="0"/>
        <w:rPr>
          <w:b/>
          <w:bCs/>
        </w:rPr>
      </w:pPr>
      <w:r w:rsidRPr="0081189C">
        <w:rPr>
          <w:b/>
          <w:bCs/>
        </w:rPr>
        <w:t>Further reading</w:t>
      </w:r>
    </w:p>
    <w:p w14:paraId="17EE47D4" w14:textId="77777777" w:rsidR="0081189C" w:rsidRDefault="0081189C" w:rsidP="0081189C">
      <w:pPr>
        <w:pStyle w:val="ListParagraph"/>
        <w:numPr>
          <w:ilvl w:val="0"/>
          <w:numId w:val="4"/>
        </w:numPr>
      </w:pPr>
      <w:r>
        <w:t xml:space="preserve">Cane, </w:t>
      </w:r>
      <w:proofErr w:type="spellStart"/>
      <w:r>
        <w:t>Atiyah’s</w:t>
      </w:r>
      <w:proofErr w:type="spellEnd"/>
      <w:r>
        <w:t xml:space="preserve"> Accidents, </w:t>
      </w:r>
      <w:proofErr w:type="gramStart"/>
      <w:r>
        <w:t>Compensation</w:t>
      </w:r>
      <w:proofErr w:type="gramEnd"/>
      <w:r>
        <w:t xml:space="preserve"> and the Law (CUP, 7th </w:t>
      </w:r>
      <w:proofErr w:type="spellStart"/>
      <w:r>
        <w:t>edn</w:t>
      </w:r>
      <w:proofErr w:type="spellEnd"/>
      <w:r>
        <w:t xml:space="preserve">, 2006) </w:t>
      </w:r>
      <w:proofErr w:type="spellStart"/>
      <w:r>
        <w:t>ch</w:t>
      </w:r>
      <w:proofErr w:type="spellEnd"/>
      <w:r>
        <w:t xml:space="preserve"> 3 </w:t>
      </w:r>
    </w:p>
    <w:p w14:paraId="2B465E51" w14:textId="77777777" w:rsidR="0081189C" w:rsidRDefault="0081189C" w:rsidP="0081189C">
      <w:pPr>
        <w:pStyle w:val="ListParagraph"/>
        <w:numPr>
          <w:ilvl w:val="0"/>
          <w:numId w:val="4"/>
        </w:numPr>
      </w:pPr>
      <w:r>
        <w:t xml:space="preserve">Harlow, Understanding Tort Law (Sweet and Maxwell: 3rd </w:t>
      </w:r>
      <w:proofErr w:type="spellStart"/>
      <w:r>
        <w:t>edn</w:t>
      </w:r>
      <w:proofErr w:type="spellEnd"/>
      <w:r>
        <w:t xml:space="preserve">, 2005) </w:t>
      </w:r>
      <w:proofErr w:type="spellStart"/>
      <w:r>
        <w:t>ch</w:t>
      </w:r>
      <w:proofErr w:type="spellEnd"/>
      <w:r>
        <w:t xml:space="preserve"> </w:t>
      </w:r>
      <w:proofErr w:type="gramStart"/>
      <w:r>
        <w:t>3</w:t>
      </w:r>
      <w:proofErr w:type="gramEnd"/>
    </w:p>
    <w:p w14:paraId="459D1C26" w14:textId="77777777" w:rsidR="0081189C" w:rsidRDefault="0081189C" w:rsidP="0081189C">
      <w:pPr>
        <w:pStyle w:val="ListParagraph"/>
        <w:numPr>
          <w:ilvl w:val="0"/>
          <w:numId w:val="4"/>
        </w:numPr>
      </w:pPr>
      <w:r>
        <w:t xml:space="preserve">Chapman, The </w:t>
      </w:r>
      <w:proofErr w:type="gramStart"/>
      <w:r>
        <w:t>Snail</w:t>
      </w:r>
      <w:proofErr w:type="gramEnd"/>
      <w:r>
        <w:t xml:space="preserve"> and the Ginger Beer: The Singular Case of </w:t>
      </w:r>
      <w:r w:rsidRPr="0081189C">
        <w:rPr>
          <w:i/>
          <w:iCs/>
        </w:rPr>
        <w:t>Donoghue v Stevenson</w:t>
      </w:r>
      <w:r>
        <w:t xml:space="preserve"> (</w:t>
      </w:r>
      <w:proofErr w:type="spellStart"/>
      <w:r>
        <w:t>Wildy</w:t>
      </w:r>
      <w:proofErr w:type="spellEnd"/>
      <w:r>
        <w:t>, Simmonds and Hill, 2010)</w:t>
      </w:r>
    </w:p>
    <w:p w14:paraId="374DA5A9" w14:textId="77777777" w:rsidR="0081189C" w:rsidRDefault="0081189C" w:rsidP="0081189C">
      <w:pPr>
        <w:pStyle w:val="ListParagraph"/>
        <w:numPr>
          <w:ilvl w:val="0"/>
          <w:numId w:val="4"/>
        </w:numPr>
      </w:pPr>
      <w:proofErr w:type="spellStart"/>
      <w:r>
        <w:t>Heuston</w:t>
      </w:r>
      <w:proofErr w:type="spellEnd"/>
      <w:r>
        <w:t xml:space="preserve">, ‘Donoghue v Stevenson in Retrospect’ (1957) 20 </w:t>
      </w:r>
      <w:r w:rsidRPr="0081189C">
        <w:rPr>
          <w:i/>
          <w:iCs/>
        </w:rPr>
        <w:t>Modern Law Review</w:t>
      </w:r>
      <w:r>
        <w:t xml:space="preserve"> 1</w:t>
      </w:r>
    </w:p>
    <w:p w14:paraId="38D925A7" w14:textId="77777777" w:rsidR="0081189C" w:rsidRDefault="0081189C" w:rsidP="0081189C"/>
    <w:p w14:paraId="7D8648A9" w14:textId="77777777" w:rsidR="0081189C" w:rsidRDefault="0081189C" w:rsidP="0081189C">
      <w:pPr>
        <w:rPr>
          <w:b/>
          <w:bCs/>
          <w:sz w:val="28"/>
          <w:szCs w:val="28"/>
        </w:rPr>
      </w:pPr>
      <w:r w:rsidRPr="0081189C">
        <w:rPr>
          <w:b/>
          <w:bCs/>
          <w:sz w:val="28"/>
          <w:szCs w:val="28"/>
        </w:rPr>
        <w:t>Outline</w:t>
      </w:r>
    </w:p>
    <w:p w14:paraId="239E8929" w14:textId="77777777" w:rsidR="0081189C" w:rsidRPr="0081189C" w:rsidRDefault="0081189C" w:rsidP="0081189C">
      <w:pPr>
        <w:pStyle w:val="ListParagraph"/>
        <w:numPr>
          <w:ilvl w:val="0"/>
          <w:numId w:val="5"/>
        </w:numPr>
        <w:rPr>
          <w:b/>
          <w:bCs/>
        </w:rPr>
      </w:pPr>
      <w:r w:rsidRPr="0081189C">
        <w:rPr>
          <w:b/>
          <w:bCs/>
        </w:rPr>
        <w:t>Elements of the tort of negligence</w:t>
      </w:r>
      <w:r>
        <w:rPr>
          <w:b/>
          <w:bCs/>
        </w:rPr>
        <w:t>:</w:t>
      </w:r>
    </w:p>
    <w:p w14:paraId="1400B6D9" w14:textId="77777777" w:rsidR="0081189C" w:rsidRDefault="0081189C" w:rsidP="0081189C">
      <w:pPr>
        <w:pStyle w:val="ListParagraph"/>
        <w:ind w:left="360"/>
      </w:pPr>
      <w:r>
        <w:t>To succeed in a negligence claim, the following elements must be established</w:t>
      </w:r>
      <w:r w:rsidR="00EB70B3">
        <w:t>:</w:t>
      </w:r>
      <w:r>
        <w:t xml:space="preserve"> </w:t>
      </w:r>
    </w:p>
    <w:p w14:paraId="7A736B36" w14:textId="77777777" w:rsidR="0081189C" w:rsidRDefault="0081189C" w:rsidP="0081189C">
      <w:pPr>
        <w:pStyle w:val="ListParagraph"/>
        <w:numPr>
          <w:ilvl w:val="0"/>
          <w:numId w:val="6"/>
        </w:numPr>
      </w:pPr>
      <w:r>
        <w:t>D owed C a duty of care</w:t>
      </w:r>
    </w:p>
    <w:p w14:paraId="38E4E24A" w14:textId="77777777" w:rsidR="0081189C" w:rsidRDefault="0081189C" w:rsidP="0081189C">
      <w:pPr>
        <w:pStyle w:val="ListParagraph"/>
        <w:numPr>
          <w:ilvl w:val="0"/>
          <w:numId w:val="6"/>
        </w:numPr>
      </w:pPr>
      <w:r>
        <w:t>D breached that duty of care</w:t>
      </w:r>
    </w:p>
    <w:p w14:paraId="3FCA0B79" w14:textId="77777777" w:rsidR="0081189C" w:rsidRDefault="0081189C" w:rsidP="0081189C">
      <w:pPr>
        <w:pStyle w:val="ListParagraph"/>
        <w:numPr>
          <w:ilvl w:val="0"/>
          <w:numId w:val="6"/>
        </w:numPr>
      </w:pPr>
      <w:r>
        <w:t xml:space="preserve">D’s breach caused C </w:t>
      </w:r>
      <w:proofErr w:type="gramStart"/>
      <w:r>
        <w:t>loss</w:t>
      </w:r>
      <w:proofErr w:type="gramEnd"/>
    </w:p>
    <w:p w14:paraId="4526EB96" w14:textId="77777777" w:rsidR="0081189C" w:rsidRDefault="0081189C" w:rsidP="0081189C">
      <w:pPr>
        <w:pStyle w:val="ListParagraph"/>
        <w:numPr>
          <w:ilvl w:val="0"/>
          <w:numId w:val="6"/>
        </w:numPr>
      </w:pPr>
      <w:r>
        <w:t>No applicable defences</w:t>
      </w:r>
    </w:p>
    <w:p w14:paraId="0128B00A" w14:textId="77777777" w:rsidR="0081189C" w:rsidRDefault="0081189C" w:rsidP="0081189C">
      <w:pPr>
        <w:pStyle w:val="ListParagraph"/>
        <w:ind w:left="360"/>
      </w:pPr>
    </w:p>
    <w:p w14:paraId="10F61B3F" w14:textId="77777777" w:rsidR="0081189C" w:rsidRDefault="0081189C" w:rsidP="0081189C">
      <w:pPr>
        <w:pStyle w:val="ListParagraph"/>
        <w:ind w:left="360"/>
      </w:pPr>
      <w:r w:rsidRPr="0081189C">
        <w:rPr>
          <w:i/>
          <w:iCs/>
        </w:rPr>
        <w:t xml:space="preserve">The claim will fail </w:t>
      </w:r>
      <w:r>
        <w:rPr>
          <w:i/>
          <w:iCs/>
        </w:rPr>
        <w:t>i</w:t>
      </w:r>
      <w:r w:rsidRPr="0081189C">
        <w:rPr>
          <w:i/>
          <w:iCs/>
        </w:rPr>
        <w:t>f any of these elements can’t be established.</w:t>
      </w:r>
    </w:p>
    <w:p w14:paraId="4C7FE86C" w14:textId="77777777" w:rsidR="0081189C" w:rsidRDefault="0081189C" w:rsidP="0081189C">
      <w:pPr>
        <w:pStyle w:val="ListParagraph"/>
        <w:ind w:left="360"/>
      </w:pPr>
    </w:p>
    <w:p w14:paraId="620466D7" w14:textId="77777777" w:rsidR="0081189C" w:rsidRDefault="0081189C" w:rsidP="0081189C">
      <w:pPr>
        <w:pStyle w:val="ListParagraph"/>
        <w:numPr>
          <w:ilvl w:val="0"/>
          <w:numId w:val="5"/>
        </w:numPr>
        <w:rPr>
          <w:b/>
          <w:bCs/>
        </w:rPr>
      </w:pPr>
      <w:r w:rsidRPr="0081189C">
        <w:rPr>
          <w:b/>
          <w:bCs/>
        </w:rPr>
        <w:t>Donoghue v Stevenson [1932]</w:t>
      </w:r>
      <w:r>
        <w:rPr>
          <w:b/>
          <w:bCs/>
        </w:rPr>
        <w:t xml:space="preserve"> AC 562</w:t>
      </w:r>
    </w:p>
    <w:p w14:paraId="5DEA21F7" w14:textId="77777777" w:rsidR="0081189C" w:rsidRDefault="0081189C" w:rsidP="0081189C">
      <w:pPr>
        <w:pStyle w:val="ListParagraph"/>
        <w:ind w:left="360"/>
      </w:pPr>
      <w:r>
        <w:t xml:space="preserve">D and a friend went to a café owned by M. The friend ordered a bottle of ginger beer for D. D drank some of the contents and then poured out the rest. A decomposing snail came out of the bottle and D became ill. D sued S, the manufacturer of the ginger beer. D’s claim </w:t>
      </w:r>
      <w:r w:rsidR="00A06919">
        <w:t xml:space="preserve">against S </w:t>
      </w:r>
      <w:r>
        <w:t>succeed</w:t>
      </w:r>
      <w:r w:rsidR="00A06919">
        <w:t>.</w:t>
      </w:r>
    </w:p>
    <w:p w14:paraId="7A25F517" w14:textId="77777777" w:rsidR="00A06919" w:rsidRDefault="00A06919" w:rsidP="0081189C">
      <w:pPr>
        <w:pStyle w:val="ListParagraph"/>
        <w:ind w:left="360"/>
      </w:pPr>
    </w:p>
    <w:p w14:paraId="1D3876EF" w14:textId="77777777" w:rsidR="00A06919" w:rsidRDefault="00A06919" w:rsidP="002B1C3B">
      <w:pPr>
        <w:pStyle w:val="ListParagraph"/>
        <w:spacing w:before="240"/>
        <w:ind w:left="360"/>
      </w:pPr>
      <w:r>
        <w:t>Donoghue is significant for the following reasons: Serves as the starting point for the modern single tort of negligence; establishes that duty of care owed to ultimate consumer by manufacturer and rejection of ‘privity fallacy’, and Lord Atkin attempts to set down a test for when duties of care will arise: ‘the neighbour principle’:</w:t>
      </w:r>
    </w:p>
    <w:p w14:paraId="1A3760CE" w14:textId="77777777" w:rsidR="002B1C3B" w:rsidRDefault="002B1C3B" w:rsidP="002B1C3B">
      <w:pPr>
        <w:pStyle w:val="ListParagraph"/>
        <w:spacing w:before="240"/>
        <w:ind w:left="360"/>
      </w:pPr>
    </w:p>
    <w:p w14:paraId="5989783B" w14:textId="77777777" w:rsidR="00A06919" w:rsidRDefault="00A06919" w:rsidP="002B1C3B">
      <w:pPr>
        <w:pStyle w:val="ListParagraph"/>
        <w:spacing w:before="240"/>
      </w:pPr>
      <w:r w:rsidRPr="00A06919">
        <w:t>“You must take reasonable care to avoid acts or omissions which you can reasonably foresee would be likely to injure your neighbour. Who, then, in law is my neighbour? The answer seems to be – persons who are so closely and directly affected by my act that I ought reasonably to have them in my contemplation as being so affected when I am directing my mind to the acts or omissions which are called into questions” (per Lord Atkin [1932] AC 562</w:t>
      </w:r>
      <w:r w:rsidR="002B1C3B">
        <w:t xml:space="preserve">, </w:t>
      </w:r>
      <w:r w:rsidRPr="00A06919">
        <w:t>580).</w:t>
      </w:r>
    </w:p>
    <w:p w14:paraId="09D64E85" w14:textId="77777777" w:rsidR="00A06919" w:rsidRDefault="00A06919" w:rsidP="00A06919">
      <w:pPr>
        <w:pStyle w:val="ListParagraph"/>
      </w:pPr>
    </w:p>
    <w:p w14:paraId="7D8F0B0C" w14:textId="77777777" w:rsidR="00A06919" w:rsidRPr="00A06919" w:rsidRDefault="00A06919" w:rsidP="00A06919">
      <w:pPr>
        <w:pStyle w:val="ListParagraph"/>
        <w:numPr>
          <w:ilvl w:val="0"/>
          <w:numId w:val="5"/>
        </w:numPr>
        <w:rPr>
          <w:b/>
          <w:bCs/>
        </w:rPr>
      </w:pPr>
      <w:r w:rsidRPr="00A06919">
        <w:rPr>
          <w:b/>
          <w:bCs/>
        </w:rPr>
        <w:t>Post-Donoghue expansion of liability</w:t>
      </w:r>
      <w:r w:rsidR="00BF1566">
        <w:rPr>
          <w:b/>
          <w:bCs/>
        </w:rPr>
        <w:t>:</w:t>
      </w:r>
    </w:p>
    <w:p w14:paraId="73A7B72E" w14:textId="77777777" w:rsidR="00A06919" w:rsidRDefault="00A06919" w:rsidP="00A06919">
      <w:pPr>
        <w:pStyle w:val="ListParagraph"/>
        <w:ind w:left="360"/>
      </w:pPr>
      <w:r>
        <w:t xml:space="preserve">Although initially it was the minority reasoning that won the day (that the manufacturer was liable to the ultimate consumer), gradually thinking began to change and, by the 1970s, the tort of negligence had come to be seen as ‘an ocean of liability for carelessly causing foreseeable harm, dotted with islands of non-liability, rather than as a crowded archipelago of individual duty situations’ (Ibbetson, </w:t>
      </w:r>
      <w:r w:rsidRPr="00A06919">
        <w:rPr>
          <w:i/>
          <w:iCs/>
        </w:rPr>
        <w:t>A Historical Introduction to the Law of Obligations</w:t>
      </w:r>
      <w:r>
        <w:t xml:space="preserve"> (OUP, 1999) p192-193). That is, rather than a gradual widening of specific duties, the courts appeared to be operating from an (excessively) broad principle of (almost) default liability wherever harm was caused by a defendant’s careless conduct.</w:t>
      </w:r>
    </w:p>
    <w:p w14:paraId="042B483D" w14:textId="77777777" w:rsidR="00A06919" w:rsidRDefault="00A06919" w:rsidP="00A06919">
      <w:pPr>
        <w:pStyle w:val="ListParagraph"/>
        <w:ind w:left="360"/>
      </w:pPr>
    </w:p>
    <w:p w14:paraId="0B7F0EA0" w14:textId="77777777" w:rsidR="00BF1566" w:rsidRPr="00BF1566" w:rsidRDefault="00BF1566" w:rsidP="00A06919">
      <w:pPr>
        <w:pStyle w:val="ListParagraph"/>
        <w:numPr>
          <w:ilvl w:val="0"/>
          <w:numId w:val="5"/>
        </w:numPr>
        <w:rPr>
          <w:b/>
          <w:bCs/>
        </w:rPr>
      </w:pPr>
      <w:r w:rsidRPr="00BF1566">
        <w:rPr>
          <w:b/>
          <w:bCs/>
        </w:rPr>
        <w:t xml:space="preserve">The negligence equation: </w:t>
      </w:r>
    </w:p>
    <w:p w14:paraId="2460C806" w14:textId="77777777" w:rsidR="00A06919" w:rsidRDefault="00BF1566" w:rsidP="00BF1566">
      <w:pPr>
        <w:pStyle w:val="ListParagraph"/>
        <w:ind w:left="360"/>
      </w:pPr>
      <w:r w:rsidRPr="00BF1566">
        <w:t>Duty of care + breach of duty + causation- defences = negligence</w:t>
      </w:r>
    </w:p>
    <w:p w14:paraId="2FE654FD" w14:textId="77777777" w:rsidR="00BF1566" w:rsidRPr="0081189C" w:rsidRDefault="00BF1566" w:rsidP="00BF1566">
      <w:pPr>
        <w:pStyle w:val="ListParagraph"/>
        <w:ind w:left="360"/>
      </w:pPr>
    </w:p>
    <w:sectPr w:rsidR="00BF1566" w:rsidRPr="00811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12D8A"/>
    <w:multiLevelType w:val="hybridMultilevel"/>
    <w:tmpl w:val="7590A9D4"/>
    <w:lvl w:ilvl="0" w:tplc="0809000F">
      <w:start w:val="1"/>
      <w:numFmt w:val="decimal"/>
      <w:lvlText w:val="%1."/>
      <w:lvlJc w:val="left"/>
      <w:pPr>
        <w:ind w:left="2880" w:hanging="36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 w15:restartNumberingAfterBreak="0">
    <w:nsid w:val="2D596427"/>
    <w:multiLevelType w:val="hybridMultilevel"/>
    <w:tmpl w:val="1AF0C95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37E2324"/>
    <w:multiLevelType w:val="hybridMultilevel"/>
    <w:tmpl w:val="9CFA9C9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8CE0002"/>
    <w:multiLevelType w:val="hybridMultilevel"/>
    <w:tmpl w:val="2206B29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5939D9"/>
    <w:multiLevelType w:val="hybridMultilevel"/>
    <w:tmpl w:val="5778332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7F7E71"/>
    <w:multiLevelType w:val="hybridMultilevel"/>
    <w:tmpl w:val="C87601DA"/>
    <w:lvl w:ilvl="0" w:tplc="C90EA508">
      <w:start w:val="1"/>
      <w:numFmt w:val="bullet"/>
      <w:lvlText w:val=""/>
      <w:lvlJc w:val="left"/>
      <w:pPr>
        <w:ind w:left="360" w:hanging="360"/>
      </w:pPr>
      <w:rPr>
        <w:rFonts w:ascii="Symbol" w:hAnsi="Symbol" w:hint="default"/>
        <w:vertAlign w:val="baseli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0E215D6"/>
    <w:multiLevelType w:val="hybridMultilevel"/>
    <w:tmpl w:val="3704E276"/>
    <w:lvl w:ilvl="0" w:tplc="C90EA508">
      <w:start w:val="1"/>
      <w:numFmt w:val="bullet"/>
      <w:lvlText w:val=""/>
      <w:lvlJc w:val="left"/>
      <w:pPr>
        <w:ind w:left="360" w:hanging="360"/>
      </w:pPr>
      <w:rPr>
        <w:rFonts w:ascii="Symbol" w:hAnsi="Symbol" w:hint="default"/>
        <w:vertAlign w:val="baseline"/>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FA4309E"/>
    <w:multiLevelType w:val="hybridMultilevel"/>
    <w:tmpl w:val="2E3278F4"/>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8222947">
    <w:abstractNumId w:val="3"/>
  </w:num>
  <w:num w:numId="2" w16cid:durableId="1102798175">
    <w:abstractNumId w:val="4"/>
  </w:num>
  <w:num w:numId="3" w16cid:durableId="798114342">
    <w:abstractNumId w:val="6"/>
  </w:num>
  <w:num w:numId="4" w16cid:durableId="1886520526">
    <w:abstractNumId w:val="7"/>
  </w:num>
  <w:num w:numId="5" w16cid:durableId="1107769008">
    <w:abstractNumId w:val="5"/>
  </w:num>
  <w:num w:numId="6" w16cid:durableId="1757092569">
    <w:abstractNumId w:val="1"/>
  </w:num>
  <w:num w:numId="7" w16cid:durableId="1856311668">
    <w:abstractNumId w:val="2"/>
  </w:num>
  <w:num w:numId="8" w16cid:durableId="1958751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2AD"/>
    <w:rsid w:val="000F5788"/>
    <w:rsid w:val="001258DB"/>
    <w:rsid w:val="001951EE"/>
    <w:rsid w:val="00276A69"/>
    <w:rsid w:val="002B1C3B"/>
    <w:rsid w:val="00300530"/>
    <w:rsid w:val="00386221"/>
    <w:rsid w:val="0039725F"/>
    <w:rsid w:val="003A1767"/>
    <w:rsid w:val="003C7173"/>
    <w:rsid w:val="00411838"/>
    <w:rsid w:val="00451078"/>
    <w:rsid w:val="00494999"/>
    <w:rsid w:val="004F293D"/>
    <w:rsid w:val="00546B03"/>
    <w:rsid w:val="005B7B25"/>
    <w:rsid w:val="00605DD0"/>
    <w:rsid w:val="006A4860"/>
    <w:rsid w:val="006F1940"/>
    <w:rsid w:val="0078498C"/>
    <w:rsid w:val="007F265F"/>
    <w:rsid w:val="0081189C"/>
    <w:rsid w:val="008678BC"/>
    <w:rsid w:val="00882970"/>
    <w:rsid w:val="008C0C39"/>
    <w:rsid w:val="008E61A7"/>
    <w:rsid w:val="008F638A"/>
    <w:rsid w:val="00994BA5"/>
    <w:rsid w:val="009A25C8"/>
    <w:rsid w:val="00A06919"/>
    <w:rsid w:val="00A31781"/>
    <w:rsid w:val="00A36DC0"/>
    <w:rsid w:val="00AC72AD"/>
    <w:rsid w:val="00B3426C"/>
    <w:rsid w:val="00B94A6A"/>
    <w:rsid w:val="00BF1566"/>
    <w:rsid w:val="00C853A3"/>
    <w:rsid w:val="00D75415"/>
    <w:rsid w:val="00E05CD9"/>
    <w:rsid w:val="00E702B0"/>
    <w:rsid w:val="00EB70B3"/>
    <w:rsid w:val="00EE5F80"/>
    <w:rsid w:val="00F07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5D992"/>
  <w15:chartTrackingRefBased/>
  <w15:docId w15:val="{8C91DDCF-397F-4941-9329-EFA768857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999"/>
    <w:pPr>
      <w:jc w:val="both"/>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72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1380</TotalTime>
  <Pages>5</Pages>
  <Words>1146</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PICKLES, CAMILLA M.S.</dc:creator>
  <cp:keywords/>
  <dc:description/>
  <cp:lastModifiedBy>PICKLES, CAMILLA M.S.</cp:lastModifiedBy>
  <cp:revision>15</cp:revision>
  <dcterms:created xsi:type="dcterms:W3CDTF">2023-09-25T14:11:00Z</dcterms:created>
  <dcterms:modified xsi:type="dcterms:W3CDTF">2023-09-28T10:32:00Z</dcterms:modified>
</cp:coreProperties>
</file>