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4EF38" w14:textId="77777777" w:rsidR="000417A0" w:rsidRPr="004F293D" w:rsidRDefault="000417A0" w:rsidP="000417A0">
      <w:pPr>
        <w:jc w:val="left"/>
        <w:rPr>
          <w:b/>
          <w:bCs/>
          <w:sz w:val="32"/>
          <w:szCs w:val="32"/>
        </w:rPr>
      </w:pPr>
      <w:r w:rsidRPr="004F293D">
        <w:rPr>
          <w:b/>
          <w:bCs/>
          <w:sz w:val="32"/>
          <w:szCs w:val="32"/>
        </w:rPr>
        <w:t>TORT LAW</w:t>
      </w:r>
      <w:r>
        <w:rPr>
          <w:b/>
          <w:bCs/>
          <w:sz w:val="32"/>
          <w:szCs w:val="32"/>
        </w:rPr>
        <w:t xml:space="preserve"> (2023-24)</w:t>
      </w:r>
    </w:p>
    <w:p w14:paraId="3069EF2B" w14:textId="68BFE2BC" w:rsidR="000417A0" w:rsidRPr="004F293D" w:rsidRDefault="000417A0" w:rsidP="000417A0">
      <w:pPr>
        <w:jc w:val="left"/>
        <w:rPr>
          <w:b/>
          <w:bCs/>
          <w:sz w:val="32"/>
          <w:szCs w:val="32"/>
        </w:rPr>
      </w:pPr>
      <w:r w:rsidRPr="004F293D">
        <w:rPr>
          <w:b/>
          <w:bCs/>
          <w:sz w:val="32"/>
          <w:szCs w:val="32"/>
        </w:rPr>
        <w:t>LECTURE</w:t>
      </w:r>
      <w:r w:rsidR="00AA4C8C">
        <w:rPr>
          <w:b/>
          <w:bCs/>
          <w:sz w:val="32"/>
          <w:szCs w:val="32"/>
        </w:rPr>
        <w:t>s</w:t>
      </w:r>
      <w:r w:rsidRPr="004F293D">
        <w:rPr>
          <w:b/>
          <w:bCs/>
          <w:sz w:val="32"/>
          <w:szCs w:val="32"/>
        </w:rPr>
        <w:t xml:space="preserve"> </w:t>
      </w:r>
      <w:r>
        <w:rPr>
          <w:b/>
          <w:bCs/>
          <w:sz w:val="32"/>
          <w:szCs w:val="32"/>
        </w:rPr>
        <w:t>ELEVEN, TWLEVE AND THIRTEEN: TRESPASS TO THE PERSON</w:t>
      </w:r>
    </w:p>
    <w:p w14:paraId="6B090475" w14:textId="5277284F" w:rsidR="000417A0" w:rsidRPr="004F293D" w:rsidRDefault="000417A0" w:rsidP="000417A0">
      <w:pPr>
        <w:jc w:val="left"/>
        <w:rPr>
          <w:b/>
          <w:bCs/>
        </w:rPr>
      </w:pPr>
      <w:r w:rsidRPr="004F293D">
        <w:rPr>
          <w:b/>
          <w:bCs/>
        </w:rPr>
        <w:t>Dr Camilla Pickles</w:t>
      </w:r>
    </w:p>
    <w:p w14:paraId="53FCF36A" w14:textId="77777777" w:rsidR="000417A0" w:rsidRDefault="000417A0" w:rsidP="000417A0"/>
    <w:p w14:paraId="2A130D8A" w14:textId="77777777" w:rsidR="000417A0" w:rsidRPr="00AC72AD" w:rsidRDefault="000417A0" w:rsidP="000417A0">
      <w:pPr>
        <w:spacing w:after="0"/>
        <w:rPr>
          <w:b/>
          <w:bCs/>
        </w:rPr>
      </w:pPr>
      <w:r w:rsidRPr="00AC72AD">
        <w:rPr>
          <w:b/>
          <w:bCs/>
        </w:rPr>
        <w:t>Basic reading</w:t>
      </w:r>
    </w:p>
    <w:p w14:paraId="37FB2D6B" w14:textId="7F0B35A1" w:rsidR="000417A0" w:rsidRPr="002201A4" w:rsidRDefault="000417A0" w:rsidP="000417A0">
      <w:pPr>
        <w:pStyle w:val="ListParagraph"/>
        <w:numPr>
          <w:ilvl w:val="0"/>
          <w:numId w:val="1"/>
        </w:numPr>
        <w:rPr>
          <w:vertAlign w:val="superscript"/>
        </w:rPr>
      </w:pPr>
      <w:r>
        <w:t>Horsey &amp; Rackley, chapter 15 (Intentional interferences with the person)</w:t>
      </w:r>
      <w:r w:rsidRPr="006B33CA">
        <w:rPr>
          <w:b/>
          <w:bCs/>
          <w:vertAlign w:val="superscript"/>
        </w:rPr>
        <w:sym w:font="Symbol" w:char="F02A"/>
      </w:r>
      <w:r>
        <w:rPr>
          <w:b/>
          <w:bCs/>
          <w:vertAlign w:val="superscript"/>
        </w:rPr>
        <w:t xml:space="preserve"> </w:t>
      </w:r>
    </w:p>
    <w:p w14:paraId="3A0A23E2" w14:textId="6318F089" w:rsidR="000417A0" w:rsidRPr="001176E5" w:rsidRDefault="000417A0" w:rsidP="00070812">
      <w:pPr>
        <w:pStyle w:val="ListParagraph"/>
        <w:numPr>
          <w:ilvl w:val="0"/>
          <w:numId w:val="1"/>
        </w:numPr>
        <w:spacing w:after="0"/>
      </w:pPr>
      <w:r w:rsidRPr="001176E5">
        <w:t>Nolan &amp; Oliphant, chapter</w:t>
      </w:r>
      <w:r>
        <w:t xml:space="preserve"> 2</w:t>
      </w:r>
    </w:p>
    <w:p w14:paraId="320F6FEA" w14:textId="77777777" w:rsidR="000417A0" w:rsidRDefault="000417A0" w:rsidP="00070812">
      <w:pPr>
        <w:spacing w:after="0"/>
      </w:pPr>
    </w:p>
    <w:p w14:paraId="1545438B" w14:textId="77F70F8B" w:rsidR="000417A0" w:rsidRDefault="000417A0" w:rsidP="00070812">
      <w:pPr>
        <w:spacing w:after="0"/>
      </w:pPr>
      <w:r w:rsidRPr="00422AF8">
        <w:rPr>
          <w:b/>
          <w:bCs/>
        </w:rPr>
        <w:t>Case law</w:t>
      </w:r>
      <w:r>
        <w:rPr>
          <w:b/>
          <w:bCs/>
        </w:rPr>
        <w:t xml:space="preserve"> </w:t>
      </w:r>
      <w:r w:rsidR="000F4C0F">
        <w:rPr>
          <w:b/>
          <w:bCs/>
        </w:rPr>
        <w:t>and relevant statutes</w:t>
      </w:r>
    </w:p>
    <w:p w14:paraId="5E8AA64A" w14:textId="5C22982F" w:rsidR="000417A0" w:rsidRDefault="000417A0" w:rsidP="00070812">
      <w:pPr>
        <w:pStyle w:val="ListParagraph"/>
        <w:numPr>
          <w:ilvl w:val="0"/>
          <w:numId w:val="4"/>
        </w:numPr>
        <w:spacing w:after="0"/>
      </w:pPr>
      <w:r w:rsidRPr="007918A5">
        <w:rPr>
          <w:i/>
          <w:iCs/>
        </w:rPr>
        <w:t>Collins v Wilcock</w:t>
      </w:r>
      <w:r>
        <w:t xml:space="preserve"> [1984] 1 WLR 1172*</w:t>
      </w:r>
    </w:p>
    <w:p w14:paraId="081A47B8" w14:textId="5F3937C7" w:rsidR="000417A0" w:rsidRDefault="000417A0" w:rsidP="000417A0">
      <w:pPr>
        <w:pStyle w:val="ListParagraph"/>
        <w:numPr>
          <w:ilvl w:val="0"/>
          <w:numId w:val="4"/>
        </w:numPr>
      </w:pPr>
      <w:r w:rsidRPr="007918A5">
        <w:rPr>
          <w:i/>
          <w:iCs/>
        </w:rPr>
        <w:t>Rhodes v OPO [2015] UKSC 32</w:t>
      </w:r>
      <w:r>
        <w:t xml:space="preserve"> (also referred to as </w:t>
      </w:r>
      <w:r w:rsidRPr="000417A0">
        <w:rPr>
          <w:i/>
          <w:iCs/>
        </w:rPr>
        <w:t>O v A</w:t>
      </w:r>
      <w:r>
        <w:t>)</w:t>
      </w:r>
      <w:bookmarkStart w:id="0" w:name="_Hlk155604812"/>
      <w:r>
        <w:t>*</w:t>
      </w:r>
      <w:bookmarkEnd w:id="0"/>
    </w:p>
    <w:p w14:paraId="60DEC0ED" w14:textId="6A1FE4E9" w:rsidR="000417A0" w:rsidRDefault="000417A0" w:rsidP="000417A0">
      <w:pPr>
        <w:pStyle w:val="ListParagraph"/>
        <w:numPr>
          <w:ilvl w:val="0"/>
          <w:numId w:val="4"/>
        </w:numPr>
      </w:pPr>
      <w:r w:rsidRPr="00DC3980">
        <w:rPr>
          <w:i/>
        </w:rPr>
        <w:t>Letang v Cooper</w:t>
      </w:r>
      <w:r w:rsidRPr="009F1AF3">
        <w:t xml:space="preserve"> [1965] 1 QB 232</w:t>
      </w:r>
    </w:p>
    <w:p w14:paraId="6B6A9B94" w14:textId="78D7AF3E" w:rsidR="000417A0" w:rsidRDefault="000417A0" w:rsidP="000417A0">
      <w:pPr>
        <w:pStyle w:val="ListParagraph"/>
        <w:numPr>
          <w:ilvl w:val="0"/>
          <w:numId w:val="4"/>
        </w:numPr>
      </w:pPr>
      <w:r w:rsidRPr="00DC3980">
        <w:rPr>
          <w:i/>
        </w:rPr>
        <w:t>Iqbal v Prison Officers Association</w:t>
      </w:r>
      <w:r w:rsidRPr="009F1AF3">
        <w:t xml:space="preserve"> [2009] EWCA </w:t>
      </w:r>
      <w:proofErr w:type="spellStart"/>
      <w:r w:rsidRPr="009F1AF3">
        <w:t>Civ</w:t>
      </w:r>
      <w:proofErr w:type="spellEnd"/>
      <w:r w:rsidRPr="009F1AF3">
        <w:t xml:space="preserve"> 1312</w:t>
      </w:r>
    </w:p>
    <w:p w14:paraId="2DBB0D1F" w14:textId="5F54DAF1" w:rsidR="000F4C0F" w:rsidRDefault="000F4C0F" w:rsidP="000417A0">
      <w:pPr>
        <w:pStyle w:val="ListParagraph"/>
        <w:numPr>
          <w:ilvl w:val="0"/>
          <w:numId w:val="4"/>
        </w:numPr>
      </w:pPr>
      <w:r w:rsidRPr="000F4C0F">
        <w:rPr>
          <w:i/>
        </w:rPr>
        <w:t>Re F (Mental Patient: Sterilization)</w:t>
      </w:r>
      <w:r w:rsidRPr="000F4C0F">
        <w:t xml:space="preserve"> [1990] 2 AC 1</w:t>
      </w:r>
    </w:p>
    <w:p w14:paraId="5BA2BB67" w14:textId="5411D8B2" w:rsidR="000F4C0F" w:rsidRDefault="000F4C0F" w:rsidP="000417A0">
      <w:pPr>
        <w:pStyle w:val="ListParagraph"/>
        <w:numPr>
          <w:ilvl w:val="0"/>
          <w:numId w:val="4"/>
        </w:numPr>
      </w:pPr>
      <w:r w:rsidRPr="000F4C0F">
        <w:rPr>
          <w:i/>
        </w:rPr>
        <w:t>DPP v K (A Minor)</w:t>
      </w:r>
      <w:r w:rsidRPr="000F4C0F">
        <w:t xml:space="preserve"> [1990] 1 W.L.R. 1067</w:t>
      </w:r>
    </w:p>
    <w:p w14:paraId="4994C47E" w14:textId="11E629B0" w:rsidR="000F4C0F" w:rsidRDefault="000F4C0F" w:rsidP="000417A0">
      <w:pPr>
        <w:pStyle w:val="ListParagraph"/>
        <w:numPr>
          <w:ilvl w:val="0"/>
          <w:numId w:val="4"/>
        </w:numPr>
      </w:pPr>
      <w:r w:rsidRPr="000F4C0F">
        <w:rPr>
          <w:i/>
        </w:rPr>
        <w:t>Thomas v National Union of Mineworkers (South Wales Area)</w:t>
      </w:r>
      <w:r w:rsidRPr="000F4C0F">
        <w:t xml:space="preserve"> [1985] 2 All E.R. 1</w:t>
      </w:r>
    </w:p>
    <w:p w14:paraId="7AA78448" w14:textId="6D297BA4" w:rsidR="000F4C0F" w:rsidRDefault="000F4C0F" w:rsidP="000417A0">
      <w:pPr>
        <w:pStyle w:val="ListParagraph"/>
        <w:numPr>
          <w:ilvl w:val="0"/>
          <w:numId w:val="4"/>
        </w:numPr>
      </w:pPr>
      <w:r w:rsidRPr="000F4C0F">
        <w:rPr>
          <w:i/>
        </w:rPr>
        <w:t>R v Ireland</w:t>
      </w:r>
      <w:r w:rsidRPr="000F4C0F">
        <w:t xml:space="preserve"> [1998] A.C. 147</w:t>
      </w:r>
    </w:p>
    <w:p w14:paraId="700374B3" w14:textId="0989BDDF" w:rsidR="000F4C0F" w:rsidRDefault="000F4C0F" w:rsidP="000417A0">
      <w:pPr>
        <w:pStyle w:val="ListParagraph"/>
        <w:numPr>
          <w:ilvl w:val="0"/>
          <w:numId w:val="4"/>
        </w:numPr>
      </w:pPr>
      <w:r w:rsidRPr="000F4C0F">
        <w:rPr>
          <w:i/>
        </w:rPr>
        <w:t>Bird v Jones</w:t>
      </w:r>
      <w:r w:rsidRPr="000F4C0F">
        <w:t xml:space="preserve"> (1845) 7 Q.B. 742</w:t>
      </w:r>
    </w:p>
    <w:p w14:paraId="29D2956D" w14:textId="0EBB2F19" w:rsidR="000F4C0F" w:rsidRPr="000F4C0F" w:rsidRDefault="000F4C0F" w:rsidP="000417A0">
      <w:pPr>
        <w:pStyle w:val="ListParagraph"/>
        <w:numPr>
          <w:ilvl w:val="0"/>
          <w:numId w:val="4"/>
        </w:numPr>
        <w:rPr>
          <w:iCs/>
        </w:rPr>
      </w:pPr>
      <w:proofErr w:type="spellStart"/>
      <w:r w:rsidRPr="000F4C0F">
        <w:rPr>
          <w:i/>
        </w:rPr>
        <w:t>Meering</w:t>
      </w:r>
      <w:proofErr w:type="spellEnd"/>
      <w:r w:rsidRPr="000F4C0F">
        <w:rPr>
          <w:i/>
        </w:rPr>
        <w:t xml:space="preserve"> v Grahame-White Aviation </w:t>
      </w:r>
      <w:r w:rsidRPr="000F4C0F">
        <w:rPr>
          <w:iCs/>
        </w:rPr>
        <w:t>(1919) 122 LTR 44</w:t>
      </w:r>
    </w:p>
    <w:p w14:paraId="6D09F22C" w14:textId="319C6BB6" w:rsidR="000F4C0F" w:rsidRDefault="000F4C0F" w:rsidP="000417A0">
      <w:pPr>
        <w:pStyle w:val="ListParagraph"/>
        <w:numPr>
          <w:ilvl w:val="0"/>
          <w:numId w:val="4"/>
        </w:numPr>
        <w:rPr>
          <w:iCs/>
        </w:rPr>
      </w:pPr>
      <w:r w:rsidRPr="000F4C0F">
        <w:rPr>
          <w:i/>
        </w:rPr>
        <w:t xml:space="preserve">R (Lumba) v Secretary of State for the Home Department </w:t>
      </w:r>
      <w:r w:rsidRPr="000F4C0F">
        <w:rPr>
          <w:iCs/>
        </w:rPr>
        <w:t>[2011] UKSC 12</w:t>
      </w:r>
    </w:p>
    <w:p w14:paraId="692E93A7" w14:textId="3706F423" w:rsidR="000F4C0F" w:rsidRDefault="000F4C0F" w:rsidP="000417A0">
      <w:pPr>
        <w:pStyle w:val="ListParagraph"/>
        <w:numPr>
          <w:ilvl w:val="0"/>
          <w:numId w:val="4"/>
        </w:numPr>
        <w:rPr>
          <w:iCs/>
        </w:rPr>
      </w:pPr>
      <w:r w:rsidRPr="000F4C0F">
        <w:rPr>
          <w:i/>
          <w:iCs/>
        </w:rPr>
        <w:t>Chatterton v Gerson</w:t>
      </w:r>
      <w:r w:rsidRPr="000F4C0F">
        <w:rPr>
          <w:iCs/>
        </w:rPr>
        <w:t xml:space="preserve"> [1981] Q.B. 432</w:t>
      </w:r>
    </w:p>
    <w:p w14:paraId="78D0897C" w14:textId="1ACDE252" w:rsidR="000F4C0F" w:rsidRDefault="000F4C0F" w:rsidP="000417A0">
      <w:pPr>
        <w:pStyle w:val="ListParagraph"/>
        <w:numPr>
          <w:ilvl w:val="0"/>
          <w:numId w:val="4"/>
        </w:numPr>
        <w:rPr>
          <w:iCs/>
        </w:rPr>
      </w:pPr>
      <w:r w:rsidRPr="000F4C0F">
        <w:rPr>
          <w:i/>
          <w:iCs/>
        </w:rPr>
        <w:t xml:space="preserve">R v Williams </w:t>
      </w:r>
      <w:r w:rsidRPr="000F4C0F">
        <w:rPr>
          <w:iCs/>
        </w:rPr>
        <w:t>[1923] 1 K.B. 340</w:t>
      </w:r>
    </w:p>
    <w:p w14:paraId="31BB08B3" w14:textId="6F498DAC" w:rsidR="000F4C0F" w:rsidRDefault="000F4C0F" w:rsidP="000417A0">
      <w:pPr>
        <w:pStyle w:val="ListParagraph"/>
        <w:numPr>
          <w:ilvl w:val="0"/>
          <w:numId w:val="4"/>
        </w:numPr>
      </w:pPr>
      <w:r w:rsidRPr="000F4C0F">
        <w:rPr>
          <w:i/>
          <w:iCs/>
        </w:rPr>
        <w:t xml:space="preserve">Re T (Adult: Refusal of Treatment) </w:t>
      </w:r>
      <w:r w:rsidRPr="000F4C0F">
        <w:t>[1993] Fam. 95</w:t>
      </w:r>
    </w:p>
    <w:p w14:paraId="0F39DD0D" w14:textId="36C5F82D" w:rsidR="00092FA6" w:rsidRPr="00092FA6" w:rsidRDefault="00092FA6" w:rsidP="000417A0">
      <w:pPr>
        <w:pStyle w:val="ListParagraph"/>
        <w:numPr>
          <w:ilvl w:val="0"/>
          <w:numId w:val="4"/>
        </w:numPr>
      </w:pPr>
      <w:r w:rsidRPr="00092FA6">
        <w:rPr>
          <w:i/>
          <w:iCs/>
        </w:rPr>
        <w:t xml:space="preserve">Re MB (Caesarean Section) </w:t>
      </w:r>
      <w:r w:rsidRPr="00092FA6">
        <w:t>[1997] 2 F.L.R. 426</w:t>
      </w:r>
    </w:p>
    <w:p w14:paraId="015C9B9C" w14:textId="52A49630" w:rsidR="00092FA6" w:rsidRDefault="00092FA6" w:rsidP="000417A0">
      <w:pPr>
        <w:pStyle w:val="ListParagraph"/>
        <w:numPr>
          <w:ilvl w:val="0"/>
          <w:numId w:val="4"/>
        </w:numPr>
      </w:pPr>
      <w:r w:rsidRPr="00092FA6">
        <w:rPr>
          <w:i/>
        </w:rPr>
        <w:t xml:space="preserve">Ashley v CC of Sussex Police </w:t>
      </w:r>
      <w:r w:rsidRPr="00092FA6">
        <w:t>[2008] UKHL 25</w:t>
      </w:r>
      <w:r w:rsidR="00540E7A">
        <w:t>*</w:t>
      </w:r>
    </w:p>
    <w:p w14:paraId="78B66F64" w14:textId="55920558" w:rsidR="00092FA6" w:rsidRDefault="00092FA6" w:rsidP="000417A0">
      <w:pPr>
        <w:pStyle w:val="ListParagraph"/>
        <w:numPr>
          <w:ilvl w:val="0"/>
          <w:numId w:val="4"/>
        </w:numPr>
      </w:pPr>
      <w:r w:rsidRPr="00092FA6">
        <w:rPr>
          <w:i/>
        </w:rPr>
        <w:t xml:space="preserve">Wilkinson v Downton </w:t>
      </w:r>
      <w:r w:rsidRPr="00092FA6">
        <w:t>[1897] 2 Q.B. 57</w:t>
      </w:r>
      <w:r w:rsidR="007918A5">
        <w:t>*</w:t>
      </w:r>
    </w:p>
    <w:p w14:paraId="654675BF" w14:textId="191782E4" w:rsidR="00092FA6" w:rsidRDefault="00092FA6" w:rsidP="000417A0">
      <w:pPr>
        <w:pStyle w:val="ListParagraph"/>
        <w:numPr>
          <w:ilvl w:val="0"/>
          <w:numId w:val="4"/>
        </w:numPr>
        <w:rPr>
          <w:iCs/>
        </w:rPr>
      </w:pPr>
      <w:r w:rsidRPr="00092FA6">
        <w:rPr>
          <w:i/>
        </w:rPr>
        <w:t xml:space="preserve">Wainwright v Home Office </w:t>
      </w:r>
      <w:r w:rsidRPr="00092FA6">
        <w:rPr>
          <w:iCs/>
        </w:rPr>
        <w:t>[2003] UKHL 53</w:t>
      </w:r>
    </w:p>
    <w:p w14:paraId="7EC8CF13" w14:textId="77777777" w:rsidR="007918A5" w:rsidRDefault="007918A5" w:rsidP="000417A0">
      <w:pPr>
        <w:pStyle w:val="ListParagraph"/>
        <w:numPr>
          <w:ilvl w:val="0"/>
          <w:numId w:val="4"/>
        </w:numPr>
        <w:rPr>
          <w:iCs/>
        </w:rPr>
      </w:pPr>
      <w:proofErr w:type="spellStart"/>
      <w:r w:rsidRPr="007918A5">
        <w:rPr>
          <w:i/>
        </w:rPr>
        <w:t>Majrowski</w:t>
      </w:r>
      <w:proofErr w:type="spellEnd"/>
      <w:r w:rsidRPr="007918A5">
        <w:rPr>
          <w:i/>
        </w:rPr>
        <w:t xml:space="preserve"> v Guy's and St Thomas' NHS Trust</w:t>
      </w:r>
      <w:r w:rsidRPr="007918A5">
        <w:rPr>
          <w:iCs/>
        </w:rPr>
        <w:t xml:space="preserve"> [2006] UKHL 34</w:t>
      </w:r>
    </w:p>
    <w:p w14:paraId="674900E3" w14:textId="3F56C4CD" w:rsidR="00092FA6" w:rsidRDefault="00092FA6" w:rsidP="000417A0">
      <w:pPr>
        <w:pStyle w:val="ListParagraph"/>
        <w:numPr>
          <w:ilvl w:val="0"/>
          <w:numId w:val="4"/>
        </w:numPr>
        <w:rPr>
          <w:iCs/>
        </w:rPr>
      </w:pPr>
      <w:r w:rsidRPr="00092FA6">
        <w:rPr>
          <w:i/>
          <w:iCs/>
        </w:rPr>
        <w:t>Levi v Bates</w:t>
      </w:r>
      <w:r w:rsidRPr="00092FA6">
        <w:rPr>
          <w:iCs/>
        </w:rPr>
        <w:t xml:space="preserve"> [2015] EWCA </w:t>
      </w:r>
      <w:proofErr w:type="spellStart"/>
      <w:r w:rsidRPr="00092FA6">
        <w:rPr>
          <w:iCs/>
        </w:rPr>
        <w:t>Civ</w:t>
      </w:r>
      <w:proofErr w:type="spellEnd"/>
      <w:r w:rsidRPr="00092FA6">
        <w:rPr>
          <w:iCs/>
        </w:rPr>
        <w:t xml:space="preserve"> 206</w:t>
      </w:r>
    </w:p>
    <w:p w14:paraId="5E5095AB" w14:textId="77777777" w:rsidR="007918A5" w:rsidRPr="00092FA6" w:rsidRDefault="007918A5" w:rsidP="007918A5">
      <w:pPr>
        <w:pStyle w:val="ListParagraph"/>
        <w:numPr>
          <w:ilvl w:val="0"/>
          <w:numId w:val="4"/>
        </w:numPr>
        <w:rPr>
          <w:iCs/>
        </w:rPr>
      </w:pPr>
      <w:r w:rsidRPr="007918A5">
        <w:rPr>
          <w:i/>
          <w:iCs/>
        </w:rPr>
        <w:t>James v DPP</w:t>
      </w:r>
      <w:r w:rsidRPr="007918A5">
        <w:rPr>
          <w:iCs/>
        </w:rPr>
        <w:t xml:space="preserve"> [2009] EWHC 2925 (Admin)</w:t>
      </w:r>
    </w:p>
    <w:p w14:paraId="4B5B48DC" w14:textId="268E3FAC" w:rsidR="007918A5" w:rsidRDefault="007918A5" w:rsidP="007918A5">
      <w:pPr>
        <w:pStyle w:val="ListParagraph"/>
        <w:numPr>
          <w:ilvl w:val="0"/>
          <w:numId w:val="4"/>
        </w:numPr>
      </w:pPr>
      <w:r w:rsidRPr="000F4C0F">
        <w:t>Mental Capacity Act 2005</w:t>
      </w:r>
      <w:r>
        <w:t xml:space="preserve"> (sections 3; 5)</w:t>
      </w:r>
      <w:r w:rsidR="00540E7A" w:rsidRPr="00540E7A">
        <w:t xml:space="preserve"> </w:t>
      </w:r>
      <w:r w:rsidR="00540E7A">
        <w:t>*</w:t>
      </w:r>
    </w:p>
    <w:p w14:paraId="6D0A3EEF" w14:textId="77777777" w:rsidR="007918A5" w:rsidRDefault="007918A5" w:rsidP="00070812">
      <w:pPr>
        <w:pStyle w:val="ListParagraph"/>
        <w:numPr>
          <w:ilvl w:val="0"/>
          <w:numId w:val="4"/>
        </w:numPr>
        <w:spacing w:after="0"/>
      </w:pPr>
      <w:r>
        <w:t>Protection from Harassment Act 1997*</w:t>
      </w:r>
    </w:p>
    <w:p w14:paraId="6FC1A8FD" w14:textId="77777777" w:rsidR="000417A0" w:rsidRDefault="000417A0" w:rsidP="000417A0">
      <w:pPr>
        <w:spacing w:after="0"/>
        <w:rPr>
          <w:b/>
          <w:bCs/>
        </w:rPr>
      </w:pPr>
    </w:p>
    <w:p w14:paraId="3B0305AA" w14:textId="5C9C359D" w:rsidR="000417A0" w:rsidRDefault="000417A0" w:rsidP="000417A0">
      <w:pPr>
        <w:spacing w:after="0"/>
        <w:rPr>
          <w:b/>
          <w:bCs/>
        </w:rPr>
      </w:pPr>
      <w:r w:rsidRPr="008927E2">
        <w:rPr>
          <w:b/>
          <w:bCs/>
        </w:rPr>
        <w:t>Further reading</w:t>
      </w:r>
    </w:p>
    <w:p w14:paraId="7243CD15" w14:textId="6C3AE4D9" w:rsidR="000417A0" w:rsidRDefault="000417A0" w:rsidP="000417A0">
      <w:pPr>
        <w:pStyle w:val="ListParagraph"/>
        <w:numPr>
          <w:ilvl w:val="0"/>
          <w:numId w:val="2"/>
        </w:numPr>
      </w:pPr>
      <w:r>
        <w:t xml:space="preserve">Devereux, ‘On Not Trespassing on Trespass: In Defence of Separate Torts of Trespass to the Person’ (2019) 26(2) </w:t>
      </w:r>
      <w:r w:rsidRPr="000417A0">
        <w:rPr>
          <w:i/>
          <w:iCs/>
        </w:rPr>
        <w:t>Tort Law Review</w:t>
      </w:r>
      <w:r>
        <w:t xml:space="preserve"> 98</w:t>
      </w:r>
    </w:p>
    <w:p w14:paraId="2E1F8B6D" w14:textId="4896B1AD" w:rsidR="000417A0" w:rsidRDefault="000417A0" w:rsidP="000417A0">
      <w:pPr>
        <w:pStyle w:val="ListParagraph"/>
        <w:numPr>
          <w:ilvl w:val="0"/>
          <w:numId w:val="2"/>
        </w:numPr>
      </w:pPr>
      <w:r>
        <w:t xml:space="preserve">Pattinson, </w:t>
      </w:r>
      <w:r w:rsidRPr="007918A5">
        <w:rPr>
          <w:i/>
          <w:iCs/>
        </w:rPr>
        <w:t xml:space="preserve">Medical </w:t>
      </w:r>
      <w:proofErr w:type="gramStart"/>
      <w:r w:rsidRPr="007918A5">
        <w:rPr>
          <w:i/>
          <w:iCs/>
        </w:rPr>
        <w:t>Ethics</w:t>
      </w:r>
      <w:proofErr w:type="gramEnd"/>
      <w:r w:rsidRPr="007918A5">
        <w:rPr>
          <w:i/>
          <w:iCs/>
        </w:rPr>
        <w:t xml:space="preserve"> and the Law</w:t>
      </w:r>
      <w:r>
        <w:t xml:space="preserve"> (5th </w:t>
      </w:r>
      <w:proofErr w:type="spellStart"/>
      <w:r>
        <w:t>edn</w:t>
      </w:r>
      <w:proofErr w:type="spellEnd"/>
      <w:r>
        <w:t xml:space="preserve">, 2017) </w:t>
      </w:r>
      <w:proofErr w:type="spellStart"/>
      <w:r>
        <w:t>ch</w:t>
      </w:r>
      <w:proofErr w:type="spellEnd"/>
      <w:r>
        <w:t xml:space="preserve"> 5</w:t>
      </w:r>
    </w:p>
    <w:p w14:paraId="0B34A48D" w14:textId="0A091CCF" w:rsidR="000417A0" w:rsidRDefault="000417A0" w:rsidP="000417A0">
      <w:pPr>
        <w:pStyle w:val="ListParagraph"/>
        <w:numPr>
          <w:ilvl w:val="0"/>
          <w:numId w:val="2"/>
        </w:numPr>
      </w:pPr>
      <w:r>
        <w:t xml:space="preserve">Dickinson, ‘A Ruritanian ordeal (Case Comment on </w:t>
      </w:r>
      <w:r w:rsidRPr="000417A0">
        <w:rPr>
          <w:i/>
          <w:iCs/>
        </w:rPr>
        <w:t>Rhodes v OPO</w:t>
      </w:r>
      <w:r>
        <w:t xml:space="preserve">)’ (2015) 131 </w:t>
      </w:r>
      <w:r w:rsidRPr="000417A0">
        <w:rPr>
          <w:i/>
          <w:iCs/>
        </w:rPr>
        <w:t>Law Quarterly Review</w:t>
      </w:r>
      <w:r>
        <w:t xml:space="preserve"> 542</w:t>
      </w:r>
    </w:p>
    <w:p w14:paraId="003B993F" w14:textId="758D79A1" w:rsidR="000417A0" w:rsidRDefault="000417A0" w:rsidP="000417A0">
      <w:pPr>
        <w:pStyle w:val="ListParagraph"/>
        <w:numPr>
          <w:ilvl w:val="0"/>
          <w:numId w:val="2"/>
        </w:numPr>
      </w:pPr>
      <w:r>
        <w:lastRenderedPageBreak/>
        <w:t xml:space="preserve">Godden, ‘Claims in Tort for Rape: A Valuable Remedy or Damaging Strategy? (2011) 22 </w:t>
      </w:r>
      <w:r w:rsidRPr="000417A0">
        <w:rPr>
          <w:i/>
          <w:iCs/>
        </w:rPr>
        <w:t>King's Law Journal</w:t>
      </w:r>
      <w:r>
        <w:t xml:space="preserve"> 157</w:t>
      </w:r>
    </w:p>
    <w:p w14:paraId="13999B4E" w14:textId="7F349FF9" w:rsidR="000417A0" w:rsidRDefault="000417A0" w:rsidP="000417A0">
      <w:pPr>
        <w:pStyle w:val="ListParagraph"/>
        <w:numPr>
          <w:ilvl w:val="0"/>
          <w:numId w:val="2"/>
        </w:numPr>
      </w:pPr>
      <w:r>
        <w:t xml:space="preserve">Beever, ‘Transferred Malice in Tort Law’ (2009) 29(3) </w:t>
      </w:r>
      <w:r w:rsidRPr="000417A0">
        <w:rPr>
          <w:i/>
          <w:iCs/>
        </w:rPr>
        <w:t>Legal Studies</w:t>
      </w:r>
      <w:r>
        <w:t xml:space="preserve"> 1</w:t>
      </w:r>
    </w:p>
    <w:p w14:paraId="06E7AB50" w14:textId="4F43293E" w:rsidR="000417A0" w:rsidRDefault="000417A0" w:rsidP="000417A0">
      <w:pPr>
        <w:pStyle w:val="ListParagraph"/>
        <w:numPr>
          <w:ilvl w:val="0"/>
          <w:numId w:val="2"/>
        </w:numPr>
      </w:pPr>
      <w:r>
        <w:t xml:space="preserve">Lunney, ‘False Imprisonment, Fare Dodging and Federation – Mr Robertson’s Evening Out’ (2009) 31 </w:t>
      </w:r>
      <w:r w:rsidRPr="000417A0">
        <w:rPr>
          <w:i/>
          <w:iCs/>
        </w:rPr>
        <w:t>Sydney Law Review</w:t>
      </w:r>
      <w:r>
        <w:t xml:space="preserve"> 537</w:t>
      </w:r>
    </w:p>
    <w:p w14:paraId="00A3D832" w14:textId="10CFF60D" w:rsidR="000417A0" w:rsidRDefault="000417A0" w:rsidP="000417A0">
      <w:pPr>
        <w:pStyle w:val="ListParagraph"/>
        <w:numPr>
          <w:ilvl w:val="0"/>
          <w:numId w:val="2"/>
        </w:numPr>
      </w:pPr>
      <w:r>
        <w:t xml:space="preserve">Palmer and Steele ‘Police Shootings and the Role of Tort’ (2008) 71(5) </w:t>
      </w:r>
      <w:r w:rsidRPr="000417A0">
        <w:rPr>
          <w:i/>
          <w:iCs/>
        </w:rPr>
        <w:t>Modern Law Review</w:t>
      </w:r>
      <w:r>
        <w:t xml:space="preserve"> 801</w:t>
      </w:r>
    </w:p>
    <w:p w14:paraId="1166289A" w14:textId="6349DAAE" w:rsidR="000417A0" w:rsidRDefault="000417A0" w:rsidP="000417A0">
      <w:pPr>
        <w:pStyle w:val="ListParagraph"/>
        <w:numPr>
          <w:ilvl w:val="0"/>
          <w:numId w:val="2"/>
        </w:numPr>
      </w:pPr>
      <w:r>
        <w:t xml:space="preserve">Lunney, ‘Practical Joking and its Penalty: Wilkinson v Downton in Context’ (2002) 10(3) </w:t>
      </w:r>
      <w:r w:rsidRPr="000417A0">
        <w:rPr>
          <w:i/>
          <w:iCs/>
        </w:rPr>
        <w:t>Tort Law Review</w:t>
      </w:r>
      <w:r>
        <w:t xml:space="preserve"> 68</w:t>
      </w:r>
    </w:p>
    <w:p w14:paraId="17305438" w14:textId="6A6F717C" w:rsidR="000417A0" w:rsidRDefault="000417A0" w:rsidP="000417A0">
      <w:pPr>
        <w:pStyle w:val="ListParagraph"/>
        <w:numPr>
          <w:ilvl w:val="0"/>
          <w:numId w:val="2"/>
        </w:numPr>
      </w:pPr>
      <w:r>
        <w:t xml:space="preserve">Conaghan, ‘Gendered Harm and the Law of Tort: Remedying (Sexual) Harassment’ (1996) 16(3) </w:t>
      </w:r>
      <w:r w:rsidRPr="000417A0">
        <w:rPr>
          <w:i/>
          <w:iCs/>
        </w:rPr>
        <w:t>Oxford Journal of Legal Studies</w:t>
      </w:r>
      <w:r>
        <w:t xml:space="preserve"> 407</w:t>
      </w:r>
    </w:p>
    <w:p w14:paraId="341BABA1" w14:textId="0E354A69" w:rsidR="000417A0" w:rsidRDefault="000417A0" w:rsidP="000417A0">
      <w:pPr>
        <w:pStyle w:val="ListParagraph"/>
        <w:numPr>
          <w:ilvl w:val="0"/>
          <w:numId w:val="2"/>
        </w:numPr>
      </w:pPr>
      <w:r>
        <w:t xml:space="preserve">Bridgeman and Jones, ‘Harassing and Outrageous Acts’ (1994) 14 </w:t>
      </w:r>
      <w:r w:rsidRPr="000417A0">
        <w:rPr>
          <w:i/>
          <w:iCs/>
        </w:rPr>
        <w:t>Legal Studies</w:t>
      </w:r>
      <w:r>
        <w:t xml:space="preserve"> 180</w:t>
      </w:r>
    </w:p>
    <w:p w14:paraId="5AD1E7FD" w14:textId="63D08265" w:rsidR="000417A0" w:rsidRDefault="000417A0" w:rsidP="000417A0">
      <w:pPr>
        <w:pStyle w:val="ListParagraph"/>
        <w:numPr>
          <w:ilvl w:val="0"/>
          <w:numId w:val="2"/>
        </w:numPr>
      </w:pPr>
      <w:r>
        <w:t xml:space="preserve">Trindade, ‘Intentional Torts: Some Thoughts on Assault and Battery’ (1982) 2 </w:t>
      </w:r>
      <w:r w:rsidRPr="000417A0">
        <w:rPr>
          <w:i/>
          <w:iCs/>
        </w:rPr>
        <w:t>Oxford Journal of Legal Studies</w:t>
      </w:r>
      <w:r>
        <w:t xml:space="preserve"> 211</w:t>
      </w:r>
    </w:p>
    <w:p w14:paraId="44944C50" w14:textId="77777777" w:rsidR="0019026F" w:rsidRDefault="0019026F"/>
    <w:p w14:paraId="612FBFBF" w14:textId="77777777" w:rsidR="00F74966" w:rsidRDefault="00F74966">
      <w:pPr>
        <w:jc w:val="left"/>
        <w:rPr>
          <w:b/>
          <w:bCs/>
          <w:sz w:val="28"/>
          <w:szCs w:val="28"/>
        </w:rPr>
      </w:pPr>
      <w:r>
        <w:rPr>
          <w:b/>
          <w:bCs/>
          <w:sz w:val="28"/>
          <w:szCs w:val="28"/>
        </w:rPr>
        <w:br w:type="page"/>
      </w:r>
    </w:p>
    <w:p w14:paraId="7C0197BE" w14:textId="2C745676" w:rsidR="00ED1D7B" w:rsidRDefault="00ED1D7B" w:rsidP="00ED1D7B">
      <w:pPr>
        <w:rPr>
          <w:b/>
          <w:bCs/>
          <w:sz w:val="28"/>
          <w:szCs w:val="28"/>
        </w:rPr>
      </w:pPr>
      <w:r w:rsidRPr="008E61A7">
        <w:rPr>
          <w:b/>
          <w:bCs/>
          <w:sz w:val="28"/>
          <w:szCs w:val="28"/>
        </w:rPr>
        <w:t>Outline</w:t>
      </w:r>
    </w:p>
    <w:p w14:paraId="21ABA222" w14:textId="0EEABF8E" w:rsidR="00070812" w:rsidRPr="00070812" w:rsidRDefault="00070812" w:rsidP="00070812">
      <w:pPr>
        <w:spacing w:after="0"/>
      </w:pPr>
      <w:r w:rsidRPr="00070812">
        <w:t>Trespass is the oldest type of tort in English law</w:t>
      </w:r>
      <w:r>
        <w:t xml:space="preserve"> </w:t>
      </w:r>
      <w:r w:rsidRPr="00070812">
        <w:t>The trespass to the person torts protects an individual’s physical/personal integrity</w:t>
      </w:r>
      <w:r>
        <w:t xml:space="preserve"> and </w:t>
      </w:r>
      <w:r w:rsidRPr="00070812">
        <w:t>includes three torts: battery, assault</w:t>
      </w:r>
      <w:r w:rsidR="00361F20">
        <w:t>,</w:t>
      </w:r>
      <w:r w:rsidRPr="00070812">
        <w:t xml:space="preserve"> and false imprisonment. Goff LJ defined these in </w:t>
      </w:r>
      <w:r w:rsidRPr="00070812">
        <w:rPr>
          <w:i/>
        </w:rPr>
        <w:t>Collins v Wilcock</w:t>
      </w:r>
      <w:r w:rsidRPr="00070812">
        <w:t xml:space="preserve"> [1984] (p 1177) as follows:</w:t>
      </w:r>
    </w:p>
    <w:p w14:paraId="773B3566" w14:textId="61D33B9D" w:rsidR="00070812" w:rsidRPr="00070812" w:rsidRDefault="00070812" w:rsidP="00070812">
      <w:pPr>
        <w:pStyle w:val="ListParagraph"/>
        <w:numPr>
          <w:ilvl w:val="0"/>
          <w:numId w:val="5"/>
        </w:numPr>
      </w:pPr>
      <w:r w:rsidRPr="00070812">
        <w:t>Assault</w:t>
      </w:r>
      <w:r>
        <w:t xml:space="preserve">: </w:t>
      </w:r>
      <w:r w:rsidRPr="00070812">
        <w:t xml:space="preserve">“an act which causes another person to apprehend the infliction of immediate, unlawful force on his person” </w:t>
      </w:r>
    </w:p>
    <w:p w14:paraId="1E2D386D" w14:textId="1CBEBDE5" w:rsidR="00070812" w:rsidRPr="00070812" w:rsidRDefault="00070812" w:rsidP="00070812">
      <w:pPr>
        <w:pStyle w:val="ListParagraph"/>
        <w:numPr>
          <w:ilvl w:val="0"/>
          <w:numId w:val="5"/>
        </w:numPr>
      </w:pPr>
      <w:r w:rsidRPr="00070812">
        <w:t>Battery</w:t>
      </w:r>
      <w:r>
        <w:t xml:space="preserve">: </w:t>
      </w:r>
      <w:r w:rsidRPr="00070812">
        <w:t xml:space="preserve">“the actual infliction of unlawful force on another person” </w:t>
      </w:r>
    </w:p>
    <w:p w14:paraId="6F7157A0" w14:textId="4B9390BD" w:rsidR="00070812" w:rsidRPr="00070812" w:rsidRDefault="00070812" w:rsidP="00070812">
      <w:pPr>
        <w:pStyle w:val="ListParagraph"/>
        <w:numPr>
          <w:ilvl w:val="0"/>
          <w:numId w:val="5"/>
        </w:numPr>
        <w:spacing w:after="0"/>
      </w:pPr>
      <w:r w:rsidRPr="00070812">
        <w:t>False imprisonment</w:t>
      </w:r>
      <w:r>
        <w:t xml:space="preserve">: </w:t>
      </w:r>
      <w:r w:rsidRPr="00070812">
        <w:t xml:space="preserve">“the unlawful imposition of constraint on another’s freedom of movement from a particular </w:t>
      </w:r>
      <w:proofErr w:type="gramStart"/>
      <w:r w:rsidRPr="00070812">
        <w:t>place”</w:t>
      </w:r>
      <w:proofErr w:type="gramEnd"/>
      <w:r w:rsidRPr="00070812">
        <w:t xml:space="preserve"> </w:t>
      </w:r>
    </w:p>
    <w:p w14:paraId="34257BC7" w14:textId="77777777" w:rsidR="00070812" w:rsidRPr="00070812" w:rsidRDefault="00070812" w:rsidP="00070812">
      <w:r w:rsidRPr="00070812">
        <w:t xml:space="preserve">In addition to these three torts, we will also consider the Rule in </w:t>
      </w:r>
      <w:r w:rsidRPr="00070812">
        <w:rPr>
          <w:i/>
        </w:rPr>
        <w:t>Wilkinson v Downton</w:t>
      </w:r>
      <w:r w:rsidRPr="00070812">
        <w:t xml:space="preserve"> and the Protection from Harassment Act 1997 </w:t>
      </w:r>
    </w:p>
    <w:p w14:paraId="3D992FBE" w14:textId="77777777" w:rsidR="00361F20" w:rsidRDefault="00070812" w:rsidP="00361F20">
      <w:pPr>
        <w:spacing w:after="0"/>
      </w:pPr>
      <w:r w:rsidRPr="00070812">
        <w:rPr>
          <w:iCs/>
        </w:rPr>
        <w:t>Relationship with criminal law</w:t>
      </w:r>
      <w:r w:rsidRPr="00361F20">
        <w:rPr>
          <w:iCs/>
        </w:rPr>
        <w:t>:</w:t>
      </w:r>
      <w:r>
        <w:rPr>
          <w:i/>
        </w:rPr>
        <w:t xml:space="preserve"> </w:t>
      </w:r>
      <w:r w:rsidRPr="00070812">
        <w:t>The law of torts (which includes trespass to the person) has close connections with the criminal law and</w:t>
      </w:r>
      <w:proofErr w:type="gramStart"/>
      <w:r w:rsidRPr="00070812">
        <w:t>, in particular, the</w:t>
      </w:r>
      <w:proofErr w:type="gramEnd"/>
      <w:r w:rsidRPr="00070812">
        <w:t xml:space="preserve"> offences found in the Offences Against the Person Act 1861</w:t>
      </w:r>
    </w:p>
    <w:p w14:paraId="043032B0" w14:textId="008D08D9" w:rsidR="00070812" w:rsidRPr="00070812" w:rsidRDefault="00070812" w:rsidP="00361F20">
      <w:pPr>
        <w:pStyle w:val="ListParagraph"/>
        <w:numPr>
          <w:ilvl w:val="0"/>
          <w:numId w:val="7"/>
        </w:numPr>
        <w:spacing w:after="0"/>
      </w:pPr>
      <w:r w:rsidRPr="00361F20">
        <w:rPr>
          <w:i/>
        </w:rPr>
        <w:t>Ashley v Chief Constable of Sussex Police</w:t>
      </w:r>
      <w:r w:rsidRPr="00070812">
        <w:t xml:space="preserve"> [2008] UKHL 25</w:t>
      </w:r>
    </w:p>
    <w:p w14:paraId="16798A53" w14:textId="6BE3A912" w:rsidR="00361F20" w:rsidRDefault="00361F20" w:rsidP="00361F20">
      <w:pPr>
        <w:spacing w:before="240" w:after="0"/>
      </w:pPr>
      <w:r>
        <w:t>Distinguishing trespass and negligence: The trespass torts generally have three core characteristics:</w:t>
      </w:r>
    </w:p>
    <w:p w14:paraId="68474773" w14:textId="22DF3C04" w:rsidR="00361F20" w:rsidRDefault="00361F20" w:rsidP="00361F20">
      <w:pPr>
        <w:pStyle w:val="ListParagraph"/>
        <w:numPr>
          <w:ilvl w:val="0"/>
          <w:numId w:val="7"/>
        </w:numPr>
      </w:pPr>
      <w:r>
        <w:t xml:space="preserve">Type of Culpability = They are committed intentionally (or sometimes recklessly). </w:t>
      </w:r>
      <w:r w:rsidRPr="00361F20">
        <w:rPr>
          <w:i/>
          <w:iCs/>
        </w:rPr>
        <w:t>Letang v Cooper</w:t>
      </w:r>
      <w:r>
        <w:t xml:space="preserve"> [1965] 1 Q.B. 232: “when the injury is not inflicted intentionally but negligently, I would say that the only cause of action is in negligence and not trespass”. </w:t>
      </w:r>
      <w:r w:rsidRPr="00361F20">
        <w:rPr>
          <w:i/>
          <w:iCs/>
        </w:rPr>
        <w:t>Iqbal v Prison Officers Association</w:t>
      </w:r>
      <w:r>
        <w:t xml:space="preserve"> [2009] EWCA </w:t>
      </w:r>
      <w:proofErr w:type="spellStart"/>
      <w:r>
        <w:t>Civ</w:t>
      </w:r>
      <w:proofErr w:type="spellEnd"/>
      <w:r>
        <w:t xml:space="preserve"> 1312.</w:t>
      </w:r>
    </w:p>
    <w:p w14:paraId="68BF504C" w14:textId="637EC770" w:rsidR="00361F20" w:rsidRDefault="00361F20" w:rsidP="00361F20">
      <w:pPr>
        <w:pStyle w:val="ListParagraph"/>
        <w:numPr>
          <w:ilvl w:val="0"/>
          <w:numId w:val="7"/>
        </w:numPr>
      </w:pPr>
      <w:r>
        <w:t>Type of harm = Can recover for (some) types of harm that can’t be recovered in negligence.</w:t>
      </w:r>
    </w:p>
    <w:p w14:paraId="0C82EFBE" w14:textId="0DCE382B" w:rsidR="00361F20" w:rsidRDefault="00361F20" w:rsidP="00361F20">
      <w:pPr>
        <w:pStyle w:val="ListParagraph"/>
        <w:numPr>
          <w:ilvl w:val="0"/>
          <w:numId w:val="7"/>
        </w:numPr>
      </w:pPr>
      <w:r>
        <w:t>Proof of harm = They are actionable per se, that is, without proof of personal or financial loss.</w:t>
      </w:r>
    </w:p>
    <w:p w14:paraId="3B4D8B1C" w14:textId="77777777" w:rsidR="00F74966" w:rsidRDefault="00F74966" w:rsidP="00F74966">
      <w:pPr>
        <w:ind w:left="360"/>
      </w:pPr>
    </w:p>
    <w:p w14:paraId="4AE268CE" w14:textId="4F47EFA2" w:rsidR="00070812" w:rsidRDefault="00361F20" w:rsidP="00F74966">
      <w:pPr>
        <w:spacing w:after="0"/>
        <w:rPr>
          <w:b/>
          <w:bCs/>
          <w:sz w:val="28"/>
          <w:szCs w:val="28"/>
        </w:rPr>
      </w:pPr>
      <w:bookmarkStart w:id="1" w:name="_Hlk155600517"/>
      <w:r w:rsidRPr="00361F20">
        <w:rPr>
          <w:b/>
          <w:bCs/>
          <w:sz w:val="28"/>
          <w:szCs w:val="28"/>
        </w:rPr>
        <w:t>Battery</w:t>
      </w:r>
    </w:p>
    <w:p w14:paraId="746C4CA8" w14:textId="0B1DBC1F" w:rsidR="00361F20" w:rsidRPr="00361F20" w:rsidRDefault="00361F20" w:rsidP="00361F20">
      <w:pPr>
        <w:spacing w:after="0"/>
      </w:pPr>
      <w:r w:rsidRPr="00361F20">
        <w:rPr>
          <w:i/>
        </w:rPr>
        <w:t>Collins v Wilcock</w:t>
      </w:r>
      <w:r w:rsidRPr="00361F20">
        <w:rPr>
          <w:iCs/>
        </w:rPr>
        <w:t>:</w:t>
      </w:r>
      <w:r w:rsidRPr="00361F20">
        <w:t xml:space="preserve"> battery is “the actual infliction of unlawful force on another person”. An actionable battery requires:</w:t>
      </w:r>
    </w:p>
    <w:p w14:paraId="79C5BC32" w14:textId="77777777" w:rsidR="00361F20" w:rsidRPr="00361F20" w:rsidRDefault="00361F20" w:rsidP="00361F20">
      <w:pPr>
        <w:pStyle w:val="ListParagraph"/>
        <w:numPr>
          <w:ilvl w:val="0"/>
          <w:numId w:val="9"/>
        </w:numPr>
      </w:pPr>
      <w:r w:rsidRPr="00361F20">
        <w:t xml:space="preserve">the intentional application of unlawful </w:t>
      </w:r>
      <w:proofErr w:type="gramStart"/>
      <w:r w:rsidRPr="00361F20">
        <w:t>force;</w:t>
      </w:r>
      <w:proofErr w:type="gramEnd"/>
    </w:p>
    <w:p w14:paraId="31D1B696" w14:textId="77777777" w:rsidR="00361F20" w:rsidRPr="00361F20" w:rsidRDefault="00361F20" w:rsidP="00361F20">
      <w:pPr>
        <w:pStyle w:val="ListParagraph"/>
        <w:numPr>
          <w:ilvl w:val="0"/>
          <w:numId w:val="9"/>
        </w:numPr>
      </w:pPr>
      <w:r w:rsidRPr="00361F20">
        <w:t>which is direct and immediate; and</w:t>
      </w:r>
    </w:p>
    <w:p w14:paraId="55566C09" w14:textId="77777777" w:rsidR="00361F20" w:rsidRPr="00361F20" w:rsidRDefault="00361F20" w:rsidP="00361F20">
      <w:pPr>
        <w:pStyle w:val="ListParagraph"/>
        <w:numPr>
          <w:ilvl w:val="0"/>
          <w:numId w:val="9"/>
        </w:numPr>
      </w:pPr>
      <w:r w:rsidRPr="00361F20">
        <w:t xml:space="preserve">without lawful justification or excuse </w:t>
      </w:r>
    </w:p>
    <w:bookmarkEnd w:id="1"/>
    <w:p w14:paraId="27F26C39" w14:textId="77777777" w:rsidR="00361F20" w:rsidRDefault="00361F20" w:rsidP="00361F20"/>
    <w:p w14:paraId="1AD53D8E" w14:textId="26C05844" w:rsidR="00361F20" w:rsidRPr="00E07BED" w:rsidRDefault="007A3E05" w:rsidP="00C1791E">
      <w:pPr>
        <w:pStyle w:val="ListParagraph"/>
        <w:numPr>
          <w:ilvl w:val="0"/>
          <w:numId w:val="11"/>
        </w:numPr>
        <w:spacing w:after="0"/>
        <w:rPr>
          <w:b/>
          <w:bCs/>
        </w:rPr>
      </w:pPr>
      <w:r w:rsidRPr="00E07BED">
        <w:rPr>
          <w:b/>
          <w:bCs/>
        </w:rPr>
        <w:t>Intentional Application of Unlawful Force:</w:t>
      </w:r>
    </w:p>
    <w:p w14:paraId="4AED3F35" w14:textId="6D7DE7D5" w:rsidR="00C1791E" w:rsidRDefault="00C1791E" w:rsidP="00C1791E">
      <w:pPr>
        <w:pStyle w:val="ListParagraph"/>
        <w:numPr>
          <w:ilvl w:val="0"/>
          <w:numId w:val="10"/>
        </w:numPr>
      </w:pPr>
      <w:r w:rsidRPr="00E07BED">
        <w:rPr>
          <w:i/>
          <w:iCs/>
        </w:rPr>
        <w:t>Intentional Application</w:t>
      </w:r>
      <w:r w:rsidRPr="00C1791E">
        <w:rPr>
          <w:b/>
          <w:bCs/>
        </w:rPr>
        <w:t>:</w:t>
      </w:r>
      <w:r>
        <w:t xml:space="preserve"> </w:t>
      </w:r>
      <w:r>
        <w:t>One must have an intention to apply force to another OR one must be reckless as to one’s actions thus causing the application of force to another.</w:t>
      </w:r>
      <w:r>
        <w:t xml:space="preserve"> </w:t>
      </w:r>
      <w:r w:rsidRPr="00C1791E">
        <w:t xml:space="preserve">NOTE: </w:t>
      </w:r>
      <w:r>
        <w:t>t</w:t>
      </w:r>
      <w:r w:rsidRPr="00C1791E">
        <w:t>he specific unlawful injury need not be intended</w:t>
      </w:r>
      <w:r>
        <w:t xml:space="preserve"> = </w:t>
      </w:r>
      <w:r w:rsidRPr="00C1791E">
        <w:rPr>
          <w:i/>
          <w:iCs/>
        </w:rPr>
        <w:t>Williams v Humphrey</w:t>
      </w:r>
      <w:r w:rsidRPr="00C1791E">
        <w:t xml:space="preserve"> (1975) The Times February 20</w:t>
      </w:r>
      <w:r>
        <w:t xml:space="preserve"> (practical joke)</w:t>
      </w:r>
    </w:p>
    <w:p w14:paraId="3C06E8EB" w14:textId="1233BF35" w:rsidR="00C1791E" w:rsidRDefault="00C1791E" w:rsidP="00C1791E">
      <w:pPr>
        <w:pStyle w:val="ListParagraph"/>
      </w:pPr>
      <w:r w:rsidRPr="00E07BED">
        <w:rPr>
          <w:i/>
          <w:iCs/>
        </w:rPr>
        <w:t>Transferred intent:</w:t>
      </w:r>
      <w:r w:rsidRPr="00C1791E">
        <w:t xml:space="preserve"> A court will hold the perpetrator responsible even when the intention to harm one individual inadvertently causes a second person to be hurt instead</w:t>
      </w:r>
      <w:r>
        <w:t xml:space="preserve"> = </w:t>
      </w:r>
      <w:r w:rsidRPr="00C1791E">
        <w:rPr>
          <w:i/>
          <w:iCs/>
        </w:rPr>
        <w:t>Livingstone v Ministry of Defence</w:t>
      </w:r>
      <w:r w:rsidRPr="00C1791E">
        <w:t xml:space="preserve"> [1984] NILR 356</w:t>
      </w:r>
    </w:p>
    <w:p w14:paraId="663B0C39" w14:textId="0BAAE9E8" w:rsidR="00C1791E" w:rsidRDefault="00C1791E" w:rsidP="00C1791E">
      <w:pPr>
        <w:pStyle w:val="ListParagraph"/>
        <w:numPr>
          <w:ilvl w:val="0"/>
          <w:numId w:val="10"/>
        </w:numPr>
      </w:pPr>
      <w:r w:rsidRPr="00E07BED">
        <w:rPr>
          <w:i/>
          <w:iCs/>
        </w:rPr>
        <w:t>Unlawful Force</w:t>
      </w:r>
      <w:r w:rsidRPr="00E07BED">
        <w:rPr>
          <w:i/>
          <w:iCs/>
        </w:rPr>
        <w:t>:</w:t>
      </w:r>
      <w:r w:rsidRPr="00C1791E">
        <w:rPr>
          <w:i/>
          <w:iCs/>
        </w:rPr>
        <w:t xml:space="preserve"> </w:t>
      </w:r>
      <w:r w:rsidRPr="00C1791E">
        <w:rPr>
          <w:i/>
          <w:iCs/>
        </w:rPr>
        <w:t>Collins v Wilcock</w:t>
      </w:r>
      <w:r>
        <w:t xml:space="preserve"> [1984] 1 W.L.R. 1172 “…a broader exception has been created to allow for the exigencies of everyday life.”</w:t>
      </w:r>
      <w:r>
        <w:t xml:space="preserve"> And, </w:t>
      </w:r>
      <w:r w:rsidRPr="00C1791E">
        <w:rPr>
          <w:i/>
          <w:iCs/>
        </w:rPr>
        <w:t>Re F (Mental Patient: Sterilization</w:t>
      </w:r>
      <w:r w:rsidRPr="00C1791E">
        <w:t>) [1990] 2 A.C. 1</w:t>
      </w:r>
      <w:r w:rsidRPr="00C1791E">
        <w:t>:</w:t>
      </w:r>
      <w:r>
        <w:t xml:space="preserve"> </w:t>
      </w:r>
      <w:r>
        <w:t>“it has recently been said that the touching must be ‘hostile’ to have that effect … I respectfully doubt whether that is correct. A prank that gets out of hand; an over-friendly slap on the back; surgical treatment by a surgeon who mistakenly thinks that the patient consented to it – all these things may transcend the bounds of lawfulness, without being characterised as hostile” (p 73).</w:t>
      </w:r>
    </w:p>
    <w:p w14:paraId="3B85E70F" w14:textId="77777777" w:rsidR="00C1791E" w:rsidRDefault="00C1791E" w:rsidP="00C1791E">
      <w:pPr>
        <w:pStyle w:val="ListParagraph"/>
        <w:spacing w:before="240"/>
        <w:ind w:left="360"/>
      </w:pPr>
    </w:p>
    <w:p w14:paraId="06C966F3" w14:textId="46E62009" w:rsidR="00C1791E" w:rsidRPr="00C1791E" w:rsidRDefault="00C1791E" w:rsidP="00C1791E">
      <w:pPr>
        <w:pStyle w:val="ListParagraph"/>
        <w:numPr>
          <w:ilvl w:val="0"/>
          <w:numId w:val="11"/>
        </w:numPr>
        <w:spacing w:before="240"/>
        <w:rPr>
          <w:i/>
          <w:iCs/>
        </w:rPr>
      </w:pPr>
      <w:r w:rsidRPr="00E07BED">
        <w:rPr>
          <w:b/>
          <w:bCs/>
        </w:rPr>
        <w:t>Which is Direct and Immediate</w:t>
      </w:r>
      <w:r w:rsidRPr="00E07BED">
        <w:rPr>
          <w:b/>
          <w:bCs/>
        </w:rPr>
        <w:t>:</w:t>
      </w:r>
      <w:r w:rsidR="002A70AD">
        <w:rPr>
          <w:i/>
          <w:iCs/>
        </w:rPr>
        <w:t xml:space="preserve"> </w:t>
      </w:r>
      <w:r w:rsidR="002A70AD" w:rsidRPr="00C1791E">
        <w:t>This element distinguishes trespass from negligence. Courts have interpreted this element flexibly… “shortness of time between the act and the context is sufficient</w:t>
      </w:r>
      <w:r w:rsidR="002A70AD">
        <w:t>”.</w:t>
      </w:r>
    </w:p>
    <w:p w14:paraId="67A1E975" w14:textId="52A3AE07" w:rsidR="00C1791E" w:rsidRDefault="00C1791E" w:rsidP="00C1791E">
      <w:pPr>
        <w:pStyle w:val="ListParagraph"/>
        <w:numPr>
          <w:ilvl w:val="0"/>
          <w:numId w:val="10"/>
        </w:numPr>
      </w:pPr>
      <w:r w:rsidRPr="00C1791E">
        <w:t>Scott v Shepherd (1773) 2 Wm Bl 892</w:t>
      </w:r>
      <w:r>
        <w:t xml:space="preserve"> and </w:t>
      </w:r>
      <w:r w:rsidRPr="00C1791E">
        <w:rPr>
          <w:i/>
          <w:iCs/>
        </w:rPr>
        <w:t>DPP v K (A Minor) [</w:t>
      </w:r>
      <w:r w:rsidRPr="00C1791E">
        <w:t>1990] 1 W.L.R. 1067</w:t>
      </w:r>
    </w:p>
    <w:p w14:paraId="3FFC016D" w14:textId="77777777" w:rsidR="002A70AD" w:rsidRDefault="002A70AD" w:rsidP="002A70AD">
      <w:pPr>
        <w:pStyle w:val="ListParagraph"/>
        <w:ind w:left="360"/>
      </w:pPr>
    </w:p>
    <w:p w14:paraId="76B1BCF3" w14:textId="5A580CA7" w:rsidR="00C1791E" w:rsidRDefault="002A70AD" w:rsidP="002A70AD">
      <w:pPr>
        <w:pStyle w:val="ListParagraph"/>
        <w:numPr>
          <w:ilvl w:val="0"/>
          <w:numId w:val="11"/>
        </w:numPr>
      </w:pPr>
      <w:r w:rsidRPr="00E07BED">
        <w:rPr>
          <w:b/>
          <w:bCs/>
        </w:rPr>
        <w:t>Lawful justification or excuse</w:t>
      </w:r>
      <w:r w:rsidRPr="00E07BED">
        <w:rPr>
          <w:b/>
          <w:bCs/>
        </w:rPr>
        <w:t>:</w:t>
      </w:r>
      <w:r>
        <w:t xml:space="preserve"> </w:t>
      </w:r>
      <w:r>
        <w:t xml:space="preserve">We will return to this after </w:t>
      </w:r>
      <w:r>
        <w:t xml:space="preserve">assault and </w:t>
      </w:r>
      <w:r>
        <w:t xml:space="preserve">false imprisonment because these defences apply to all three </w:t>
      </w:r>
      <w:proofErr w:type="gramStart"/>
      <w:r>
        <w:t>torts</w:t>
      </w:r>
      <w:proofErr w:type="gramEnd"/>
    </w:p>
    <w:p w14:paraId="7EEA4126" w14:textId="3BB96AB8" w:rsidR="002A70AD" w:rsidRDefault="002A70AD" w:rsidP="002A70AD"/>
    <w:p w14:paraId="533FFAAC" w14:textId="1FC819B0" w:rsidR="002A70AD" w:rsidRPr="002A70AD" w:rsidRDefault="002A70AD" w:rsidP="00F74966">
      <w:pPr>
        <w:spacing w:after="0"/>
        <w:rPr>
          <w:b/>
          <w:bCs/>
          <w:sz w:val="28"/>
          <w:szCs w:val="28"/>
        </w:rPr>
      </w:pPr>
      <w:r w:rsidRPr="002A70AD">
        <w:rPr>
          <w:b/>
          <w:bCs/>
          <w:sz w:val="28"/>
          <w:szCs w:val="28"/>
        </w:rPr>
        <w:t>Assault</w:t>
      </w:r>
    </w:p>
    <w:p w14:paraId="0CE6DD6E" w14:textId="1C810DB0" w:rsidR="002A70AD" w:rsidRDefault="002A70AD" w:rsidP="002A70AD">
      <w:r w:rsidRPr="002A70AD">
        <w:rPr>
          <w:i/>
          <w:iCs/>
        </w:rPr>
        <w:t>Collins v Wilcock:</w:t>
      </w:r>
      <w:r>
        <w:t xml:space="preserve"> “an act which causes another person to apprehend the infliction of immediate, unlawful force on his person”.</w:t>
      </w:r>
      <w:r>
        <w:t xml:space="preserve"> </w:t>
      </w:r>
      <w:r>
        <w:t>An action in assault requires:</w:t>
      </w:r>
    </w:p>
    <w:p w14:paraId="3F4C304A" w14:textId="04F9D94F" w:rsidR="002A70AD" w:rsidRDefault="002A70AD" w:rsidP="002A70AD">
      <w:pPr>
        <w:pStyle w:val="ListParagraph"/>
        <w:numPr>
          <w:ilvl w:val="0"/>
          <w:numId w:val="12"/>
        </w:numPr>
      </w:pPr>
      <w:r>
        <w:t xml:space="preserve">The defendant must intend that the claimant apprehends the application of unlawful </w:t>
      </w:r>
      <w:proofErr w:type="gramStart"/>
      <w:r>
        <w:t>force;</w:t>
      </w:r>
      <w:proofErr w:type="gramEnd"/>
    </w:p>
    <w:p w14:paraId="68E56B0F" w14:textId="309E49F7" w:rsidR="002A70AD" w:rsidRDefault="002A70AD" w:rsidP="002A70AD">
      <w:pPr>
        <w:pStyle w:val="ListParagraph"/>
        <w:numPr>
          <w:ilvl w:val="0"/>
          <w:numId w:val="12"/>
        </w:numPr>
      </w:pPr>
      <w:r>
        <w:t>The claimant reasonably apprehends the immediate and direct application of unlawful force; and</w:t>
      </w:r>
    </w:p>
    <w:p w14:paraId="5A8E2989" w14:textId="1FDBC10E" w:rsidR="002A70AD" w:rsidRDefault="002A70AD" w:rsidP="002A70AD">
      <w:pPr>
        <w:pStyle w:val="ListParagraph"/>
        <w:numPr>
          <w:ilvl w:val="0"/>
          <w:numId w:val="12"/>
        </w:numPr>
      </w:pPr>
      <w:r>
        <w:t xml:space="preserve">The defendant has no lawful justification or </w:t>
      </w:r>
      <w:proofErr w:type="gramStart"/>
      <w:r>
        <w:t>excuse</w:t>
      </w:r>
      <w:proofErr w:type="gramEnd"/>
    </w:p>
    <w:p w14:paraId="4C8A0236" w14:textId="788ACA1F" w:rsidR="002A70AD" w:rsidRDefault="002A70AD" w:rsidP="002A70AD"/>
    <w:p w14:paraId="7F7901EA" w14:textId="6E245297" w:rsidR="002A70AD" w:rsidRDefault="002A70AD" w:rsidP="002A70AD">
      <w:pPr>
        <w:pStyle w:val="ListParagraph"/>
        <w:numPr>
          <w:ilvl w:val="0"/>
          <w:numId w:val="13"/>
        </w:numPr>
      </w:pPr>
      <w:r w:rsidRPr="00E07BED">
        <w:rPr>
          <w:b/>
          <w:bCs/>
        </w:rPr>
        <w:t>Intention</w:t>
      </w:r>
      <w:r w:rsidRPr="00E07BED">
        <w:rPr>
          <w:b/>
          <w:bCs/>
        </w:rPr>
        <w:t>:</w:t>
      </w:r>
      <w:r>
        <w:t xml:space="preserve"> </w:t>
      </w:r>
      <w:r>
        <w:t>The defendant must intend or be reckless as to whether the claimant would fear the immediate infliction of force</w:t>
      </w:r>
    </w:p>
    <w:p w14:paraId="028164EB" w14:textId="77777777" w:rsidR="002A70AD" w:rsidRDefault="002A70AD" w:rsidP="002A70AD">
      <w:pPr>
        <w:pStyle w:val="ListParagraph"/>
        <w:ind w:left="360"/>
      </w:pPr>
    </w:p>
    <w:p w14:paraId="4764817A" w14:textId="39093ACD" w:rsidR="002A70AD" w:rsidRDefault="002A70AD" w:rsidP="002A70AD">
      <w:pPr>
        <w:pStyle w:val="ListParagraph"/>
        <w:numPr>
          <w:ilvl w:val="0"/>
          <w:numId w:val="13"/>
        </w:numPr>
      </w:pPr>
      <w:r w:rsidRPr="00E07BED">
        <w:rPr>
          <w:b/>
          <w:bCs/>
        </w:rPr>
        <w:t>Reasonable apprehension</w:t>
      </w:r>
      <w:r w:rsidRPr="00E07BED">
        <w:rPr>
          <w:b/>
          <w:bCs/>
        </w:rPr>
        <w:t>:</w:t>
      </w:r>
      <w:r>
        <w:t xml:space="preserve"> </w:t>
      </w:r>
      <w:r>
        <w:t>The defendant’s actions must be such that they would cause the reasonable person to believe that the defendant was about to inflict force upon them. Test of fear is objective.</w:t>
      </w:r>
    </w:p>
    <w:p w14:paraId="4F89DB29" w14:textId="3942AF0F" w:rsidR="002A70AD" w:rsidRDefault="002A70AD" w:rsidP="002A70AD">
      <w:pPr>
        <w:pStyle w:val="ListParagraph"/>
        <w:numPr>
          <w:ilvl w:val="0"/>
          <w:numId w:val="10"/>
        </w:numPr>
      </w:pPr>
      <w:r w:rsidRPr="002A70AD">
        <w:rPr>
          <w:i/>
          <w:iCs/>
        </w:rPr>
        <w:t>Stephens v Myers</w:t>
      </w:r>
      <w:r w:rsidRPr="002A70AD">
        <w:t xml:space="preserve"> (1830) 4 Car. &amp; P. 350</w:t>
      </w:r>
      <w:r>
        <w:t xml:space="preserve">: </w:t>
      </w:r>
      <w:r>
        <w:t xml:space="preserve">Defendant </w:t>
      </w:r>
      <w:r>
        <w:t xml:space="preserve">was </w:t>
      </w:r>
      <w:r>
        <w:t>asked to leave parish council meeting. The defendant threatened the chair with violence and advanced toward the chair with a clenched fist</w:t>
      </w:r>
      <w:r>
        <w:t>,</w:t>
      </w:r>
      <w:r>
        <w:t xml:space="preserve"> but other attendees prevent him from reaching the claimant. This was sufficient to cause a belief that the chair will be subjected to the application of force.</w:t>
      </w:r>
      <w:r>
        <w:t xml:space="preserve"> Court h</w:t>
      </w:r>
      <w:r>
        <w:t xml:space="preserve">eld: Liable in </w:t>
      </w:r>
      <w:proofErr w:type="gramStart"/>
      <w:r>
        <w:t>assault</w:t>
      </w:r>
      <w:proofErr w:type="gramEnd"/>
    </w:p>
    <w:p w14:paraId="4E4299A1" w14:textId="5084A0A8" w:rsidR="00E07BED" w:rsidRPr="00E07BED" w:rsidRDefault="00E07BED" w:rsidP="00E07BED">
      <w:pPr>
        <w:pStyle w:val="ListParagraph"/>
      </w:pPr>
    </w:p>
    <w:p w14:paraId="38280175" w14:textId="517E5E20" w:rsidR="00E07BED" w:rsidRDefault="00E07BED" w:rsidP="00E07BED">
      <w:pPr>
        <w:pStyle w:val="ListParagraph"/>
        <w:numPr>
          <w:ilvl w:val="0"/>
          <w:numId w:val="13"/>
        </w:numPr>
      </w:pPr>
      <w:r w:rsidRPr="002C1F1D">
        <w:rPr>
          <w:b/>
          <w:bCs/>
        </w:rPr>
        <w:t xml:space="preserve">The threat must be of the application of </w:t>
      </w:r>
      <w:r w:rsidRPr="001B5D16">
        <w:rPr>
          <w:b/>
          <w:bCs/>
          <w:u w:val="single"/>
        </w:rPr>
        <w:t>immediate</w:t>
      </w:r>
      <w:r w:rsidRPr="002C1F1D">
        <w:rPr>
          <w:b/>
          <w:bCs/>
        </w:rPr>
        <w:t xml:space="preserve"> and </w:t>
      </w:r>
      <w:r w:rsidRPr="001B5D16">
        <w:rPr>
          <w:b/>
          <w:bCs/>
          <w:u w:val="single"/>
        </w:rPr>
        <w:t>direct</w:t>
      </w:r>
      <w:r w:rsidRPr="002C1F1D">
        <w:rPr>
          <w:b/>
          <w:bCs/>
        </w:rPr>
        <w:t xml:space="preserve"> force</w:t>
      </w:r>
      <w:r>
        <w:t xml:space="preserve">: </w:t>
      </w:r>
      <w:r>
        <w:t xml:space="preserve">“It is not every threat where there is no actual violence that constitutes an assault, there must, in all cases, be the means of carrying that threat into effect” </w:t>
      </w:r>
      <w:r w:rsidR="002C1F1D">
        <w:t>(</w:t>
      </w:r>
      <w:r w:rsidR="002C1F1D">
        <w:t>Stephens v Myers</w:t>
      </w:r>
      <w:r w:rsidR="002C1F1D">
        <w:t>)</w:t>
      </w:r>
      <w:r w:rsidR="001B5D16">
        <w:t>.</w:t>
      </w:r>
    </w:p>
    <w:p w14:paraId="77EDCF49" w14:textId="656CCDB9" w:rsidR="001B5D16" w:rsidRDefault="001B5D16" w:rsidP="001B5D16">
      <w:pPr>
        <w:pStyle w:val="ListParagraph"/>
        <w:numPr>
          <w:ilvl w:val="0"/>
          <w:numId w:val="10"/>
        </w:numPr>
      </w:pPr>
      <w:r w:rsidRPr="001B5D16">
        <w:rPr>
          <w:i/>
          <w:iCs/>
        </w:rPr>
        <w:t>Thomas v National Union of Mineworkers (South Wales Area)</w:t>
      </w:r>
      <w:r>
        <w:t xml:space="preserve"> [1985] 2 All E.R. 1</w:t>
      </w:r>
      <w:r>
        <w:t xml:space="preserve">: </w:t>
      </w:r>
      <w:r>
        <w:t>During the miners’ strike a group of striking miners outside a mine shouted abuse and threats at miners going to work in buses that were assisted by a police presence. Held: No assault. The working minors’ buses and the distance maintained between the striking miners and working miners negated immediacy and directness requirements.</w:t>
      </w:r>
    </w:p>
    <w:p w14:paraId="426ED87A" w14:textId="77777777" w:rsidR="001B5D16" w:rsidRDefault="001B5D16" w:rsidP="001B5D16">
      <w:pPr>
        <w:spacing w:after="0"/>
        <w:ind w:left="360"/>
      </w:pPr>
      <w:r w:rsidRPr="001B5D16">
        <w:t>Gestures and words can amount to assault</w:t>
      </w:r>
      <w:r>
        <w:t xml:space="preserve">, but context is relevant: </w:t>
      </w:r>
    </w:p>
    <w:p w14:paraId="4ACC416A" w14:textId="55052BD1" w:rsidR="001B5D16" w:rsidRDefault="001B5D16" w:rsidP="001B5D16">
      <w:pPr>
        <w:pStyle w:val="ListParagraph"/>
        <w:numPr>
          <w:ilvl w:val="0"/>
          <w:numId w:val="10"/>
        </w:numPr>
      </w:pPr>
      <w:r w:rsidRPr="001B5D16">
        <w:rPr>
          <w:i/>
          <w:iCs/>
        </w:rPr>
        <w:t xml:space="preserve">R v Ireland </w:t>
      </w:r>
      <w:r>
        <w:t>[1998] A.C. 147</w:t>
      </w:r>
      <w:r>
        <w:t xml:space="preserve">: </w:t>
      </w:r>
      <w:r>
        <w:t>The defendant had been harassing women for some time, including repeated silent phone calls at night.</w:t>
      </w:r>
      <w:r>
        <w:t xml:space="preserve"> </w:t>
      </w:r>
      <w:r>
        <w:t>Held: “a thing said is also a thing done” and the defendant was liable for assault.</w:t>
      </w:r>
      <w:r>
        <w:t xml:space="preserve"> </w:t>
      </w:r>
    </w:p>
    <w:p w14:paraId="6A71D6DA" w14:textId="47D77187" w:rsidR="001B5D16" w:rsidRDefault="001B5D16" w:rsidP="001B5D16">
      <w:pPr>
        <w:pStyle w:val="ListParagraph"/>
        <w:numPr>
          <w:ilvl w:val="0"/>
          <w:numId w:val="10"/>
        </w:numPr>
      </w:pPr>
      <w:r w:rsidRPr="001B5D16">
        <w:rPr>
          <w:i/>
          <w:iCs/>
        </w:rPr>
        <w:t xml:space="preserve">Tuberville v Savage </w:t>
      </w:r>
      <w:r>
        <w:t>(1669) 1 Mod. 3</w:t>
      </w:r>
      <w:r>
        <w:t xml:space="preserve">: </w:t>
      </w:r>
      <w:r>
        <w:t xml:space="preserve">The defendant placed his hand on his sword and </w:t>
      </w:r>
      <w:proofErr w:type="gramStart"/>
      <w:r>
        <w:t>stated</w:t>
      </w:r>
      <w:proofErr w:type="gramEnd"/>
      <w:r>
        <w:t xml:space="preserve"> “if it were not assize time I would not take such language from you.”  However, it was assize time (when the court is formally in session</w:t>
      </w:r>
      <w:proofErr w:type="gramStart"/>
      <w:r>
        <w:t>)</w:t>
      </w:r>
      <w:proofErr w:type="gramEnd"/>
      <w:r>
        <w:t xml:space="preserve"> and this fact meant that this was a declaration that the defendant would not assault the claimant.</w:t>
      </w:r>
      <w:r>
        <w:t xml:space="preserve"> </w:t>
      </w:r>
      <w:r>
        <w:t>Held: No assault</w:t>
      </w:r>
    </w:p>
    <w:p w14:paraId="2F2B3451" w14:textId="77777777" w:rsidR="009C75E9" w:rsidRDefault="009C75E9" w:rsidP="009C75E9">
      <w:pPr>
        <w:pStyle w:val="ListParagraph"/>
      </w:pPr>
    </w:p>
    <w:p w14:paraId="6C544866" w14:textId="28C73925" w:rsidR="002A70AD" w:rsidRDefault="009C75E9" w:rsidP="009C75E9">
      <w:pPr>
        <w:pStyle w:val="ListParagraph"/>
        <w:numPr>
          <w:ilvl w:val="0"/>
          <w:numId w:val="13"/>
        </w:numPr>
      </w:pPr>
      <w:r w:rsidRPr="009C75E9">
        <w:rPr>
          <w:b/>
          <w:bCs/>
        </w:rPr>
        <w:t>No lawful justification or excuse</w:t>
      </w:r>
      <w:r w:rsidRPr="009C75E9">
        <w:rPr>
          <w:b/>
          <w:bCs/>
        </w:rPr>
        <w:t xml:space="preserve">: </w:t>
      </w:r>
      <w:r>
        <w:t>We will return to this after false imprisonment because these defences apply to all three torts.</w:t>
      </w:r>
    </w:p>
    <w:p w14:paraId="7DE81BB3" w14:textId="3D6B3395" w:rsidR="009C75E9" w:rsidRDefault="009C75E9" w:rsidP="009C75E9"/>
    <w:p w14:paraId="3621A174" w14:textId="4A03B4B5" w:rsidR="009C75E9" w:rsidRPr="009C75E9" w:rsidRDefault="009C75E9" w:rsidP="00F74966">
      <w:pPr>
        <w:spacing w:after="0"/>
        <w:rPr>
          <w:b/>
          <w:bCs/>
          <w:sz w:val="28"/>
          <w:szCs w:val="28"/>
        </w:rPr>
      </w:pPr>
      <w:r w:rsidRPr="009C75E9">
        <w:rPr>
          <w:b/>
          <w:bCs/>
          <w:sz w:val="28"/>
          <w:szCs w:val="28"/>
        </w:rPr>
        <w:t>False Imprisonment</w:t>
      </w:r>
    </w:p>
    <w:p w14:paraId="007837CE" w14:textId="26B29A1E" w:rsidR="009C75E9" w:rsidRDefault="009C75E9" w:rsidP="009C75E9">
      <w:r w:rsidRPr="009C75E9">
        <w:rPr>
          <w:i/>
          <w:iCs/>
        </w:rPr>
        <w:t>Collins v Wilcock</w:t>
      </w:r>
      <w:r>
        <w:t>:</w:t>
      </w:r>
      <w:r>
        <w:t xml:space="preserve"> the ‘unlawful imposition of constraint on another’s freedom of movement from a particular place’</w:t>
      </w:r>
      <w:r>
        <w:t xml:space="preserve"> </w:t>
      </w:r>
      <w:r>
        <w:t>Two elements must be satisfied for a claim of false imprisonment:</w:t>
      </w:r>
    </w:p>
    <w:p w14:paraId="1F0199E7" w14:textId="76E4BE50" w:rsidR="009C75E9" w:rsidRDefault="009C75E9" w:rsidP="009C75E9">
      <w:pPr>
        <w:pStyle w:val="ListParagraph"/>
        <w:numPr>
          <w:ilvl w:val="0"/>
          <w:numId w:val="16"/>
        </w:numPr>
      </w:pPr>
      <w:r>
        <w:t>The defendant must intend to completely restrict the claimant’s freedom of movement</w:t>
      </w:r>
      <w:r>
        <w:t>; and</w:t>
      </w:r>
    </w:p>
    <w:p w14:paraId="1B79F203" w14:textId="02B0851A" w:rsidR="009C75E9" w:rsidRDefault="009C75E9" w:rsidP="009C75E9">
      <w:pPr>
        <w:pStyle w:val="ListParagraph"/>
        <w:numPr>
          <w:ilvl w:val="0"/>
          <w:numId w:val="16"/>
        </w:numPr>
      </w:pPr>
      <w:r>
        <w:t>The defendant has no legal authorisation / no lawful justification or excuse.</w:t>
      </w:r>
    </w:p>
    <w:p w14:paraId="304619D2" w14:textId="77777777" w:rsidR="009C75E9" w:rsidRDefault="009C75E9" w:rsidP="009C75E9"/>
    <w:p w14:paraId="4F508779" w14:textId="558B2D27" w:rsidR="009C75E9" w:rsidRDefault="009C75E9" w:rsidP="009C75E9">
      <w:pPr>
        <w:pStyle w:val="ListParagraph"/>
        <w:numPr>
          <w:ilvl w:val="0"/>
          <w:numId w:val="17"/>
        </w:numPr>
      </w:pPr>
      <w:r w:rsidRPr="009C75E9">
        <w:rPr>
          <w:b/>
          <w:bCs/>
        </w:rPr>
        <w:t>Intention</w:t>
      </w:r>
      <w:r>
        <w:t xml:space="preserve">: </w:t>
      </w:r>
      <w:r w:rsidRPr="009C75E9">
        <w:rPr>
          <w:i/>
          <w:iCs/>
        </w:rPr>
        <w:t>Iqbal v Prison Officers Association</w:t>
      </w:r>
      <w:r>
        <w:t xml:space="preserve"> = </w:t>
      </w:r>
      <w:r>
        <w:t>can be committed intentionally or recklessly. It is not necessary for the defendant to have acted in bad faith.</w:t>
      </w:r>
    </w:p>
    <w:p w14:paraId="39DFA7DB" w14:textId="7809744C" w:rsidR="009C75E9" w:rsidRDefault="009C75E9" w:rsidP="00DE7FE5">
      <w:pPr>
        <w:pStyle w:val="ListParagraph"/>
        <w:spacing w:before="240"/>
        <w:ind w:left="360"/>
      </w:pPr>
      <w:r w:rsidRPr="009C75E9">
        <w:rPr>
          <w:b/>
          <w:bCs/>
        </w:rPr>
        <w:t>A complete restriction of movement</w:t>
      </w:r>
      <w:r>
        <w:t xml:space="preserve">: </w:t>
      </w:r>
      <w:r>
        <w:t>It is not necessary for the defendant to intend to restrict freedom of movement unlawfully. A complete restriction of movement is necessary and even momentary restriction of movement can give rise to liability</w:t>
      </w:r>
      <w:r>
        <w:t xml:space="preserve"> = </w:t>
      </w:r>
      <w:r w:rsidRPr="009C75E9">
        <w:rPr>
          <w:i/>
          <w:iCs/>
        </w:rPr>
        <w:t>Walker v Commissioner of Police for the Metropolis</w:t>
      </w:r>
      <w:r>
        <w:t xml:space="preserve"> [2014] EWCA </w:t>
      </w:r>
      <w:proofErr w:type="spellStart"/>
      <w:r>
        <w:t>Civ</w:t>
      </w:r>
      <w:proofErr w:type="spellEnd"/>
      <w:r>
        <w:t xml:space="preserve"> 897</w:t>
      </w:r>
      <w:r>
        <w:t xml:space="preserve">: </w:t>
      </w:r>
      <w:r>
        <w:t>A police officer blocked the claimant in a doorway for a few seconds.</w:t>
      </w:r>
      <w:r>
        <w:t xml:space="preserve"> </w:t>
      </w:r>
      <w:r>
        <w:t>Held: Unlawful false imprisonment.</w:t>
      </w:r>
      <w:r>
        <w:t xml:space="preserve"> Note: </w:t>
      </w:r>
      <w:r>
        <w:t>No false imprisonment if there is a reasonable means of escape</w:t>
      </w:r>
      <w:r>
        <w:t xml:space="preserve">: </w:t>
      </w:r>
      <w:r w:rsidRPr="009C75E9">
        <w:rPr>
          <w:i/>
          <w:iCs/>
        </w:rPr>
        <w:t>Bird v Jones</w:t>
      </w:r>
      <w:r>
        <w:t xml:space="preserve"> (1845) 7 Q.B. 742</w:t>
      </w:r>
      <w:r>
        <w:t>. Some additional points:</w:t>
      </w:r>
    </w:p>
    <w:p w14:paraId="5848829E" w14:textId="36AFF4B8" w:rsidR="009C75E9" w:rsidRPr="009C75E9" w:rsidRDefault="009C75E9" w:rsidP="009C75E9">
      <w:pPr>
        <w:pStyle w:val="ListParagraph"/>
        <w:numPr>
          <w:ilvl w:val="0"/>
          <w:numId w:val="18"/>
        </w:numPr>
      </w:pPr>
      <w:r w:rsidRPr="009C75E9">
        <w:t>Restriction of movement concerns acts and not omissions</w:t>
      </w:r>
      <w:r>
        <w:t xml:space="preserve">: </w:t>
      </w:r>
      <w:r w:rsidRPr="009C75E9">
        <w:rPr>
          <w:i/>
          <w:iCs/>
        </w:rPr>
        <w:t>Iqbal v Prison Officers’ Association</w:t>
      </w:r>
    </w:p>
    <w:p w14:paraId="174C18C7" w14:textId="20EE8770" w:rsidR="009C75E9" w:rsidRDefault="009C75E9" w:rsidP="009C75E9">
      <w:pPr>
        <w:pStyle w:val="ListParagraph"/>
        <w:numPr>
          <w:ilvl w:val="0"/>
          <w:numId w:val="18"/>
        </w:numPr>
      </w:pPr>
      <w:r w:rsidRPr="009C75E9">
        <w:t>The claimant need not be aware of the restriction of movement</w:t>
      </w:r>
      <w:r>
        <w:t xml:space="preserve">: </w:t>
      </w:r>
      <w:proofErr w:type="spellStart"/>
      <w:r w:rsidRPr="009C75E9">
        <w:rPr>
          <w:i/>
          <w:iCs/>
        </w:rPr>
        <w:t>Meering</w:t>
      </w:r>
      <w:proofErr w:type="spellEnd"/>
      <w:r w:rsidRPr="009C75E9">
        <w:rPr>
          <w:i/>
          <w:iCs/>
        </w:rPr>
        <w:t xml:space="preserve"> v Grahame-White Aviation</w:t>
      </w:r>
      <w:r>
        <w:t>: “</w:t>
      </w:r>
      <w:r w:rsidRPr="009C75E9">
        <w:t xml:space="preserve">[I]t appears to me that a person could be imprisoned without his knowing it. I think a person can be imprisoned while he is asleep, while he is in a state of drunkenness, while he is unconscious, and while he is a lunatic … </w:t>
      </w:r>
      <w:proofErr w:type="gramStart"/>
      <w:r w:rsidRPr="009C75E9">
        <w:t>Of course</w:t>
      </w:r>
      <w:proofErr w:type="gramEnd"/>
      <w:r w:rsidRPr="009C75E9">
        <w:t xml:space="preserve"> the damages might be diminished and would be affected by the question whether he was conscious of it or not</w:t>
      </w:r>
      <w:r>
        <w:t>”</w:t>
      </w:r>
    </w:p>
    <w:p w14:paraId="79CE898F" w14:textId="77777777" w:rsidR="00DE7FE5" w:rsidRDefault="00DE7FE5" w:rsidP="00DE7FE5">
      <w:pPr>
        <w:pStyle w:val="ListParagraph"/>
        <w:ind w:left="1080"/>
      </w:pPr>
    </w:p>
    <w:p w14:paraId="1DBF8B1C" w14:textId="32F98C4D" w:rsidR="009C75E9" w:rsidRDefault="00DE7FE5" w:rsidP="00DE7FE5">
      <w:pPr>
        <w:pStyle w:val="ListParagraph"/>
        <w:numPr>
          <w:ilvl w:val="0"/>
          <w:numId w:val="17"/>
        </w:numPr>
        <w:spacing w:before="240"/>
      </w:pPr>
      <w:r w:rsidRPr="00DE7FE5">
        <w:rPr>
          <w:b/>
          <w:bCs/>
        </w:rPr>
        <w:t xml:space="preserve"> </w:t>
      </w:r>
      <w:r w:rsidRPr="00DE7FE5">
        <w:rPr>
          <w:b/>
          <w:bCs/>
        </w:rPr>
        <w:t>Without Lawful Authorisation or Excuse</w:t>
      </w:r>
      <w:r>
        <w:rPr>
          <w:b/>
          <w:bCs/>
        </w:rPr>
        <w:t xml:space="preserve">: </w:t>
      </w:r>
      <w:r w:rsidRPr="00DE7FE5">
        <w:t>S</w:t>
      </w:r>
      <w:r w:rsidRPr="00DE7FE5">
        <w:t>pecific considerations for false imprisonment</w:t>
      </w:r>
      <w:r>
        <w:t>…</w:t>
      </w:r>
    </w:p>
    <w:p w14:paraId="2A882E94" w14:textId="6639B8DF" w:rsidR="00DE7FE5" w:rsidRDefault="00DE7FE5" w:rsidP="00DE7FE5">
      <w:pPr>
        <w:pStyle w:val="ListParagraph"/>
        <w:numPr>
          <w:ilvl w:val="1"/>
          <w:numId w:val="17"/>
        </w:numPr>
        <w:spacing w:before="240"/>
      </w:pPr>
      <w:r w:rsidRPr="00DE7FE5">
        <w:rPr>
          <w:i/>
          <w:iCs/>
        </w:rPr>
        <w:t>Statutory authority</w:t>
      </w:r>
      <w:r>
        <w:t xml:space="preserve"> = </w:t>
      </w:r>
      <w:r w:rsidRPr="00DE7FE5">
        <w:t>Section 24A of the Police and Criminal Evidence Act 1984</w:t>
      </w:r>
      <w:r>
        <w:t xml:space="preserve"> (</w:t>
      </w:r>
      <w:r w:rsidRPr="00DE7FE5">
        <w:t>Arrest without warrant: other persons</w:t>
      </w:r>
      <w:r>
        <w:t xml:space="preserve">) and </w:t>
      </w:r>
      <w:r w:rsidRPr="00DE7FE5">
        <w:rPr>
          <w:i/>
          <w:iCs/>
        </w:rPr>
        <w:t>R (</w:t>
      </w:r>
      <w:proofErr w:type="spellStart"/>
      <w:r w:rsidRPr="00DE7FE5">
        <w:rPr>
          <w:i/>
          <w:iCs/>
        </w:rPr>
        <w:t>Lumba</w:t>
      </w:r>
      <w:proofErr w:type="spellEnd"/>
      <w:r w:rsidRPr="00DE7FE5">
        <w:rPr>
          <w:i/>
          <w:iCs/>
        </w:rPr>
        <w:t>) v Secretary of State for the Home Department</w:t>
      </w:r>
      <w:r>
        <w:t xml:space="preserve"> [2011] UKSC 12</w:t>
      </w:r>
      <w:r>
        <w:t xml:space="preserve">: </w:t>
      </w:r>
      <w:r>
        <w:t>A foreign national prisoner who was due for deportation at the end of his sentence remained in detention for 5 years after the end of his sentence because an unpublished government policy supported the continued detention of foreign nationals pending their deportation. This policy was in contravention of a publish policy supporting release.</w:t>
      </w:r>
      <w:r>
        <w:t xml:space="preserve"> </w:t>
      </w:r>
      <w:r>
        <w:t>Held: Unlawful because the decision to detain him was based on an unpublished blanket policy.</w:t>
      </w:r>
    </w:p>
    <w:p w14:paraId="4F763294" w14:textId="532192A5" w:rsidR="00DE7FE5" w:rsidRPr="00DE7FE5" w:rsidRDefault="00DE7FE5" w:rsidP="00DE7FE5">
      <w:pPr>
        <w:pStyle w:val="ListParagraph"/>
        <w:numPr>
          <w:ilvl w:val="1"/>
          <w:numId w:val="17"/>
        </w:numPr>
        <w:spacing w:before="240"/>
      </w:pPr>
      <w:r w:rsidRPr="00DE7FE5">
        <w:rPr>
          <w:i/>
          <w:iCs/>
        </w:rPr>
        <w:t>Necessity and human rights</w:t>
      </w:r>
      <w:r>
        <w:t xml:space="preserve">: </w:t>
      </w:r>
      <w:r w:rsidRPr="00DE7FE5">
        <w:rPr>
          <w:i/>
          <w:iCs/>
        </w:rPr>
        <w:t>Austin v The Commissioner of Police of the Metropolis</w:t>
      </w:r>
      <w:r>
        <w:t xml:space="preserve"> [2009] UKHL 5</w:t>
      </w:r>
      <w:r>
        <w:t xml:space="preserve">: </w:t>
      </w:r>
      <w:r>
        <w:t>3000 people “kettled” for about 7 hrs in Oxford Circus to contain demonstrations that involved a measure of violence.</w:t>
      </w:r>
      <w:r>
        <w:t xml:space="preserve"> </w:t>
      </w:r>
      <w:r>
        <w:t>Held: Lawful restriction of movement under Art 5 of the ECHR as “it was necessary to avoid an imminent breach of the peace”.</w:t>
      </w:r>
    </w:p>
    <w:p w14:paraId="08EDF29D" w14:textId="77777777" w:rsidR="009C75E9" w:rsidRDefault="009C75E9" w:rsidP="009C75E9"/>
    <w:p w14:paraId="33B86E14" w14:textId="076D6589" w:rsidR="009C75E9" w:rsidRDefault="007D0FB9" w:rsidP="00F74966">
      <w:pPr>
        <w:spacing w:after="0"/>
        <w:rPr>
          <w:b/>
          <w:bCs/>
          <w:sz w:val="28"/>
          <w:szCs w:val="28"/>
        </w:rPr>
      </w:pPr>
      <w:r w:rsidRPr="007D0FB9">
        <w:rPr>
          <w:b/>
          <w:bCs/>
          <w:sz w:val="28"/>
          <w:szCs w:val="28"/>
        </w:rPr>
        <w:t xml:space="preserve">Defences: </w:t>
      </w:r>
      <w:r w:rsidRPr="007D0FB9">
        <w:rPr>
          <w:b/>
          <w:bCs/>
          <w:sz w:val="28"/>
          <w:szCs w:val="28"/>
        </w:rPr>
        <w:t>L</w:t>
      </w:r>
      <w:r w:rsidRPr="007D0FB9">
        <w:rPr>
          <w:b/>
          <w:bCs/>
          <w:sz w:val="28"/>
          <w:szCs w:val="28"/>
        </w:rPr>
        <w:t>awful justification or excuse</w:t>
      </w:r>
    </w:p>
    <w:p w14:paraId="0ADCF1CB" w14:textId="59EB5F17" w:rsidR="007D0FB9" w:rsidRDefault="007D0FB9" w:rsidP="007D0FB9">
      <w:r w:rsidRPr="007D0FB9">
        <w:t>Standard defences of voluntary assumption of risk and illegality apply to battery.</w:t>
      </w:r>
      <w:r>
        <w:t xml:space="preserve"> </w:t>
      </w:r>
      <w:r w:rsidRPr="007D0FB9">
        <w:t xml:space="preserve">Contributory negligence is not applicable: </w:t>
      </w:r>
      <w:r w:rsidRPr="007D0FB9">
        <w:rPr>
          <w:i/>
          <w:iCs/>
        </w:rPr>
        <w:t>Co-operative Group (CWS) Ltd v Pritchard</w:t>
      </w:r>
      <w:r w:rsidRPr="007D0FB9">
        <w:t xml:space="preserve"> [2011] EWCA </w:t>
      </w:r>
      <w:proofErr w:type="spellStart"/>
      <w:r w:rsidRPr="007D0FB9">
        <w:t>Civ</w:t>
      </w:r>
      <w:proofErr w:type="spellEnd"/>
      <w:r w:rsidRPr="007D0FB9">
        <w:t xml:space="preserve"> 329.</w:t>
      </w:r>
    </w:p>
    <w:p w14:paraId="35ABE347" w14:textId="77777777" w:rsidR="007D0FB9" w:rsidRDefault="007D0FB9" w:rsidP="007D0FB9"/>
    <w:p w14:paraId="30D0BD90" w14:textId="404E9C36" w:rsidR="007D0FB9" w:rsidRDefault="007D0FB9" w:rsidP="003333E7">
      <w:pPr>
        <w:spacing w:after="0"/>
      </w:pPr>
      <w:r w:rsidRPr="007D0FB9">
        <w:rPr>
          <w:b/>
          <w:bCs/>
        </w:rPr>
        <w:t>Consent</w:t>
      </w:r>
      <w:r w:rsidRPr="007D0FB9">
        <w:rPr>
          <w:b/>
          <w:bCs/>
        </w:rPr>
        <w:t>:</w:t>
      </w:r>
      <w:r>
        <w:t xml:space="preserve"> M</w:t>
      </w:r>
      <w:r>
        <w:t>ost important ‘defence’ in this area of law.</w:t>
      </w:r>
    </w:p>
    <w:p w14:paraId="31970B69" w14:textId="0A9D8939" w:rsidR="007D0FB9" w:rsidRDefault="007D0FB9" w:rsidP="007D0FB9">
      <w:r>
        <w:t>There is no battery when there is consent to the contact</w:t>
      </w:r>
      <w:r>
        <w:t xml:space="preserve">: </w:t>
      </w:r>
      <w:r w:rsidRPr="007D0FB9">
        <w:rPr>
          <w:i/>
          <w:iCs/>
        </w:rPr>
        <w:t>Chatterton v Gerson</w:t>
      </w:r>
      <w:r>
        <w:t xml:space="preserve"> [1981] Q.B. 432</w:t>
      </w:r>
      <w:r>
        <w:t xml:space="preserve"> = </w:t>
      </w:r>
      <w:r>
        <w:t>In this case the claimant had an extremely painful scar, she agreed to having a sensory nerve behind it removed to stop the pain. This was done but she lost some muscle function in the area as a side effect of the procedure. Her doctor did not inform her of this risk.</w:t>
      </w:r>
      <w:r>
        <w:t xml:space="preserve"> </w:t>
      </w:r>
      <w:r>
        <w:t xml:space="preserve"> Held: there had been valid consent as she had been told about and understood the “general nature of the operation”, she had been “informed in broad terms what the procedure involves.”</w:t>
      </w:r>
    </w:p>
    <w:p w14:paraId="21269426" w14:textId="2E814DEB" w:rsidR="007D0FB9" w:rsidRDefault="007D0FB9" w:rsidP="007D0FB9">
      <w:pPr>
        <w:spacing w:after="0"/>
      </w:pPr>
      <w:r>
        <w:t>Consent is only valid if the following conditions are met:</w:t>
      </w:r>
    </w:p>
    <w:p w14:paraId="600E4168" w14:textId="4FA52063" w:rsidR="007D0FB9" w:rsidRDefault="007D0FB9" w:rsidP="007D0FB9">
      <w:pPr>
        <w:pStyle w:val="ListParagraph"/>
        <w:numPr>
          <w:ilvl w:val="0"/>
          <w:numId w:val="21"/>
        </w:numPr>
      </w:pPr>
      <w:r>
        <w:t>C</w:t>
      </w:r>
      <w:r>
        <w:t>laimant</w:t>
      </w:r>
      <w:r>
        <w:t xml:space="preserve"> agreed that</w:t>
      </w:r>
      <w:r>
        <w:t xml:space="preserve"> the</w:t>
      </w:r>
      <w:r>
        <w:t xml:space="preserve"> D</w:t>
      </w:r>
      <w:r>
        <w:t>efendant</w:t>
      </w:r>
      <w:r>
        <w:t xml:space="preserve"> could touch </w:t>
      </w:r>
      <w:r>
        <w:t>her</w:t>
      </w:r>
      <w:r>
        <w:t xml:space="preserve"> in the way </w:t>
      </w:r>
      <w:r>
        <w:t>the Defendant</w:t>
      </w:r>
      <w:r>
        <w:t xml:space="preserve"> </w:t>
      </w:r>
      <w:proofErr w:type="gramStart"/>
      <w:r>
        <w:t>did</w:t>
      </w:r>
      <w:proofErr w:type="gramEnd"/>
    </w:p>
    <w:p w14:paraId="1DF01730" w14:textId="6CC12962" w:rsidR="007D0FB9" w:rsidRDefault="007D0FB9" w:rsidP="007D0FB9">
      <w:pPr>
        <w:pStyle w:val="ListParagraph"/>
        <w:numPr>
          <w:ilvl w:val="0"/>
          <w:numId w:val="21"/>
        </w:numPr>
      </w:pPr>
      <w:r>
        <w:t xml:space="preserve">At the time of the touching, </w:t>
      </w:r>
      <w:r>
        <w:t>the claimant’</w:t>
      </w:r>
      <w:r>
        <w:t xml:space="preserve">s level of maturity, intelligence and understanding was sufficient to enable </w:t>
      </w:r>
      <w:r>
        <w:t xml:space="preserve">the </w:t>
      </w:r>
      <w:r>
        <w:t>C</w:t>
      </w:r>
      <w:r>
        <w:t>laimant</w:t>
      </w:r>
      <w:r>
        <w:t xml:space="preserve"> to decide to let </w:t>
      </w:r>
      <w:r>
        <w:t xml:space="preserve">the defendant </w:t>
      </w:r>
      <w:r>
        <w:t>touch her; and</w:t>
      </w:r>
    </w:p>
    <w:p w14:paraId="4176042F" w14:textId="0CD84CCF" w:rsidR="007D0FB9" w:rsidRDefault="007D0FB9" w:rsidP="007D0FB9">
      <w:pPr>
        <w:pStyle w:val="ListParagraph"/>
        <w:numPr>
          <w:ilvl w:val="0"/>
          <w:numId w:val="21"/>
        </w:numPr>
      </w:pPr>
      <w:r>
        <w:t xml:space="preserve">Someone else did not force </w:t>
      </w:r>
      <w:r>
        <w:t xml:space="preserve">the </w:t>
      </w:r>
      <w:r>
        <w:t>C</w:t>
      </w:r>
      <w:r>
        <w:t xml:space="preserve">laimant </w:t>
      </w:r>
      <w:r>
        <w:t xml:space="preserve">to agree to letting </w:t>
      </w:r>
      <w:r>
        <w:t xml:space="preserve">the defendant </w:t>
      </w:r>
      <w:r>
        <w:t xml:space="preserve">touch </w:t>
      </w:r>
      <w:proofErr w:type="gramStart"/>
      <w:r>
        <w:t>her</w:t>
      </w:r>
      <w:proofErr w:type="gramEnd"/>
    </w:p>
    <w:p w14:paraId="610768AE" w14:textId="776120BF" w:rsidR="007D0FB9" w:rsidRDefault="007D0FB9" w:rsidP="007D0FB9">
      <w:r>
        <w:t xml:space="preserve">Consent </w:t>
      </w:r>
      <w:r w:rsidRPr="007D0FB9">
        <w:t>in the context of false imprisonment:</w:t>
      </w:r>
      <w:r>
        <w:t xml:space="preserve"> </w:t>
      </w:r>
      <w:r w:rsidRPr="007D0FB9">
        <w:rPr>
          <w:i/>
          <w:iCs/>
        </w:rPr>
        <w:t xml:space="preserve">Herd v Weardale Steel, </w:t>
      </w:r>
      <w:proofErr w:type="gramStart"/>
      <w:r w:rsidRPr="007D0FB9">
        <w:rPr>
          <w:i/>
          <w:iCs/>
        </w:rPr>
        <w:t>Coke</w:t>
      </w:r>
      <w:proofErr w:type="gramEnd"/>
      <w:r w:rsidRPr="007D0FB9">
        <w:rPr>
          <w:i/>
          <w:iCs/>
        </w:rPr>
        <w:t xml:space="preserve"> and Coal Co</w:t>
      </w:r>
      <w:r>
        <w:t xml:space="preserve"> [1915] A.C. 67</w:t>
      </w:r>
      <w:r>
        <w:t xml:space="preserve"> = </w:t>
      </w:r>
      <w:r>
        <w:t>After descending into a pit, a miner refused to continue working because he considered his working conditions to be dangerous. He asked to be taken in the lift to the surface before the end of his shift. His employer refused and he was taken to the surface an hour and a half later.</w:t>
      </w:r>
      <w:r>
        <w:t xml:space="preserve"> </w:t>
      </w:r>
      <w:r>
        <w:t>Held: No false imprisonment</w:t>
      </w:r>
      <w:r>
        <w:t xml:space="preserve"> as</w:t>
      </w:r>
      <w:r>
        <w:t xml:space="preserve"> Miner had voluntarily entered the mine under his employment contract and he was deemed to have consented to his restricted movement during this particular </w:t>
      </w:r>
      <w:proofErr w:type="gramStart"/>
      <w:r>
        <w:t>time period</w:t>
      </w:r>
      <w:proofErr w:type="gramEnd"/>
      <w:r>
        <w:t>.</w:t>
      </w:r>
    </w:p>
    <w:p w14:paraId="64323A44" w14:textId="0EB8258E" w:rsidR="007D0FB9" w:rsidRDefault="007D0FB9" w:rsidP="007D0FB9">
      <w:pPr>
        <w:pStyle w:val="ListParagraph"/>
        <w:numPr>
          <w:ilvl w:val="0"/>
          <w:numId w:val="22"/>
        </w:numPr>
      </w:pPr>
      <w:r w:rsidRPr="007D0FB9">
        <w:rPr>
          <w:b/>
          <w:bCs/>
        </w:rPr>
        <w:t>Invalid Consent</w:t>
      </w:r>
      <w:r w:rsidRPr="007D0FB9">
        <w:t xml:space="preserve">: No valid consent where a claimant has been </w:t>
      </w:r>
      <w:proofErr w:type="spellStart"/>
      <w:proofErr w:type="gramStart"/>
      <w:r w:rsidRPr="007D0FB9">
        <w:t>mislead</w:t>
      </w:r>
      <w:proofErr w:type="spellEnd"/>
      <w:proofErr w:type="gramEnd"/>
      <w:r w:rsidRPr="007D0FB9">
        <w:t xml:space="preserve"> as to the nature of what will be done to them</w:t>
      </w:r>
      <w:r>
        <w:t xml:space="preserve"> (</w:t>
      </w:r>
      <w:r w:rsidRPr="007D0FB9">
        <w:rPr>
          <w:i/>
          <w:iCs/>
        </w:rPr>
        <w:t>R v Williams</w:t>
      </w:r>
      <w:r w:rsidRPr="007D0FB9">
        <w:t xml:space="preserve"> [1923] 1 K.B. 340</w:t>
      </w:r>
      <w:r>
        <w:t xml:space="preserve">; </w:t>
      </w:r>
      <w:r w:rsidRPr="007D0FB9">
        <w:rPr>
          <w:i/>
          <w:iCs/>
        </w:rPr>
        <w:t>AG Reference</w:t>
      </w:r>
      <w:r w:rsidRPr="007D0FB9">
        <w:t xml:space="preserve"> (No 6 of 1980) [1981] QB 715</w:t>
      </w:r>
      <w:r>
        <w:t>)</w:t>
      </w:r>
    </w:p>
    <w:p w14:paraId="5B6FF0F4" w14:textId="5A70B8D7" w:rsidR="006A09E8" w:rsidRDefault="007D0FB9" w:rsidP="006A09E8">
      <w:pPr>
        <w:pStyle w:val="ListParagraph"/>
        <w:numPr>
          <w:ilvl w:val="0"/>
          <w:numId w:val="22"/>
        </w:numPr>
        <w:spacing w:before="240"/>
      </w:pPr>
      <w:r w:rsidRPr="006A09E8">
        <w:rPr>
          <w:b/>
          <w:bCs/>
        </w:rPr>
        <w:t>Refusal of Consent</w:t>
      </w:r>
      <w:r w:rsidRPr="007D0FB9">
        <w:t>: Generally</w:t>
      </w:r>
      <w:r>
        <w:t>,</w:t>
      </w:r>
      <w:r w:rsidRPr="007D0FB9">
        <w:t xml:space="preserve"> adults have an absolute right to refuse consent to contact, this is the case even if medical opinion is in favour of their treatment</w:t>
      </w:r>
      <w:r w:rsidR="006A09E8">
        <w:t xml:space="preserve"> = </w:t>
      </w:r>
      <w:r w:rsidR="006A09E8" w:rsidRPr="006A09E8">
        <w:rPr>
          <w:i/>
          <w:iCs/>
        </w:rPr>
        <w:t>Re T (Adult: Refusal of Treatment)</w:t>
      </w:r>
      <w:r w:rsidR="006A09E8">
        <w:t xml:space="preserve"> [1993] Fam. 95</w:t>
      </w:r>
      <w:r w:rsidR="006A09E8">
        <w:t xml:space="preserve">: </w:t>
      </w:r>
      <w:r w:rsidR="006A09E8">
        <w:t>“[A]n adult patient who … suffers from no mental incapacity has an absolute right to choose whether to consent to medical treatment, to refuse it, or to choose one rather than another of the treatments being offered. This right of choice is not limited to decisions which others might regard as sensible”.</w:t>
      </w:r>
      <w:r w:rsidR="006A09E8">
        <w:t xml:space="preserve"> </w:t>
      </w:r>
      <w:r w:rsidR="006A09E8" w:rsidRPr="006A09E8">
        <w:rPr>
          <w:i/>
          <w:iCs/>
        </w:rPr>
        <w:t>Re MB (Caesarean Section)</w:t>
      </w:r>
      <w:r w:rsidR="006A09E8" w:rsidRPr="006A09E8">
        <w:t xml:space="preserve"> [1997] 2 F.L.R. 426</w:t>
      </w:r>
    </w:p>
    <w:p w14:paraId="3A71B646" w14:textId="06D04818" w:rsidR="006A09E8" w:rsidRDefault="006A09E8" w:rsidP="006A09E8">
      <w:pPr>
        <w:pStyle w:val="ListParagraph"/>
        <w:numPr>
          <w:ilvl w:val="0"/>
          <w:numId w:val="22"/>
        </w:numPr>
        <w:spacing w:before="240"/>
      </w:pPr>
      <w:r w:rsidRPr="006A09E8">
        <w:rPr>
          <w:b/>
          <w:bCs/>
        </w:rPr>
        <w:t>Capacity:</w:t>
      </w:r>
      <w:r w:rsidRPr="006A09E8">
        <w:t xml:space="preserve"> </w:t>
      </w:r>
      <w:r w:rsidRPr="006A09E8">
        <w:t>Mental Capacity Act 2005</w:t>
      </w:r>
      <w:r w:rsidRPr="006A09E8">
        <w:t>:</w:t>
      </w:r>
      <w:r>
        <w:t xml:space="preserve"> </w:t>
      </w:r>
      <w:r>
        <w:t>A person will lack capacity where:</w:t>
      </w:r>
      <w:r>
        <w:t xml:space="preserve"> </w:t>
      </w:r>
      <w:r>
        <w:t xml:space="preserve">1) They are suffering from an “impairment of, or a disturbance in the mind or brain” which means they are unable to </w:t>
      </w:r>
      <w:proofErr w:type="gramStart"/>
      <w:r>
        <w:t>make a decision</w:t>
      </w:r>
      <w:proofErr w:type="gramEnd"/>
      <w:r>
        <w:t xml:space="preserve">. </w:t>
      </w:r>
      <w:r w:rsidRPr="006A09E8">
        <w:rPr>
          <w:b/>
          <w:bCs/>
        </w:rPr>
        <w:t>(s 2)</w:t>
      </w:r>
      <w:r>
        <w:t xml:space="preserve"> </w:t>
      </w:r>
      <w:proofErr w:type="gramStart"/>
      <w:r>
        <w:t>And,</w:t>
      </w:r>
      <w:proofErr w:type="gramEnd"/>
      <w:r>
        <w:t xml:space="preserve"> 2</w:t>
      </w:r>
      <w:r>
        <w:t xml:space="preserve">) </w:t>
      </w:r>
      <w:r>
        <w:t>t</w:t>
      </w:r>
      <w:r>
        <w:t xml:space="preserve">hey are (a) unable to understand the information relevant to the decision, (b) retain the information, (c) and use or weigh that information to reach a decision; or (d) communicate their decision. </w:t>
      </w:r>
      <w:r w:rsidRPr="006A09E8">
        <w:rPr>
          <w:b/>
          <w:bCs/>
        </w:rPr>
        <w:t>(s 3)</w:t>
      </w:r>
    </w:p>
    <w:p w14:paraId="0A35C8D6" w14:textId="77777777" w:rsidR="006A09E8" w:rsidRDefault="006A09E8" w:rsidP="006A09E8">
      <w:pPr>
        <w:pStyle w:val="ListParagraph"/>
      </w:pPr>
      <w:r w:rsidRPr="006A09E8">
        <w:rPr>
          <w:b/>
          <w:bCs/>
        </w:rPr>
        <w:t>S 5(1)</w:t>
      </w:r>
      <w:r>
        <w:t>: If a person (“D”) does an act in connection with the care or treatment of another person (“P”), the act is one to which this section applies if—</w:t>
      </w:r>
    </w:p>
    <w:p w14:paraId="4C667649" w14:textId="77777777" w:rsidR="006A09E8" w:rsidRDefault="006A09E8" w:rsidP="006A09E8">
      <w:pPr>
        <w:pStyle w:val="ListParagraph"/>
        <w:ind w:left="1440"/>
      </w:pPr>
      <w:r>
        <w:t>a) Before doing the act D took reasonable steps to establish whether P lacked capacity in relation to the matter in question and</w:t>
      </w:r>
    </w:p>
    <w:p w14:paraId="11D49F5F" w14:textId="77777777" w:rsidR="006A09E8" w:rsidRDefault="006A09E8" w:rsidP="006A09E8">
      <w:pPr>
        <w:pStyle w:val="ListParagraph"/>
        <w:ind w:firstLine="720"/>
      </w:pPr>
      <w:r>
        <w:t xml:space="preserve">b) When doing the act, D reasonably believed that </w:t>
      </w:r>
    </w:p>
    <w:p w14:paraId="24F2B29D" w14:textId="77777777" w:rsidR="006A09E8" w:rsidRDefault="006A09E8" w:rsidP="006A09E8">
      <w:pPr>
        <w:pStyle w:val="ListParagraph"/>
        <w:ind w:left="1440" w:firstLine="720"/>
      </w:pPr>
      <w:r>
        <w:t xml:space="preserve">i) that P lacked capacity to consent in relation to the matter and </w:t>
      </w:r>
    </w:p>
    <w:p w14:paraId="5B2F8AFF" w14:textId="7F6A6D73" w:rsidR="006A09E8" w:rsidRDefault="006A09E8" w:rsidP="006A09E8">
      <w:pPr>
        <w:pStyle w:val="ListParagraph"/>
        <w:ind w:left="1440" w:firstLine="720"/>
      </w:pPr>
      <w:r>
        <w:t>ii) it was in P’s best interests for the act to be done</w:t>
      </w:r>
    </w:p>
    <w:p w14:paraId="1C195C45" w14:textId="2B198E15" w:rsidR="006A09E8" w:rsidRDefault="006A09E8" w:rsidP="006A09E8">
      <w:pPr>
        <w:pStyle w:val="ListParagraph"/>
        <w:numPr>
          <w:ilvl w:val="0"/>
          <w:numId w:val="23"/>
        </w:numPr>
      </w:pPr>
      <w:r w:rsidRPr="006A09E8">
        <w:rPr>
          <w:b/>
          <w:bCs/>
        </w:rPr>
        <w:t>Children and capacity</w:t>
      </w:r>
      <w:r>
        <w:t xml:space="preserve">: </w:t>
      </w:r>
      <w:r>
        <w:t xml:space="preserve">A child </w:t>
      </w:r>
      <w:proofErr w:type="gramStart"/>
      <w:r>
        <w:t>is</w:t>
      </w:r>
      <w:proofErr w:type="gramEnd"/>
      <w:r>
        <w:t xml:space="preserve"> a person below the age of 18. Nevertheless, a child can consent for treatment if the child is 16-17. Section 8 of the Family Reform Act, 1969 provides that the consent of a 16 or 17-year-old to any medical treatment is as effective as that of an adult. These children must be presumed to have capacity (unless unable to satisfy the test set out in the Mental Capacity Act).</w:t>
      </w:r>
      <w:r>
        <w:t xml:space="preserve"> </w:t>
      </w:r>
      <w:r>
        <w:t>If a child is under 16, they must have sufficient understanding and intelligence</w:t>
      </w:r>
      <w:r>
        <w:t xml:space="preserve">: </w:t>
      </w:r>
      <w:r w:rsidRPr="006A09E8">
        <w:rPr>
          <w:i/>
          <w:iCs/>
        </w:rPr>
        <w:t xml:space="preserve">Gillick v West Norfolk and Wisbech AHA </w:t>
      </w:r>
      <w:r>
        <w:t>[1986] A.C. 112</w:t>
      </w:r>
    </w:p>
    <w:p w14:paraId="0E6C93D3" w14:textId="3BAF2C54" w:rsidR="006A09E8" w:rsidRDefault="006A09E8" w:rsidP="006A09E8">
      <w:pPr>
        <w:pStyle w:val="ListParagraph"/>
        <w:numPr>
          <w:ilvl w:val="0"/>
          <w:numId w:val="23"/>
        </w:numPr>
      </w:pPr>
      <w:r>
        <w:rPr>
          <w:b/>
          <w:bCs/>
        </w:rPr>
        <w:t>Children and refusal</w:t>
      </w:r>
      <w:r w:rsidRPr="006A09E8">
        <w:t>:</w:t>
      </w:r>
      <w:r>
        <w:t xml:space="preserve"> </w:t>
      </w:r>
      <w:r w:rsidRPr="006A09E8">
        <w:t>Sections 3 and 8 of the Children Act 1989: Both parents and the courts can override a refusal of treatment by a child where that treatment is deemed to be in the child’s best interests.</w:t>
      </w:r>
      <w:r>
        <w:t xml:space="preserve"> </w:t>
      </w:r>
      <w:r w:rsidRPr="006A09E8">
        <w:t>Re W [1993] Fam 64</w:t>
      </w:r>
      <w:r>
        <w:t xml:space="preserve">: </w:t>
      </w:r>
      <w:r w:rsidRPr="006A09E8">
        <w:t>s 8 of the Family Reform Act 1969</w:t>
      </w:r>
      <w:r>
        <w:t xml:space="preserve"> </w:t>
      </w:r>
      <w:r w:rsidRPr="006A09E8">
        <w:t xml:space="preserve">allows doctors to rely on the consent of a competent child aged 16 or </w:t>
      </w:r>
      <w:proofErr w:type="gramStart"/>
      <w:r w:rsidRPr="006A09E8">
        <w:t>17, but</w:t>
      </w:r>
      <w:proofErr w:type="gramEnd"/>
      <w:r w:rsidRPr="006A09E8">
        <w:t xml:space="preserve"> does not grant the child the capacity to refuse. The court is considered to have the power to override the refusal of any child, but those with parental authority were also considered to have such decision-making authority. A refusal would still be a ‘very important consideration’ and its importance is considered to increase as the child </w:t>
      </w:r>
      <w:proofErr w:type="gramStart"/>
      <w:r w:rsidRPr="006A09E8">
        <w:t>mature</w:t>
      </w:r>
      <w:r>
        <w:t>s</w:t>
      </w:r>
      <w:proofErr w:type="gramEnd"/>
    </w:p>
    <w:p w14:paraId="7AA14AD8" w14:textId="4A4454D4" w:rsidR="006A09E8" w:rsidRDefault="006A09E8" w:rsidP="006A09E8"/>
    <w:p w14:paraId="1EE1C404" w14:textId="222B08B7" w:rsidR="00540E7A" w:rsidRDefault="00540E7A" w:rsidP="00540E7A">
      <w:r w:rsidRPr="00540E7A">
        <w:rPr>
          <w:b/>
          <w:bCs/>
        </w:rPr>
        <w:t>Necessity</w:t>
      </w:r>
      <w:r>
        <w:rPr>
          <w:b/>
          <w:bCs/>
        </w:rPr>
        <w:t xml:space="preserve">: </w:t>
      </w:r>
      <w:r>
        <w:t xml:space="preserve">Necessity concerns a ‘choice of evils’ … it allows a person who is faced with a choice of evils in an emergency to choose the lesser evil </w:t>
      </w:r>
      <w:proofErr w:type="gramStart"/>
      <w:r>
        <w:t>in order to</w:t>
      </w:r>
      <w:proofErr w:type="gramEnd"/>
      <w:r>
        <w:t xml:space="preserve"> avoid the greater evil. For instance: A wallops B on the back because B is choking on his food. A will not be liable for battery because A hit B on his back out of necessity; B would have choked to death had A not hit B on the back to dislodge the food. A’s conduct was a necessary unwanted physical touch.</w:t>
      </w:r>
    </w:p>
    <w:p w14:paraId="1565CC8B" w14:textId="1586780A" w:rsidR="00540E7A" w:rsidRDefault="00540E7A" w:rsidP="00540E7A">
      <w:r>
        <w:t xml:space="preserve">Necessity has been used to justify medical treatment given to patients who are found to lack capacity to consent, provided the treatment is necessary </w:t>
      </w:r>
      <w:proofErr w:type="gramStart"/>
      <w:r>
        <w:t>and in the patient’s,</w:t>
      </w:r>
      <w:proofErr w:type="gramEnd"/>
      <w:r>
        <w:t xml:space="preserve"> best interests (</w:t>
      </w:r>
      <w:r w:rsidRPr="00540E7A">
        <w:rPr>
          <w:i/>
          <w:iCs/>
        </w:rPr>
        <w:t>Re F</w:t>
      </w:r>
      <w:r>
        <w:t xml:space="preserve"> (Mental Patient: Sterilisation)). Mental Capacity Act 2005: a doctor will not incur liability for treating a permanently or temporarily incapacitated patient without his/her/their consent provided the doctor has taken steps to establish the patient’s capacity and the treatment is in the patient’s best interests (</w:t>
      </w:r>
      <w:r>
        <w:t>s</w:t>
      </w:r>
      <w:r>
        <w:t xml:space="preserve"> 5)</w:t>
      </w:r>
      <w:r>
        <w:t>.</w:t>
      </w:r>
    </w:p>
    <w:p w14:paraId="3A771957" w14:textId="62B7D3CC" w:rsidR="006A09E8" w:rsidRDefault="00540E7A" w:rsidP="00540E7A">
      <w:r>
        <w:t xml:space="preserve">In </w:t>
      </w:r>
      <w:r w:rsidRPr="00540E7A">
        <w:rPr>
          <w:i/>
          <w:iCs/>
        </w:rPr>
        <w:t>Leigh v Gladstone</w:t>
      </w:r>
      <w:r>
        <w:t>, the plaintiff, a suffragette prisoner on hunger strike, was forcibly fed by prison staff. When she claimed damages for trespass the defence was that the acts were necessary to save her life and that the force used was the minimum necessary. Her action failed on the ground it was lawful for prison officials to intervene because they had a duty to preserve the life and health of those in their custody.</w:t>
      </w:r>
    </w:p>
    <w:p w14:paraId="414533D8" w14:textId="16E2AD2E" w:rsidR="00540E7A" w:rsidRDefault="00540E7A" w:rsidP="00540E7A"/>
    <w:p w14:paraId="3E8674E3" w14:textId="66438DF1" w:rsidR="00540E7A" w:rsidRDefault="00540E7A" w:rsidP="00540E7A">
      <w:r w:rsidRPr="00540E7A">
        <w:rPr>
          <w:b/>
          <w:bCs/>
        </w:rPr>
        <w:t>Self Defence</w:t>
      </w:r>
      <w:r w:rsidR="003333E7">
        <w:rPr>
          <w:b/>
          <w:bCs/>
        </w:rPr>
        <w:t xml:space="preserve">: </w:t>
      </w:r>
      <w:r w:rsidRPr="00540E7A">
        <w:rPr>
          <w:i/>
          <w:iCs/>
        </w:rPr>
        <w:t>Ashley v CC of Sussex Police</w:t>
      </w:r>
      <w:r>
        <w:t xml:space="preserve"> [2008] UKHL 25</w:t>
      </w:r>
    </w:p>
    <w:p w14:paraId="473EF950" w14:textId="2DEA40C4" w:rsidR="00540E7A" w:rsidRDefault="00540E7A" w:rsidP="00540E7A">
      <w:pPr>
        <w:pStyle w:val="ListParagraph"/>
        <w:numPr>
          <w:ilvl w:val="0"/>
          <w:numId w:val="25"/>
        </w:numPr>
      </w:pPr>
      <w:r>
        <w:t>T</w:t>
      </w:r>
      <w:r>
        <w:t>he claimant must have a reasonable belief that they are about to be attacked, and</w:t>
      </w:r>
    </w:p>
    <w:p w14:paraId="111A6AAC" w14:textId="61F4DBBF" w:rsidR="00540E7A" w:rsidRDefault="00540E7A" w:rsidP="00540E7A">
      <w:pPr>
        <w:pStyle w:val="ListParagraph"/>
        <w:numPr>
          <w:ilvl w:val="0"/>
          <w:numId w:val="25"/>
        </w:numPr>
      </w:pPr>
      <w:r>
        <w:t>T</w:t>
      </w:r>
      <w:r>
        <w:t>he force they use must be proportionate to the circumstances</w:t>
      </w:r>
      <w:r>
        <w:t xml:space="preserve"> </w:t>
      </w:r>
      <w:r w:rsidRPr="00540E7A">
        <w:rPr>
          <w:i/>
          <w:iCs/>
        </w:rPr>
        <w:t>(</w:t>
      </w:r>
      <w:r w:rsidRPr="00540E7A">
        <w:rPr>
          <w:i/>
          <w:iCs/>
        </w:rPr>
        <w:t>Cockcroft v Smith</w:t>
      </w:r>
      <w:r w:rsidRPr="00540E7A">
        <w:t xml:space="preserve"> (1705) 11 Mod. 43</w:t>
      </w:r>
      <w:r>
        <w:t xml:space="preserve"> and </w:t>
      </w:r>
      <w:r w:rsidRPr="00540E7A">
        <w:rPr>
          <w:i/>
          <w:iCs/>
        </w:rPr>
        <w:t>Cross v Kirkby</w:t>
      </w:r>
      <w:r w:rsidRPr="00540E7A">
        <w:t xml:space="preserve"> (2000) The Times April 5</w:t>
      </w:r>
      <w:r>
        <w:t>)</w:t>
      </w:r>
    </w:p>
    <w:p w14:paraId="099F0CBA" w14:textId="77777777" w:rsidR="00F74966" w:rsidRDefault="00F74966" w:rsidP="00F74966">
      <w:pPr>
        <w:ind w:left="1080"/>
      </w:pPr>
    </w:p>
    <w:p w14:paraId="4FA35E65" w14:textId="4D515EBA" w:rsidR="00540E7A" w:rsidRDefault="00540E7A" w:rsidP="00540E7A">
      <w:pPr>
        <w:rPr>
          <w:b/>
          <w:bCs/>
          <w:sz w:val="28"/>
          <w:szCs w:val="28"/>
        </w:rPr>
      </w:pPr>
      <w:r w:rsidRPr="00540E7A">
        <w:rPr>
          <w:b/>
          <w:bCs/>
          <w:sz w:val="28"/>
          <w:szCs w:val="28"/>
        </w:rPr>
        <w:t>Intentional Infliction of Emotional or Physical Harm</w:t>
      </w:r>
    </w:p>
    <w:p w14:paraId="50CB9EED" w14:textId="77777777" w:rsidR="003333E7" w:rsidRDefault="003333E7" w:rsidP="00540E7A">
      <w:pPr>
        <w:rPr>
          <w:b/>
          <w:bCs/>
        </w:rPr>
      </w:pPr>
    </w:p>
    <w:p w14:paraId="74DE1BEF" w14:textId="2CABAAFE" w:rsidR="00540E7A" w:rsidRDefault="00540E7A" w:rsidP="003333E7">
      <w:pPr>
        <w:spacing w:after="0"/>
        <w:rPr>
          <w:b/>
          <w:bCs/>
          <w:i/>
          <w:iCs/>
        </w:rPr>
      </w:pPr>
      <w:r w:rsidRPr="00540E7A">
        <w:rPr>
          <w:b/>
          <w:bCs/>
        </w:rPr>
        <w:t xml:space="preserve">The rule in </w:t>
      </w:r>
      <w:r w:rsidRPr="00540E7A">
        <w:rPr>
          <w:b/>
          <w:bCs/>
          <w:i/>
          <w:iCs/>
        </w:rPr>
        <w:t>Wilkinson v Downton</w:t>
      </w:r>
    </w:p>
    <w:p w14:paraId="421995CE" w14:textId="2056CDC0" w:rsidR="00540E7A" w:rsidRDefault="00540E7A" w:rsidP="00540E7A">
      <w:r w:rsidRPr="00D76193">
        <w:rPr>
          <w:i/>
          <w:iCs/>
        </w:rPr>
        <w:t>Wilkinson v Downton</w:t>
      </w:r>
      <w:r>
        <w:t xml:space="preserve"> [1897] 2 Q.B. 57</w:t>
      </w:r>
      <w:r>
        <w:t xml:space="preserve">: </w:t>
      </w:r>
      <w:r>
        <w:t>As a joke, the defendant falsely told the claimant that her husband had been involved in an accident in which he had been seriously injured.</w:t>
      </w:r>
      <w:r>
        <w:t xml:space="preserve"> </w:t>
      </w:r>
      <w:r>
        <w:t xml:space="preserve">Held: He had </w:t>
      </w:r>
      <w:r>
        <w:t>“</w:t>
      </w:r>
      <w:r>
        <w:t xml:space="preserve">wilfully done an act calculated to cause physical harm to the female [claimant] – that is to say, infringe her right to personal safety, and thereby in fact caused physical harm to her. That proposition, without more appears to me to state a good cause of action, there being no justification alleged for the </w:t>
      </w:r>
      <w:proofErr w:type="gramStart"/>
      <w:r>
        <w:t>act</w:t>
      </w:r>
      <w:r>
        <w:t>”</w:t>
      </w:r>
      <w:proofErr w:type="gramEnd"/>
    </w:p>
    <w:p w14:paraId="2154DBB7" w14:textId="3835A606" w:rsidR="00540E7A" w:rsidRDefault="00540E7A" w:rsidP="00D76193">
      <w:pPr>
        <w:spacing w:after="0"/>
      </w:pPr>
      <w:r>
        <w:t>The current criteria:</w:t>
      </w:r>
    </w:p>
    <w:p w14:paraId="4F7DAF1B" w14:textId="269E2FF9" w:rsidR="00540E7A" w:rsidRDefault="00540E7A" w:rsidP="00540E7A">
      <w:pPr>
        <w:pStyle w:val="ListParagraph"/>
        <w:numPr>
          <w:ilvl w:val="0"/>
          <w:numId w:val="26"/>
        </w:numPr>
      </w:pPr>
      <w:r>
        <w:t xml:space="preserve">Conduct Element: The defendant must “use words or conduct directed to the claimant for which there is no justification or reasonable excuse” </w:t>
      </w:r>
    </w:p>
    <w:p w14:paraId="51FE357F" w14:textId="42CDF47A" w:rsidR="00540E7A" w:rsidRDefault="00540E7A" w:rsidP="00540E7A">
      <w:pPr>
        <w:pStyle w:val="ListParagraph"/>
        <w:numPr>
          <w:ilvl w:val="0"/>
          <w:numId w:val="26"/>
        </w:numPr>
      </w:pPr>
      <w:r>
        <w:t>Mental Element: The words or conduct must be intended to cause the claimant physical harm or severe mental or emotional distress.</w:t>
      </w:r>
    </w:p>
    <w:p w14:paraId="3805A005" w14:textId="763B0A11" w:rsidR="00540E7A" w:rsidRDefault="00540E7A" w:rsidP="00540E7A">
      <w:pPr>
        <w:pStyle w:val="ListParagraph"/>
        <w:numPr>
          <w:ilvl w:val="1"/>
          <w:numId w:val="26"/>
        </w:numPr>
      </w:pPr>
      <w:r>
        <w:t>Recklessness is not sufficient (</w:t>
      </w:r>
      <w:r w:rsidRPr="00540E7A">
        <w:rPr>
          <w:i/>
          <w:iCs/>
        </w:rPr>
        <w:t>Rhodes</w:t>
      </w:r>
      <w:r>
        <w:t>)</w:t>
      </w:r>
    </w:p>
    <w:p w14:paraId="0467FC7E" w14:textId="77777777" w:rsidR="00D76193" w:rsidRDefault="00540E7A" w:rsidP="00540E7A">
      <w:pPr>
        <w:pStyle w:val="ListParagraph"/>
        <w:numPr>
          <w:ilvl w:val="0"/>
          <w:numId w:val="26"/>
        </w:numPr>
      </w:pPr>
      <w:r>
        <w:t xml:space="preserve">Consequence Element: The claimant must suffer physical harm or a recognised psychological injury </w:t>
      </w:r>
      <w:proofErr w:type="gramStart"/>
      <w:r>
        <w:t>as a consequence</w:t>
      </w:r>
      <w:proofErr w:type="gramEnd"/>
      <w:r>
        <w:t>.</w:t>
      </w:r>
    </w:p>
    <w:p w14:paraId="7E30FBB7" w14:textId="77777777" w:rsidR="00D76193" w:rsidRDefault="00540E7A" w:rsidP="00540E7A">
      <w:pPr>
        <w:pStyle w:val="ListParagraph"/>
        <w:numPr>
          <w:ilvl w:val="1"/>
          <w:numId w:val="26"/>
        </w:numPr>
      </w:pPr>
      <w:r>
        <w:t>Emotional distress is not sufficient.</w:t>
      </w:r>
      <w:r w:rsidR="00D76193">
        <w:t xml:space="preserve"> </w:t>
      </w:r>
    </w:p>
    <w:p w14:paraId="71855FA2" w14:textId="3A0C1FE9" w:rsidR="00540E7A" w:rsidRDefault="00540E7A" w:rsidP="00540E7A">
      <w:pPr>
        <w:pStyle w:val="ListParagraph"/>
        <w:numPr>
          <w:ilvl w:val="1"/>
          <w:numId w:val="26"/>
        </w:numPr>
      </w:pPr>
      <w:r>
        <w:t>It is not actionable per se.</w:t>
      </w:r>
    </w:p>
    <w:p w14:paraId="0FEB7770" w14:textId="7D79732B" w:rsidR="00540E7A" w:rsidRDefault="00D76193" w:rsidP="003333E7">
      <w:r w:rsidRPr="00D76193">
        <w:rPr>
          <w:i/>
          <w:iCs/>
        </w:rPr>
        <w:t>Wainwright v Home Office</w:t>
      </w:r>
      <w:r>
        <w:t xml:space="preserve"> [2003] UKHL 53</w:t>
      </w:r>
      <w:r>
        <w:t xml:space="preserve">: </w:t>
      </w:r>
      <w:r>
        <w:t xml:space="preserve">Mrs Wainwright and her son had been subjected to strip searches by prison officers while visiting a family member in Leeds prison, which were not conducted according to the prison rules. Both were left visibly distressed by the experience. Held: No claim under the rule in </w:t>
      </w:r>
      <w:r w:rsidRPr="00D76193">
        <w:rPr>
          <w:i/>
          <w:iCs/>
        </w:rPr>
        <w:t>Wilkinson v Downtown</w:t>
      </w:r>
      <w:r>
        <w:t xml:space="preserve"> as (a) not sufficient intention or recklessness to cause harm by the prison officers, and (b) no recognised psychiatric harm caused.</w:t>
      </w:r>
    </w:p>
    <w:p w14:paraId="400A03A2" w14:textId="7406628A" w:rsidR="00D76193" w:rsidRDefault="00D76193" w:rsidP="003333E7">
      <w:pPr>
        <w:spacing w:after="0"/>
      </w:pPr>
      <w:r w:rsidRPr="003333E7">
        <w:rPr>
          <w:i/>
          <w:iCs/>
        </w:rPr>
        <w:t>Rhodes v OPO</w:t>
      </w:r>
      <w:r>
        <w:t xml:space="preserve"> [2015] UKSC 32</w:t>
      </w:r>
      <w:r>
        <w:t xml:space="preserve">: </w:t>
      </w:r>
      <w:r>
        <w:t>Pianist wished to publish his autobiography, including details of the sexual abuse he suffered in school and his consequent mental health issues. An action to prevent publication was brought under the Rule on behalf of his son who it was argued would be distressed by the publication.</w:t>
      </w:r>
      <w:r>
        <w:t xml:space="preserve"> </w:t>
      </w:r>
      <w:r>
        <w:t>Held:</w:t>
      </w:r>
    </w:p>
    <w:p w14:paraId="605DF6AA" w14:textId="29F093BE" w:rsidR="00D76193" w:rsidRDefault="00D76193" w:rsidP="00D76193">
      <w:pPr>
        <w:pStyle w:val="ListParagraph"/>
        <w:numPr>
          <w:ilvl w:val="0"/>
          <w:numId w:val="28"/>
        </w:numPr>
      </w:pPr>
      <w:r>
        <w:t>Conduct element: The book was not without “justification or reasonable excuse”.</w:t>
      </w:r>
      <w:r>
        <w:t xml:space="preserve"> (</w:t>
      </w:r>
      <w:r>
        <w:t>Court noted the importance of Freedom of Expression.</w:t>
      </w:r>
      <w:r>
        <w:t>)</w:t>
      </w:r>
    </w:p>
    <w:p w14:paraId="0FCCCA07" w14:textId="039B74E2" w:rsidR="00D76193" w:rsidRDefault="00D76193" w:rsidP="00D76193">
      <w:pPr>
        <w:pStyle w:val="ListParagraph"/>
        <w:numPr>
          <w:ilvl w:val="0"/>
          <w:numId w:val="28"/>
        </w:numPr>
      </w:pPr>
      <w:r>
        <w:t>Mental element: the defendant had no intention to cause psychological harm or serve distress. Departing from Wainwright the Court held that recklessness was not enough.</w:t>
      </w:r>
    </w:p>
    <w:p w14:paraId="7C6A6B00" w14:textId="2DF8B487" w:rsidR="00D76193" w:rsidRDefault="00D76193" w:rsidP="00D76193">
      <w:pPr>
        <w:pStyle w:val="ListParagraph"/>
        <w:numPr>
          <w:ilvl w:val="0"/>
          <w:numId w:val="28"/>
        </w:numPr>
      </w:pPr>
      <w:r>
        <w:t>Consequence element: no psychiatric or injury caused.</w:t>
      </w:r>
    </w:p>
    <w:p w14:paraId="39326B52" w14:textId="23B69A5C" w:rsidR="003333E7" w:rsidRDefault="003333E7" w:rsidP="003333E7"/>
    <w:p w14:paraId="5850F0F7" w14:textId="77777777" w:rsidR="003333E7" w:rsidRPr="003333E7" w:rsidRDefault="003333E7" w:rsidP="003333E7">
      <w:pPr>
        <w:spacing w:after="0"/>
        <w:rPr>
          <w:b/>
          <w:bCs/>
        </w:rPr>
      </w:pPr>
      <w:r w:rsidRPr="003333E7">
        <w:rPr>
          <w:b/>
          <w:bCs/>
        </w:rPr>
        <w:t>The Protection from Harassment Act 1998</w:t>
      </w:r>
    </w:p>
    <w:p w14:paraId="7CBF1D17" w14:textId="77777777" w:rsidR="003333E7" w:rsidRDefault="003333E7" w:rsidP="003333E7">
      <w:pPr>
        <w:pStyle w:val="ListParagraph"/>
        <w:numPr>
          <w:ilvl w:val="0"/>
          <w:numId w:val="30"/>
        </w:numPr>
      </w:pPr>
      <w:r>
        <w:t>The Protection from Harassment Act 1998 creates a statutory tort. It goes beyond the common law by providing protection from distress. (Distress is not a medically recognised psychiatric injury.) Primary remedy under the Act is an injunction to prevent harassing conduct.</w:t>
      </w:r>
    </w:p>
    <w:p w14:paraId="2F4C92DD" w14:textId="4ACC0260" w:rsidR="003333E7" w:rsidRDefault="003333E7" w:rsidP="003333E7">
      <w:pPr>
        <w:pStyle w:val="ListParagraph"/>
        <w:numPr>
          <w:ilvl w:val="0"/>
          <w:numId w:val="30"/>
        </w:numPr>
      </w:pPr>
      <w:r>
        <w:t>The Act defines ‘harassment’ broadly: it “include[s] alarming the person and causing distress”. (S 7(2)) However, mere irritations and annoyances are not enough, the conduct must reach a level of “oppressive and unacceptable” (</w:t>
      </w:r>
      <w:r w:rsidRPr="003333E7">
        <w:rPr>
          <w:i/>
          <w:iCs/>
        </w:rPr>
        <w:t xml:space="preserve">R v </w:t>
      </w:r>
      <w:proofErr w:type="spellStart"/>
      <w:r w:rsidRPr="003333E7">
        <w:rPr>
          <w:i/>
          <w:iCs/>
        </w:rPr>
        <w:t>Majrowski</w:t>
      </w:r>
      <w:proofErr w:type="spellEnd"/>
      <w:r>
        <w:t>)</w:t>
      </w:r>
    </w:p>
    <w:p w14:paraId="0F840301" w14:textId="5EB211F6" w:rsidR="003333E7" w:rsidRDefault="003333E7" w:rsidP="003333E7">
      <w:pPr>
        <w:pStyle w:val="ListParagraph"/>
        <w:numPr>
          <w:ilvl w:val="0"/>
          <w:numId w:val="30"/>
        </w:numPr>
      </w:pPr>
      <w:r>
        <w:t>Prohibition of harassment</w:t>
      </w:r>
      <w:r>
        <w:t xml:space="preserve">: </w:t>
      </w:r>
      <w:r>
        <w:t>(1) A person must not pursue a course of conduct—(a) which amounts to harassment of another, and</w:t>
      </w:r>
      <w:r>
        <w:t xml:space="preserve"> </w:t>
      </w:r>
      <w:r>
        <w:t>(b) which he knows or ought to know amounts to harassment of the other</w:t>
      </w:r>
      <w:r>
        <w:t>.</w:t>
      </w:r>
    </w:p>
    <w:p w14:paraId="7067EB8C" w14:textId="47CD66C2" w:rsidR="003333E7" w:rsidRDefault="003333E7" w:rsidP="003333E7">
      <w:pPr>
        <w:pStyle w:val="ListParagraph"/>
        <w:numPr>
          <w:ilvl w:val="0"/>
          <w:numId w:val="30"/>
        </w:numPr>
      </w:pPr>
      <w:r w:rsidRPr="003333E7">
        <w:rPr>
          <w:i/>
          <w:iCs/>
        </w:rPr>
        <w:t>Levi v Bates</w:t>
      </w:r>
      <w:r>
        <w:t xml:space="preserve"> [2015] EWCA </w:t>
      </w:r>
      <w:proofErr w:type="spellStart"/>
      <w:r>
        <w:t>Civ</w:t>
      </w:r>
      <w:proofErr w:type="spellEnd"/>
      <w:r>
        <w:t xml:space="preserve"> 206</w:t>
      </w:r>
      <w:r>
        <w:t xml:space="preserve">: </w:t>
      </w:r>
      <w:r>
        <w:t>The defendant pursued a course of conduct aimed at the claimant’s husband, including publishing his address and phone number, which the defendant knew the husband shared with the claimant.</w:t>
      </w:r>
      <w:r>
        <w:t xml:space="preserve"> </w:t>
      </w:r>
      <w:r>
        <w:t>Held: Defendant liable. “[T]he ability to bring a harassment claim extended beyond the targeted individual only to those other persons who had been foreseeably, and directly, harmed by the course of targeted conduct of which complaint was made, to the extent that they could properly be described as victims of it.”</w:t>
      </w:r>
    </w:p>
    <w:p w14:paraId="68DF3804" w14:textId="77777777" w:rsidR="003333E7" w:rsidRDefault="003333E7" w:rsidP="003333E7">
      <w:pPr>
        <w:pStyle w:val="ListParagraph"/>
        <w:numPr>
          <w:ilvl w:val="0"/>
          <w:numId w:val="30"/>
        </w:numPr>
      </w:pPr>
      <w:r>
        <w:t>Test to be applied to establish whether we are concerned with harassment: “a reasonable person in possession of the same information would think the course of conduct amounted to harassment”. (S 1(2))</w:t>
      </w:r>
    </w:p>
    <w:p w14:paraId="5E4258E5" w14:textId="77777777" w:rsidR="003333E7" w:rsidRDefault="003333E7" w:rsidP="003333E7">
      <w:pPr>
        <w:pStyle w:val="ListParagraph"/>
        <w:numPr>
          <w:ilvl w:val="1"/>
          <w:numId w:val="30"/>
        </w:numPr>
      </w:pPr>
      <w:r w:rsidRPr="003333E7">
        <w:rPr>
          <w:i/>
          <w:iCs/>
        </w:rPr>
        <w:t>Course of Conduct</w:t>
      </w:r>
      <w:r>
        <w:t xml:space="preserve">: Generally, a single act will not be sufficient … it should involve conduct on at least two occasions. (S7(3)(a) and (b)) </w:t>
      </w:r>
    </w:p>
    <w:p w14:paraId="2DEBEB8F" w14:textId="01A7CABB" w:rsidR="003333E7" w:rsidRDefault="003333E7" w:rsidP="0052472F">
      <w:pPr>
        <w:pStyle w:val="ListParagraph"/>
        <w:numPr>
          <w:ilvl w:val="1"/>
          <w:numId w:val="30"/>
        </w:numPr>
      </w:pPr>
      <w:r>
        <w:t>Courts have adopted a flexible approach to “course of conduct”:</w:t>
      </w:r>
      <w:r w:rsidR="0052472F">
        <w:t xml:space="preserve"> </w:t>
      </w:r>
      <w:r w:rsidR="0052472F" w:rsidRPr="0052472F">
        <w:t>James v DPP [2009] EWHC 2925 (Admin)</w:t>
      </w:r>
      <w:r w:rsidR="0052472F">
        <w:t xml:space="preserve"> = </w:t>
      </w:r>
      <w:r w:rsidR="0052472F" w:rsidRPr="0052472F">
        <w:t xml:space="preserve">“course of conduct” refers to </w:t>
      </w:r>
      <w:proofErr w:type="gramStart"/>
      <w:r w:rsidR="0052472F" w:rsidRPr="0052472F">
        <w:t>a number of</w:t>
      </w:r>
      <w:proofErr w:type="gramEnd"/>
      <w:r w:rsidR="0052472F" w:rsidRPr="0052472F">
        <w:t xml:space="preserve"> incidents that must be similar in type and context. It is unlikely that fewer incidents that are further apart in time will constitute a “course of conduct”. It is all a question of fact. However, the court interpreted the test broadly as including cases where the victim had a duty to contact the defendant</w:t>
      </w:r>
      <w:r w:rsidR="0052472F">
        <w:t>.</w:t>
      </w:r>
    </w:p>
    <w:p w14:paraId="1D191BA3" w14:textId="0B16C05D" w:rsidR="0052472F" w:rsidRPr="00540E7A" w:rsidRDefault="0052472F" w:rsidP="0052472F">
      <w:pPr>
        <w:pStyle w:val="ListParagraph"/>
        <w:numPr>
          <w:ilvl w:val="0"/>
          <w:numId w:val="30"/>
        </w:numPr>
      </w:pPr>
      <w:r>
        <w:t>Defences</w:t>
      </w:r>
      <w:r>
        <w:t xml:space="preserve">: </w:t>
      </w:r>
      <w:r>
        <w:t>Section 1(3) provides that the prohibition of harassment does not apply to a course of conduct if the person who pursued it shows—(a) that it was pursued for the purpose of preventing or detecting crime,</w:t>
      </w:r>
      <w:r>
        <w:t xml:space="preserve"> </w:t>
      </w:r>
      <w:r>
        <w:t>(b) that it was pursued under any enactment or rule of law or to comply with any condition or requirement imposed by any person under any enactment, or</w:t>
      </w:r>
      <w:r>
        <w:t xml:space="preserve"> </w:t>
      </w:r>
      <w:r>
        <w:t>(c) that in the particular circumstances the pursuit of the course of conduct was reasonable.</w:t>
      </w:r>
    </w:p>
    <w:sectPr w:rsidR="0052472F" w:rsidRPr="00540E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ヒラギノ角ゴ Pro W3">
    <w:altName w:val="Yu Gothic UI"/>
    <w:charset w:val="80"/>
    <w:family w:val="auto"/>
    <w:pitch w:val="variable"/>
    <w:sig w:usb0="00000000" w:usb1="7AC7FFFF" w:usb2="00000012" w:usb3="00000000" w:csb0="0002000D" w:csb1="00000000"/>
  </w:font>
  <w:font w:name="Wingdings">
    <w:panose1 w:val="05000000000000000000"/>
    <w:charset w:val="02"/>
    <w:family w:val="auto"/>
    <w:pitch w:val="variable"/>
    <w:sig w:usb0="00000000" w:usb1="10000000" w:usb2="00000000" w:usb3="00000000" w:csb0="80000000" w:csb1="00000000"/>
  </w:font>
  <w:font w:name="Lucida Grande">
    <w:charset w:val="00"/>
    <w:family w:val="swiss"/>
    <w:pitch w:val="variable"/>
    <w:sig w:usb0="E1000AEF" w:usb1="5000A1FF" w:usb2="00000000" w:usb3="00000000" w:csb0="000001B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894EE877"/>
    <w:lvl w:ilvl="0">
      <w:start w:val="1"/>
      <w:numFmt w:val="decimal"/>
      <w:isLgl/>
      <w:lvlText w:val="%1."/>
      <w:lvlJc w:val="left"/>
      <w:pPr>
        <w:tabs>
          <w:tab w:val="num" w:pos="360"/>
        </w:tabs>
        <w:ind w:left="360" w:firstLine="360"/>
      </w:pPr>
      <w:rPr>
        <w:rFonts w:hint="default"/>
        <w:color w:val="000000"/>
        <w:position w:val="0"/>
        <w:sz w:val="24"/>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1" w15:restartNumberingAfterBreak="0">
    <w:nsid w:val="06FF15B2"/>
    <w:multiLevelType w:val="hybridMultilevel"/>
    <w:tmpl w:val="1186AA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D274270"/>
    <w:multiLevelType w:val="hybridMultilevel"/>
    <w:tmpl w:val="A9C6A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4B67BB"/>
    <w:multiLevelType w:val="hybridMultilevel"/>
    <w:tmpl w:val="84E4B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7968BE"/>
    <w:multiLevelType w:val="hybridMultilevel"/>
    <w:tmpl w:val="359645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4253CD"/>
    <w:multiLevelType w:val="hybridMultilevel"/>
    <w:tmpl w:val="4A7CE7FC"/>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91C0A3A"/>
    <w:multiLevelType w:val="hybridMultilevel"/>
    <w:tmpl w:val="09EE3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E72B39"/>
    <w:multiLevelType w:val="hybridMultilevel"/>
    <w:tmpl w:val="ED16FB90"/>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1FD1E00"/>
    <w:multiLevelType w:val="hybridMultilevel"/>
    <w:tmpl w:val="84B24102"/>
    <w:lvl w:ilvl="0" w:tplc="43F8E654">
      <w:start w:val="1"/>
      <w:numFmt w:val="decimal"/>
      <w:lvlText w:val="%1."/>
      <w:lvlJc w:val="left"/>
      <w:pPr>
        <w:ind w:left="360" w:hanging="360"/>
      </w:pPr>
      <w:rPr>
        <w:rFonts w:hint="default"/>
        <w:i w:val="0"/>
        <w:i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4F87808"/>
    <w:multiLevelType w:val="hybridMultilevel"/>
    <w:tmpl w:val="6D8AB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761578"/>
    <w:multiLevelType w:val="hybridMultilevel"/>
    <w:tmpl w:val="41361972"/>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C975BD6"/>
    <w:multiLevelType w:val="hybridMultilevel"/>
    <w:tmpl w:val="236E8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8A39BF"/>
    <w:multiLevelType w:val="hybridMultilevel"/>
    <w:tmpl w:val="F5881154"/>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CE0002"/>
    <w:multiLevelType w:val="hybridMultilevel"/>
    <w:tmpl w:val="2206B290"/>
    <w:lvl w:ilvl="0" w:tplc="C90EA508">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BAF559C"/>
    <w:multiLevelType w:val="hybridMultilevel"/>
    <w:tmpl w:val="145EDD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E9A5689"/>
    <w:multiLevelType w:val="hybridMultilevel"/>
    <w:tmpl w:val="4190AC84"/>
    <w:lvl w:ilvl="0" w:tplc="BABA2B1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CA735A"/>
    <w:multiLevelType w:val="hybridMultilevel"/>
    <w:tmpl w:val="C06EB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8D5180"/>
    <w:multiLevelType w:val="hybridMultilevel"/>
    <w:tmpl w:val="B00A1C3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4DAE4820"/>
    <w:multiLevelType w:val="hybridMultilevel"/>
    <w:tmpl w:val="85965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C612A1"/>
    <w:multiLevelType w:val="hybridMultilevel"/>
    <w:tmpl w:val="8BBE7CCA"/>
    <w:lvl w:ilvl="0" w:tplc="0809000F">
      <w:start w:val="1"/>
      <w:numFmt w:val="decimal"/>
      <w:lvlText w:val="%1."/>
      <w:lvlJc w:val="left"/>
      <w:pPr>
        <w:ind w:left="1080" w:hanging="360"/>
      </w:pPr>
      <w:rPr>
        <w:rFonts w:hint="default"/>
      </w:rPr>
    </w:lvl>
    <w:lvl w:ilvl="1" w:tplc="F0688852">
      <w:start w:val="1"/>
      <w:numFmt w:val="decimal"/>
      <w:lvlText w:val="(%2)"/>
      <w:lvlJc w:val="left"/>
      <w:pPr>
        <w:ind w:left="2160" w:hanging="72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51EC09DB"/>
    <w:multiLevelType w:val="hybridMultilevel"/>
    <w:tmpl w:val="85C0A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C44AD0"/>
    <w:multiLevelType w:val="hybridMultilevel"/>
    <w:tmpl w:val="23A4B08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3404C19"/>
    <w:multiLevelType w:val="hybridMultilevel"/>
    <w:tmpl w:val="E74A800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635C1076"/>
    <w:multiLevelType w:val="hybridMultilevel"/>
    <w:tmpl w:val="498AAED4"/>
    <w:lvl w:ilvl="0" w:tplc="BABA2B1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6FF1AAC"/>
    <w:multiLevelType w:val="hybridMultilevel"/>
    <w:tmpl w:val="CEF4015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7B379AF"/>
    <w:multiLevelType w:val="hybridMultilevel"/>
    <w:tmpl w:val="6310D6D8"/>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A883D1E"/>
    <w:multiLevelType w:val="hybridMultilevel"/>
    <w:tmpl w:val="0CA44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610B9F"/>
    <w:multiLevelType w:val="hybridMultilevel"/>
    <w:tmpl w:val="33941402"/>
    <w:lvl w:ilvl="0" w:tplc="08090011">
      <w:start w:val="1"/>
      <w:numFmt w:val="decimal"/>
      <w:lvlText w:val="%1)"/>
      <w:lvlJc w:val="left"/>
      <w:pPr>
        <w:ind w:left="360" w:hanging="360"/>
      </w:pPr>
      <w:rPr>
        <w:rFonts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7B0F4B8C"/>
    <w:multiLevelType w:val="hybridMultilevel"/>
    <w:tmpl w:val="4A90ED32"/>
    <w:lvl w:ilvl="0" w:tplc="08090011">
      <w:start w:val="1"/>
      <w:numFmt w:val="decimal"/>
      <w:lvlText w:val="%1)"/>
      <w:lvlJc w:val="left"/>
      <w:pPr>
        <w:ind w:left="360" w:hanging="360"/>
      </w:pPr>
      <w:rPr>
        <w:rFonts w:hint="default"/>
      </w:rPr>
    </w:lvl>
    <w:lvl w:ilvl="1" w:tplc="08090001">
      <w:start w:val="1"/>
      <w:numFmt w:val="bullet"/>
      <w:lvlText w:val=""/>
      <w:lvlJc w:val="left"/>
      <w:pPr>
        <w:ind w:left="72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7EE55FA7"/>
    <w:multiLevelType w:val="hybridMultilevel"/>
    <w:tmpl w:val="4A285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3917856">
    <w:abstractNumId w:val="13"/>
  </w:num>
  <w:num w:numId="2" w16cid:durableId="849758529">
    <w:abstractNumId w:val="2"/>
  </w:num>
  <w:num w:numId="3" w16cid:durableId="1521314831">
    <w:abstractNumId w:val="16"/>
  </w:num>
  <w:num w:numId="4" w16cid:durableId="91322866">
    <w:abstractNumId w:val="6"/>
  </w:num>
  <w:num w:numId="5" w16cid:durableId="579827252">
    <w:abstractNumId w:val="26"/>
  </w:num>
  <w:num w:numId="6" w16cid:durableId="2122918010">
    <w:abstractNumId w:val="10"/>
  </w:num>
  <w:num w:numId="7" w16cid:durableId="1185703375">
    <w:abstractNumId w:val="29"/>
  </w:num>
  <w:num w:numId="8" w16cid:durableId="2138183466">
    <w:abstractNumId w:val="0"/>
  </w:num>
  <w:num w:numId="9" w16cid:durableId="814377249">
    <w:abstractNumId w:val="22"/>
  </w:num>
  <w:num w:numId="10" w16cid:durableId="769160417">
    <w:abstractNumId w:val="9"/>
  </w:num>
  <w:num w:numId="11" w16cid:durableId="1072697625">
    <w:abstractNumId w:val="8"/>
  </w:num>
  <w:num w:numId="12" w16cid:durableId="1229345085">
    <w:abstractNumId w:val="23"/>
  </w:num>
  <w:num w:numId="13" w16cid:durableId="1815414233">
    <w:abstractNumId w:val="28"/>
  </w:num>
  <w:num w:numId="14" w16cid:durableId="2019118097">
    <w:abstractNumId w:val="24"/>
  </w:num>
  <w:num w:numId="15" w16cid:durableId="1174611890">
    <w:abstractNumId w:val="7"/>
  </w:num>
  <w:num w:numId="16" w16cid:durableId="926040264">
    <w:abstractNumId w:val="15"/>
  </w:num>
  <w:num w:numId="17" w16cid:durableId="1838811530">
    <w:abstractNumId w:val="27"/>
  </w:num>
  <w:num w:numId="18" w16cid:durableId="1899785209">
    <w:abstractNumId w:val="1"/>
  </w:num>
  <w:num w:numId="19" w16cid:durableId="1070225220">
    <w:abstractNumId w:val="5"/>
  </w:num>
  <w:num w:numId="20" w16cid:durableId="1972442565">
    <w:abstractNumId w:val="21"/>
  </w:num>
  <w:num w:numId="21" w16cid:durableId="1171094287">
    <w:abstractNumId w:val="19"/>
  </w:num>
  <w:num w:numId="22" w16cid:durableId="1857632">
    <w:abstractNumId w:val="11"/>
  </w:num>
  <w:num w:numId="23" w16cid:durableId="1584340792">
    <w:abstractNumId w:val="18"/>
  </w:num>
  <w:num w:numId="24" w16cid:durableId="601768330">
    <w:abstractNumId w:val="4"/>
  </w:num>
  <w:num w:numId="25" w16cid:durableId="1493184139">
    <w:abstractNumId w:val="17"/>
  </w:num>
  <w:num w:numId="26" w16cid:durableId="354699109">
    <w:abstractNumId w:val="12"/>
  </w:num>
  <w:num w:numId="27" w16cid:durableId="581334377">
    <w:abstractNumId w:val="3"/>
  </w:num>
  <w:num w:numId="28" w16cid:durableId="2120682041">
    <w:abstractNumId w:val="20"/>
  </w:num>
  <w:num w:numId="29" w16cid:durableId="1327326267">
    <w:abstractNumId w:val="14"/>
  </w:num>
  <w:num w:numId="30" w16cid:durableId="4134053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7A0"/>
    <w:rsid w:val="000417A0"/>
    <w:rsid w:val="00070812"/>
    <w:rsid w:val="00092FA6"/>
    <w:rsid w:val="000F4C0F"/>
    <w:rsid w:val="0019026F"/>
    <w:rsid w:val="001B5D16"/>
    <w:rsid w:val="001E01D2"/>
    <w:rsid w:val="002A70AD"/>
    <w:rsid w:val="002C1F1D"/>
    <w:rsid w:val="003333E7"/>
    <w:rsid w:val="00361F20"/>
    <w:rsid w:val="0052472F"/>
    <w:rsid w:val="00540E7A"/>
    <w:rsid w:val="006A09E8"/>
    <w:rsid w:val="007918A5"/>
    <w:rsid w:val="007A3E05"/>
    <w:rsid w:val="007D0FB9"/>
    <w:rsid w:val="009C75E9"/>
    <w:rsid w:val="00AA4C8C"/>
    <w:rsid w:val="00C1791E"/>
    <w:rsid w:val="00D76193"/>
    <w:rsid w:val="00DE5D94"/>
    <w:rsid w:val="00DE7FE5"/>
    <w:rsid w:val="00E07BED"/>
    <w:rsid w:val="00E26A0F"/>
    <w:rsid w:val="00ED1D7B"/>
    <w:rsid w:val="00F749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DFB7D"/>
  <w15:chartTrackingRefBased/>
  <w15:docId w15:val="{5A8C440A-EFC2-4F92-BB4D-1B891541C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7A0"/>
    <w:pPr>
      <w:jc w:val="both"/>
    </w:pPr>
    <w:rPr>
      <w:rFonts w:ascii="Arial" w:hAnsi="Arial"/>
      <w:kern w:val="0"/>
      <w:sz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17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3320</Words>
  <Characters>18924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Camilla Pickles</dc:creator>
  <cp:keywords/>
  <dc:description/>
  <cp:lastModifiedBy>PICKLES, CAMILLA M.S.</cp:lastModifiedBy>
  <cp:revision>2</cp:revision>
  <dcterms:created xsi:type="dcterms:W3CDTF">2024-01-08T11:46:00Z</dcterms:created>
  <dcterms:modified xsi:type="dcterms:W3CDTF">2024-01-08T11:46:00Z</dcterms:modified>
</cp:coreProperties>
</file>