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05CC0" w14:textId="77777777" w:rsidR="00191113" w:rsidRPr="004F293D" w:rsidRDefault="00191113" w:rsidP="00191113">
      <w:pPr>
        <w:jc w:val="left"/>
        <w:rPr>
          <w:b/>
          <w:bCs/>
          <w:sz w:val="32"/>
          <w:szCs w:val="32"/>
        </w:rPr>
      </w:pPr>
      <w:r w:rsidRPr="004F293D">
        <w:rPr>
          <w:b/>
          <w:bCs/>
          <w:sz w:val="32"/>
          <w:szCs w:val="32"/>
        </w:rPr>
        <w:t>TORT LAW</w:t>
      </w:r>
      <w:r>
        <w:rPr>
          <w:b/>
          <w:bCs/>
          <w:sz w:val="32"/>
          <w:szCs w:val="32"/>
        </w:rPr>
        <w:t xml:space="preserve"> (2023-24)</w:t>
      </w:r>
    </w:p>
    <w:p w14:paraId="7F12DE2E" w14:textId="3729FF8A" w:rsidR="00191113" w:rsidRPr="004F293D" w:rsidRDefault="00191113" w:rsidP="00191113">
      <w:pPr>
        <w:jc w:val="left"/>
        <w:rPr>
          <w:b/>
          <w:bCs/>
          <w:sz w:val="32"/>
          <w:szCs w:val="32"/>
        </w:rPr>
      </w:pPr>
      <w:r w:rsidRPr="004F293D">
        <w:rPr>
          <w:b/>
          <w:bCs/>
          <w:sz w:val="32"/>
          <w:szCs w:val="32"/>
        </w:rPr>
        <w:t xml:space="preserve">LECTURE </w:t>
      </w:r>
      <w:r>
        <w:rPr>
          <w:b/>
          <w:bCs/>
          <w:sz w:val="32"/>
          <w:szCs w:val="32"/>
        </w:rPr>
        <w:t>SIX AND SEVEN</w:t>
      </w:r>
      <w:r w:rsidRPr="004F293D">
        <w:rPr>
          <w:b/>
          <w:bCs/>
          <w:sz w:val="32"/>
          <w:szCs w:val="32"/>
        </w:rPr>
        <w:t xml:space="preserve">: </w:t>
      </w:r>
      <w:r>
        <w:rPr>
          <w:b/>
          <w:bCs/>
          <w:sz w:val="32"/>
          <w:szCs w:val="32"/>
        </w:rPr>
        <w:t>CAUSATION</w:t>
      </w:r>
    </w:p>
    <w:p w14:paraId="11E27FE7" w14:textId="77777777" w:rsidR="00191113" w:rsidRPr="004F293D" w:rsidRDefault="00191113" w:rsidP="00191113">
      <w:pPr>
        <w:jc w:val="left"/>
        <w:rPr>
          <w:b/>
          <w:bCs/>
        </w:rPr>
      </w:pPr>
      <w:r w:rsidRPr="004F293D">
        <w:rPr>
          <w:b/>
          <w:bCs/>
        </w:rPr>
        <w:t>Dr Camilla Pickles</w:t>
      </w:r>
    </w:p>
    <w:p w14:paraId="395177B1" w14:textId="77777777" w:rsidR="00191113" w:rsidRDefault="00191113" w:rsidP="00191113"/>
    <w:p w14:paraId="056992AD" w14:textId="77777777" w:rsidR="00191113" w:rsidRPr="00AC72AD" w:rsidRDefault="00191113" w:rsidP="00191113">
      <w:pPr>
        <w:spacing w:after="0"/>
        <w:rPr>
          <w:b/>
          <w:bCs/>
        </w:rPr>
      </w:pPr>
      <w:r w:rsidRPr="00AC72AD">
        <w:rPr>
          <w:b/>
          <w:bCs/>
        </w:rPr>
        <w:t>Basic reading</w:t>
      </w:r>
    </w:p>
    <w:p w14:paraId="3E2CB45D" w14:textId="720F3772" w:rsidR="00191113" w:rsidRPr="002201A4" w:rsidRDefault="00191113" w:rsidP="00191113">
      <w:pPr>
        <w:pStyle w:val="ListParagraph"/>
        <w:numPr>
          <w:ilvl w:val="0"/>
          <w:numId w:val="1"/>
        </w:numPr>
        <w:rPr>
          <w:vertAlign w:val="superscript"/>
        </w:rPr>
      </w:pPr>
      <w:r>
        <w:t>Horsey &amp; Rackley, chapter 9</w:t>
      </w:r>
      <w:r w:rsidRPr="006B33CA">
        <w:rPr>
          <w:b/>
          <w:bCs/>
          <w:vertAlign w:val="superscript"/>
        </w:rPr>
        <w:sym w:font="Symbol" w:char="F02A"/>
      </w:r>
      <w:r>
        <w:rPr>
          <w:b/>
          <w:bCs/>
          <w:vertAlign w:val="superscript"/>
        </w:rPr>
        <w:t xml:space="preserve"> </w:t>
      </w:r>
    </w:p>
    <w:p w14:paraId="5410327E" w14:textId="3E477FE9" w:rsidR="00191113" w:rsidRDefault="00191113" w:rsidP="00191113">
      <w:pPr>
        <w:pStyle w:val="ListParagraph"/>
        <w:numPr>
          <w:ilvl w:val="0"/>
          <w:numId w:val="1"/>
        </w:numPr>
      </w:pPr>
      <w:r>
        <w:t xml:space="preserve">Nolan &amp; Oliphant, </w:t>
      </w:r>
      <w:r w:rsidRPr="0061590F">
        <w:t xml:space="preserve">chapter </w:t>
      </w:r>
      <w:r>
        <w:t>5</w:t>
      </w:r>
    </w:p>
    <w:p w14:paraId="0C6DFC65" w14:textId="77777777" w:rsidR="00191113" w:rsidRDefault="00191113" w:rsidP="00191113"/>
    <w:p w14:paraId="72786264" w14:textId="50B61739" w:rsidR="00191113" w:rsidRPr="00422AF8" w:rsidRDefault="00191113" w:rsidP="00191113">
      <w:pPr>
        <w:spacing w:after="0"/>
        <w:rPr>
          <w:b/>
          <w:bCs/>
        </w:rPr>
      </w:pPr>
      <w:r w:rsidRPr="00422AF8">
        <w:rPr>
          <w:b/>
          <w:bCs/>
        </w:rPr>
        <w:t>Case law</w:t>
      </w:r>
      <w:r>
        <w:rPr>
          <w:b/>
          <w:bCs/>
        </w:rPr>
        <w:t xml:space="preserve"> on </w:t>
      </w:r>
      <w:r w:rsidR="000041A1">
        <w:rPr>
          <w:b/>
          <w:bCs/>
        </w:rPr>
        <w:t>factual causation</w:t>
      </w:r>
    </w:p>
    <w:p w14:paraId="1A30F4FD" w14:textId="4FE80310" w:rsidR="00191113" w:rsidRPr="00191113" w:rsidRDefault="00191113" w:rsidP="00191113">
      <w:pPr>
        <w:spacing w:after="0"/>
      </w:pPr>
      <w:r w:rsidRPr="00191113">
        <w:t>But-for causes</w:t>
      </w:r>
      <w:r w:rsidR="00FB321B">
        <w:t>:</w:t>
      </w:r>
    </w:p>
    <w:p w14:paraId="6333546A" w14:textId="625D21A7" w:rsidR="00191113" w:rsidRPr="00191113" w:rsidRDefault="00191113" w:rsidP="00191113">
      <w:pPr>
        <w:pStyle w:val="ListParagraph"/>
        <w:numPr>
          <w:ilvl w:val="0"/>
          <w:numId w:val="3"/>
        </w:numPr>
        <w:rPr>
          <w:i/>
          <w:iCs/>
        </w:rPr>
      </w:pPr>
      <w:r w:rsidRPr="00191113">
        <w:rPr>
          <w:i/>
          <w:iCs/>
        </w:rPr>
        <w:t xml:space="preserve">Barnett v Chelsea and Kensington </w:t>
      </w:r>
      <w:r w:rsidRPr="00191113">
        <w:t>Hospital [1969] 1 QB 428</w:t>
      </w:r>
      <w:r w:rsidRPr="00191113">
        <w:rPr>
          <w:b/>
          <w:bCs/>
          <w:i/>
          <w:iCs/>
        </w:rPr>
        <w:t>*</w:t>
      </w:r>
    </w:p>
    <w:p w14:paraId="32130AD5" w14:textId="12CA6125" w:rsidR="00191113" w:rsidRPr="00191113" w:rsidRDefault="00191113" w:rsidP="000041A1">
      <w:pPr>
        <w:spacing w:after="0"/>
      </w:pPr>
      <w:r w:rsidRPr="00191113">
        <w:t>Concurrent/cumulative causes</w:t>
      </w:r>
      <w:r w:rsidR="00FB321B">
        <w:t>:</w:t>
      </w:r>
    </w:p>
    <w:p w14:paraId="1F936E0A" w14:textId="32EE564C" w:rsidR="00191113" w:rsidRPr="00191113" w:rsidRDefault="00191113" w:rsidP="00191113">
      <w:pPr>
        <w:pStyle w:val="ListParagraph"/>
        <w:numPr>
          <w:ilvl w:val="0"/>
          <w:numId w:val="3"/>
        </w:numPr>
        <w:rPr>
          <w:i/>
          <w:iCs/>
        </w:rPr>
      </w:pPr>
      <w:r w:rsidRPr="00191113">
        <w:rPr>
          <w:i/>
          <w:iCs/>
        </w:rPr>
        <w:t xml:space="preserve">McGhee v National Coal Board </w:t>
      </w:r>
      <w:r w:rsidRPr="00CD4408">
        <w:t>[1973] 1 WLR 1</w:t>
      </w:r>
      <w:r w:rsidR="00CD4408" w:rsidRPr="00CD4408">
        <w:t>*</w:t>
      </w:r>
      <w:r w:rsidR="00CD4408" w:rsidRPr="00191113">
        <w:rPr>
          <w:i/>
          <w:iCs/>
        </w:rPr>
        <w:t xml:space="preserve"> </w:t>
      </w:r>
    </w:p>
    <w:p w14:paraId="419493E5" w14:textId="78FD843B" w:rsidR="00191113" w:rsidRPr="000041A1" w:rsidRDefault="00191113" w:rsidP="000041A1">
      <w:pPr>
        <w:spacing w:after="0"/>
      </w:pPr>
      <w:r w:rsidRPr="000041A1">
        <w:t>Separate causes</w:t>
      </w:r>
      <w:r w:rsidR="00FB321B">
        <w:t>:</w:t>
      </w:r>
    </w:p>
    <w:p w14:paraId="545FA9FF" w14:textId="32FD3061" w:rsidR="00191113" w:rsidRPr="000041A1" w:rsidRDefault="00191113" w:rsidP="00191113">
      <w:pPr>
        <w:pStyle w:val="ListParagraph"/>
        <w:numPr>
          <w:ilvl w:val="0"/>
          <w:numId w:val="3"/>
        </w:numPr>
        <w:rPr>
          <w:b/>
          <w:bCs/>
          <w:i/>
          <w:iCs/>
        </w:rPr>
      </w:pPr>
      <w:r w:rsidRPr="00191113">
        <w:rPr>
          <w:i/>
          <w:iCs/>
        </w:rPr>
        <w:t>Fairchild v Glenhaven Funeral Services Ltd [</w:t>
      </w:r>
      <w:r w:rsidRPr="000041A1">
        <w:t>2002] UKHL 22; [2003] 1 AC 32</w:t>
      </w:r>
      <w:r w:rsidR="000041A1" w:rsidRPr="000041A1">
        <w:rPr>
          <w:b/>
          <w:bCs/>
        </w:rPr>
        <w:t>*</w:t>
      </w:r>
    </w:p>
    <w:p w14:paraId="75096C7B" w14:textId="7FAD91EA" w:rsidR="00191113" w:rsidRPr="00191113" w:rsidRDefault="00191113" w:rsidP="00191113">
      <w:pPr>
        <w:pStyle w:val="ListParagraph"/>
        <w:numPr>
          <w:ilvl w:val="0"/>
          <w:numId w:val="3"/>
        </w:numPr>
        <w:rPr>
          <w:i/>
          <w:iCs/>
        </w:rPr>
      </w:pPr>
      <w:r w:rsidRPr="00191113">
        <w:rPr>
          <w:i/>
          <w:iCs/>
        </w:rPr>
        <w:t>Barker v Corus plc [2006] UKHL 20; [206] 2 AC 572</w:t>
      </w:r>
      <w:r w:rsidR="000041A1" w:rsidRPr="00191113">
        <w:rPr>
          <w:i/>
          <w:iCs/>
        </w:rPr>
        <w:t>*</w:t>
      </w:r>
    </w:p>
    <w:p w14:paraId="0593AA84" w14:textId="1D8C52AF" w:rsidR="00191113" w:rsidRPr="00191113" w:rsidRDefault="00191113" w:rsidP="00191113">
      <w:pPr>
        <w:pStyle w:val="ListParagraph"/>
        <w:numPr>
          <w:ilvl w:val="0"/>
          <w:numId w:val="3"/>
        </w:numPr>
        <w:rPr>
          <w:i/>
          <w:iCs/>
        </w:rPr>
      </w:pPr>
      <w:r w:rsidRPr="000041A1">
        <w:t>Compensation Act 2006, s 3</w:t>
      </w:r>
      <w:r w:rsidR="000041A1" w:rsidRPr="000041A1">
        <w:rPr>
          <w:b/>
          <w:bCs/>
        </w:rPr>
        <w:t>*</w:t>
      </w:r>
    </w:p>
    <w:p w14:paraId="0D0138F0" w14:textId="2B4CCB5B" w:rsidR="00191113" w:rsidRPr="00191113" w:rsidRDefault="00191113" w:rsidP="00191113">
      <w:pPr>
        <w:pStyle w:val="ListParagraph"/>
        <w:numPr>
          <w:ilvl w:val="0"/>
          <w:numId w:val="3"/>
        </w:numPr>
        <w:rPr>
          <w:i/>
          <w:iCs/>
        </w:rPr>
      </w:pPr>
      <w:r w:rsidRPr="00191113">
        <w:rPr>
          <w:i/>
          <w:iCs/>
        </w:rPr>
        <w:t xml:space="preserve">Sienkiewicz v Greif (UK) Ltd [2011] </w:t>
      </w:r>
      <w:r w:rsidRPr="000041A1">
        <w:t>UKSC 10; 2 WLR 523</w:t>
      </w:r>
      <w:r w:rsidR="000041A1" w:rsidRPr="000041A1">
        <w:rPr>
          <w:b/>
          <w:bCs/>
        </w:rPr>
        <w:t>*</w:t>
      </w:r>
    </w:p>
    <w:p w14:paraId="02F1FE65" w14:textId="74A9D93F" w:rsidR="00191113" w:rsidRPr="00191113" w:rsidRDefault="000041A1" w:rsidP="00191113">
      <w:pPr>
        <w:pStyle w:val="ListParagraph"/>
        <w:numPr>
          <w:ilvl w:val="0"/>
          <w:numId w:val="3"/>
        </w:numPr>
        <w:rPr>
          <w:i/>
          <w:iCs/>
        </w:rPr>
      </w:pPr>
      <w:r w:rsidRPr="00191113">
        <w:rPr>
          <w:i/>
          <w:iCs/>
        </w:rPr>
        <w:t xml:space="preserve">Wilsher v Essex Area Health Authority </w:t>
      </w:r>
      <w:r w:rsidRPr="000041A1">
        <w:t>[1988] 1 All ER 871</w:t>
      </w:r>
    </w:p>
    <w:p w14:paraId="18B92CCE" w14:textId="30C6C9B0" w:rsidR="00191113" w:rsidRPr="000041A1" w:rsidRDefault="00191113" w:rsidP="000041A1">
      <w:pPr>
        <w:spacing w:after="0"/>
      </w:pPr>
      <w:r w:rsidRPr="000041A1">
        <w:t>Successive sufficient causes</w:t>
      </w:r>
      <w:r w:rsidR="00FB321B">
        <w:t>:</w:t>
      </w:r>
    </w:p>
    <w:p w14:paraId="12F89297" w14:textId="77777777" w:rsidR="00191113" w:rsidRPr="00191113" w:rsidRDefault="00191113" w:rsidP="00191113">
      <w:pPr>
        <w:pStyle w:val="ListParagraph"/>
        <w:numPr>
          <w:ilvl w:val="0"/>
          <w:numId w:val="3"/>
        </w:numPr>
        <w:rPr>
          <w:i/>
          <w:iCs/>
        </w:rPr>
      </w:pPr>
      <w:r w:rsidRPr="00191113">
        <w:rPr>
          <w:i/>
          <w:iCs/>
        </w:rPr>
        <w:t xml:space="preserve">Performance Cars v Abraham </w:t>
      </w:r>
      <w:r w:rsidRPr="000041A1">
        <w:t>[1962] 1 QB 33</w:t>
      </w:r>
    </w:p>
    <w:p w14:paraId="651C545D" w14:textId="4E68C261" w:rsidR="00191113" w:rsidRPr="00191113" w:rsidRDefault="00191113" w:rsidP="00191113">
      <w:pPr>
        <w:pStyle w:val="ListParagraph"/>
        <w:numPr>
          <w:ilvl w:val="0"/>
          <w:numId w:val="3"/>
        </w:numPr>
        <w:rPr>
          <w:i/>
          <w:iCs/>
        </w:rPr>
      </w:pPr>
      <w:r w:rsidRPr="00191113">
        <w:rPr>
          <w:i/>
          <w:iCs/>
        </w:rPr>
        <w:t xml:space="preserve">Baker v Willoughby [1970] AC 467 </w:t>
      </w:r>
    </w:p>
    <w:p w14:paraId="6A955B27" w14:textId="0D42AF8D" w:rsidR="00191113" w:rsidRDefault="00191113" w:rsidP="00E00CDC">
      <w:pPr>
        <w:pStyle w:val="ListParagraph"/>
        <w:numPr>
          <w:ilvl w:val="0"/>
          <w:numId w:val="3"/>
        </w:numPr>
        <w:rPr>
          <w:i/>
          <w:iCs/>
        </w:rPr>
      </w:pPr>
      <w:r w:rsidRPr="000041A1">
        <w:rPr>
          <w:i/>
          <w:iCs/>
        </w:rPr>
        <w:t>Jobling v Associated Dairies [1982] AC 794</w:t>
      </w:r>
    </w:p>
    <w:p w14:paraId="52557DBA" w14:textId="079AE594" w:rsidR="0017251D" w:rsidRDefault="0017251D" w:rsidP="0017251D">
      <w:pPr>
        <w:spacing w:after="0"/>
      </w:pPr>
      <w:r>
        <w:t>Loss of chance:</w:t>
      </w:r>
    </w:p>
    <w:p w14:paraId="0E307EDB" w14:textId="77777777" w:rsidR="0017251D" w:rsidRPr="0017251D" w:rsidRDefault="0017251D" w:rsidP="0017251D">
      <w:pPr>
        <w:pStyle w:val="ListParagraph"/>
        <w:numPr>
          <w:ilvl w:val="0"/>
          <w:numId w:val="15"/>
        </w:numPr>
      </w:pPr>
      <w:r w:rsidRPr="0017251D">
        <w:rPr>
          <w:i/>
          <w:iCs/>
        </w:rPr>
        <w:t>Gregg v Scott</w:t>
      </w:r>
      <w:r>
        <w:t xml:space="preserve"> [2005] UKHL 2; [2005] 2 AC 176*</w:t>
      </w:r>
    </w:p>
    <w:p w14:paraId="0A319F71" w14:textId="42BA19B4" w:rsidR="0017251D" w:rsidRDefault="0017251D" w:rsidP="0017251D">
      <w:pPr>
        <w:pStyle w:val="ListParagraph"/>
        <w:numPr>
          <w:ilvl w:val="0"/>
          <w:numId w:val="15"/>
        </w:numPr>
      </w:pPr>
      <w:r w:rsidRPr="0017251D">
        <w:rPr>
          <w:i/>
          <w:iCs/>
        </w:rPr>
        <w:t>Hotson v East Berkshire Area Health Authority</w:t>
      </w:r>
      <w:r>
        <w:t xml:space="preserve"> [1987] AC 50 </w:t>
      </w:r>
    </w:p>
    <w:p w14:paraId="07AF63A2" w14:textId="6E8DEEDA" w:rsidR="000041A1" w:rsidRPr="0017251D" w:rsidRDefault="000041A1" w:rsidP="000041A1">
      <w:pPr>
        <w:pStyle w:val="ListParagraph"/>
      </w:pPr>
    </w:p>
    <w:p w14:paraId="41335B3A" w14:textId="77777777" w:rsidR="000041A1" w:rsidRPr="000041A1" w:rsidRDefault="000041A1" w:rsidP="00FB321B">
      <w:pPr>
        <w:spacing w:after="0"/>
        <w:rPr>
          <w:b/>
          <w:bCs/>
        </w:rPr>
      </w:pPr>
      <w:r>
        <w:rPr>
          <w:b/>
          <w:bCs/>
        </w:rPr>
        <w:t>Case law on legal causation</w:t>
      </w:r>
    </w:p>
    <w:p w14:paraId="695C0D2C" w14:textId="59A5EE30" w:rsidR="00191113" w:rsidRPr="00191113" w:rsidRDefault="00191113" w:rsidP="00191113">
      <w:pPr>
        <w:pStyle w:val="ListParagraph"/>
        <w:numPr>
          <w:ilvl w:val="0"/>
          <w:numId w:val="3"/>
        </w:numPr>
        <w:rPr>
          <w:i/>
          <w:iCs/>
        </w:rPr>
      </w:pPr>
      <w:r w:rsidRPr="00191113">
        <w:rPr>
          <w:i/>
          <w:iCs/>
        </w:rPr>
        <w:t>The Wagon Mound (no. 1) (Overseas Tankship (UK) Ltd v Morts Dock &amp; Engineering Co Ltd</w:t>
      </w:r>
      <w:r w:rsidRPr="000041A1">
        <w:t>) [1961] AC 388</w:t>
      </w:r>
      <w:r w:rsidR="000041A1" w:rsidRPr="000041A1">
        <w:rPr>
          <w:b/>
          <w:bCs/>
        </w:rPr>
        <w:t>*</w:t>
      </w:r>
    </w:p>
    <w:p w14:paraId="0B724FB1" w14:textId="623004C1" w:rsidR="00191113" w:rsidRPr="000041A1" w:rsidRDefault="00191113" w:rsidP="00191113">
      <w:pPr>
        <w:pStyle w:val="ListParagraph"/>
        <w:numPr>
          <w:ilvl w:val="0"/>
          <w:numId w:val="3"/>
        </w:numPr>
      </w:pPr>
      <w:r w:rsidRPr="00191113">
        <w:rPr>
          <w:i/>
          <w:iCs/>
        </w:rPr>
        <w:t xml:space="preserve">Hughes v Lord Advocate </w:t>
      </w:r>
      <w:r w:rsidRPr="000041A1">
        <w:t>[1963] AC 837</w:t>
      </w:r>
      <w:r w:rsidR="000041A1" w:rsidRPr="000041A1">
        <w:rPr>
          <w:b/>
          <w:bCs/>
        </w:rPr>
        <w:t>*</w:t>
      </w:r>
    </w:p>
    <w:p w14:paraId="3B67F2B2" w14:textId="21D3D4F0" w:rsidR="00191113" w:rsidRPr="000041A1" w:rsidRDefault="00191113" w:rsidP="00191113">
      <w:pPr>
        <w:pStyle w:val="ListParagraph"/>
        <w:numPr>
          <w:ilvl w:val="0"/>
          <w:numId w:val="3"/>
        </w:numPr>
      </w:pPr>
      <w:r w:rsidRPr="00191113">
        <w:rPr>
          <w:i/>
          <w:iCs/>
        </w:rPr>
        <w:t xml:space="preserve">Jolley v Sutton London BC [2000] </w:t>
      </w:r>
      <w:r w:rsidRPr="000041A1">
        <w:t>3 All ER 409</w:t>
      </w:r>
      <w:r w:rsidR="000041A1" w:rsidRPr="000041A1">
        <w:rPr>
          <w:b/>
          <w:bCs/>
        </w:rPr>
        <w:t>*</w:t>
      </w:r>
    </w:p>
    <w:p w14:paraId="40E55BC5" w14:textId="77777777" w:rsidR="000041A1" w:rsidRDefault="000041A1" w:rsidP="000041A1">
      <w:pPr>
        <w:pStyle w:val="ListParagraph"/>
        <w:numPr>
          <w:ilvl w:val="0"/>
          <w:numId w:val="3"/>
        </w:numPr>
        <w:rPr>
          <w:i/>
          <w:iCs/>
        </w:rPr>
      </w:pPr>
      <w:r w:rsidRPr="00191113">
        <w:rPr>
          <w:i/>
          <w:iCs/>
        </w:rPr>
        <w:t xml:space="preserve">Smith v Leech Brain &amp; Co Ltd [1962] </w:t>
      </w:r>
      <w:r w:rsidRPr="000041A1">
        <w:t>2 QB 405</w:t>
      </w:r>
      <w:r w:rsidRPr="000041A1">
        <w:rPr>
          <w:b/>
          <w:bCs/>
        </w:rPr>
        <w:t>*</w:t>
      </w:r>
    </w:p>
    <w:p w14:paraId="1DD675C0" w14:textId="77777777" w:rsidR="00191113" w:rsidRPr="00191113" w:rsidRDefault="00191113" w:rsidP="00191113">
      <w:pPr>
        <w:pStyle w:val="ListParagraph"/>
        <w:numPr>
          <w:ilvl w:val="0"/>
          <w:numId w:val="3"/>
        </w:numPr>
        <w:rPr>
          <w:i/>
          <w:iCs/>
        </w:rPr>
      </w:pPr>
      <w:r w:rsidRPr="00191113">
        <w:rPr>
          <w:i/>
          <w:iCs/>
        </w:rPr>
        <w:t xml:space="preserve">Doughty v Turner Manufacturing Co Ltd </w:t>
      </w:r>
      <w:r w:rsidRPr="000041A1">
        <w:t>[1964] 1 QB 518</w:t>
      </w:r>
    </w:p>
    <w:p w14:paraId="20732451" w14:textId="77777777" w:rsidR="00191113" w:rsidRPr="00191113" w:rsidRDefault="00191113" w:rsidP="00191113">
      <w:pPr>
        <w:pStyle w:val="ListParagraph"/>
        <w:numPr>
          <w:ilvl w:val="0"/>
          <w:numId w:val="3"/>
        </w:numPr>
        <w:rPr>
          <w:i/>
          <w:iCs/>
        </w:rPr>
      </w:pPr>
      <w:r w:rsidRPr="00191113">
        <w:rPr>
          <w:i/>
          <w:iCs/>
        </w:rPr>
        <w:t xml:space="preserve">McKew v Holland &amp; Hannan &amp; Cubitts (Scotland) </w:t>
      </w:r>
      <w:r w:rsidRPr="000041A1">
        <w:t>Ltd [1969] 3 All ER 1621</w:t>
      </w:r>
      <w:r w:rsidRPr="00191113">
        <w:rPr>
          <w:i/>
          <w:iCs/>
        </w:rPr>
        <w:t xml:space="preserve"> </w:t>
      </w:r>
    </w:p>
    <w:p w14:paraId="0F637CE9" w14:textId="39FE76CC" w:rsidR="00191113" w:rsidRPr="000041A1" w:rsidRDefault="00191113" w:rsidP="00191113">
      <w:pPr>
        <w:pStyle w:val="ListParagraph"/>
        <w:numPr>
          <w:ilvl w:val="0"/>
          <w:numId w:val="3"/>
        </w:numPr>
      </w:pPr>
      <w:r w:rsidRPr="00191113">
        <w:rPr>
          <w:i/>
          <w:iCs/>
        </w:rPr>
        <w:t xml:space="preserve">Corr v IBC Vehicles Ltd </w:t>
      </w:r>
      <w:r w:rsidRPr="000041A1">
        <w:t>[2008] UKHL 13; [2008] AC 884</w:t>
      </w:r>
    </w:p>
    <w:p w14:paraId="126204FF" w14:textId="77777777" w:rsidR="00191113" w:rsidRDefault="00191113" w:rsidP="00191113">
      <w:pPr>
        <w:pStyle w:val="ListParagraph"/>
      </w:pPr>
    </w:p>
    <w:p w14:paraId="55666382" w14:textId="77777777" w:rsidR="00191113" w:rsidRPr="00AC72AD" w:rsidRDefault="00191113" w:rsidP="00191113">
      <w:pPr>
        <w:spacing w:after="0"/>
        <w:rPr>
          <w:b/>
          <w:bCs/>
        </w:rPr>
      </w:pPr>
      <w:r w:rsidRPr="00AC72AD">
        <w:rPr>
          <w:b/>
          <w:bCs/>
        </w:rPr>
        <w:t>Further reading</w:t>
      </w:r>
    </w:p>
    <w:p w14:paraId="2C806E69" w14:textId="1876BE1A" w:rsidR="000041A1" w:rsidRDefault="000041A1" w:rsidP="000041A1">
      <w:pPr>
        <w:pStyle w:val="ListParagraph"/>
        <w:numPr>
          <w:ilvl w:val="0"/>
          <w:numId w:val="2"/>
        </w:numPr>
      </w:pPr>
      <w:r>
        <w:lastRenderedPageBreak/>
        <w:t xml:space="preserve">Goldberg, (ed) </w:t>
      </w:r>
      <w:r w:rsidRPr="000041A1">
        <w:rPr>
          <w:i/>
          <w:iCs/>
        </w:rPr>
        <w:t>Perspectives on Causation</w:t>
      </w:r>
      <w:r>
        <w:t xml:space="preserve"> (Hart, 2011)</w:t>
      </w:r>
    </w:p>
    <w:p w14:paraId="561884DD" w14:textId="70E6CE19" w:rsidR="000041A1" w:rsidRDefault="000041A1" w:rsidP="000041A1">
      <w:pPr>
        <w:pStyle w:val="ListParagraph"/>
        <w:numPr>
          <w:ilvl w:val="0"/>
          <w:numId w:val="2"/>
        </w:numPr>
      </w:pPr>
      <w:r>
        <w:t xml:space="preserve">Morgan, ‘Lost causes in the House of Lords: </w:t>
      </w:r>
      <w:r w:rsidRPr="00FB321B">
        <w:rPr>
          <w:i/>
          <w:iCs/>
        </w:rPr>
        <w:t>Fairchild v Glenhaven Funeral Services</w:t>
      </w:r>
      <w:r>
        <w:t xml:space="preserve">’ (2003) 63 </w:t>
      </w:r>
      <w:r w:rsidRPr="00FB321B">
        <w:rPr>
          <w:i/>
          <w:iCs/>
        </w:rPr>
        <w:t>Modern Law Review</w:t>
      </w:r>
      <w:r>
        <w:t xml:space="preserve"> 277 </w:t>
      </w:r>
    </w:p>
    <w:p w14:paraId="05AE0082" w14:textId="172A0D4A" w:rsidR="000041A1" w:rsidRDefault="000041A1" w:rsidP="000041A1">
      <w:pPr>
        <w:pStyle w:val="ListParagraph"/>
        <w:numPr>
          <w:ilvl w:val="0"/>
          <w:numId w:val="2"/>
        </w:numPr>
      </w:pPr>
      <w:r>
        <w:t xml:space="preserve">Robson and Swift, ‘Risk disclosure, causation and the role of Chester’ (2019) 35(4) </w:t>
      </w:r>
      <w:r w:rsidRPr="00FB321B">
        <w:rPr>
          <w:i/>
          <w:iCs/>
        </w:rPr>
        <w:t xml:space="preserve">PN </w:t>
      </w:r>
      <w:r>
        <w:t>207</w:t>
      </w:r>
    </w:p>
    <w:p w14:paraId="7F56361E" w14:textId="2C89F3EE" w:rsidR="000041A1" w:rsidRDefault="000041A1" w:rsidP="000041A1">
      <w:pPr>
        <w:pStyle w:val="ListParagraph"/>
        <w:numPr>
          <w:ilvl w:val="0"/>
          <w:numId w:val="2"/>
        </w:numPr>
      </w:pPr>
      <w:r>
        <w:t xml:space="preserve">Stapleton, </w:t>
      </w:r>
      <w:r w:rsidR="00FB321B">
        <w:t>‘</w:t>
      </w:r>
      <w:r>
        <w:t>Cause-in-</w:t>
      </w:r>
      <w:r w:rsidR="00FB321B">
        <w:t>f</w:t>
      </w:r>
      <w:r>
        <w:t xml:space="preserve">act and the </w:t>
      </w:r>
      <w:r w:rsidR="00FB321B">
        <w:t>s</w:t>
      </w:r>
      <w:r>
        <w:t xml:space="preserve">cope of </w:t>
      </w:r>
      <w:r w:rsidR="00FB321B">
        <w:t>l</w:t>
      </w:r>
      <w:r>
        <w:t xml:space="preserve">iability for </w:t>
      </w:r>
      <w:r w:rsidR="00FB321B">
        <w:t>c</w:t>
      </w:r>
      <w:r>
        <w:t>onsequences</w:t>
      </w:r>
      <w:r w:rsidR="00FB321B">
        <w:t>’</w:t>
      </w:r>
      <w:r>
        <w:t xml:space="preserve"> (2003) 119 </w:t>
      </w:r>
      <w:r w:rsidRPr="00FB321B">
        <w:rPr>
          <w:i/>
          <w:iCs/>
        </w:rPr>
        <w:t>Law Quarterly Review</w:t>
      </w:r>
      <w:r>
        <w:t xml:space="preserve"> 389</w:t>
      </w:r>
    </w:p>
    <w:p w14:paraId="0947D1ED" w14:textId="55344153" w:rsidR="00322DB9" w:rsidRDefault="000041A1" w:rsidP="000041A1">
      <w:pPr>
        <w:pStyle w:val="ListParagraph"/>
        <w:numPr>
          <w:ilvl w:val="0"/>
          <w:numId w:val="2"/>
        </w:numPr>
      </w:pPr>
      <w:r>
        <w:t xml:space="preserve">Stapleton, ‘Choosing </w:t>
      </w:r>
      <w:r w:rsidR="00FB321B">
        <w:t>w</w:t>
      </w:r>
      <w:r>
        <w:t xml:space="preserve">hat </w:t>
      </w:r>
      <w:r w:rsidR="00FB321B">
        <w:t>w</w:t>
      </w:r>
      <w:r>
        <w:t xml:space="preserve">e </w:t>
      </w:r>
      <w:r w:rsidR="00FB321B">
        <w:t>m</w:t>
      </w:r>
      <w:r>
        <w:t>ean by “</w:t>
      </w:r>
      <w:r w:rsidR="00FB321B">
        <w:t>c</w:t>
      </w:r>
      <w:r>
        <w:t xml:space="preserve">ausation” in the </w:t>
      </w:r>
      <w:r w:rsidR="00FB321B">
        <w:t>l</w:t>
      </w:r>
      <w:r>
        <w:t xml:space="preserve">aw’ (2008) 73 </w:t>
      </w:r>
      <w:r w:rsidRPr="00FB321B">
        <w:rPr>
          <w:i/>
          <w:iCs/>
        </w:rPr>
        <w:t>Missouri Law Review</w:t>
      </w:r>
      <w:r>
        <w:t xml:space="preserve"> 43</w:t>
      </w:r>
    </w:p>
    <w:p w14:paraId="50BAE591" w14:textId="15A306E2" w:rsidR="00FB321B" w:rsidRDefault="00FB321B" w:rsidP="00FB321B"/>
    <w:p w14:paraId="6F55FC27" w14:textId="277D3A02" w:rsidR="000812F0" w:rsidRPr="000812F0" w:rsidRDefault="0023723F" w:rsidP="00FB321B">
      <w:pPr>
        <w:rPr>
          <w:b/>
          <w:bCs/>
        </w:rPr>
      </w:pPr>
      <w:r>
        <w:rPr>
          <w:b/>
          <w:bCs/>
        </w:rPr>
        <w:t>A</w:t>
      </w:r>
      <w:r w:rsidR="000812F0">
        <w:rPr>
          <w:b/>
          <w:bCs/>
        </w:rPr>
        <w:t>dditional helpful resources</w:t>
      </w:r>
      <w:r w:rsidR="003912C4">
        <w:rPr>
          <w:b/>
          <w:bCs/>
        </w:rPr>
        <w:t>, developed and shared Dr Benedict Douglas</w:t>
      </w:r>
      <w:r w:rsidR="000812F0">
        <w:rPr>
          <w:b/>
          <w:bCs/>
        </w:rPr>
        <w:t>:</w:t>
      </w:r>
    </w:p>
    <w:p w14:paraId="7183CCD2" w14:textId="2EDCE30C" w:rsidR="000812F0" w:rsidRPr="000812F0" w:rsidRDefault="000812F0" w:rsidP="000812F0">
      <w:pPr>
        <w:pStyle w:val="ListParagraph"/>
        <w:numPr>
          <w:ilvl w:val="0"/>
          <w:numId w:val="18"/>
        </w:numPr>
        <w:rPr>
          <w:rFonts w:ascii="Calibri" w:hAnsi="Calibri"/>
          <w:sz w:val="22"/>
        </w:rPr>
      </w:pPr>
      <w:hyperlink r:id="rId5" w:history="1">
        <w:r>
          <w:rPr>
            <w:rStyle w:val="Hyperlink"/>
          </w:rPr>
          <w:t>https://youtu.be/5SJ0TpuYsSo?feature=shared</w:t>
        </w:r>
      </w:hyperlink>
    </w:p>
    <w:p w14:paraId="025F0901" w14:textId="1758CE5C" w:rsidR="000812F0" w:rsidRPr="0023723F" w:rsidRDefault="000812F0" w:rsidP="00E32794">
      <w:pPr>
        <w:pStyle w:val="ListParagraph"/>
        <w:numPr>
          <w:ilvl w:val="0"/>
          <w:numId w:val="18"/>
        </w:numPr>
        <w:rPr>
          <w:rFonts w:ascii="Calibri" w:hAnsi="Calibri"/>
          <w:sz w:val="22"/>
        </w:rPr>
      </w:pPr>
      <w:hyperlink r:id="rId6" w:history="1">
        <w:r>
          <w:rPr>
            <w:rStyle w:val="Hyperlink"/>
          </w:rPr>
          <w:t>https://youtu.be/Ka5JWqpWqr4?feature=shared</w:t>
        </w:r>
      </w:hyperlink>
    </w:p>
    <w:p w14:paraId="64ED3316" w14:textId="44F15CF0" w:rsidR="0023723F" w:rsidRPr="000812F0" w:rsidRDefault="0023723F" w:rsidP="00E32794">
      <w:pPr>
        <w:pStyle w:val="ListParagraph"/>
        <w:numPr>
          <w:ilvl w:val="0"/>
          <w:numId w:val="18"/>
        </w:numPr>
        <w:rPr>
          <w:rFonts w:ascii="Calibri" w:hAnsi="Calibri"/>
          <w:sz w:val="22"/>
        </w:rPr>
      </w:pPr>
      <w:r>
        <w:t>Causation and exception to the ‘but for’ test flow chart (attached to the end of the lecture outline)</w:t>
      </w:r>
    </w:p>
    <w:p w14:paraId="4341CE36" w14:textId="77777777" w:rsidR="000812F0" w:rsidRPr="000812F0" w:rsidRDefault="000812F0" w:rsidP="000812F0"/>
    <w:p w14:paraId="41668CA6" w14:textId="28E99AB1" w:rsidR="00FB321B" w:rsidRDefault="00FB321B">
      <w:pPr>
        <w:jc w:val="left"/>
      </w:pPr>
      <w:r>
        <w:br w:type="page"/>
      </w:r>
    </w:p>
    <w:p w14:paraId="37B87BBF" w14:textId="77777777" w:rsidR="00FB321B" w:rsidRDefault="00FB321B" w:rsidP="00FB321B">
      <w:pPr>
        <w:rPr>
          <w:b/>
          <w:bCs/>
          <w:sz w:val="28"/>
          <w:szCs w:val="28"/>
        </w:rPr>
      </w:pPr>
      <w:r w:rsidRPr="008E61A7">
        <w:rPr>
          <w:b/>
          <w:bCs/>
          <w:sz w:val="28"/>
          <w:szCs w:val="28"/>
        </w:rPr>
        <w:t>Outline</w:t>
      </w:r>
    </w:p>
    <w:p w14:paraId="24E02F4D" w14:textId="38DEA486" w:rsidR="00FB321B" w:rsidRDefault="002C2C00" w:rsidP="00FB321B">
      <w:r>
        <w:t>Causation is an important</w:t>
      </w:r>
      <w:r w:rsidR="00AF1647">
        <w:t xml:space="preserve"> legal</w:t>
      </w:r>
      <w:r>
        <w:t xml:space="preserve"> hurdle to establish because </w:t>
      </w:r>
      <w:r w:rsidR="0017005B">
        <w:t>the must be a causal nexus between the conduct (which manifests as a breach of duty of care) and the damage/loss. Thus, f</w:t>
      </w:r>
      <w:r w:rsidR="00FB321B">
        <w:t xml:space="preserve">or the defendant to be liable in the tort of negligence, it must be shown that his breach of duty caused loss to the claimant. </w:t>
      </w:r>
      <w:r w:rsidR="0017005B">
        <w:t>Causation</w:t>
      </w:r>
      <w:r w:rsidR="00FB321B">
        <w:t xml:space="preserve"> provides an essential link between the defendant’s conduct and the harm suffered by the claimant, which explains why this particular defendant should be liable to this particular claimant for this loss.</w:t>
      </w:r>
      <w:r w:rsidR="000D63D5">
        <w:t xml:space="preserve"> To establish whether the defendant caused the harm, we consider two types of causation in this portion of the negligence equation: Factual causation and legal causation. Thus, we ask:</w:t>
      </w:r>
    </w:p>
    <w:p w14:paraId="22C7C543" w14:textId="72EDDBCF" w:rsidR="000D63D5" w:rsidRDefault="000D63D5" w:rsidP="000D63D5">
      <w:pPr>
        <w:pStyle w:val="ListParagraph"/>
        <w:numPr>
          <w:ilvl w:val="0"/>
          <w:numId w:val="5"/>
        </w:numPr>
      </w:pPr>
      <w:r>
        <w:t xml:space="preserve">Whether the claimant would have suffered the loss </w:t>
      </w:r>
      <w:r w:rsidRPr="000D63D5">
        <w:rPr>
          <w:b/>
          <w:bCs/>
        </w:rPr>
        <w:t>but for</w:t>
      </w:r>
      <w:r>
        <w:t xml:space="preserve"> the defendant’s breach of duty – the factual causation question – and, if so, </w:t>
      </w:r>
    </w:p>
    <w:p w14:paraId="7F0FACC9" w14:textId="3E9A6947" w:rsidR="000D63D5" w:rsidRDefault="000D63D5" w:rsidP="000D63D5">
      <w:pPr>
        <w:pStyle w:val="ListParagraph"/>
        <w:numPr>
          <w:ilvl w:val="0"/>
          <w:numId w:val="5"/>
        </w:numPr>
      </w:pPr>
      <w:r w:rsidRPr="009C4894">
        <w:t xml:space="preserve">Whether the defendant’s breach of duty was the sort </w:t>
      </w:r>
      <w:r w:rsidR="009C4894" w:rsidRPr="009C4894">
        <w:t>of ‘but-for</w:t>
      </w:r>
      <w:r w:rsidR="002C2C00">
        <w:t>’</w:t>
      </w:r>
      <w:r w:rsidR="009C4894" w:rsidRPr="009C4894">
        <w:t xml:space="preserve"> cause as to justify</w:t>
      </w:r>
      <w:r w:rsidRPr="009C4894">
        <w:t xml:space="preserve"> liability – the legal causation question.</w:t>
      </w:r>
    </w:p>
    <w:p w14:paraId="44C596CB" w14:textId="11BD67F5" w:rsidR="0017005B" w:rsidRDefault="00D45B01" w:rsidP="0017005B">
      <w:r>
        <w:t>(</w:t>
      </w:r>
      <w:r w:rsidR="0017005B">
        <w:t>Or, to break it down even more</w:t>
      </w:r>
      <w:r>
        <w:t>, see Horsey &amp;Rackley, pg 263)</w:t>
      </w:r>
    </w:p>
    <w:p w14:paraId="2A49D5EE" w14:textId="77777777" w:rsidR="00CD4408" w:rsidRDefault="00CD4408" w:rsidP="0017005B"/>
    <w:p w14:paraId="2387FFE7" w14:textId="54E3FD7D" w:rsidR="000D63D5" w:rsidRPr="00CD4408" w:rsidRDefault="000D63D5" w:rsidP="00CD4408">
      <w:pPr>
        <w:rPr>
          <w:b/>
          <w:bCs/>
          <w:sz w:val="28"/>
          <w:szCs w:val="28"/>
        </w:rPr>
      </w:pPr>
      <w:r w:rsidRPr="00CD4408">
        <w:rPr>
          <w:b/>
          <w:bCs/>
          <w:sz w:val="28"/>
          <w:szCs w:val="28"/>
        </w:rPr>
        <w:t>Factual causation</w:t>
      </w:r>
    </w:p>
    <w:p w14:paraId="0FCF7C1A" w14:textId="4C2D9612" w:rsidR="000D63D5" w:rsidRDefault="007170F3" w:rsidP="002313FE">
      <w:r>
        <w:t>Generally, a</w:t>
      </w:r>
      <w:r w:rsidR="0017005B">
        <w:t>dopt a hypothetical test called the ‘but for</w:t>
      </w:r>
      <w:r w:rsidR="00D736E3">
        <w:t>’</w:t>
      </w:r>
      <w:r w:rsidR="0017005B">
        <w:t xml:space="preserve"> test</w:t>
      </w:r>
      <w:r w:rsidR="0017005B" w:rsidRPr="0017005B">
        <w:rPr>
          <w:i/>
          <w:iCs/>
        </w:rPr>
        <w:t>: Barnett v Kensington &amp; Chelsea Hospital Management Committee</w:t>
      </w:r>
      <w:r w:rsidR="0017005B" w:rsidRPr="0017005B">
        <w:t xml:space="preserve"> (1969)</w:t>
      </w:r>
      <w:r w:rsidR="002313FE">
        <w:t xml:space="preserve">. </w:t>
      </w:r>
      <w:r w:rsidR="00D736E3" w:rsidRPr="00D736E3">
        <w:t>‘But for the defendant’s breach of duty, would the claimant’s damage still have occurred?’ ‘</w:t>
      </w:r>
      <w:r w:rsidR="00D736E3">
        <w:t>Y</w:t>
      </w:r>
      <w:r w:rsidR="00D736E3" w:rsidRPr="00D736E3">
        <w:t>es’</w:t>
      </w:r>
      <w:r w:rsidR="00D736E3">
        <w:t xml:space="preserve"> =</w:t>
      </w:r>
      <w:r w:rsidR="00D736E3" w:rsidRPr="00D736E3">
        <w:t xml:space="preserve"> the defendant’s breach generally can be eliminated as a factual cause of the damage. ‘</w:t>
      </w:r>
      <w:r w:rsidR="00D736E3">
        <w:t>N</w:t>
      </w:r>
      <w:r w:rsidR="00D736E3" w:rsidRPr="00D736E3">
        <w:t>o’</w:t>
      </w:r>
      <w:r w:rsidR="00D736E3">
        <w:t xml:space="preserve"> =</w:t>
      </w:r>
      <w:r w:rsidR="00D736E3" w:rsidRPr="00D736E3">
        <w:t xml:space="preserve"> the defendant’s breach is at least one of the contributing causes of the damage.</w:t>
      </w:r>
    </w:p>
    <w:p w14:paraId="1E903D69" w14:textId="3E66D343" w:rsidR="00DC164F" w:rsidRDefault="00821744" w:rsidP="00821744">
      <w:pPr>
        <w:spacing w:after="0"/>
      </w:pPr>
      <w:r>
        <w:t>The claimant must prove on a balance of probabilities (that is it more likely than not) that, had the defendant not breached his duty of care, he/she/they would not have suffered the loss/damage.</w:t>
      </w:r>
      <w:r w:rsidR="007170F3">
        <w:t xml:space="preserve"> </w:t>
      </w:r>
      <w:r w:rsidR="007170F3" w:rsidRPr="007170F3">
        <w:rPr>
          <w:i/>
          <w:iCs/>
        </w:rPr>
        <w:t>Wilsher v Essex Area Health Authority</w:t>
      </w:r>
      <w:r w:rsidR="00D45B01">
        <w:t>: (Recall the facts from our lecture on breach of duty)</w:t>
      </w:r>
      <w:r w:rsidR="00D45B01" w:rsidRPr="00D45B01">
        <w:t xml:space="preserve"> The excessive oxygen was only one of </w:t>
      </w:r>
      <w:r w:rsidR="00F20C1F">
        <w:t>several</w:t>
      </w:r>
      <w:r w:rsidR="00D45B01" w:rsidRPr="00D45B01">
        <w:t xml:space="preserve"> possible causes of the</w:t>
      </w:r>
      <w:r w:rsidR="0027430E">
        <w:t xml:space="preserve"> infant’s</w:t>
      </w:r>
      <w:r w:rsidR="00D45B01" w:rsidRPr="00D45B01">
        <w:t xml:space="preserve"> blindness, and </w:t>
      </w:r>
      <w:r w:rsidR="00D45B01">
        <w:t>the claimant</w:t>
      </w:r>
      <w:r w:rsidR="00D45B01" w:rsidRPr="00D45B01">
        <w:t xml:space="preserve"> had not established on the balance of probabilities that he would not have gone blind but for the </w:t>
      </w:r>
      <w:r w:rsidR="00D45B01">
        <w:t>defendant’s</w:t>
      </w:r>
      <w:r w:rsidR="00D45B01" w:rsidRPr="00D45B01">
        <w:t xml:space="preserve"> breach</w:t>
      </w:r>
      <w:r w:rsidR="000C0436">
        <w:t xml:space="preserve"> specifically</w:t>
      </w:r>
      <w:r w:rsidR="00D45B01">
        <w:t>.</w:t>
      </w:r>
    </w:p>
    <w:p w14:paraId="653A3FD7" w14:textId="734AFB1B" w:rsidR="00DC164F" w:rsidRDefault="00290928" w:rsidP="00DC164F">
      <w:pPr>
        <w:spacing w:before="240" w:after="0"/>
      </w:pPr>
      <w:r>
        <w:t xml:space="preserve">However, </w:t>
      </w:r>
      <w:r w:rsidR="00DC164F">
        <w:t>there are problems in the application of the ‘but for’ test:</w:t>
      </w:r>
    </w:p>
    <w:p w14:paraId="45FE9FF4" w14:textId="77777777" w:rsidR="000C0436" w:rsidRDefault="007170F3" w:rsidP="00CD4408">
      <w:pPr>
        <w:pStyle w:val="ListParagraph"/>
        <w:numPr>
          <w:ilvl w:val="0"/>
          <w:numId w:val="14"/>
        </w:numPr>
        <w:spacing w:before="240" w:after="0"/>
      </w:pPr>
      <w:r w:rsidRPr="00CD4408">
        <w:rPr>
          <w:u w:val="single"/>
        </w:rPr>
        <w:t>Material contribution to injury</w:t>
      </w:r>
    </w:p>
    <w:p w14:paraId="57A79657" w14:textId="68880A43" w:rsidR="00905C91" w:rsidRDefault="007170F3" w:rsidP="000C0436">
      <w:pPr>
        <w:spacing w:after="0"/>
      </w:pPr>
      <w:r>
        <w:t xml:space="preserve">This captures those cases </w:t>
      </w:r>
      <w:r w:rsidRPr="007170F3">
        <w:t>which deal with illness and injury in which it is known that one or more defendants have been negligent, but it is not possible to link them to the claimant’s injury accurately</w:t>
      </w:r>
      <w:r w:rsidR="00D45B01">
        <w:t>.</w:t>
      </w:r>
    </w:p>
    <w:p w14:paraId="1CE0A66E" w14:textId="5660B90A" w:rsidR="007170F3" w:rsidRDefault="00432643" w:rsidP="00905C91">
      <w:pPr>
        <w:pStyle w:val="ListParagraph"/>
        <w:numPr>
          <w:ilvl w:val="1"/>
          <w:numId w:val="8"/>
        </w:numPr>
        <w:spacing w:after="0"/>
      </w:pPr>
      <w:r w:rsidRPr="00905C91">
        <w:rPr>
          <w:i/>
          <w:iCs/>
        </w:rPr>
        <w:t>Bonnington v Wardlaw Castings</w:t>
      </w:r>
      <w:r w:rsidRPr="00D45B01">
        <w:t xml:space="preserve"> [1956]</w:t>
      </w:r>
      <w:r>
        <w:t xml:space="preserve">: </w:t>
      </w:r>
      <w:r w:rsidR="00D45B01">
        <w:t>t</w:t>
      </w:r>
      <w:r w:rsidR="00D45B01" w:rsidRPr="00D45B01">
        <w:t>he claimant contracted pneumoconiosis due to exposure at work to silicone dust. There were two sources of the dust, one tortious (due to inadequate provision of protection by the defendant) and one non-tortious. It was impossible to attribute the disease conclusively to either source and so the but for test was of no assistance. House of Lords</w:t>
      </w:r>
      <w:r w:rsidR="00D45B01">
        <w:t>:</w:t>
      </w:r>
      <w:r w:rsidR="00D45B01" w:rsidRPr="00D45B01">
        <w:t xml:space="preserve"> </w:t>
      </w:r>
      <w:r w:rsidR="00D45B01">
        <w:t>T</w:t>
      </w:r>
      <w:r w:rsidR="00D45B01" w:rsidRPr="00D45B01">
        <w:t>his was a case in which the disease had been caused by the accumulation of dust from both sources. It was found that the dust attributable to the employer’s negligence had materially contributed to this accumulation, and thus the defendant was liable</w:t>
      </w:r>
      <w:r w:rsidR="00D45B01">
        <w:t xml:space="preserve"> </w:t>
      </w:r>
      <w:r w:rsidR="00D45B01" w:rsidRPr="00D45B01">
        <w:t>for the whole of the outcome.</w:t>
      </w:r>
    </w:p>
    <w:p w14:paraId="2C3BA0D1" w14:textId="77777777" w:rsidR="002313FE" w:rsidRDefault="002313FE" w:rsidP="002313FE">
      <w:pPr>
        <w:pStyle w:val="ListParagraph"/>
        <w:spacing w:before="240" w:after="0"/>
        <w:ind w:left="0"/>
      </w:pPr>
    </w:p>
    <w:p w14:paraId="25D12057" w14:textId="77777777" w:rsidR="000C0436" w:rsidRDefault="00D45B01" w:rsidP="00CD4408">
      <w:pPr>
        <w:pStyle w:val="ListParagraph"/>
        <w:numPr>
          <w:ilvl w:val="0"/>
          <w:numId w:val="8"/>
        </w:numPr>
        <w:spacing w:after="0"/>
      </w:pPr>
      <w:r w:rsidRPr="00CD4408">
        <w:rPr>
          <w:u w:val="single"/>
        </w:rPr>
        <w:t xml:space="preserve">Material </w:t>
      </w:r>
      <w:r w:rsidR="00432643" w:rsidRPr="00CD4408">
        <w:rPr>
          <w:u w:val="single"/>
        </w:rPr>
        <w:t>increase</w:t>
      </w:r>
      <w:r w:rsidRPr="00CD4408">
        <w:rPr>
          <w:u w:val="single"/>
        </w:rPr>
        <w:t xml:space="preserve"> </w:t>
      </w:r>
      <w:r w:rsidR="00432643" w:rsidRPr="00CD4408">
        <w:rPr>
          <w:u w:val="single"/>
        </w:rPr>
        <w:t>is</w:t>
      </w:r>
      <w:r w:rsidRPr="00CD4408">
        <w:rPr>
          <w:u w:val="single"/>
        </w:rPr>
        <w:t xml:space="preserve"> risk of injury</w:t>
      </w:r>
    </w:p>
    <w:p w14:paraId="01F450B6" w14:textId="3C3E154F" w:rsidR="00A3428D" w:rsidRDefault="0027430E" w:rsidP="00EE37C0">
      <w:pPr>
        <w:spacing w:after="0"/>
      </w:pPr>
      <w:r>
        <w:t xml:space="preserve">Concerns those cases where the best the claimant can do is to establish that the defendant’s conduct increased the risk that they would suffer harm/injury. </w:t>
      </w:r>
      <w:r w:rsidRPr="0027430E">
        <w:rPr>
          <w:i/>
          <w:iCs/>
        </w:rPr>
        <w:t>McGhee v National Coal Board</w:t>
      </w:r>
      <w:r w:rsidRPr="0027430E">
        <w:t xml:space="preserve"> (1973)</w:t>
      </w:r>
      <w:r>
        <w:t>: Material increase in risk equated with material contribution to injury</w:t>
      </w:r>
      <w:r w:rsidR="00A3428D">
        <w:t>.</w:t>
      </w:r>
      <w:r w:rsidR="00EE37C0">
        <w:t xml:space="preserve"> </w:t>
      </w:r>
      <w:r w:rsidR="00A3428D">
        <w:t>This exception plays an important role in litigation to recover damages for harms caused by asbestos, specifically ‘</w:t>
      </w:r>
      <w:r w:rsidR="00A3428D" w:rsidRPr="00A3428D">
        <w:rPr>
          <w:b/>
          <w:bCs/>
        </w:rPr>
        <w:t>mesothelioma claims</w:t>
      </w:r>
      <w:r w:rsidR="00A3428D">
        <w:t>’</w:t>
      </w:r>
      <w:r w:rsidR="00D16C0D">
        <w:t>:</w:t>
      </w:r>
      <w:r w:rsidR="00A3428D">
        <w:t xml:space="preserve"> </w:t>
      </w:r>
    </w:p>
    <w:p w14:paraId="013A1FA1" w14:textId="63AABD09" w:rsidR="002313FE" w:rsidRDefault="00D16C0D" w:rsidP="00EE37C0">
      <w:pPr>
        <w:spacing w:before="240" w:after="0"/>
      </w:pPr>
      <w:r w:rsidRPr="00EE37C0">
        <w:rPr>
          <w:b/>
          <w:bCs/>
          <w:i/>
          <w:iCs/>
        </w:rPr>
        <w:t xml:space="preserve">Fairchild v Glenhaven Funeral Services Ltd </w:t>
      </w:r>
      <w:r w:rsidRPr="00EE37C0">
        <w:rPr>
          <w:b/>
          <w:bCs/>
        </w:rPr>
        <w:t>(2003)</w:t>
      </w:r>
      <w:r w:rsidR="00172AC0">
        <w:rPr>
          <w:b/>
          <w:bCs/>
        </w:rPr>
        <w:t xml:space="preserve"> giving rise to the ‘</w:t>
      </w:r>
      <w:r w:rsidR="00172AC0" w:rsidRPr="00172AC0">
        <w:rPr>
          <w:b/>
          <w:bCs/>
          <w:i/>
          <w:iCs/>
        </w:rPr>
        <w:t>Fairchild</w:t>
      </w:r>
      <w:r w:rsidR="00172AC0">
        <w:rPr>
          <w:b/>
          <w:bCs/>
        </w:rPr>
        <w:t xml:space="preserve"> exception’</w:t>
      </w:r>
      <w:r w:rsidRPr="00EE37C0">
        <w:rPr>
          <w:b/>
          <w:bCs/>
        </w:rPr>
        <w:t>:</w:t>
      </w:r>
      <w:r>
        <w:t xml:space="preserve"> </w:t>
      </w:r>
      <w:r w:rsidR="002313FE">
        <w:t xml:space="preserve">The claimants were suffering from mesothelioma, but it was not known scientifically at the time whether the disease could be initiated by one fibre of asbestos or by many or exactly how the cumulative development of the disease occurred. This raised a complex causation issue because the claimants had negligently been exposed to asbestos while working for several different employers, some of whom had gone out of business and could not now be sued. It was impossible to establish which exposure had caused their current disease. </w:t>
      </w:r>
    </w:p>
    <w:p w14:paraId="4B56684B" w14:textId="534A8D4C" w:rsidR="00A3428D" w:rsidRDefault="002313FE" w:rsidP="002313FE">
      <w:pPr>
        <w:spacing w:after="0"/>
      </w:pPr>
      <w:r>
        <w:t>The House of Lords unanimously allowed the appeals, permitting them to proceed against any or all of the employers who had exposed them to asbestos.</w:t>
      </w:r>
      <w:r w:rsidR="00C477B4">
        <w:t xml:space="preserve"> Each employers was held jointly and severally liable.</w:t>
      </w:r>
    </w:p>
    <w:p w14:paraId="47FE5319" w14:textId="02C6B37D" w:rsidR="00172AC0" w:rsidRDefault="002313FE" w:rsidP="00B16154">
      <w:pPr>
        <w:pStyle w:val="ListParagraph"/>
        <w:numPr>
          <w:ilvl w:val="1"/>
          <w:numId w:val="8"/>
        </w:numPr>
      </w:pPr>
      <w:r w:rsidRPr="00B16154">
        <w:rPr>
          <w:i/>
          <w:iCs/>
        </w:rPr>
        <w:t>Fairchild</w:t>
      </w:r>
      <w:r>
        <w:t xml:space="preserve"> </w:t>
      </w:r>
      <w:r w:rsidR="00C477B4">
        <w:t xml:space="preserve">is an </w:t>
      </w:r>
      <w:r w:rsidR="00C477B4" w:rsidRPr="00B16154">
        <w:rPr>
          <w:i/>
          <w:iCs/>
        </w:rPr>
        <w:t>exception</w:t>
      </w:r>
      <w:r w:rsidR="00C477B4">
        <w:t xml:space="preserve"> to normal causation principles</w:t>
      </w:r>
      <w:r w:rsidR="00172AC0">
        <w:t>.</w:t>
      </w:r>
    </w:p>
    <w:p w14:paraId="7A553D6E" w14:textId="5CD9E697" w:rsidR="00C477B4" w:rsidRDefault="00C477B4" w:rsidP="00B16154">
      <w:pPr>
        <w:pStyle w:val="ListParagraph"/>
        <w:numPr>
          <w:ilvl w:val="1"/>
          <w:numId w:val="8"/>
        </w:numPr>
      </w:pPr>
      <w:r>
        <w:t xml:space="preserve">The Law Lords gave different answers to the question of how far the exception extends. </w:t>
      </w:r>
      <w:r w:rsidR="00172AC0">
        <w:t>For instance, k</w:t>
      </w:r>
      <w:r w:rsidR="00B16154">
        <w:t xml:space="preserve">ey factors for Lord Roger in </w:t>
      </w:r>
      <w:r w:rsidR="00B16154" w:rsidRPr="00B16154">
        <w:rPr>
          <w:i/>
          <w:iCs/>
        </w:rPr>
        <w:t>Fairchild</w:t>
      </w:r>
      <w:r w:rsidR="00B16154">
        <w:t xml:space="preserve"> </w:t>
      </w:r>
      <w:r w:rsidR="00172AC0">
        <w:t>(</w:t>
      </w:r>
      <w:r w:rsidR="00B16154">
        <w:t>at [170]</w:t>
      </w:r>
      <w:r w:rsidR="00172AC0">
        <w:t>)</w:t>
      </w:r>
      <w:r w:rsidR="00B16154">
        <w:t xml:space="preserve">: 1) Evidential </w:t>
      </w:r>
      <w:r w:rsidR="00FE7D75">
        <w:t>g</w:t>
      </w:r>
      <w:r w:rsidR="00B16154">
        <w:t xml:space="preserve">ap, 2) Material </w:t>
      </w:r>
      <w:r w:rsidR="00FE7D75">
        <w:t>r</w:t>
      </w:r>
      <w:r w:rsidR="00B16154">
        <w:t>isk, 3) Capable of causing injury, 4) Eventuation of kind of risk created by defendants’ wrongdoing, 5) Same agency or operated in substantially the same way</w:t>
      </w:r>
      <w:r w:rsidR="00172AC0">
        <w:t>.</w:t>
      </w:r>
    </w:p>
    <w:p w14:paraId="0ED68C75" w14:textId="328BC4D8" w:rsidR="00172AC0" w:rsidRDefault="00172AC0" w:rsidP="00B16154">
      <w:pPr>
        <w:pStyle w:val="ListParagraph"/>
        <w:numPr>
          <w:ilvl w:val="1"/>
          <w:numId w:val="8"/>
        </w:numPr>
      </w:pPr>
      <w:r>
        <w:t xml:space="preserve">Goudkamp &amp; Nolan </w:t>
      </w:r>
      <w:r w:rsidR="005700AD">
        <w:t>(</w:t>
      </w:r>
      <w:r>
        <w:t>(</w:t>
      </w:r>
      <w:r w:rsidR="005700AD">
        <w:t xml:space="preserve">2020, [170]): ‘Single agent’ requirement; scientific impossibility of proving causation, arguably confined to mesothelioma cases (however see Lord Brown in </w:t>
      </w:r>
      <w:r w:rsidR="005700AD" w:rsidRPr="005700AD">
        <w:rPr>
          <w:i/>
          <w:iCs/>
        </w:rPr>
        <w:t>Sienkiewicz</w:t>
      </w:r>
      <w:r w:rsidR="005700AD">
        <w:t xml:space="preserve"> vs position in </w:t>
      </w:r>
      <w:r w:rsidR="005700AD" w:rsidRPr="005700AD">
        <w:rPr>
          <w:i/>
          <w:iCs/>
        </w:rPr>
        <w:t>International Energy Group v Zurich Insurance</w:t>
      </w:r>
      <w:r w:rsidR="005700AD">
        <w:t xml:space="preserve"> and </w:t>
      </w:r>
      <w:r w:rsidR="005700AD" w:rsidRPr="005700AD">
        <w:rPr>
          <w:i/>
          <w:iCs/>
        </w:rPr>
        <w:t>Heneghan v Manchester Dry Docks</w:t>
      </w:r>
      <w:r w:rsidR="005700AD">
        <w:t>)</w:t>
      </w:r>
    </w:p>
    <w:p w14:paraId="57461FC7" w14:textId="4C757673" w:rsidR="00A3428D" w:rsidRDefault="00EE37C0" w:rsidP="00E6537E">
      <w:pPr>
        <w:spacing w:after="0"/>
      </w:pPr>
      <w:r>
        <w:rPr>
          <w:b/>
          <w:bCs/>
          <w:i/>
          <w:iCs/>
        </w:rPr>
        <w:t xml:space="preserve">b) </w:t>
      </w:r>
      <w:r w:rsidR="00B16154" w:rsidRPr="00AF1647">
        <w:rPr>
          <w:b/>
          <w:bCs/>
          <w:i/>
          <w:iCs/>
        </w:rPr>
        <w:t>Barker v Corus plc</w:t>
      </w:r>
      <w:r w:rsidR="00B16154" w:rsidRPr="00B16154">
        <w:t xml:space="preserve"> </w:t>
      </w:r>
      <w:r w:rsidR="00B16154" w:rsidRPr="00AF1647">
        <w:rPr>
          <w:b/>
          <w:bCs/>
        </w:rPr>
        <w:t>[</w:t>
      </w:r>
      <w:r w:rsidR="00B16154" w:rsidRPr="00EE37C0">
        <w:rPr>
          <w:b/>
          <w:bCs/>
        </w:rPr>
        <w:t>2006]</w:t>
      </w:r>
      <w:r w:rsidR="00B02308" w:rsidRPr="00EE37C0">
        <w:rPr>
          <w:b/>
          <w:bCs/>
        </w:rPr>
        <w:t>:</w:t>
      </w:r>
      <w:r w:rsidR="00B02308" w:rsidRPr="00B02308">
        <w:t xml:space="preserve"> </w:t>
      </w:r>
      <w:r w:rsidR="00E6537E" w:rsidRPr="00E6537E">
        <w:t>Various claims were made on behalf of people who died from mesothelioma contracted due to exposure to asbestos dust at work. Some exposure was negligent on the part of the employers concerned and the claims were brought against them (those that had not gone bankrupt since the injury occurred).</w:t>
      </w:r>
      <w:r w:rsidR="00B02308" w:rsidRPr="00B02308">
        <w:t xml:space="preserve"> </w:t>
      </w:r>
      <w:r w:rsidR="00E6537E" w:rsidRPr="00E6537E">
        <w:t>In one claim, the exposure could be clearly broken down to three distinct periods of time: a period when the claimant was working for a now insolvent employer (who therefore could not be sued); a period when working for the defendant; and a period of self-employment.</w:t>
      </w:r>
      <w:r w:rsidR="00B02308" w:rsidRPr="00B02308">
        <w:t xml:space="preserve"> </w:t>
      </w:r>
      <w:r w:rsidR="004E2CD2">
        <w:t xml:space="preserve">Unlike </w:t>
      </w:r>
      <w:r w:rsidR="004E2CD2" w:rsidRPr="004E2CD2">
        <w:rPr>
          <w:i/>
          <w:iCs/>
        </w:rPr>
        <w:t>Fairchild</w:t>
      </w:r>
      <w:r w:rsidR="004E2CD2">
        <w:t>,</w:t>
      </w:r>
      <w:r w:rsidR="004E2CD2" w:rsidRPr="004E2CD2">
        <w:t xml:space="preserve"> </w:t>
      </w:r>
      <w:r w:rsidR="004E2CD2" w:rsidRPr="00B02308">
        <w:t xml:space="preserve">there was a chance that </w:t>
      </w:r>
      <w:r w:rsidR="004E2CD2">
        <w:t>the claimant</w:t>
      </w:r>
      <w:r w:rsidR="004E2CD2" w:rsidRPr="00B02308">
        <w:t xml:space="preserve"> had inhaled the relevant asbestos fibre(s) </w:t>
      </w:r>
      <w:r w:rsidR="004E2CD2">
        <w:t>while</w:t>
      </w:r>
      <w:r w:rsidR="004E2CD2" w:rsidRPr="00B02308">
        <w:t xml:space="preserve"> self-employed</w:t>
      </w:r>
      <w:r w:rsidR="004E2CD2">
        <w:t xml:space="preserve">. Here, the House of Lords had </w:t>
      </w:r>
      <w:r w:rsidR="00E6537E">
        <w:t xml:space="preserve">the </w:t>
      </w:r>
      <w:r w:rsidR="004E2CD2" w:rsidRPr="004E2CD2">
        <w:t>complication of a period of self-exposure</w:t>
      </w:r>
      <w:r w:rsidR="004E2CD2">
        <w:t xml:space="preserve">, raising issues relevant to contributory negligence </w:t>
      </w:r>
      <w:r w:rsidR="004E2CD2" w:rsidRPr="004E2CD2">
        <w:t>and a new question regarding apportionment of damages.</w:t>
      </w:r>
      <w:r w:rsidR="00E6537E">
        <w:t xml:space="preserve"> </w:t>
      </w:r>
      <w:r w:rsidR="00910360">
        <w:t xml:space="preserve">The </w:t>
      </w:r>
      <w:r w:rsidR="00E6537E">
        <w:t xml:space="preserve">House of Lords </w:t>
      </w:r>
      <w:r w:rsidR="00FE7D75">
        <w:t xml:space="preserve">applied the </w:t>
      </w:r>
      <w:r w:rsidR="00FE7D75" w:rsidRPr="00FE7D75">
        <w:rPr>
          <w:i/>
          <w:iCs/>
        </w:rPr>
        <w:t>Fairchild</w:t>
      </w:r>
      <w:r w:rsidR="00FE7D75">
        <w:rPr>
          <w:i/>
          <w:iCs/>
        </w:rPr>
        <w:t xml:space="preserve"> </w:t>
      </w:r>
      <w:r w:rsidR="00FE7D75" w:rsidRPr="00FE7D75">
        <w:t>exception</w:t>
      </w:r>
      <w:r w:rsidR="00FE7D75">
        <w:t xml:space="preserve"> and </w:t>
      </w:r>
      <w:r w:rsidR="00E6537E">
        <w:t>found</w:t>
      </w:r>
      <w:r w:rsidR="00910360">
        <w:t xml:space="preserve"> the defendant employers were liable</w:t>
      </w:r>
      <w:r w:rsidR="00E6537E">
        <w:t xml:space="preserve"> but </w:t>
      </w:r>
      <w:r w:rsidR="00E6537E" w:rsidRPr="00E6537E">
        <w:t>departed from the idea that the employers, all of whom had contributed by their negligence to an increased risk of the claimant contracting a fatal lung cancer, should be jointly and severally liable</w:t>
      </w:r>
      <w:r w:rsidR="00FE7D75">
        <w:t xml:space="preserve"> (as was the approach in </w:t>
      </w:r>
      <w:r w:rsidR="00FE7D75" w:rsidRPr="00FE7D75">
        <w:rPr>
          <w:i/>
          <w:iCs/>
        </w:rPr>
        <w:t>Fairchild</w:t>
      </w:r>
      <w:r w:rsidR="00FE7D75">
        <w:t>)</w:t>
      </w:r>
      <w:r w:rsidR="00E6537E" w:rsidRPr="00E6537E">
        <w:t xml:space="preserve">. Instead, compensation </w:t>
      </w:r>
      <w:r w:rsidR="00E6537E">
        <w:t>was</w:t>
      </w:r>
      <w:r w:rsidR="00E6537E" w:rsidRPr="00E6537E">
        <w:t xml:space="preserve"> based on the period of time (and intensity of exposure, etc) that the claimant worked for the employer and was negligently exposed to asbestos. </w:t>
      </w:r>
      <w:r w:rsidR="00E6537E">
        <w:t>(</w:t>
      </w:r>
      <w:r w:rsidR="00E6537E" w:rsidRPr="00E6537E">
        <w:t xml:space="preserve">This issue was never raised in </w:t>
      </w:r>
      <w:r w:rsidR="00E6537E" w:rsidRPr="00E6537E">
        <w:rPr>
          <w:i/>
          <w:iCs/>
        </w:rPr>
        <w:t>Fairchild</w:t>
      </w:r>
      <w:r w:rsidR="00E6537E">
        <w:t xml:space="preserve">.) Significance of </w:t>
      </w:r>
      <w:r w:rsidR="00E6537E" w:rsidRPr="00E6537E">
        <w:rPr>
          <w:i/>
          <w:iCs/>
        </w:rPr>
        <w:t>Barker</w:t>
      </w:r>
      <w:r w:rsidR="00E6537E" w:rsidRPr="00E6537E">
        <w:t>:</w:t>
      </w:r>
    </w:p>
    <w:p w14:paraId="749DF71A" w14:textId="4B443003" w:rsidR="00E6537E" w:rsidRPr="00E6537E" w:rsidRDefault="00E6537E" w:rsidP="00E6537E">
      <w:pPr>
        <w:pStyle w:val="ListParagraph"/>
        <w:numPr>
          <w:ilvl w:val="1"/>
          <w:numId w:val="8"/>
        </w:numPr>
        <w:spacing w:after="0"/>
        <w:rPr>
          <w:i/>
          <w:iCs/>
        </w:rPr>
      </w:pPr>
      <w:r w:rsidRPr="00E6537E">
        <w:rPr>
          <w:i/>
          <w:iCs/>
        </w:rPr>
        <w:t>Barker</w:t>
      </w:r>
      <w:r>
        <w:t xml:space="preserve"> extends the </w:t>
      </w:r>
      <w:r w:rsidRPr="00E6537E">
        <w:rPr>
          <w:i/>
          <w:iCs/>
        </w:rPr>
        <w:t>Fairchild</w:t>
      </w:r>
      <w:r>
        <w:t xml:space="preserve"> </w:t>
      </w:r>
      <w:r w:rsidR="005700AD">
        <w:t>exception</w:t>
      </w:r>
      <w:r>
        <w:t xml:space="preserve">: </w:t>
      </w:r>
      <w:r w:rsidR="00FE7D75">
        <w:t xml:space="preserve">Opens the application of the </w:t>
      </w:r>
      <w:r w:rsidR="00FE7D75" w:rsidRPr="005700AD">
        <w:rPr>
          <w:i/>
          <w:iCs/>
        </w:rPr>
        <w:t>Fairchild</w:t>
      </w:r>
      <w:r w:rsidR="00FE7D75">
        <w:t xml:space="preserve"> exception to a combination of tortious and non-tortious causes of injury</w:t>
      </w:r>
    </w:p>
    <w:p w14:paraId="4D416371" w14:textId="77777777" w:rsidR="00290928" w:rsidRDefault="00E6537E" w:rsidP="00290928">
      <w:pPr>
        <w:pStyle w:val="ListParagraph"/>
        <w:numPr>
          <w:ilvl w:val="1"/>
          <w:numId w:val="8"/>
        </w:numPr>
      </w:pPr>
      <w:r w:rsidRPr="00290928">
        <w:rPr>
          <w:i/>
          <w:iCs/>
        </w:rPr>
        <w:t xml:space="preserve">Barker </w:t>
      </w:r>
      <w:r>
        <w:t xml:space="preserve">narrows the </w:t>
      </w:r>
      <w:r w:rsidRPr="00290928">
        <w:rPr>
          <w:i/>
          <w:iCs/>
        </w:rPr>
        <w:t>Fairchild</w:t>
      </w:r>
      <w:r>
        <w:t xml:space="preserve"> </w:t>
      </w:r>
      <w:r w:rsidR="005700AD">
        <w:t>exception</w:t>
      </w:r>
      <w:r>
        <w:t xml:space="preserve">: </w:t>
      </w:r>
      <w:r w:rsidRPr="00E6537E">
        <w:t>The House of Lords thought that liability should be limited to each employers</w:t>
      </w:r>
      <w:r w:rsidR="00905C91">
        <w:t>’</w:t>
      </w:r>
      <w:r w:rsidRPr="00E6537E">
        <w:t xml:space="preserve"> </w:t>
      </w:r>
      <w:r>
        <w:t>‘</w:t>
      </w:r>
      <w:r w:rsidRPr="00E6537E">
        <w:t>share</w:t>
      </w:r>
      <w:r>
        <w:t>’</w:t>
      </w:r>
      <w:r w:rsidRPr="00E6537E">
        <w:t xml:space="preserve"> of the total asbestos exposure to which the </w:t>
      </w:r>
      <w:r>
        <w:t>claimant</w:t>
      </w:r>
      <w:r w:rsidRPr="00E6537E">
        <w:t xml:space="preserve"> was subjected.</w:t>
      </w:r>
      <w:r w:rsidR="00290928">
        <w:t xml:space="preserve"> </w:t>
      </w:r>
    </w:p>
    <w:p w14:paraId="14E49BD1" w14:textId="09E6FD5A" w:rsidR="00290928" w:rsidRPr="00290928" w:rsidRDefault="00290928" w:rsidP="00290928">
      <w:pPr>
        <w:pStyle w:val="ListParagraph"/>
        <w:numPr>
          <w:ilvl w:val="1"/>
          <w:numId w:val="8"/>
        </w:numPr>
        <w:rPr>
          <w:i/>
          <w:iCs/>
        </w:rPr>
      </w:pPr>
      <w:r>
        <w:t>Important to note: T</w:t>
      </w:r>
      <w:r w:rsidRPr="00905C91">
        <w:t xml:space="preserve">he apportionment ruling in </w:t>
      </w:r>
      <w:r w:rsidRPr="00290928">
        <w:rPr>
          <w:i/>
          <w:iCs/>
        </w:rPr>
        <w:t>Barker</w:t>
      </w:r>
      <w:r w:rsidRPr="00905C91">
        <w:t xml:space="preserve"> has been overruled by s 3 of the Compensation Act 2006, such that anyone liable under the </w:t>
      </w:r>
      <w:r w:rsidRPr="00290928">
        <w:rPr>
          <w:i/>
          <w:iCs/>
        </w:rPr>
        <w:t>Fairchild</w:t>
      </w:r>
      <w:r w:rsidRPr="00905C91">
        <w:t xml:space="preserve"> exception for causing/creating the risk of mesothelioma is </w:t>
      </w:r>
      <w:r>
        <w:t xml:space="preserve">jointly and severally </w:t>
      </w:r>
      <w:r w:rsidRPr="00905C91">
        <w:t xml:space="preserve">liable in full for </w:t>
      </w:r>
      <w:r>
        <w:t>the claimant’s</w:t>
      </w:r>
      <w:r w:rsidRPr="00905C91">
        <w:t xml:space="preserve"> losses.</w:t>
      </w:r>
    </w:p>
    <w:p w14:paraId="1B0AB82E" w14:textId="514DFE41" w:rsidR="00EE37C0" w:rsidRDefault="00EE37C0" w:rsidP="00EE37C0">
      <w:r w:rsidRPr="00EE37C0">
        <w:rPr>
          <w:b/>
          <w:bCs/>
        </w:rPr>
        <w:t xml:space="preserve">c) </w:t>
      </w:r>
      <w:r w:rsidRPr="00FE7D75">
        <w:rPr>
          <w:b/>
          <w:bCs/>
          <w:i/>
          <w:iCs/>
        </w:rPr>
        <w:t>Sienkiewicz v Greif</w:t>
      </w:r>
      <w:r w:rsidRPr="00EE37C0">
        <w:rPr>
          <w:b/>
          <w:bCs/>
        </w:rPr>
        <w:t xml:space="preserve"> (UK) Ltd [2011]</w:t>
      </w:r>
      <w:r w:rsidRPr="00EE37C0">
        <w:t xml:space="preserve">: </w:t>
      </w:r>
      <w:r>
        <w:t>O</w:t>
      </w:r>
      <w:r w:rsidRPr="00EE37C0">
        <w:t>nly one of the factors which may have caused the claimant’s mesothelioma had been a single employer’s negligence (the other exposure was general, non-negligent atmospheric asbestos). The Supreme Court held that, according to s 3 of the Compensation Act, the question to be asked was whether the defendant’s negligence had constituted a ‘material increase’ in risk of the disease. This could be satisfied even when, as here, the employer’s contribution to the risk was estimated to be 18 per cent.</w:t>
      </w:r>
      <w:r>
        <w:t xml:space="preserve"> </w:t>
      </w:r>
    </w:p>
    <w:p w14:paraId="496337D2" w14:textId="21EAA650" w:rsidR="00EE37C0" w:rsidRDefault="00656A65" w:rsidP="00EE37C0">
      <w:r w:rsidRPr="00290928">
        <w:rPr>
          <w:b/>
          <w:bCs/>
        </w:rPr>
        <w:t>d) BAI</w:t>
      </w:r>
      <w:r w:rsidRPr="00656A65">
        <w:rPr>
          <w:b/>
          <w:bCs/>
        </w:rPr>
        <w:t xml:space="preserve"> (Run Off) v Durham [2012]</w:t>
      </w:r>
      <w:r>
        <w:t>: (</w:t>
      </w:r>
      <w:r w:rsidR="00290928">
        <w:t>“</w:t>
      </w:r>
      <w:r>
        <w:t>Trigger</w:t>
      </w:r>
      <w:r w:rsidR="00290928">
        <w:t>”</w:t>
      </w:r>
      <w:r>
        <w:t xml:space="preserve"> Litigation case)</w:t>
      </w:r>
      <w:r w:rsidR="00290928" w:rsidRPr="00290928">
        <w:t xml:space="preserve"> </w:t>
      </w:r>
      <w:r w:rsidR="00290928">
        <w:t xml:space="preserve">The </w:t>
      </w:r>
      <w:r w:rsidR="00290928" w:rsidRPr="00290928">
        <w:t>Supreme Court held that though the contracting of mesothelioma comprises the claimant’s actionable injury, the defendant employer’s legal responsibility begins at the time at which the claimant was first negligently exposed to the asbestos.</w:t>
      </w:r>
    </w:p>
    <w:p w14:paraId="3806D462" w14:textId="52CF411F" w:rsidR="00CD4408" w:rsidRDefault="00290928" w:rsidP="00CD4408">
      <w:r>
        <w:t xml:space="preserve">However, </w:t>
      </w:r>
      <w:r w:rsidRPr="00CD4408">
        <w:rPr>
          <w:i/>
          <w:iCs/>
        </w:rPr>
        <w:t>Barker</w:t>
      </w:r>
      <w:r w:rsidRPr="00290928">
        <w:t xml:space="preserve"> remains good law: </w:t>
      </w:r>
      <w:r w:rsidRPr="00CD4408">
        <w:rPr>
          <w:i/>
          <w:iCs/>
        </w:rPr>
        <w:t>International Energy Group Ltd v Zurich Insurance plc</w:t>
      </w:r>
      <w:r w:rsidRPr="00290928">
        <w:t xml:space="preserve"> [2015</w:t>
      </w:r>
      <w:r>
        <w:t>]</w:t>
      </w:r>
      <w:r w:rsidRPr="00290928">
        <w:t>, per Lord Mance JSC; ‘</w:t>
      </w:r>
      <w:r w:rsidRPr="00CD4408">
        <w:rPr>
          <w:i/>
          <w:iCs/>
        </w:rPr>
        <w:t>Barker</w:t>
      </w:r>
      <w:r w:rsidRPr="00290928">
        <w:t>, as analysed in “Trigger”, accepted causation in [a] weak or broad sense and none the less held an employer’s responsibility to be proportionate to that part for which the employer was responsible of the victim’s total exposure to asbestos dust. Trigger cannot therefore be said to affect or undermine the reasoning or decision in Barker’ [29].</w:t>
      </w:r>
    </w:p>
    <w:p w14:paraId="185039D0" w14:textId="77777777" w:rsidR="00CD4408" w:rsidRDefault="00CD4408" w:rsidP="00CD4408"/>
    <w:p w14:paraId="69A7163E" w14:textId="39B8EA63" w:rsidR="000C0436" w:rsidRPr="00CD4408" w:rsidRDefault="00F959AE" w:rsidP="00CD4408">
      <w:pPr>
        <w:pStyle w:val="ListParagraph"/>
        <w:numPr>
          <w:ilvl w:val="0"/>
          <w:numId w:val="13"/>
        </w:numPr>
        <w:spacing w:after="0"/>
        <w:rPr>
          <w:b/>
          <w:bCs/>
        </w:rPr>
      </w:pPr>
      <w:r w:rsidRPr="00CD4408">
        <w:rPr>
          <w:u w:val="single"/>
        </w:rPr>
        <w:t>I</w:t>
      </w:r>
      <w:r w:rsidR="000C0436" w:rsidRPr="00CD4408">
        <w:rPr>
          <w:u w:val="single"/>
        </w:rPr>
        <w:t>ndeterminate causes</w:t>
      </w:r>
    </w:p>
    <w:p w14:paraId="10BB16A6" w14:textId="34C44C12" w:rsidR="00EE37C0" w:rsidRDefault="000C0436" w:rsidP="000C0436">
      <w:r w:rsidRPr="000C0436">
        <w:rPr>
          <w:i/>
          <w:iCs/>
        </w:rPr>
        <w:t>Summers v Tice</w:t>
      </w:r>
      <w:r>
        <w:t xml:space="preserve"> (1948); </w:t>
      </w:r>
      <w:r w:rsidRPr="000C0436">
        <w:rPr>
          <w:i/>
          <w:iCs/>
        </w:rPr>
        <w:t>Fitzgerald v Lane</w:t>
      </w:r>
      <w:r>
        <w:t xml:space="preserve"> [1987]</w:t>
      </w:r>
    </w:p>
    <w:p w14:paraId="61064027" w14:textId="77777777" w:rsidR="000C0436" w:rsidRDefault="000C0436" w:rsidP="00EE37C0"/>
    <w:p w14:paraId="43775C5F" w14:textId="0604A36C" w:rsidR="000C0436" w:rsidRPr="00CD4408" w:rsidRDefault="000C0436" w:rsidP="00CD4408">
      <w:pPr>
        <w:pStyle w:val="ListParagraph"/>
        <w:numPr>
          <w:ilvl w:val="0"/>
          <w:numId w:val="13"/>
        </w:numPr>
        <w:spacing w:after="0"/>
        <w:rPr>
          <w:u w:val="single"/>
        </w:rPr>
      </w:pPr>
      <w:r w:rsidRPr="00CD4408">
        <w:rPr>
          <w:u w:val="single"/>
        </w:rPr>
        <w:t>Loss of chance</w:t>
      </w:r>
    </w:p>
    <w:p w14:paraId="1EFD7FB9" w14:textId="3B7E360F" w:rsidR="005168FD" w:rsidRDefault="005168FD" w:rsidP="005168FD">
      <w:r w:rsidRPr="00F959AE">
        <w:rPr>
          <w:b/>
          <w:bCs/>
          <w:i/>
          <w:iCs/>
        </w:rPr>
        <w:t>Hotson v East Berks AHA</w:t>
      </w:r>
      <w:r w:rsidRPr="005168FD">
        <w:rPr>
          <w:b/>
          <w:bCs/>
        </w:rPr>
        <w:t>:</w:t>
      </w:r>
      <w:r>
        <w:t xml:space="preserve"> The claimant fell out of a tree, seriously injuring his hip. He was taken to hospital, but they failed to diagnose his injuries correctly. He was sent home. By the time he returned to hospital a few days later he had developed avascular necrosis of the hip joint.  The medical evidence was that it was 75% likely that the condition would have developed even with prompt treatment, and the claimant’s claim failed.</w:t>
      </w:r>
    </w:p>
    <w:p w14:paraId="07006B21" w14:textId="31C12890" w:rsidR="005168FD" w:rsidRDefault="005168FD" w:rsidP="005168FD">
      <w:r w:rsidRPr="00F959AE">
        <w:rPr>
          <w:b/>
          <w:bCs/>
          <w:i/>
          <w:iCs/>
        </w:rPr>
        <w:t xml:space="preserve">Gregg v Scott </w:t>
      </w:r>
      <w:r w:rsidRPr="00CD4408">
        <w:rPr>
          <w:b/>
          <w:bCs/>
        </w:rPr>
        <w:t>[2005]</w:t>
      </w:r>
      <w:r w:rsidRPr="00CD4408">
        <w:t>:</w:t>
      </w:r>
      <w:r>
        <w:t xml:space="preserve"> </w:t>
      </w:r>
      <w:r w:rsidR="00F959AE">
        <w:t xml:space="preserve">The claimant </w:t>
      </w:r>
      <w:r>
        <w:t xml:space="preserve">went to the doctor complaining about a lump under his left arm, which the doctor failed to accurately diagnose as cancerous. As a result of this failure, the lump had grown and the cancer treatment that the claimant eventually received was delayed by nine months, and his chance of survival decreased. </w:t>
      </w:r>
      <w:r w:rsidR="00F959AE">
        <w:t>In</w:t>
      </w:r>
      <w:r>
        <w:t xml:space="preserve"> a 3:2 split</w:t>
      </w:r>
      <w:r w:rsidR="00F959AE">
        <w:t>, the</w:t>
      </w:r>
      <w:r>
        <w:t xml:space="preserve"> House of Lords rejected his claim, with the majority stating that the claimant needed to show that the doctor's negligence made it more likely than not (over 50% more likely) that he could not be cured. Since, at the outset, he was 58% likely to die anyway, he could not pass this test. Therefore, it could not be shown that </w:t>
      </w:r>
      <w:r w:rsidR="00F959AE">
        <w:t>‘</w:t>
      </w:r>
      <w:r>
        <w:t>but for</w:t>
      </w:r>
      <w:r w:rsidR="00F959AE">
        <w:t>’</w:t>
      </w:r>
      <w:r>
        <w:t xml:space="preserve"> the doctor's negligent diagnosis he could not be cured. In the alternative, the claimant argued that he had effectively lost a 17% chance of survival (the difference between 42% and 25%). However, this claim was also rejected, with the majority of the House of Lords holding that loss of chance could not form the basis of a medical negligence claim.</w:t>
      </w:r>
    </w:p>
    <w:p w14:paraId="5A3DE225" w14:textId="13198A5F" w:rsidR="00F959AE" w:rsidRDefault="00F959AE" w:rsidP="005168FD"/>
    <w:p w14:paraId="55DE2BB0" w14:textId="31911229" w:rsidR="00F959AE" w:rsidRPr="00CD4408" w:rsidRDefault="00F959AE" w:rsidP="00CD4408">
      <w:pPr>
        <w:pStyle w:val="ListParagraph"/>
        <w:numPr>
          <w:ilvl w:val="0"/>
          <w:numId w:val="13"/>
        </w:numPr>
        <w:spacing w:after="0"/>
        <w:rPr>
          <w:u w:val="single"/>
        </w:rPr>
      </w:pPr>
      <w:r w:rsidRPr="00CD4408">
        <w:rPr>
          <w:u w:val="single"/>
        </w:rPr>
        <w:t>Multiple sufficient causes:</w:t>
      </w:r>
    </w:p>
    <w:p w14:paraId="25727E05" w14:textId="6C3F9B1C" w:rsidR="00F959AE" w:rsidRDefault="00F959AE" w:rsidP="00F959AE">
      <w:r w:rsidRPr="00CD4408">
        <w:rPr>
          <w:b/>
          <w:bCs/>
          <w:i/>
          <w:iCs/>
        </w:rPr>
        <w:t>Baker v Willoughby</w:t>
      </w:r>
      <w:r w:rsidRPr="00CD4408">
        <w:rPr>
          <w:b/>
          <w:bCs/>
        </w:rPr>
        <w:t xml:space="preserve"> [1970]</w:t>
      </w:r>
      <w:r>
        <w:t>:</w:t>
      </w:r>
      <w:r w:rsidR="00CD4408">
        <w:t xml:space="preserve"> </w:t>
      </w:r>
      <w:r>
        <w:t xml:space="preserve">The claimant suffered injury to his leg as a result of a car accident negligently caused by the defendant. The resulting pain and stiffness meant that he had to leave his ordinary job. Later, while working in a scrap-metal yard, but before the trial of the original case, the man was shot in the same leg by criminals trying to rob the scrap-metal business, and his leg later had to be amputated. The House of Lords held that the original defendant's negligence continued to operate even after the harm caused by the gun shot. </w:t>
      </w:r>
    </w:p>
    <w:p w14:paraId="509E371E" w14:textId="51B54647" w:rsidR="00F959AE" w:rsidRDefault="00F959AE" w:rsidP="00F959AE">
      <w:r w:rsidRPr="00CD4408">
        <w:rPr>
          <w:b/>
          <w:bCs/>
          <w:i/>
          <w:iCs/>
        </w:rPr>
        <w:t>Jobling v Associated Dairies Ltd</w:t>
      </w:r>
      <w:r w:rsidRPr="00CD4408">
        <w:rPr>
          <w:b/>
          <w:bCs/>
        </w:rPr>
        <w:t xml:space="preserve"> [1982]</w:t>
      </w:r>
      <w:r>
        <w:t>: As a result of a workplace injury, the claimant suffered damage to his back which subsequently reduced his earning capacity. Before the trial against his employer, the man contracted an unrelated back disease which caused him to be him completely incapable of any work. As in Baker, the question for the House of Lords was whether the defendant should continue to be liable for the original injury and the loss of earnings associated with it past the point where the later (and greater) harm was suffered. The House of Lords held that this was not the case. They relied on the fact that when assessing damages, account could be taken of the ordinary 'vicissitudes of life' (hardships) that a person might be expected to encounter, and that damages were usually reduced accordingly, to take these into account. This meant that Jobling could only be compensated up until the point that he contracted the disease, as it could be said that this would have happened anyway.</w:t>
      </w:r>
    </w:p>
    <w:p w14:paraId="3255E125" w14:textId="0B0F84D5" w:rsidR="00CD4408" w:rsidRDefault="00CD4408" w:rsidP="00F959AE"/>
    <w:p w14:paraId="3D3BB36E" w14:textId="4138EDFA" w:rsidR="000D63D5" w:rsidRDefault="000D63D5" w:rsidP="00EE37C0">
      <w:pPr>
        <w:rPr>
          <w:b/>
          <w:bCs/>
          <w:sz w:val="28"/>
          <w:szCs w:val="28"/>
        </w:rPr>
      </w:pPr>
      <w:r w:rsidRPr="0017251D">
        <w:rPr>
          <w:b/>
          <w:bCs/>
          <w:sz w:val="28"/>
          <w:szCs w:val="28"/>
        </w:rPr>
        <w:t>Legal causation</w:t>
      </w:r>
    </w:p>
    <w:p w14:paraId="5852B7D6" w14:textId="77777777" w:rsidR="00431727" w:rsidRDefault="00431727" w:rsidP="00431727">
      <w:r>
        <w:t>We can break the rules of legal causation into two parts:</w:t>
      </w:r>
    </w:p>
    <w:p w14:paraId="786363A8" w14:textId="4ADCCB10" w:rsidR="00431727" w:rsidRDefault="00431727" w:rsidP="00431727">
      <w:pPr>
        <w:pStyle w:val="ListParagraph"/>
        <w:numPr>
          <w:ilvl w:val="1"/>
          <w:numId w:val="13"/>
        </w:numPr>
      </w:pPr>
      <w:r>
        <w:t>Remoteness: The claimant cannot recover losses which are regarded as too remote or too far removed from the defendant’s breach</w:t>
      </w:r>
    </w:p>
    <w:p w14:paraId="136705FF" w14:textId="3F0DC47F" w:rsidR="00431727" w:rsidRDefault="00431727" w:rsidP="00431727">
      <w:pPr>
        <w:pStyle w:val="ListParagraph"/>
        <w:numPr>
          <w:ilvl w:val="1"/>
          <w:numId w:val="13"/>
        </w:numPr>
      </w:pPr>
      <w:r>
        <w:t>Novus actus interveniens: There will be no recovery where there was an intervening event or act between the defendant’s breach and the claimant being injured, which is viewed as breaking the chain of causation</w:t>
      </w:r>
    </w:p>
    <w:p w14:paraId="0E381C59" w14:textId="77777777" w:rsidR="00431727" w:rsidRDefault="00431727" w:rsidP="00431727">
      <w:pPr>
        <w:ind w:left="720"/>
      </w:pPr>
    </w:p>
    <w:p w14:paraId="400E63AA" w14:textId="21EE1ACA" w:rsidR="0017251D" w:rsidRPr="007F1C71" w:rsidRDefault="00431727" w:rsidP="00431727">
      <w:pPr>
        <w:pStyle w:val="ListParagraph"/>
        <w:numPr>
          <w:ilvl w:val="0"/>
          <w:numId w:val="13"/>
        </w:numPr>
        <w:rPr>
          <w:b/>
          <w:bCs/>
        </w:rPr>
      </w:pPr>
      <w:bookmarkStart w:id="0" w:name="_Hlk150237761"/>
      <w:r w:rsidRPr="007F1C71">
        <w:rPr>
          <w:b/>
          <w:bCs/>
        </w:rPr>
        <w:t>Remoteness</w:t>
      </w:r>
    </w:p>
    <w:bookmarkEnd w:id="0"/>
    <w:p w14:paraId="46868B61" w14:textId="17129FE0" w:rsidR="00431727" w:rsidRDefault="00431727" w:rsidP="00431727">
      <w:r w:rsidRPr="00431727">
        <w:t xml:space="preserve">The basic test is one of reasonable foreseeability: a </w:t>
      </w:r>
      <w:r>
        <w:t>claimant</w:t>
      </w:r>
      <w:r w:rsidRPr="00431727">
        <w:t xml:space="preserve"> can recover so long as it was reasonable foreseeable that he may suffer losses of that kind if the </w:t>
      </w:r>
      <w:r>
        <w:t>defendant</w:t>
      </w:r>
      <w:r w:rsidRPr="00431727">
        <w:t xml:space="preserve"> failed to take reasonable care</w:t>
      </w:r>
      <w:r>
        <w:t>.</w:t>
      </w:r>
    </w:p>
    <w:p w14:paraId="408C09A6" w14:textId="704D26CE" w:rsidR="00431727" w:rsidRDefault="00431727" w:rsidP="00431727">
      <w:pPr>
        <w:pStyle w:val="ListParagraph"/>
        <w:numPr>
          <w:ilvl w:val="0"/>
          <w:numId w:val="16"/>
        </w:numPr>
      </w:pPr>
      <w:r w:rsidRPr="00431727">
        <w:rPr>
          <w:b/>
          <w:bCs/>
          <w:i/>
          <w:iCs/>
        </w:rPr>
        <w:t>Overseas Tankship (UK) v Morts Dock and Engineering Co (The Wagon Mound) No 1</w:t>
      </w:r>
      <w:r w:rsidRPr="00431727">
        <w:rPr>
          <w:b/>
          <w:bCs/>
        </w:rPr>
        <w:t xml:space="preserve"> [1961]:</w:t>
      </w:r>
      <w:r>
        <w:t xml:space="preserve"> The defendants were responsible for a ship that had been loading in Sydney Harbour, Australia. Due to the negligence of one of the crew, some furnace oil leaked into the water and formed a thin film over its surface. This spread to a neighbouring wharf owned by the claimants, where welders were working repairing another ship. Some days later, sparks from the welding managed to ignite the oil and the resulting fire caused serious damage to the wharf and other ships surrounding it. The court of first instance found that damage caused by the oil itself (for example, to the slipway of the wharf ) was reasonably foreseeable but, because evidence showed that it is difficult to ignite furnace oil spread thinly on water, damage to the claimant’s property caused by fire would not have been foreseeable to a reasonable person (at the time the oil was spilt). The Privy Council agreed, finding that a reasonable person could not have foreseen fire damage as a possible consequence of the negligent act.</w:t>
      </w:r>
    </w:p>
    <w:p w14:paraId="5AD68EC4" w14:textId="17CB5004" w:rsidR="00D42BF9" w:rsidRDefault="00D42BF9" w:rsidP="00431727">
      <w:pPr>
        <w:pStyle w:val="ListParagraph"/>
        <w:numPr>
          <w:ilvl w:val="0"/>
          <w:numId w:val="16"/>
        </w:numPr>
      </w:pPr>
      <w:r w:rsidRPr="00D42BF9">
        <w:rPr>
          <w:b/>
          <w:bCs/>
          <w:i/>
          <w:iCs/>
        </w:rPr>
        <w:t>Hughes v Lord Advocate</w:t>
      </w:r>
      <w:r w:rsidRPr="00D42BF9">
        <w:t xml:space="preserve"> </w:t>
      </w:r>
      <w:r w:rsidRPr="00D42BF9">
        <w:rPr>
          <w:b/>
          <w:bCs/>
        </w:rPr>
        <w:t>(1963)</w:t>
      </w:r>
      <w:r>
        <w:t>:</w:t>
      </w:r>
      <w:r w:rsidRPr="00D42BF9">
        <w:t xml:space="preserve"> A group of workmen left an open manhole, guarded by paraffin lamps. Some children began playing with the lamps and dropped one of them into the manhole, where there was an explosion. This resulted in one of the children being knocked into the manhole and badly burned. The defendants’ case was that this was not reasonably foreseeable and therefore not compensatable. The House of Lords</w:t>
      </w:r>
      <w:r>
        <w:t xml:space="preserve"> held that </w:t>
      </w:r>
      <w:r w:rsidRPr="00D42BF9">
        <w:t>leaving the paraffin lamps created a risk of injury due to burns and the fact that the plaintiff’s burns came about in an unlikely way was not relevant. ‘[T]he distinction between burning and explosion is too fine to warrant acceptance.’</w:t>
      </w:r>
    </w:p>
    <w:p w14:paraId="6F4443D3" w14:textId="7BA6D185" w:rsidR="00431727" w:rsidRDefault="00431727" w:rsidP="00431727">
      <w:pPr>
        <w:pStyle w:val="ListParagraph"/>
        <w:numPr>
          <w:ilvl w:val="0"/>
          <w:numId w:val="16"/>
        </w:numPr>
      </w:pPr>
      <w:r w:rsidRPr="00D42BF9">
        <w:rPr>
          <w:b/>
          <w:bCs/>
          <w:i/>
          <w:iCs/>
        </w:rPr>
        <w:t>Jolley v Sutton Borough Council</w:t>
      </w:r>
      <w:r w:rsidRPr="00431727">
        <w:t xml:space="preserve"> (2000)</w:t>
      </w:r>
      <w:r>
        <w:t xml:space="preserve">: </w:t>
      </w:r>
      <w:r w:rsidRPr="00D42BF9">
        <w:rPr>
          <w:i/>
          <w:iCs/>
        </w:rPr>
        <w:t>Wagon Mound</w:t>
      </w:r>
      <w:r w:rsidR="00D42BF9">
        <w:t xml:space="preserve"> and </w:t>
      </w:r>
      <w:r w:rsidR="00D42BF9" w:rsidRPr="00D42BF9">
        <w:rPr>
          <w:i/>
          <w:iCs/>
        </w:rPr>
        <w:t>Hughes</w:t>
      </w:r>
      <w:r>
        <w:t xml:space="preserve"> </w:t>
      </w:r>
      <w:r w:rsidRPr="00431727">
        <w:t>‘in no way suggest[ed] that the precise manner in which the injury occurred nor its extent had to be foreseeable’</w:t>
      </w:r>
      <w:r>
        <w:t xml:space="preserve"> (per Lord </w:t>
      </w:r>
      <w:r w:rsidR="00D42BF9">
        <w:t>Styen)</w:t>
      </w:r>
    </w:p>
    <w:p w14:paraId="583A5909" w14:textId="77777777" w:rsidR="00D42BF9" w:rsidRDefault="00D42BF9" w:rsidP="00D42BF9">
      <w:pPr>
        <w:spacing w:after="0"/>
      </w:pPr>
      <w:r>
        <w:t xml:space="preserve">Exception: </w:t>
      </w:r>
      <w:r w:rsidRPr="00D42BF9">
        <w:t>There is one situation in which the defendant will be liable for outcomes which are not reasonably foreseeable</w:t>
      </w:r>
      <w:r>
        <w:t xml:space="preserve"> = the egg-shell skull rule</w:t>
      </w:r>
    </w:p>
    <w:p w14:paraId="11CD3477" w14:textId="07FE6854" w:rsidR="000812F0" w:rsidRDefault="00D42BF9" w:rsidP="000812F0">
      <w:pPr>
        <w:pStyle w:val="ListParagraph"/>
        <w:numPr>
          <w:ilvl w:val="0"/>
          <w:numId w:val="17"/>
        </w:numPr>
      </w:pPr>
      <w:r w:rsidRPr="000812F0">
        <w:rPr>
          <w:b/>
          <w:bCs/>
          <w:i/>
          <w:iCs/>
        </w:rPr>
        <w:t>Smith v Leech Brain</w:t>
      </w:r>
      <w:r w:rsidRPr="00D42BF9">
        <w:t xml:space="preserve"> (1962)</w:t>
      </w:r>
      <w:r>
        <w:t xml:space="preserve">: </w:t>
      </w:r>
      <w:r w:rsidRPr="00D42BF9">
        <w:t xml:space="preserve">Because of the </w:t>
      </w:r>
      <w:r>
        <w:t>defendant</w:t>
      </w:r>
      <w:r w:rsidRPr="00D42BF9">
        <w:t xml:space="preserve">’s negligence, the </w:t>
      </w:r>
      <w:r>
        <w:t>claimant</w:t>
      </w:r>
      <w:r w:rsidRPr="00D42BF9">
        <w:t xml:space="preserve"> was burnt on the lip. The burn he suffered activated a pre-cancerous condition of which he eventually died. Despite the fact that the death from cancer incited by the splash would not have been foreseeable at the time of the injury, the employer was liable for its full extent. </w:t>
      </w:r>
      <w:r>
        <w:t xml:space="preserve">The court held that </w:t>
      </w:r>
      <w:r w:rsidRPr="00D42BF9">
        <w:t xml:space="preserve">as long as physical injury had been foreseeable, it did not matter what the extent of this was, or that the </w:t>
      </w:r>
      <w:r>
        <w:t>claimant</w:t>
      </w:r>
      <w:r w:rsidRPr="00D42BF9">
        <w:t xml:space="preserve"> was more susceptible to a greater level of har</w:t>
      </w:r>
      <w:r w:rsidR="000812F0">
        <w:t>m</w:t>
      </w:r>
    </w:p>
    <w:p w14:paraId="20983BB5" w14:textId="2B211AA5" w:rsidR="000812F0" w:rsidRDefault="000812F0" w:rsidP="000812F0"/>
    <w:p w14:paraId="788096F6" w14:textId="62947C6F" w:rsidR="000812F0" w:rsidRDefault="000812F0" w:rsidP="000812F0">
      <w:pPr>
        <w:pStyle w:val="ListParagraph"/>
        <w:numPr>
          <w:ilvl w:val="0"/>
          <w:numId w:val="13"/>
        </w:numPr>
        <w:rPr>
          <w:b/>
          <w:bCs/>
        </w:rPr>
      </w:pPr>
      <w:r w:rsidRPr="006853BC">
        <w:rPr>
          <w:b/>
          <w:bCs/>
          <w:i/>
          <w:iCs/>
        </w:rPr>
        <w:t>Novus actus interveniens</w:t>
      </w:r>
      <w:r>
        <w:rPr>
          <w:b/>
          <w:bCs/>
        </w:rPr>
        <w:t>/ intervening acts</w:t>
      </w:r>
      <w:r w:rsidR="006853BC">
        <w:rPr>
          <w:b/>
          <w:bCs/>
        </w:rPr>
        <w:t xml:space="preserve"> (break the chain of causation)</w:t>
      </w:r>
    </w:p>
    <w:p w14:paraId="587B6F00" w14:textId="3D345268" w:rsidR="00452B2D" w:rsidRDefault="006853BC" w:rsidP="002C1E33">
      <w:pPr>
        <w:spacing w:after="0"/>
      </w:pPr>
      <w:r w:rsidRPr="002C1E33">
        <w:t xml:space="preserve">Actions by the claimant: </w:t>
      </w:r>
      <w:r w:rsidR="00452B2D">
        <w:t>Unreasonableness = key criterion in determining whether the action breaks the chain of events</w:t>
      </w:r>
    </w:p>
    <w:p w14:paraId="61BB7DC6" w14:textId="0CA339F8" w:rsidR="006853BC" w:rsidRDefault="00452B2D" w:rsidP="006853BC">
      <w:pPr>
        <w:pStyle w:val="ListParagraph"/>
        <w:numPr>
          <w:ilvl w:val="1"/>
          <w:numId w:val="13"/>
        </w:numPr>
      </w:pPr>
      <w:r w:rsidRPr="00452B2D">
        <w:rPr>
          <w:b/>
          <w:bCs/>
          <w:i/>
          <w:iCs/>
        </w:rPr>
        <w:t>McKew v Holland</w:t>
      </w:r>
      <w:r w:rsidRPr="00452B2D">
        <w:rPr>
          <w:b/>
          <w:bCs/>
        </w:rPr>
        <w:t xml:space="preserve"> (1969)</w:t>
      </w:r>
      <w:r w:rsidR="006853BC">
        <w:t xml:space="preserve">: </w:t>
      </w:r>
      <w:r>
        <w:t xml:space="preserve">The </w:t>
      </w:r>
      <w:r w:rsidRPr="00452B2D">
        <w:t>plaintiff’s own unreasonable behaviour, in putting himself in a dangerous situation, broke the chain of causation.</w:t>
      </w:r>
    </w:p>
    <w:p w14:paraId="660CE981" w14:textId="0A0CF4E0" w:rsidR="00452B2D" w:rsidRDefault="00452B2D" w:rsidP="002C1E33">
      <w:pPr>
        <w:spacing w:after="0"/>
      </w:pPr>
      <w:r w:rsidRPr="002C1E33">
        <w:t>Actions by third parties</w:t>
      </w:r>
      <w:r>
        <w:t>:</w:t>
      </w:r>
      <w:r w:rsidR="002C1E33">
        <w:t xml:space="preserve"> </w:t>
      </w:r>
      <w:r>
        <w:t xml:space="preserve">Relevant when </w:t>
      </w:r>
      <w:r w:rsidRPr="00452B2D">
        <w:t>a third party is responding to an opportunity provided by the defendant’s act, reacting to either danger or emergency, possibly as a rescuer, or as a deliberate wrongdoer, in some cases committing a criminal act</w:t>
      </w:r>
    </w:p>
    <w:p w14:paraId="2CA10E1C" w14:textId="20DAAA3C" w:rsidR="000812F0" w:rsidRDefault="006853BC" w:rsidP="00452B2D">
      <w:pPr>
        <w:pStyle w:val="ListParagraph"/>
        <w:numPr>
          <w:ilvl w:val="0"/>
          <w:numId w:val="19"/>
        </w:numPr>
      </w:pPr>
      <w:r w:rsidRPr="006F3D0F">
        <w:rPr>
          <w:b/>
          <w:bCs/>
          <w:i/>
          <w:iCs/>
        </w:rPr>
        <w:t xml:space="preserve">Knightley v Johns </w:t>
      </w:r>
      <w:r w:rsidRPr="006F3D0F">
        <w:rPr>
          <w:b/>
          <w:bCs/>
        </w:rPr>
        <w:t>[1982]</w:t>
      </w:r>
      <w:r w:rsidR="00452B2D" w:rsidRPr="006F3D0F">
        <w:t>:</w:t>
      </w:r>
      <w:r w:rsidR="00452B2D">
        <w:t xml:space="preserve"> </w:t>
      </w:r>
      <w:r w:rsidR="00452B2D" w:rsidRPr="00452B2D">
        <w:t xml:space="preserve">When a road traffic accident occurred in a tunnel, due to the negligence of Johns, a police officer on the scene ordered one of his motorcyclists to ride through the tunnel against the flow of traffic. This was contrary to existing good police practice and led to a second accident which injured Knightley. </w:t>
      </w:r>
      <w:r w:rsidR="00452B2D">
        <w:t xml:space="preserve">The </w:t>
      </w:r>
      <w:r w:rsidR="00452B2D" w:rsidRPr="00452B2D">
        <w:t xml:space="preserve">police officer’s order </w:t>
      </w:r>
      <w:r w:rsidR="00452B2D">
        <w:t xml:space="preserve">was considered an intervening act = </w:t>
      </w:r>
      <w:r w:rsidR="00452B2D" w:rsidRPr="00452B2D">
        <w:t>his was a positive act rather than a mere omission</w:t>
      </w:r>
      <w:r w:rsidR="00452B2D">
        <w:t xml:space="preserve"> and that </w:t>
      </w:r>
      <w:r w:rsidR="00452B2D" w:rsidRPr="00452B2D">
        <w:t>it was a matter of ‘common sense’ that the officer’s negligence was a ‘new cause disturbing the sequence of events… which was the real cause of the plaintiff’s injury and made that injury too remote from Mr Johns’ wrongdoing to be a consequence of it’.</w:t>
      </w:r>
    </w:p>
    <w:p w14:paraId="68F88386" w14:textId="6DC2A7B3" w:rsidR="006F3D0F" w:rsidRPr="006F3D0F" w:rsidRDefault="006F3D0F" w:rsidP="00452B2D">
      <w:pPr>
        <w:pStyle w:val="ListParagraph"/>
        <w:numPr>
          <w:ilvl w:val="0"/>
          <w:numId w:val="19"/>
        </w:numPr>
        <w:rPr>
          <w:b/>
          <w:bCs/>
        </w:rPr>
      </w:pPr>
      <w:r>
        <w:t xml:space="preserve">See also: </w:t>
      </w:r>
      <w:r w:rsidRPr="006F3D0F">
        <w:rPr>
          <w:b/>
          <w:bCs/>
          <w:i/>
          <w:iCs/>
        </w:rPr>
        <w:t>Wright v Lodge</w:t>
      </w:r>
      <w:r w:rsidRPr="006F3D0F">
        <w:t xml:space="preserve"> (</w:t>
      </w:r>
      <w:r w:rsidRPr="006F3D0F">
        <w:rPr>
          <w:b/>
          <w:bCs/>
        </w:rPr>
        <w:t>1993)</w:t>
      </w:r>
      <w:r w:rsidRPr="006F3D0F">
        <w:rPr>
          <w:b/>
          <w:bCs/>
        </w:rPr>
        <w:t xml:space="preserve">; </w:t>
      </w:r>
      <w:r w:rsidRPr="006F3D0F">
        <w:rPr>
          <w:b/>
          <w:bCs/>
          <w:i/>
          <w:iCs/>
        </w:rPr>
        <w:t>Rouse v Squires</w:t>
      </w:r>
      <w:r w:rsidRPr="006F3D0F">
        <w:rPr>
          <w:b/>
          <w:bCs/>
        </w:rPr>
        <w:t xml:space="preserve"> [1973]</w:t>
      </w:r>
    </w:p>
    <w:p w14:paraId="5FA8662D" w14:textId="5B93A7CA" w:rsidR="006F3D0F" w:rsidRDefault="006F3D0F" w:rsidP="00452B2D">
      <w:pPr>
        <w:pStyle w:val="ListParagraph"/>
        <w:numPr>
          <w:ilvl w:val="0"/>
          <w:numId w:val="19"/>
        </w:numPr>
      </w:pPr>
      <w:r w:rsidRPr="006F3D0F">
        <w:rPr>
          <w:b/>
          <w:bCs/>
          <w:i/>
          <w:iCs/>
        </w:rPr>
        <w:t>Weld-Blundell v Stephens</w:t>
      </w:r>
      <w:r w:rsidRPr="006F3D0F">
        <w:rPr>
          <w:b/>
          <w:bCs/>
        </w:rPr>
        <w:t xml:space="preserve"> (1920)</w:t>
      </w:r>
      <w:r>
        <w:t xml:space="preserve">: </w:t>
      </w:r>
      <w:r w:rsidRPr="006F3D0F">
        <w:t>When the third party has deliberately committed a wrongful act against the claimant, there is a greater tendency to find that it has broken the chain of causation.</w:t>
      </w:r>
    </w:p>
    <w:p w14:paraId="4A98D037" w14:textId="4849442D" w:rsidR="006F3D0F" w:rsidRDefault="006F3D0F" w:rsidP="00452B2D">
      <w:pPr>
        <w:pStyle w:val="ListParagraph"/>
        <w:numPr>
          <w:ilvl w:val="0"/>
          <w:numId w:val="19"/>
        </w:numPr>
      </w:pPr>
      <w:r w:rsidRPr="006F3D0F">
        <w:rPr>
          <w:b/>
          <w:bCs/>
          <w:i/>
          <w:iCs/>
        </w:rPr>
        <w:t>Webb v Barclays Bank</w:t>
      </w:r>
      <w:r w:rsidRPr="006F3D0F">
        <w:rPr>
          <w:b/>
          <w:bCs/>
        </w:rPr>
        <w:t xml:space="preserve"> [2001]</w:t>
      </w:r>
      <w:r>
        <w:t xml:space="preserve">: </w:t>
      </w:r>
      <w:r w:rsidRPr="006F3D0F">
        <w:t>Medical negligence will typically not break the chain of causation, since, though unreasonable, it is not freely chosen</w:t>
      </w:r>
      <w:r>
        <w:t xml:space="preserve"> vs </w:t>
      </w:r>
      <w:r w:rsidRPr="006F3D0F">
        <w:rPr>
          <w:b/>
          <w:bCs/>
          <w:i/>
          <w:iCs/>
        </w:rPr>
        <w:t>Robinson v Post Office</w:t>
      </w:r>
      <w:r>
        <w:t>:</w:t>
      </w:r>
      <w:r w:rsidRPr="006F3D0F">
        <w:t xml:space="preserve"> </w:t>
      </w:r>
      <w:r w:rsidRPr="006F3D0F">
        <w:t>when a defendant’s negligence necessitates the claimant’s medical treatment, the negligent administration of that treatment will only break the chain of causation if it is extreme or ‘gross’</w:t>
      </w:r>
      <w:r>
        <w:t>.</w:t>
      </w:r>
    </w:p>
    <w:p w14:paraId="3DC95B3F" w14:textId="413BB820" w:rsidR="006F3D0F" w:rsidRDefault="006F3D0F" w:rsidP="006F3D0F"/>
    <w:p w14:paraId="2B138568" w14:textId="1E80EA2D" w:rsidR="006F3D0F" w:rsidRPr="002C1E33" w:rsidRDefault="006F3D0F" w:rsidP="006F3D0F">
      <w:pPr>
        <w:rPr>
          <w:b/>
          <w:bCs/>
        </w:rPr>
      </w:pPr>
      <w:r w:rsidRPr="002C1E33">
        <w:rPr>
          <w:b/>
          <w:bCs/>
        </w:rPr>
        <w:t>Summary:</w:t>
      </w:r>
    </w:p>
    <w:p w14:paraId="0E33E53D" w14:textId="18A520F7" w:rsidR="006F3D0F" w:rsidRDefault="006F3D0F" w:rsidP="006F3D0F">
      <w:r>
        <w:t>O</w:t>
      </w:r>
      <w:r>
        <w:t xml:space="preserve">nce duty and breach are proved, a </w:t>
      </w:r>
      <w:r>
        <w:t>claimant</w:t>
      </w:r>
      <w:r>
        <w:t xml:space="preserve"> will be able to recover compensation for his losses provided:</w:t>
      </w:r>
    </w:p>
    <w:p w14:paraId="049FA66E" w14:textId="5EA9088E" w:rsidR="006F3D0F" w:rsidRDefault="006F3D0F" w:rsidP="006F3D0F">
      <w:pPr>
        <w:pStyle w:val="ListParagraph"/>
        <w:numPr>
          <w:ilvl w:val="0"/>
          <w:numId w:val="20"/>
        </w:numPr>
      </w:pPr>
      <w:r>
        <w:t>H</w:t>
      </w:r>
      <w:r>
        <w:t xml:space="preserve">e would not have suffered the loss but for the D’s negligence (c.f. </w:t>
      </w:r>
      <w:r w:rsidRPr="006F3D0F">
        <w:rPr>
          <w:i/>
          <w:iCs/>
        </w:rPr>
        <w:t>McGhee</w:t>
      </w:r>
      <w:r>
        <w:t xml:space="preserve"> and </w:t>
      </w:r>
      <w:r w:rsidRPr="006F3D0F">
        <w:rPr>
          <w:i/>
          <w:iCs/>
        </w:rPr>
        <w:t>Fairchild</w:t>
      </w:r>
      <w:r>
        <w:t>)</w:t>
      </w:r>
    </w:p>
    <w:p w14:paraId="7BC07E7B" w14:textId="1193E322" w:rsidR="006F3D0F" w:rsidRDefault="006F3D0F" w:rsidP="006F3D0F">
      <w:pPr>
        <w:pStyle w:val="ListParagraph"/>
        <w:numPr>
          <w:ilvl w:val="0"/>
          <w:numId w:val="20"/>
        </w:numPr>
      </w:pPr>
      <w:r>
        <w:t>It was reasonably foreseeable that breach might cause him to suffer losses of that kind</w:t>
      </w:r>
    </w:p>
    <w:p w14:paraId="52A4904C" w14:textId="4AA280C0" w:rsidR="0023723F" w:rsidRDefault="006F3D0F" w:rsidP="006F3D0F">
      <w:r>
        <w:t>No intervening event or act is to be regarded as having broken the chain of causation</w:t>
      </w:r>
    </w:p>
    <w:p w14:paraId="573226A2" w14:textId="77777777" w:rsidR="0023723F" w:rsidRDefault="0023723F">
      <w:pPr>
        <w:jc w:val="left"/>
      </w:pPr>
      <w:r>
        <w:br w:type="page"/>
      </w:r>
    </w:p>
    <w:p w14:paraId="5B5AEF7D" w14:textId="4ABC5E31" w:rsidR="006F3D0F" w:rsidRPr="0017251D" w:rsidRDefault="0023723F" w:rsidP="006F3D0F">
      <w:r>
        <w:rPr>
          <w:noProof/>
        </w:rPr>
        <w:drawing>
          <wp:inline distT="0" distB="0" distL="0" distR="0" wp14:anchorId="6D9BCBF9" wp14:editId="7EEFA5E6">
            <wp:extent cx="3628390" cy="8904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28390" cy="8904605"/>
                    </a:xfrm>
                    <a:prstGeom prst="rect">
                      <a:avLst/>
                    </a:prstGeom>
                    <a:noFill/>
                  </pic:spPr>
                </pic:pic>
              </a:graphicData>
            </a:graphic>
          </wp:inline>
        </w:drawing>
      </w:r>
    </w:p>
    <w:sectPr w:rsidR="006F3D0F" w:rsidRPr="001725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ZapfDingbatsStd">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72D92"/>
    <w:multiLevelType w:val="hybridMultilevel"/>
    <w:tmpl w:val="04AC84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705FD9"/>
    <w:multiLevelType w:val="hybridMultilevel"/>
    <w:tmpl w:val="24063BBA"/>
    <w:lvl w:ilvl="0" w:tplc="1C1A58EA">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ZapfDingbatsStd"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ZapfDingbatsStd"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ZapfDingbatsStd"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B96CDE"/>
    <w:multiLevelType w:val="hybridMultilevel"/>
    <w:tmpl w:val="082A9B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E60A5E"/>
    <w:multiLevelType w:val="hybridMultilevel"/>
    <w:tmpl w:val="F92C973A"/>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4431044"/>
    <w:multiLevelType w:val="hybridMultilevel"/>
    <w:tmpl w:val="6DF002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0C278B"/>
    <w:multiLevelType w:val="hybridMultilevel"/>
    <w:tmpl w:val="66E00C6E"/>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A683525"/>
    <w:multiLevelType w:val="hybridMultilevel"/>
    <w:tmpl w:val="FEF6E3EA"/>
    <w:lvl w:ilvl="0" w:tplc="9DB6D962">
      <w:start w:val="1"/>
      <w:numFmt w:val="upperLetter"/>
      <w:lvlText w:val="%1)"/>
      <w:lvlJc w:val="left"/>
      <w:pPr>
        <w:ind w:left="720" w:hanging="360"/>
      </w:pPr>
      <w:rPr>
        <w:rFonts w:hint="default"/>
        <w:b/>
        <w: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BB8219C"/>
    <w:multiLevelType w:val="hybridMultilevel"/>
    <w:tmpl w:val="993C22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17112F0"/>
    <w:multiLevelType w:val="hybridMultilevel"/>
    <w:tmpl w:val="00063228"/>
    <w:lvl w:ilvl="0" w:tplc="06BA720E">
      <w:start w:val="1"/>
      <w:numFmt w:val="lowerLetter"/>
      <w:lvlText w:val="%1)"/>
      <w:lvlJc w:val="left"/>
      <w:pPr>
        <w:ind w:left="720" w:hanging="360"/>
      </w:pPr>
      <w:rPr>
        <w:rFonts w:hint="default"/>
        <w:b/>
        <w: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55B3FD6"/>
    <w:multiLevelType w:val="hybridMultilevel"/>
    <w:tmpl w:val="D8EEB63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2F0333CB"/>
    <w:multiLevelType w:val="hybridMultilevel"/>
    <w:tmpl w:val="A1469D60"/>
    <w:lvl w:ilvl="0" w:tplc="FFFFFFFF">
      <w:start w:val="1"/>
      <w:numFmt w:val="bullet"/>
      <w:lvlText w:val=""/>
      <w:lvlJc w:val="left"/>
      <w:pPr>
        <w:ind w:left="360" w:hanging="360"/>
      </w:pPr>
      <w:rPr>
        <w:rFonts w:ascii="Symbol" w:hAnsi="Symbol" w:hint="default"/>
      </w:rPr>
    </w:lvl>
    <w:lvl w:ilvl="1" w:tplc="FFFFFFFF">
      <w:start w:val="1"/>
      <w:numFmt w:val="decimal"/>
      <w:lvlText w:val="%2."/>
      <w:lvlJc w:val="left"/>
      <w:pPr>
        <w:ind w:left="1080" w:hanging="360"/>
      </w:pPr>
    </w:lvl>
    <w:lvl w:ilvl="2" w:tplc="FFFFFFFF">
      <w:start w:val="1"/>
      <w:numFmt w:val="bullet"/>
      <w:lvlText w:val=""/>
      <w:lvlJc w:val="left"/>
      <w:pPr>
        <w:ind w:left="1800" w:hanging="360"/>
      </w:pPr>
      <w:rPr>
        <w:rFonts w:ascii="Wingdings" w:hAnsi="Wingdings" w:hint="default"/>
      </w:rPr>
    </w:lvl>
    <w:lvl w:ilvl="3" w:tplc="0409001B">
      <w:start w:val="1"/>
      <w:numFmt w:val="lowerRoman"/>
      <w:lvlText w:val="%4."/>
      <w:lvlJc w:val="right"/>
      <w:pPr>
        <w:ind w:left="720" w:hanging="360"/>
      </w:p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381531D2"/>
    <w:multiLevelType w:val="hybridMultilevel"/>
    <w:tmpl w:val="B3D22B74"/>
    <w:lvl w:ilvl="0" w:tplc="FFFFFFFF">
      <w:start w:val="1"/>
      <w:numFmt w:val="bullet"/>
      <w:lvlText w:val=""/>
      <w:lvlJc w:val="left"/>
      <w:pPr>
        <w:ind w:left="360" w:hanging="360"/>
      </w:pPr>
      <w:rPr>
        <w:rFonts w:ascii="Symbol" w:hAnsi="Symbol" w:hint="default"/>
      </w:rPr>
    </w:lvl>
    <w:lvl w:ilvl="1" w:tplc="0809000F">
      <w:start w:val="1"/>
      <w:numFmt w:val="decimal"/>
      <w:lvlText w:val="%2."/>
      <w:lvlJc w:val="left"/>
      <w:pPr>
        <w:ind w:left="1080" w:hanging="360"/>
      </w:pPr>
    </w:lvl>
    <w:lvl w:ilvl="2" w:tplc="FFFFFFFF">
      <w:start w:val="1"/>
      <w:numFmt w:val="bullet"/>
      <w:lvlText w:val=""/>
      <w:lvlJc w:val="left"/>
      <w:pPr>
        <w:ind w:left="1800" w:hanging="360"/>
      </w:pPr>
      <w:rPr>
        <w:rFonts w:ascii="Wingdings" w:hAnsi="Wingdings" w:hint="default"/>
      </w:rPr>
    </w:lvl>
    <w:lvl w:ilvl="3" w:tplc="0809000F">
      <w:start w:val="1"/>
      <w:numFmt w:val="decimal"/>
      <w:lvlText w:val="%4."/>
      <w:lvlJc w:val="left"/>
      <w:pPr>
        <w:ind w:left="720" w:hanging="360"/>
      </w:p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38A95F84"/>
    <w:multiLevelType w:val="hybridMultilevel"/>
    <w:tmpl w:val="1A4E6E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8CE0002"/>
    <w:multiLevelType w:val="hybridMultilevel"/>
    <w:tmpl w:val="2206B290"/>
    <w:lvl w:ilvl="0" w:tplc="C90EA508">
      <w:start w:val="1"/>
      <w:numFmt w:val="bullet"/>
      <w:lvlText w:val=""/>
      <w:lvlJc w:val="left"/>
      <w:pPr>
        <w:ind w:left="720" w:hanging="360"/>
      </w:pPr>
      <w:rPr>
        <w:rFonts w:ascii="Symbol" w:hAnsi="Symbol" w:hint="default"/>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91F0F02"/>
    <w:multiLevelType w:val="hybridMultilevel"/>
    <w:tmpl w:val="84CAC0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A4748D2"/>
    <w:multiLevelType w:val="hybridMultilevel"/>
    <w:tmpl w:val="1D8E58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EF107DB"/>
    <w:multiLevelType w:val="hybridMultilevel"/>
    <w:tmpl w:val="38D6D7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6CA0075C"/>
    <w:multiLevelType w:val="hybridMultilevel"/>
    <w:tmpl w:val="542695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47A32F2"/>
    <w:multiLevelType w:val="hybridMultilevel"/>
    <w:tmpl w:val="3F32CFB2"/>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75842BD2"/>
    <w:multiLevelType w:val="hybridMultilevel"/>
    <w:tmpl w:val="841244C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443917856">
    <w:abstractNumId w:val="13"/>
  </w:num>
  <w:num w:numId="2" w16cid:durableId="1270238768">
    <w:abstractNumId w:val="14"/>
  </w:num>
  <w:num w:numId="3" w16cid:durableId="1112437909">
    <w:abstractNumId w:val="4"/>
  </w:num>
  <w:num w:numId="4" w16cid:durableId="600263972">
    <w:abstractNumId w:val="5"/>
  </w:num>
  <w:num w:numId="5" w16cid:durableId="340399346">
    <w:abstractNumId w:val="15"/>
  </w:num>
  <w:num w:numId="6" w16cid:durableId="234246570">
    <w:abstractNumId w:val="1"/>
  </w:num>
  <w:num w:numId="7" w16cid:durableId="812796376">
    <w:abstractNumId w:val="12"/>
  </w:num>
  <w:num w:numId="8" w16cid:durableId="2086757155">
    <w:abstractNumId w:val="3"/>
  </w:num>
  <w:num w:numId="9" w16cid:durableId="2014450240">
    <w:abstractNumId w:val="11"/>
  </w:num>
  <w:num w:numId="10" w16cid:durableId="987368290">
    <w:abstractNumId w:val="10"/>
  </w:num>
  <w:num w:numId="11" w16cid:durableId="69155355">
    <w:abstractNumId w:val="6"/>
  </w:num>
  <w:num w:numId="12" w16cid:durableId="324095661">
    <w:abstractNumId w:val="8"/>
  </w:num>
  <w:num w:numId="13" w16cid:durableId="164059468">
    <w:abstractNumId w:val="18"/>
  </w:num>
  <w:num w:numId="14" w16cid:durableId="1675380245">
    <w:abstractNumId w:val="16"/>
  </w:num>
  <w:num w:numId="15" w16cid:durableId="1167018392">
    <w:abstractNumId w:val="2"/>
  </w:num>
  <w:num w:numId="16" w16cid:durableId="1376655077">
    <w:abstractNumId w:val="19"/>
  </w:num>
  <w:num w:numId="17" w16cid:durableId="1015349985">
    <w:abstractNumId w:val="9"/>
  </w:num>
  <w:num w:numId="18" w16cid:durableId="1481968406">
    <w:abstractNumId w:val="0"/>
  </w:num>
  <w:num w:numId="19" w16cid:durableId="1027608270">
    <w:abstractNumId w:val="7"/>
  </w:num>
  <w:num w:numId="20" w16cid:durableId="213347305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113"/>
    <w:rsid w:val="000041A1"/>
    <w:rsid w:val="000812F0"/>
    <w:rsid w:val="000C0436"/>
    <w:rsid w:val="000D63D5"/>
    <w:rsid w:val="001258DB"/>
    <w:rsid w:val="0017005B"/>
    <w:rsid w:val="0017251D"/>
    <w:rsid w:val="00172AC0"/>
    <w:rsid w:val="00191113"/>
    <w:rsid w:val="001F48BD"/>
    <w:rsid w:val="002313FE"/>
    <w:rsid w:val="0023723F"/>
    <w:rsid w:val="0027430E"/>
    <w:rsid w:val="00290928"/>
    <w:rsid w:val="002C1E33"/>
    <w:rsid w:val="002C2C00"/>
    <w:rsid w:val="00386221"/>
    <w:rsid w:val="003912C4"/>
    <w:rsid w:val="00431727"/>
    <w:rsid w:val="00432643"/>
    <w:rsid w:val="00452B2D"/>
    <w:rsid w:val="00494999"/>
    <w:rsid w:val="004E2CD2"/>
    <w:rsid w:val="005168FD"/>
    <w:rsid w:val="00546B03"/>
    <w:rsid w:val="005700AD"/>
    <w:rsid w:val="005B7B25"/>
    <w:rsid w:val="00605DD0"/>
    <w:rsid w:val="00656A65"/>
    <w:rsid w:val="006853BC"/>
    <w:rsid w:val="006A4860"/>
    <w:rsid w:val="006F3D0F"/>
    <w:rsid w:val="007170F3"/>
    <w:rsid w:val="0078498C"/>
    <w:rsid w:val="007F1C71"/>
    <w:rsid w:val="00821744"/>
    <w:rsid w:val="008678BC"/>
    <w:rsid w:val="00882970"/>
    <w:rsid w:val="008F638A"/>
    <w:rsid w:val="00905C91"/>
    <w:rsid w:val="00910360"/>
    <w:rsid w:val="009A25C8"/>
    <w:rsid w:val="009C4894"/>
    <w:rsid w:val="00A31781"/>
    <w:rsid w:val="00A3428D"/>
    <w:rsid w:val="00A36DC0"/>
    <w:rsid w:val="00AF1647"/>
    <w:rsid w:val="00B02308"/>
    <w:rsid w:val="00B16154"/>
    <w:rsid w:val="00B3426C"/>
    <w:rsid w:val="00C477B4"/>
    <w:rsid w:val="00CD4408"/>
    <w:rsid w:val="00D16C0D"/>
    <w:rsid w:val="00D42BF9"/>
    <w:rsid w:val="00D45B01"/>
    <w:rsid w:val="00D736E3"/>
    <w:rsid w:val="00D75415"/>
    <w:rsid w:val="00DC164F"/>
    <w:rsid w:val="00E05CD9"/>
    <w:rsid w:val="00E6537E"/>
    <w:rsid w:val="00E702B0"/>
    <w:rsid w:val="00EE37C0"/>
    <w:rsid w:val="00EE5F80"/>
    <w:rsid w:val="00F20C1F"/>
    <w:rsid w:val="00F347A4"/>
    <w:rsid w:val="00F959AE"/>
    <w:rsid w:val="00FB321B"/>
    <w:rsid w:val="00FE7D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CE8EF"/>
  <w15:chartTrackingRefBased/>
  <w15:docId w15:val="{11738653-F0FE-4F55-87C3-84B129E08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113"/>
    <w:pPr>
      <w:jc w:val="both"/>
    </w:pPr>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1113"/>
    <w:pPr>
      <w:ind w:left="720"/>
      <w:contextualSpacing/>
    </w:pPr>
  </w:style>
  <w:style w:type="character" w:styleId="Hyperlink">
    <w:name w:val="Hyperlink"/>
    <w:basedOn w:val="DefaultParagraphFont"/>
    <w:uiPriority w:val="99"/>
    <w:semiHidden/>
    <w:unhideWhenUsed/>
    <w:rsid w:val="000812F0"/>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785366">
      <w:bodyDiv w:val="1"/>
      <w:marLeft w:val="0"/>
      <w:marRight w:val="0"/>
      <w:marTop w:val="0"/>
      <w:marBottom w:val="0"/>
      <w:divBdr>
        <w:top w:val="none" w:sz="0" w:space="0" w:color="auto"/>
        <w:left w:val="none" w:sz="0" w:space="0" w:color="auto"/>
        <w:bottom w:val="none" w:sz="0" w:space="0" w:color="auto"/>
        <w:right w:val="none" w:sz="0" w:space="0" w:color="auto"/>
      </w:divBdr>
    </w:div>
    <w:div w:id="1754661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ur01.safelinks.protection.outlook.com/?url=https%3A%2F%2Fyoutu.be%2FKa5JWqpWqr4%3Ffeature%3Dshared&amp;data=05%7C01%7Ccamilla.m.pickles%40durham.ac.uk%7C720f64cb558142175f5508dbc4c8bae1%7C7250d88b4b684529be44d59a2d8a6f94%7C0%7C0%7C638320138618081504%7CUnknown%7CTWFpbGZsb3d8eyJWIjoiMC4wLjAwMDAiLCJQIjoiV2luMzIiLCJBTiI6Ik1haWwiLCJXVCI6Mn0%3D%7C3000%7C%7C%7C&amp;sdata=DDP2oEp5SQ6X9N2ABsJc09FyZG1yxJjFtZXmdnGtRLY%3D&amp;reserved=0" TargetMode="External"/><Relationship Id="rId5" Type="http://schemas.openxmlformats.org/officeDocument/2006/relationships/hyperlink" Target="https://eur01.safelinks.protection.outlook.com/?url=https%3A%2F%2Fyoutu.be%2F5SJ0TpuYsSo%3Ffeature%3Dshared&amp;data=05%7C01%7Ccamilla.m.pickles%40durham.ac.uk%7C720f64cb558142175f5508dbc4c8bae1%7C7250d88b4b684529be44d59a2d8a6f94%7C0%7C0%7C638320138618081504%7CUnknown%7CTWFpbGZsb3d8eyJWIjoiMC4wLjAwMDAiLCJQIjoiV2luMzIiLCJBTiI6Ik1haWwiLCJXVCI6Mn0%3D%7C3000%7C%7C%7C&amp;sdata=1vPhtnFCdjkg700UwwXyJFGG3LtwF%2FqVLZls%2Fb%2Fz2%2BI%3D&amp;reserved=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509</TotalTime>
  <Pages>9</Pages>
  <Words>2988</Words>
  <Characters>17035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Durham University</Company>
  <LinksUpToDate>false</LinksUpToDate>
  <CharactersWithSpaces>19984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PICKLES, CAMILLA M.S.</dc:creator>
  <cp:keywords/>
  <dc:description/>
  <cp:lastModifiedBy>PICKLES, CAMILLA M.S.</cp:lastModifiedBy>
  <cp:revision>11</cp:revision>
  <dcterms:created xsi:type="dcterms:W3CDTF">2023-11-03T11:23:00Z</dcterms:created>
  <dcterms:modified xsi:type="dcterms:W3CDTF">2023-11-07T09:06:00Z</dcterms:modified>
</cp:coreProperties>
</file>