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74EE84" w14:textId="77777777" w:rsidR="00F70EDF" w:rsidRPr="004F293D" w:rsidRDefault="00F70EDF" w:rsidP="00F70EDF">
      <w:pPr>
        <w:jc w:val="left"/>
        <w:rPr>
          <w:b/>
          <w:bCs/>
          <w:sz w:val="32"/>
          <w:szCs w:val="32"/>
        </w:rPr>
      </w:pPr>
      <w:r w:rsidRPr="004F293D">
        <w:rPr>
          <w:b/>
          <w:bCs/>
          <w:sz w:val="32"/>
          <w:szCs w:val="32"/>
        </w:rPr>
        <w:t>TORT LAW</w:t>
      </w:r>
      <w:r>
        <w:rPr>
          <w:b/>
          <w:bCs/>
          <w:sz w:val="32"/>
          <w:szCs w:val="32"/>
        </w:rPr>
        <w:t xml:space="preserve"> (2023-24)</w:t>
      </w:r>
    </w:p>
    <w:p w14:paraId="0EEF226F" w14:textId="6DF2CBC9" w:rsidR="00F70EDF" w:rsidRPr="004F293D" w:rsidRDefault="00F70EDF" w:rsidP="00F70EDF">
      <w:pPr>
        <w:jc w:val="left"/>
        <w:rPr>
          <w:b/>
          <w:bCs/>
          <w:sz w:val="32"/>
          <w:szCs w:val="32"/>
        </w:rPr>
      </w:pPr>
      <w:r w:rsidRPr="004F293D">
        <w:rPr>
          <w:b/>
          <w:bCs/>
          <w:sz w:val="32"/>
          <w:szCs w:val="32"/>
        </w:rPr>
        <w:t>LECTURE</w:t>
      </w:r>
      <w:r>
        <w:rPr>
          <w:b/>
          <w:bCs/>
          <w:sz w:val="32"/>
          <w:szCs w:val="32"/>
        </w:rPr>
        <w:t>S</w:t>
      </w:r>
      <w:r w:rsidRPr="004F293D">
        <w:rPr>
          <w:b/>
          <w:bCs/>
          <w:sz w:val="32"/>
          <w:szCs w:val="32"/>
        </w:rPr>
        <w:t xml:space="preserve"> </w:t>
      </w:r>
      <w:r>
        <w:rPr>
          <w:b/>
          <w:bCs/>
          <w:sz w:val="32"/>
          <w:szCs w:val="32"/>
        </w:rPr>
        <w:t>NINE</w:t>
      </w:r>
      <w:r>
        <w:rPr>
          <w:b/>
          <w:bCs/>
          <w:sz w:val="32"/>
          <w:szCs w:val="32"/>
        </w:rPr>
        <w:t xml:space="preserve"> AND </w:t>
      </w:r>
      <w:r>
        <w:rPr>
          <w:b/>
          <w:bCs/>
          <w:sz w:val="32"/>
          <w:szCs w:val="32"/>
        </w:rPr>
        <w:t>TEN</w:t>
      </w:r>
      <w:r w:rsidRPr="004F293D">
        <w:rPr>
          <w:b/>
          <w:bCs/>
          <w:sz w:val="32"/>
          <w:szCs w:val="32"/>
        </w:rPr>
        <w:t xml:space="preserve">: </w:t>
      </w:r>
      <w:r>
        <w:rPr>
          <w:b/>
          <w:bCs/>
          <w:sz w:val="32"/>
          <w:szCs w:val="32"/>
        </w:rPr>
        <w:t>VICARIOUS LIABILITY</w:t>
      </w:r>
    </w:p>
    <w:p w14:paraId="0708C60F" w14:textId="77777777" w:rsidR="00F70EDF" w:rsidRPr="004F293D" w:rsidRDefault="00F70EDF" w:rsidP="00F70EDF">
      <w:pPr>
        <w:jc w:val="left"/>
        <w:rPr>
          <w:b/>
          <w:bCs/>
        </w:rPr>
      </w:pPr>
      <w:r w:rsidRPr="004F293D">
        <w:rPr>
          <w:b/>
          <w:bCs/>
        </w:rPr>
        <w:t>Dr Camilla Pickles</w:t>
      </w:r>
    </w:p>
    <w:p w14:paraId="76A2D6BB" w14:textId="77777777" w:rsidR="00F70EDF" w:rsidRDefault="00F70EDF" w:rsidP="00F70EDF"/>
    <w:p w14:paraId="6014C75B" w14:textId="77777777" w:rsidR="00F70EDF" w:rsidRPr="00AC72AD" w:rsidRDefault="00F70EDF" w:rsidP="00F70EDF">
      <w:pPr>
        <w:spacing w:after="0"/>
        <w:rPr>
          <w:b/>
          <w:bCs/>
        </w:rPr>
      </w:pPr>
      <w:r w:rsidRPr="00AC72AD">
        <w:rPr>
          <w:b/>
          <w:bCs/>
        </w:rPr>
        <w:t>Basic reading</w:t>
      </w:r>
    </w:p>
    <w:p w14:paraId="7A949751" w14:textId="520DB6D2" w:rsidR="00F70EDF" w:rsidRPr="002201A4" w:rsidRDefault="00F70EDF" w:rsidP="00F70EDF">
      <w:pPr>
        <w:pStyle w:val="ListParagraph"/>
        <w:numPr>
          <w:ilvl w:val="0"/>
          <w:numId w:val="1"/>
        </w:numPr>
        <w:rPr>
          <w:vertAlign w:val="superscript"/>
        </w:rPr>
      </w:pPr>
      <w:r>
        <w:t xml:space="preserve">Horsey &amp; Rackley, chapter </w:t>
      </w:r>
      <w:r>
        <w:t>20</w:t>
      </w:r>
      <w:r w:rsidRPr="006B33CA">
        <w:rPr>
          <w:b/>
          <w:bCs/>
          <w:vertAlign w:val="superscript"/>
        </w:rPr>
        <w:sym w:font="Symbol" w:char="F02A"/>
      </w:r>
      <w:r>
        <w:rPr>
          <w:b/>
          <w:bCs/>
          <w:vertAlign w:val="superscript"/>
        </w:rPr>
        <w:t xml:space="preserve"> </w:t>
      </w:r>
    </w:p>
    <w:p w14:paraId="317DF603" w14:textId="134B5576" w:rsidR="00F70EDF" w:rsidRDefault="00F70EDF" w:rsidP="00F70EDF">
      <w:pPr>
        <w:pStyle w:val="ListParagraph"/>
        <w:numPr>
          <w:ilvl w:val="0"/>
          <w:numId w:val="1"/>
        </w:numPr>
      </w:pPr>
      <w:r>
        <w:t xml:space="preserve">Nolan &amp; Oliphant, </w:t>
      </w:r>
      <w:r w:rsidRPr="0061590F">
        <w:t xml:space="preserve">chapter </w:t>
      </w:r>
      <w:r w:rsidR="00CA1DCA">
        <w:t>14</w:t>
      </w:r>
    </w:p>
    <w:p w14:paraId="24458519" w14:textId="77777777" w:rsidR="00F70EDF" w:rsidRDefault="00F70EDF"/>
    <w:p w14:paraId="5D1F01D0" w14:textId="48CD3D57" w:rsidR="00322DB9" w:rsidRDefault="00CA1DCA" w:rsidP="007C4A02">
      <w:pPr>
        <w:spacing w:after="0"/>
      </w:pPr>
      <w:r w:rsidRPr="00CA1DCA">
        <w:rPr>
          <w:b/>
          <w:bCs/>
        </w:rPr>
        <w:t>Case law</w:t>
      </w:r>
    </w:p>
    <w:p w14:paraId="0CE68BBB" w14:textId="7DD56DAD" w:rsidR="00CA1DCA" w:rsidRDefault="00CA1DCA" w:rsidP="00CA1DCA">
      <w:pPr>
        <w:pStyle w:val="ListParagraph"/>
        <w:numPr>
          <w:ilvl w:val="0"/>
          <w:numId w:val="1"/>
        </w:numPr>
      </w:pPr>
      <w:r w:rsidRPr="00CA1DCA">
        <w:rPr>
          <w:i/>
          <w:iCs/>
        </w:rPr>
        <w:t xml:space="preserve">Barclays Bank v Various Claimants </w:t>
      </w:r>
      <w:r w:rsidRPr="003B633A">
        <w:t>[2020] UKSC 13</w:t>
      </w:r>
      <w:r>
        <w:t>*</w:t>
      </w:r>
    </w:p>
    <w:p w14:paraId="038B3A10" w14:textId="2B53970F" w:rsidR="00CA1DCA" w:rsidRPr="00D05680" w:rsidRDefault="00CA1DCA" w:rsidP="00CA1DCA">
      <w:pPr>
        <w:pStyle w:val="ListParagraph"/>
        <w:numPr>
          <w:ilvl w:val="0"/>
          <w:numId w:val="1"/>
        </w:numPr>
      </w:pPr>
      <w:r w:rsidRPr="00CA1DCA">
        <w:rPr>
          <w:i/>
          <w:iCs/>
        </w:rPr>
        <w:t>Cox v Ministry of Justice</w:t>
      </w:r>
      <w:r w:rsidRPr="00CA1DCA">
        <w:t xml:space="preserve"> </w:t>
      </w:r>
      <w:r w:rsidRPr="00D05680">
        <w:t>[2016] UK SC 10</w:t>
      </w:r>
      <w:r w:rsidRPr="00CA1DCA">
        <w:t>*</w:t>
      </w:r>
    </w:p>
    <w:p w14:paraId="0F3F22F9" w14:textId="6FA29FA8" w:rsidR="00CA1DCA" w:rsidRDefault="00CA1DCA" w:rsidP="00CA1DCA">
      <w:pPr>
        <w:pStyle w:val="ListParagraph"/>
        <w:numPr>
          <w:ilvl w:val="0"/>
          <w:numId w:val="1"/>
        </w:numPr>
      </w:pPr>
      <w:r w:rsidRPr="00CA1DCA">
        <w:rPr>
          <w:i/>
          <w:iCs/>
        </w:rPr>
        <w:t xml:space="preserve">Lister v </w:t>
      </w:r>
      <w:proofErr w:type="spellStart"/>
      <w:r w:rsidRPr="00CA1DCA">
        <w:rPr>
          <w:i/>
          <w:iCs/>
        </w:rPr>
        <w:t>Hesley</w:t>
      </w:r>
      <w:proofErr w:type="spellEnd"/>
      <w:r w:rsidRPr="00CA1DCA">
        <w:rPr>
          <w:i/>
          <w:iCs/>
        </w:rPr>
        <w:t xml:space="preserve"> Hall</w:t>
      </w:r>
      <w:r>
        <w:t xml:space="preserve"> </w:t>
      </w:r>
      <w:r w:rsidRPr="00F10C98">
        <w:t>[2001] UKHL 22</w:t>
      </w:r>
      <w:r w:rsidRPr="00E945CD">
        <w:t>*</w:t>
      </w:r>
    </w:p>
    <w:p w14:paraId="042D75EA" w14:textId="6EBAD40B" w:rsidR="00CA1DCA" w:rsidRDefault="00CA1DCA" w:rsidP="00CA1DCA">
      <w:pPr>
        <w:pStyle w:val="ListParagraph"/>
        <w:numPr>
          <w:ilvl w:val="0"/>
          <w:numId w:val="1"/>
        </w:numPr>
      </w:pPr>
      <w:r w:rsidRPr="00CA1DCA">
        <w:rPr>
          <w:i/>
          <w:iCs/>
        </w:rPr>
        <w:t>Mohamud v Wm Morrison Supermarkets Plc</w:t>
      </w:r>
      <w:r w:rsidRPr="00E945CD">
        <w:t xml:space="preserve"> [2016] UKSC 11</w:t>
      </w:r>
      <w:r>
        <w:t>*</w:t>
      </w:r>
    </w:p>
    <w:p w14:paraId="4B23EDF4" w14:textId="2E141AF0" w:rsidR="00CA1DCA" w:rsidRDefault="00CA1DCA" w:rsidP="00CA1DCA">
      <w:pPr>
        <w:pStyle w:val="ListParagraph"/>
        <w:numPr>
          <w:ilvl w:val="0"/>
          <w:numId w:val="1"/>
        </w:numPr>
      </w:pPr>
      <w:r w:rsidRPr="00CA1DCA">
        <w:rPr>
          <w:i/>
          <w:iCs/>
        </w:rPr>
        <w:t>Various Claimants v Catholic Child Welfare Society</w:t>
      </w:r>
      <w:r w:rsidRPr="00E945CD">
        <w:t xml:space="preserve"> [2012] UKSC 56</w:t>
      </w:r>
      <w:r>
        <w:t>*</w:t>
      </w:r>
    </w:p>
    <w:p w14:paraId="5F11421C" w14:textId="386E1B67" w:rsidR="00CA1DCA" w:rsidRDefault="00CA1DCA" w:rsidP="00CA1DCA">
      <w:pPr>
        <w:pStyle w:val="ListParagraph"/>
        <w:numPr>
          <w:ilvl w:val="0"/>
          <w:numId w:val="1"/>
        </w:numPr>
      </w:pPr>
      <w:r w:rsidRPr="00CA1DCA">
        <w:rPr>
          <w:i/>
          <w:iCs/>
        </w:rPr>
        <w:t>JXJ v The Province of Great</w:t>
      </w:r>
      <w:r w:rsidRPr="00CA1DCA">
        <w:rPr>
          <w:i/>
          <w:iCs/>
        </w:rPr>
        <w:t xml:space="preserve"> </w:t>
      </w:r>
      <w:r w:rsidRPr="00CA1DCA">
        <w:rPr>
          <w:i/>
          <w:iCs/>
        </w:rPr>
        <w:t>Britain of the Institute of Brothers of the Christian Schools</w:t>
      </w:r>
      <w:r w:rsidRPr="00767287">
        <w:t xml:space="preserve"> [2020] EWHC 1914</w:t>
      </w:r>
      <w:r>
        <w:t>*</w:t>
      </w:r>
    </w:p>
    <w:p w14:paraId="34221D8A" w14:textId="0EF5CA85" w:rsidR="00CA1DCA" w:rsidRPr="00CA1DCA" w:rsidRDefault="00CA1DCA" w:rsidP="00CA1DCA">
      <w:pPr>
        <w:pStyle w:val="ListParagraph"/>
        <w:numPr>
          <w:ilvl w:val="0"/>
          <w:numId w:val="1"/>
        </w:numPr>
      </w:pPr>
      <w:r w:rsidRPr="00CA1DCA">
        <w:rPr>
          <w:i/>
          <w:iCs/>
        </w:rPr>
        <w:t>WM Morrison Supermarkets Plc v Various Claimants</w:t>
      </w:r>
      <w:r w:rsidRPr="00D50975">
        <w:t xml:space="preserve"> [2020] UKSC 12</w:t>
      </w:r>
      <w:r w:rsidRPr="00CA1DCA">
        <w:t>*</w:t>
      </w:r>
      <w:r w:rsidRPr="00CA1DCA">
        <w:t xml:space="preserve"> </w:t>
      </w:r>
    </w:p>
    <w:p w14:paraId="04B6FC57" w14:textId="4B32A99C" w:rsidR="00CA1DCA" w:rsidRDefault="00CA1DCA" w:rsidP="00CA1DCA">
      <w:r>
        <w:t>(</w:t>
      </w:r>
      <w:r>
        <w:t>Please take note of the case law listed throughout the lecture handout</w:t>
      </w:r>
      <w:r>
        <w:t>)</w:t>
      </w:r>
    </w:p>
    <w:p w14:paraId="05F8352E" w14:textId="1E1CD571" w:rsidR="00CA1DCA" w:rsidRDefault="00CA1DCA"/>
    <w:p w14:paraId="37E2D507" w14:textId="77777777" w:rsidR="00CA1DCA" w:rsidRPr="00AC72AD" w:rsidRDefault="00CA1DCA" w:rsidP="00CA1DCA">
      <w:pPr>
        <w:spacing w:after="0"/>
        <w:rPr>
          <w:b/>
          <w:bCs/>
        </w:rPr>
      </w:pPr>
      <w:r w:rsidRPr="00AC72AD">
        <w:rPr>
          <w:b/>
          <w:bCs/>
        </w:rPr>
        <w:t>Further reading</w:t>
      </w:r>
    </w:p>
    <w:p w14:paraId="6818568C" w14:textId="2FB05F86" w:rsidR="00CA1DCA" w:rsidRDefault="00CA1DCA" w:rsidP="00CA1DCA">
      <w:pPr>
        <w:pStyle w:val="ListParagraph"/>
        <w:numPr>
          <w:ilvl w:val="0"/>
          <w:numId w:val="3"/>
        </w:numPr>
      </w:pPr>
      <w:proofErr w:type="spellStart"/>
      <w:r>
        <w:t>Giliker</w:t>
      </w:r>
      <w:proofErr w:type="spellEnd"/>
      <w:r>
        <w:t xml:space="preserve">, ‘Can the Supreme Court Halt the Ongoing Expansion of Vicarious Liability: Barclays and Morrison in the UK Supreme Court’ (2021) 37(2) </w:t>
      </w:r>
      <w:proofErr w:type="spellStart"/>
      <w:r w:rsidRPr="00CA1DCA">
        <w:rPr>
          <w:i/>
          <w:iCs/>
        </w:rPr>
        <w:t>Tottel’s</w:t>
      </w:r>
      <w:proofErr w:type="spellEnd"/>
      <w:r w:rsidRPr="00CA1DCA">
        <w:rPr>
          <w:i/>
          <w:iCs/>
        </w:rPr>
        <w:t xml:space="preserve"> Journal of Professional Negligence</w:t>
      </w:r>
      <w:r>
        <w:t xml:space="preserve"> 55</w:t>
      </w:r>
    </w:p>
    <w:p w14:paraId="3DFF5729" w14:textId="62155986" w:rsidR="00CA1DCA" w:rsidRDefault="00CA1DCA" w:rsidP="00CA1DCA">
      <w:pPr>
        <w:pStyle w:val="ListParagraph"/>
        <w:numPr>
          <w:ilvl w:val="0"/>
          <w:numId w:val="3"/>
        </w:numPr>
      </w:pPr>
      <w:r>
        <w:t>Bell, ‘The Basis of Vicarious Liability’ (2013) 72 CLJ 17</w:t>
      </w:r>
    </w:p>
    <w:p w14:paraId="07BFA2BB" w14:textId="77777777" w:rsidR="00CA1DCA" w:rsidRDefault="00CA1DCA" w:rsidP="00CA1DCA">
      <w:pPr>
        <w:pStyle w:val="ListParagraph"/>
        <w:numPr>
          <w:ilvl w:val="0"/>
          <w:numId w:val="3"/>
        </w:numPr>
      </w:pPr>
      <w:proofErr w:type="spellStart"/>
      <w:r>
        <w:t>Giliker</w:t>
      </w:r>
      <w:proofErr w:type="spellEnd"/>
      <w:r>
        <w:t xml:space="preserve">, ‘Lister Revisited: Vicarious Liability, Distributive Justice and the Course of Employment’ (2010) 126 </w:t>
      </w:r>
      <w:r w:rsidRPr="00CA1DCA">
        <w:rPr>
          <w:i/>
          <w:iCs/>
        </w:rPr>
        <w:t>LQR</w:t>
      </w:r>
      <w:r>
        <w:t xml:space="preserve"> 521</w:t>
      </w:r>
    </w:p>
    <w:p w14:paraId="5DD28373" w14:textId="77777777" w:rsidR="00CA1DCA" w:rsidRDefault="00CA1DCA" w:rsidP="00CA1DCA">
      <w:pPr>
        <w:pStyle w:val="ListParagraph"/>
        <w:numPr>
          <w:ilvl w:val="0"/>
          <w:numId w:val="3"/>
        </w:numPr>
      </w:pPr>
      <w:r>
        <w:t>Lord Hope, ‘Tailoring the Law on Vicarious Liability’ (2013) 129 LQR 514</w:t>
      </w:r>
    </w:p>
    <w:p w14:paraId="7009B05C" w14:textId="2E073650" w:rsidR="00CA1DCA" w:rsidRDefault="00CA1DCA" w:rsidP="00CA1DCA">
      <w:pPr>
        <w:pStyle w:val="ListParagraph"/>
        <w:numPr>
          <w:ilvl w:val="0"/>
          <w:numId w:val="3"/>
        </w:numPr>
      </w:pPr>
      <w:proofErr w:type="spellStart"/>
      <w:r>
        <w:t>Tofaris</w:t>
      </w:r>
      <w:proofErr w:type="spellEnd"/>
      <w:r>
        <w:t>, ‘Vicarious Liability and Non-delegable Duty for Child Abuse in Foster Care: A Step Too Far?’</w:t>
      </w:r>
      <w:r w:rsidR="00B66941">
        <w:t xml:space="preserve"> (2016) 79(5) </w:t>
      </w:r>
      <w:r w:rsidR="00B66941" w:rsidRPr="00B66941">
        <w:rPr>
          <w:i/>
          <w:iCs/>
        </w:rPr>
        <w:t>Modern Law Review</w:t>
      </w:r>
      <w:r w:rsidR="00B66941">
        <w:t xml:space="preserve"> 884</w:t>
      </w:r>
    </w:p>
    <w:p w14:paraId="3EBFB49B" w14:textId="77777777" w:rsidR="00CA1DCA" w:rsidRDefault="00CA1DCA" w:rsidP="00CA1DCA">
      <w:pPr>
        <w:pStyle w:val="ListParagraph"/>
        <w:numPr>
          <w:ilvl w:val="0"/>
          <w:numId w:val="3"/>
        </w:numPr>
      </w:pPr>
      <w:r>
        <w:t xml:space="preserve">Williams, ‘Vicarious Liability of the Roman Catholic Church for Sexual Abuse by a Priest’ (2010) 26 </w:t>
      </w:r>
      <w:r w:rsidRPr="00B66941">
        <w:rPr>
          <w:i/>
          <w:iCs/>
        </w:rPr>
        <w:t>PN</w:t>
      </w:r>
      <w:r>
        <w:t xml:space="preserve"> 113</w:t>
      </w:r>
    </w:p>
    <w:p w14:paraId="53351E93" w14:textId="65BB623E" w:rsidR="00B66941" w:rsidRDefault="00B66941">
      <w:pPr>
        <w:jc w:val="left"/>
      </w:pPr>
      <w:r>
        <w:br w:type="page"/>
      </w:r>
    </w:p>
    <w:p w14:paraId="60121560" w14:textId="77777777" w:rsidR="00B66941" w:rsidRDefault="00B66941" w:rsidP="00B66941">
      <w:pPr>
        <w:rPr>
          <w:b/>
          <w:bCs/>
          <w:sz w:val="28"/>
          <w:szCs w:val="28"/>
        </w:rPr>
      </w:pPr>
      <w:r w:rsidRPr="008E61A7">
        <w:rPr>
          <w:b/>
          <w:bCs/>
          <w:sz w:val="28"/>
          <w:szCs w:val="28"/>
        </w:rPr>
        <w:lastRenderedPageBreak/>
        <w:t>Outline</w:t>
      </w:r>
    </w:p>
    <w:p w14:paraId="3A11D7FC" w14:textId="77777777" w:rsidR="00B66941" w:rsidRDefault="00B66941" w:rsidP="00B66941"/>
    <w:p w14:paraId="55745340" w14:textId="3864CE8C" w:rsidR="00B66941" w:rsidRDefault="00B66941" w:rsidP="00B66941">
      <w:r>
        <w:t>Vicarious liability = secondary liability. Liability is imposed on someone who is blameless. In this respect, vicarious liability is a mechanism which allows you to sue someone other than the tortfeasor (</w:t>
      </w:r>
      <w:proofErr w:type="spellStart"/>
      <w:r>
        <w:t>ie</w:t>
      </w:r>
      <w:proofErr w:type="spellEnd"/>
      <w:r>
        <w:t>, the person who committed the tort). This is usually their employer BUT it can arise in other situations such as in partnerships/agency (</w:t>
      </w:r>
      <w:r w:rsidRPr="00B66941">
        <w:rPr>
          <w:i/>
          <w:iCs/>
        </w:rPr>
        <w:t xml:space="preserve">Dubai Aluminium v </w:t>
      </w:r>
      <w:proofErr w:type="spellStart"/>
      <w:r w:rsidRPr="00B66941">
        <w:rPr>
          <w:i/>
          <w:iCs/>
        </w:rPr>
        <w:t>Sanlaam</w:t>
      </w:r>
      <w:proofErr w:type="spellEnd"/>
      <w:r>
        <w:t xml:space="preserve"> [2003]).</w:t>
      </w:r>
      <w:r>
        <w:t xml:space="preserve"> We will focus on those cases relevant to employment.</w:t>
      </w:r>
    </w:p>
    <w:p w14:paraId="32E73A24" w14:textId="10E73080" w:rsidR="00B66941" w:rsidRDefault="00B66941" w:rsidP="00F62658">
      <w:pPr>
        <w:pStyle w:val="ListParagraph"/>
        <w:numPr>
          <w:ilvl w:val="0"/>
          <w:numId w:val="6"/>
        </w:numPr>
        <w:spacing w:before="240"/>
      </w:pPr>
      <w:r w:rsidRPr="00F62658">
        <w:rPr>
          <w:b/>
          <w:bCs/>
        </w:rPr>
        <w:t>Establishing vicarious liability</w:t>
      </w:r>
      <w:r w:rsidR="00F62658" w:rsidRPr="00F62658">
        <w:rPr>
          <w:b/>
          <w:bCs/>
        </w:rPr>
        <w:t xml:space="preserve">: </w:t>
      </w:r>
      <w:r>
        <w:t>The</w:t>
      </w:r>
      <w:r w:rsidR="00F62658">
        <w:t>re are t</w:t>
      </w:r>
      <w:r>
        <w:t xml:space="preserve">hree requirements </w:t>
      </w:r>
      <w:r w:rsidR="00F62658">
        <w:t xml:space="preserve">to </w:t>
      </w:r>
      <w:r>
        <w:t>establish vicarious liability</w:t>
      </w:r>
      <w:r w:rsidR="00F62658">
        <w:t xml:space="preserve">. It is helpful to think of these as three different hurdles that must be overcome </w:t>
      </w:r>
      <w:proofErr w:type="gramStart"/>
      <w:r w:rsidR="00F62658">
        <w:t>in order to</w:t>
      </w:r>
      <w:proofErr w:type="gramEnd"/>
      <w:r w:rsidR="00F62658">
        <w:t xml:space="preserve"> establish vicarious liability:</w:t>
      </w:r>
    </w:p>
    <w:p w14:paraId="6BAE54F6" w14:textId="19E2F09E" w:rsidR="00B66941" w:rsidRDefault="00F62658" w:rsidP="00F62658">
      <w:pPr>
        <w:pStyle w:val="ListParagraph"/>
        <w:numPr>
          <w:ilvl w:val="1"/>
          <w:numId w:val="6"/>
        </w:numPr>
        <w:spacing w:before="240"/>
      </w:pPr>
      <w:r w:rsidRPr="00F62658">
        <w:rPr>
          <w:b/>
          <w:bCs/>
        </w:rPr>
        <w:t>Hurdle one:</w:t>
      </w:r>
      <w:r>
        <w:t xml:space="preserve"> </w:t>
      </w:r>
      <w:r w:rsidR="00B66941">
        <w:t xml:space="preserve">There must be an </w:t>
      </w:r>
      <w:r w:rsidR="00B66941" w:rsidRPr="00F62658">
        <w:t>employment relationship</w:t>
      </w:r>
      <w:r w:rsidR="00B66941">
        <w:t xml:space="preserve"> between the defendant and tortfeasor OR a </w:t>
      </w:r>
      <w:r w:rsidR="00B66941" w:rsidRPr="00F62658">
        <w:t>relationship akin to an employment relationship</w:t>
      </w:r>
      <w:r w:rsidR="00B66941">
        <w:t xml:space="preserve"> between the defendant and tortfeasor</w:t>
      </w:r>
      <w:r>
        <w:t>.</w:t>
      </w:r>
    </w:p>
    <w:p w14:paraId="19FE5210" w14:textId="11AFB299" w:rsidR="00B66941" w:rsidRDefault="00F62658" w:rsidP="00F62658">
      <w:pPr>
        <w:pStyle w:val="ListParagraph"/>
        <w:numPr>
          <w:ilvl w:val="1"/>
          <w:numId w:val="6"/>
        </w:numPr>
      </w:pPr>
      <w:r w:rsidRPr="00F62658">
        <w:rPr>
          <w:b/>
          <w:bCs/>
        </w:rPr>
        <w:t>Hurdle two</w:t>
      </w:r>
      <w:r>
        <w:t xml:space="preserve">: </w:t>
      </w:r>
      <w:r w:rsidR="00B66941">
        <w:t xml:space="preserve">The tortfeasor must have </w:t>
      </w:r>
      <w:r w:rsidR="00B66941" w:rsidRPr="00F62658">
        <w:t>committed a tort</w:t>
      </w:r>
      <w:r w:rsidR="00B66941">
        <w:t>.</w:t>
      </w:r>
    </w:p>
    <w:p w14:paraId="2C3DABAD" w14:textId="0572946B" w:rsidR="00B66941" w:rsidRDefault="00F62658" w:rsidP="00326601">
      <w:pPr>
        <w:pStyle w:val="ListParagraph"/>
        <w:numPr>
          <w:ilvl w:val="1"/>
          <w:numId w:val="6"/>
        </w:numPr>
      </w:pPr>
      <w:r w:rsidRPr="00326601">
        <w:rPr>
          <w:b/>
          <w:bCs/>
        </w:rPr>
        <w:t>Hurdle three:</w:t>
      </w:r>
      <w:r>
        <w:t xml:space="preserve"> </w:t>
      </w:r>
      <w:r w:rsidR="00B66941">
        <w:t xml:space="preserve">There must be a </w:t>
      </w:r>
      <w:r w:rsidR="00B66941" w:rsidRPr="00F62658">
        <w:t>connection between that relationship and the tortfeasor’s tort</w:t>
      </w:r>
      <w:r>
        <w:t xml:space="preserve"> = w</w:t>
      </w:r>
      <w:r w:rsidR="00B66941">
        <w:t>ith employment relationships the connection between the employment relationship is that the employee committed the tort in the course of his employment.</w:t>
      </w:r>
    </w:p>
    <w:p w14:paraId="17B48EBC" w14:textId="77777777" w:rsidR="00326601" w:rsidRDefault="00326601" w:rsidP="003B78B4"/>
    <w:p w14:paraId="2FE7EA06" w14:textId="77777777" w:rsidR="00D758AE" w:rsidRDefault="00F62658" w:rsidP="00F62658">
      <w:pPr>
        <w:pStyle w:val="ListParagraph"/>
        <w:numPr>
          <w:ilvl w:val="0"/>
          <w:numId w:val="6"/>
        </w:numPr>
        <w:rPr>
          <w:b/>
          <w:bCs/>
        </w:rPr>
      </w:pPr>
      <w:r w:rsidRPr="00F62658">
        <w:rPr>
          <w:b/>
          <w:bCs/>
        </w:rPr>
        <w:t>HURDLE ONE: Is there a relevant relationship between the defendant and the tortfeasor?</w:t>
      </w:r>
      <w:r>
        <w:rPr>
          <w:b/>
          <w:bCs/>
        </w:rPr>
        <w:t xml:space="preserve"> </w:t>
      </w:r>
    </w:p>
    <w:p w14:paraId="17D71737" w14:textId="2298F1DA" w:rsidR="00F62658" w:rsidRPr="00D758AE" w:rsidRDefault="00D758AE" w:rsidP="00D758AE">
      <w:pPr>
        <w:pStyle w:val="ListParagraph"/>
        <w:ind w:left="360"/>
      </w:pPr>
      <w:r w:rsidRPr="00D758AE">
        <w:t>This hurdle is c</w:t>
      </w:r>
      <w:r w:rsidR="00F62658">
        <w:t>oncerned with whether there is an employer-employee relationship or if the relationship is one that is ‘akin to employment’</w:t>
      </w:r>
      <w:r>
        <w:t xml:space="preserve">. </w:t>
      </w:r>
      <w:r w:rsidRPr="00D758AE">
        <w:t>Vicarious liability usually requires that the tortfeasor be an employee of the defendant. By contrast, it is a foundational principle of this area of the law that vicarious liability will never arise where the tortfeasor is an independent contractor.</w:t>
      </w:r>
    </w:p>
    <w:p w14:paraId="6353F347" w14:textId="77777777" w:rsidR="00D758AE" w:rsidRDefault="00D758AE" w:rsidP="00D758AE">
      <w:pPr>
        <w:pStyle w:val="ListParagraph"/>
        <w:ind w:left="360"/>
      </w:pPr>
    </w:p>
    <w:p w14:paraId="7CB07151" w14:textId="56FDD7FD" w:rsidR="00D758AE" w:rsidRPr="00326601" w:rsidRDefault="00D758AE" w:rsidP="00D758AE">
      <w:pPr>
        <w:pStyle w:val="ListParagraph"/>
        <w:ind w:left="360"/>
        <w:rPr>
          <w:i/>
          <w:iCs/>
        </w:rPr>
      </w:pPr>
      <w:r w:rsidRPr="00326601">
        <w:rPr>
          <w:i/>
          <w:iCs/>
        </w:rPr>
        <w:t>How to establish an employment relationship?</w:t>
      </w:r>
    </w:p>
    <w:p w14:paraId="7AC47A3C" w14:textId="701ED5C5" w:rsidR="00D758AE" w:rsidRDefault="00D758AE" w:rsidP="00D758AE">
      <w:pPr>
        <w:pStyle w:val="ListParagraph"/>
        <w:numPr>
          <w:ilvl w:val="1"/>
          <w:numId w:val="6"/>
        </w:numPr>
      </w:pPr>
      <w:r w:rsidRPr="00D758AE">
        <w:rPr>
          <w:i/>
          <w:iCs/>
        </w:rPr>
        <w:t>Ready Mixed Concrete v Ministry of Pensions and National Insurance</w:t>
      </w:r>
      <w:r w:rsidRPr="00D758AE">
        <w:t xml:space="preserve"> [1968]: contract of service = A agrees that, in consideration of some form of remuneration, he will provide his own work and skill in the performance of some service for B. BUT: look at the actual relationship rather than its form… the parties’ own characterisation of the relationship is not determinative</w:t>
      </w:r>
      <w:r>
        <w:t>.</w:t>
      </w:r>
    </w:p>
    <w:p w14:paraId="6C28EF7A" w14:textId="69FBCBDE" w:rsidR="00D758AE" w:rsidRPr="00D758AE" w:rsidRDefault="00D758AE" w:rsidP="00D758AE">
      <w:pPr>
        <w:pStyle w:val="ListParagraph"/>
        <w:numPr>
          <w:ilvl w:val="1"/>
          <w:numId w:val="6"/>
        </w:numPr>
      </w:pPr>
      <w:r w:rsidRPr="00D758AE">
        <w:rPr>
          <w:i/>
          <w:iCs/>
        </w:rPr>
        <w:t>Market Investigations Ltd v Social Security</w:t>
      </w:r>
      <w:r w:rsidRPr="00D758AE">
        <w:t xml:space="preserve"> [1969] p 184-185: ‘no exhaustive list has been compiled and perhaps no exhaustive list can be compiled of the considerations which are relevant in determining that question, nor can strict rules be laid down as to the relative weight which the various considerations should carry in particular </w:t>
      </w:r>
      <w:proofErr w:type="gramStart"/>
      <w:r w:rsidRPr="00D758AE">
        <w:t>cases’</w:t>
      </w:r>
      <w:proofErr w:type="gramEnd"/>
      <w:r w:rsidRPr="00D758AE">
        <w:t>. (Cooke J</w:t>
      </w:r>
      <w:r>
        <w:t>)</w:t>
      </w:r>
    </w:p>
    <w:p w14:paraId="3716D208" w14:textId="7450AF60" w:rsidR="00F62658" w:rsidRDefault="00D758AE" w:rsidP="00326601">
      <w:pPr>
        <w:pStyle w:val="ListParagraph"/>
        <w:numPr>
          <w:ilvl w:val="1"/>
          <w:numId w:val="6"/>
        </w:numPr>
        <w:spacing w:after="0"/>
      </w:pPr>
      <w:r w:rsidRPr="00D758AE">
        <w:t>The courts have taken a variety of factors into account</w:t>
      </w:r>
      <w:r>
        <w:t xml:space="preserve"> = </w:t>
      </w:r>
      <w:r w:rsidRPr="00D758AE">
        <w:rPr>
          <w:b/>
          <w:bCs/>
        </w:rPr>
        <w:t>Co</w:t>
      </w:r>
      <w:r w:rsidRPr="00D758AE">
        <w:rPr>
          <w:b/>
          <w:bCs/>
        </w:rPr>
        <w:t>ntrol:</w:t>
      </w:r>
      <w:r w:rsidRPr="00D758AE">
        <w:t xml:space="preserve"> </w:t>
      </w:r>
      <w:r w:rsidRPr="00D758AE">
        <w:rPr>
          <w:i/>
          <w:iCs/>
        </w:rPr>
        <w:t xml:space="preserve">Stephenson Jordan &amp; Harrison Ltd v </w:t>
      </w:r>
      <w:proofErr w:type="spellStart"/>
      <w:r w:rsidRPr="00D758AE">
        <w:rPr>
          <w:i/>
          <w:iCs/>
        </w:rPr>
        <w:t>McDonall</w:t>
      </w:r>
      <w:proofErr w:type="spellEnd"/>
      <w:r w:rsidRPr="00D758AE">
        <w:rPr>
          <w:i/>
          <w:iCs/>
        </w:rPr>
        <w:t xml:space="preserve"> &amp; Evans</w:t>
      </w:r>
      <w:r w:rsidRPr="00D758AE">
        <w:t xml:space="preserve"> [1952]</w:t>
      </w:r>
      <w:r>
        <w:t xml:space="preserve">; </w:t>
      </w:r>
      <w:r w:rsidRPr="00D758AE">
        <w:rPr>
          <w:b/>
          <w:bCs/>
        </w:rPr>
        <w:t>I</w:t>
      </w:r>
      <w:r w:rsidRPr="00D758AE">
        <w:rPr>
          <w:b/>
          <w:bCs/>
        </w:rPr>
        <w:t>ntegration</w:t>
      </w:r>
      <w:r w:rsidRPr="00D758AE">
        <w:t xml:space="preserve">: </w:t>
      </w:r>
      <w:r w:rsidRPr="00D758AE">
        <w:rPr>
          <w:i/>
          <w:iCs/>
        </w:rPr>
        <w:t>JGE v The Trustees of the Portsmouth Roman Catholic Diocesan Trust</w:t>
      </w:r>
      <w:r w:rsidRPr="00D758AE">
        <w:t xml:space="preserve"> [2012]</w:t>
      </w:r>
      <w:r>
        <w:t>. H</w:t>
      </w:r>
      <w:r w:rsidRPr="00D758AE">
        <w:t>owever, the courts usually rely on a combination of both tests sometimes called the ‘</w:t>
      </w:r>
      <w:r w:rsidRPr="00D758AE">
        <w:rPr>
          <w:b/>
          <w:bCs/>
        </w:rPr>
        <w:t>economic reality’ test</w:t>
      </w:r>
      <w:r w:rsidRPr="00D758AE">
        <w:t xml:space="preserve">: </w:t>
      </w:r>
      <w:r w:rsidRPr="00D758AE">
        <w:rPr>
          <w:i/>
          <w:iCs/>
        </w:rPr>
        <w:t>Market Investigations Ltd v Social Security</w:t>
      </w:r>
      <w:r w:rsidRPr="00D758AE">
        <w:t xml:space="preserve"> [1969]</w:t>
      </w:r>
    </w:p>
    <w:p w14:paraId="5664DCD3" w14:textId="77777777" w:rsidR="00D758AE" w:rsidRDefault="00D758AE" w:rsidP="00326601">
      <w:pPr>
        <w:spacing w:after="0"/>
      </w:pPr>
    </w:p>
    <w:p w14:paraId="27835910" w14:textId="220A3CBC" w:rsidR="00D758AE" w:rsidRPr="00326601" w:rsidRDefault="00D758AE" w:rsidP="00326601">
      <w:pPr>
        <w:pStyle w:val="ListParagraph"/>
        <w:spacing w:after="0"/>
        <w:ind w:left="360"/>
        <w:rPr>
          <w:i/>
          <w:iCs/>
        </w:rPr>
      </w:pPr>
      <w:r w:rsidRPr="00326601">
        <w:rPr>
          <w:i/>
          <w:iCs/>
        </w:rPr>
        <w:t>How to establish relationship ‘akin to employment?</w:t>
      </w:r>
    </w:p>
    <w:p w14:paraId="286F621A" w14:textId="189DC964" w:rsidR="00D758AE" w:rsidRDefault="00D758AE" w:rsidP="00326601">
      <w:pPr>
        <w:pStyle w:val="ListParagraph"/>
        <w:numPr>
          <w:ilvl w:val="0"/>
          <w:numId w:val="7"/>
        </w:numPr>
        <w:spacing w:after="0"/>
      </w:pPr>
      <w:r w:rsidRPr="00D758AE">
        <w:rPr>
          <w:i/>
          <w:iCs/>
        </w:rPr>
        <w:t>Various Claimants v Catholic Care Welfare Society</w:t>
      </w:r>
      <w:r>
        <w:t xml:space="preserve"> [2012]: </w:t>
      </w:r>
      <w:r w:rsidRPr="00D758AE">
        <w:rPr>
          <w:b/>
          <w:bCs/>
        </w:rPr>
        <w:t>Five incidences that certain non-employment relationship might be treated as akin to employment</w:t>
      </w:r>
      <w:r>
        <w:t>:</w:t>
      </w:r>
      <w:r>
        <w:t xml:space="preserve"> </w:t>
      </w:r>
      <w:r>
        <w:t>The employer is more likely to have the means to compensate the victim than the employee and can have expected to have insured against that liability</w:t>
      </w:r>
      <w:r>
        <w:t>; t</w:t>
      </w:r>
      <w:r>
        <w:t>he tort will have been committed as a result of the activity being taken by the employee on behalf of the employer</w:t>
      </w:r>
      <w:r>
        <w:t>; t</w:t>
      </w:r>
      <w:r>
        <w:t>he employee’s activity is likely to be part of the business activity of the employer</w:t>
      </w:r>
      <w:r>
        <w:t>; t</w:t>
      </w:r>
      <w:r>
        <w:t>he employer, by employing the employee to carry out the activity, will have created the risk of the tort committed by the employee</w:t>
      </w:r>
      <w:r>
        <w:t>; t</w:t>
      </w:r>
      <w:r>
        <w:t>he employee will, to a greater or lesser degree, have been under the control of the employer</w:t>
      </w:r>
      <w:r>
        <w:t>.</w:t>
      </w:r>
    </w:p>
    <w:p w14:paraId="0590A1DA" w14:textId="76B4BBF7" w:rsidR="00D758AE" w:rsidRDefault="00D758AE" w:rsidP="00D758AE">
      <w:pPr>
        <w:pStyle w:val="ListParagraph"/>
        <w:numPr>
          <w:ilvl w:val="0"/>
          <w:numId w:val="7"/>
        </w:numPr>
      </w:pPr>
      <w:r w:rsidRPr="00D758AE">
        <w:rPr>
          <w:i/>
          <w:iCs/>
        </w:rPr>
        <w:t>Cox v Ministry of Justice</w:t>
      </w:r>
      <w:r>
        <w:t xml:space="preserve"> [2016]:</w:t>
      </w:r>
      <w:r>
        <w:t xml:space="preserve"> </w:t>
      </w:r>
      <w:r>
        <w:t>‘The result of this approach is that a relationship other than one of employment is in principle capable of giving rise to vicarious liability where harm is wrongfully done by an individual who carries on activities as an integral part of the business activities carried on by the defendant and for its benefit … and where the commission of the wrongful act is a risk created by the defendant by assigning those activities to the individual in question’ (Lord Reed, [20])</w:t>
      </w:r>
      <w:r>
        <w:t xml:space="preserve">. </w:t>
      </w:r>
      <w:r>
        <w:t xml:space="preserve">See further: </w:t>
      </w:r>
      <w:proofErr w:type="spellStart"/>
      <w:r w:rsidRPr="00D758AE">
        <w:rPr>
          <w:i/>
          <w:iCs/>
        </w:rPr>
        <w:t>Armes</w:t>
      </w:r>
      <w:proofErr w:type="spellEnd"/>
      <w:r w:rsidRPr="00D758AE">
        <w:rPr>
          <w:i/>
          <w:iCs/>
        </w:rPr>
        <w:t xml:space="preserve"> v Nottinghamshire County Council</w:t>
      </w:r>
      <w:r>
        <w:t xml:space="preserve"> [2017]</w:t>
      </w:r>
    </w:p>
    <w:p w14:paraId="7DC8BB81" w14:textId="17063376" w:rsidR="00D758AE" w:rsidRDefault="00D758AE" w:rsidP="003B78B4">
      <w:pPr>
        <w:pStyle w:val="ListParagraph"/>
        <w:numPr>
          <w:ilvl w:val="0"/>
          <w:numId w:val="7"/>
        </w:numPr>
        <w:spacing w:after="0"/>
      </w:pPr>
      <w:r w:rsidRPr="00326601">
        <w:rPr>
          <w:i/>
          <w:iCs/>
        </w:rPr>
        <w:t>Barclays Bank v Various Claimants</w:t>
      </w:r>
      <w:r>
        <w:t xml:space="preserve"> [2020]</w:t>
      </w:r>
      <w:r w:rsidR="00326601">
        <w:t>, per</w:t>
      </w:r>
      <w:r>
        <w:t xml:space="preserve"> Lady Hale:</w:t>
      </w:r>
      <w:r w:rsidR="00326601">
        <w:t xml:space="preserve"> </w:t>
      </w:r>
      <w:r>
        <w:t>When the tortfeasor was ‘in business on his own account’ the relationship was not ‘akin to employment’ = confirming the longstanding/classic distinction between employment and relationships akin or analogous to employment, on the one hand, and the relationship with an independent contractor, on the other hand.</w:t>
      </w:r>
      <w:r w:rsidR="00326601">
        <w:t xml:space="preserve"> </w:t>
      </w:r>
      <w:r>
        <w:t>It had never been intended that the five factors ‘were the only criteria by which to judge the question’ = shift away from reliance on Lord Phillips’s five factors towards an enquiry focused on the particularities of the relationship between the tortfeasor and the defendant: ‘the details of the relationship, and its closeness to employment’</w:t>
      </w:r>
      <w:r w:rsidR="00326601">
        <w:t xml:space="preserve">. </w:t>
      </w:r>
      <w:r>
        <w:t xml:space="preserve">Approach applied: </w:t>
      </w:r>
      <w:r w:rsidRPr="00326601">
        <w:rPr>
          <w:i/>
          <w:iCs/>
        </w:rPr>
        <w:t>JXJ v The Province of Great Britain of the Institute of Brothers of the Christian Schools</w:t>
      </w:r>
      <w:r w:rsidR="00326601">
        <w:t>.</w:t>
      </w:r>
    </w:p>
    <w:p w14:paraId="63F0F99A" w14:textId="77777777" w:rsidR="003B78B4" w:rsidRDefault="003B78B4" w:rsidP="003B78B4">
      <w:pPr>
        <w:spacing w:after="0"/>
        <w:ind w:left="720"/>
      </w:pPr>
    </w:p>
    <w:p w14:paraId="7B749913" w14:textId="77777777" w:rsidR="003B78B4" w:rsidRDefault="003B78B4" w:rsidP="003B78B4">
      <w:pPr>
        <w:spacing w:after="0"/>
        <w:ind w:left="360"/>
      </w:pPr>
      <w:r>
        <w:t>Additional considerations:</w:t>
      </w:r>
    </w:p>
    <w:p w14:paraId="7F18CC72" w14:textId="095776C8" w:rsidR="003B78B4" w:rsidRDefault="003B78B4" w:rsidP="003B78B4">
      <w:pPr>
        <w:pStyle w:val="ListParagraph"/>
        <w:numPr>
          <w:ilvl w:val="0"/>
          <w:numId w:val="10"/>
        </w:numPr>
        <w:spacing w:after="0"/>
      </w:pPr>
      <w:r w:rsidRPr="003B78B4">
        <w:rPr>
          <w:b/>
          <w:bCs/>
        </w:rPr>
        <w:t>Employee is hired out to another company:</w:t>
      </w:r>
      <w:r>
        <w:t xml:space="preserve"> </w:t>
      </w:r>
      <w:r w:rsidRPr="003B78B4">
        <w:rPr>
          <w:i/>
          <w:iCs/>
        </w:rPr>
        <w:t>Mersey Docks and Harbour Board v Coggins &amp; Griffith</w:t>
      </w:r>
      <w:r>
        <w:t xml:space="preserve"> (Liverpool) Ltd [1947] </w:t>
      </w:r>
      <w:r w:rsidRPr="003B78B4">
        <w:rPr>
          <w:i/>
          <w:iCs/>
        </w:rPr>
        <w:t xml:space="preserve">and Hawley v </w:t>
      </w:r>
      <w:proofErr w:type="spellStart"/>
      <w:r w:rsidRPr="003B78B4">
        <w:rPr>
          <w:i/>
          <w:iCs/>
        </w:rPr>
        <w:t>Luminar</w:t>
      </w:r>
      <w:proofErr w:type="spellEnd"/>
      <w:r w:rsidRPr="003B78B4">
        <w:rPr>
          <w:i/>
          <w:iCs/>
        </w:rPr>
        <w:t xml:space="preserve"> Leisure Ltd</w:t>
      </w:r>
      <w:r>
        <w:t xml:space="preserve"> [2006]</w:t>
      </w:r>
    </w:p>
    <w:p w14:paraId="73088E48" w14:textId="4DFBF055" w:rsidR="003B78B4" w:rsidRDefault="003B78B4" w:rsidP="003B78B4">
      <w:pPr>
        <w:pStyle w:val="ListParagraph"/>
        <w:numPr>
          <w:ilvl w:val="0"/>
          <w:numId w:val="8"/>
        </w:numPr>
        <w:spacing w:before="240"/>
      </w:pPr>
      <w:r w:rsidRPr="003B78B4">
        <w:rPr>
          <w:b/>
          <w:bCs/>
        </w:rPr>
        <w:t>Dual vicarious liability</w:t>
      </w:r>
      <w:r>
        <w:t xml:space="preserve">: </w:t>
      </w:r>
      <w:proofErr w:type="spellStart"/>
      <w:r w:rsidRPr="003B78B4">
        <w:rPr>
          <w:i/>
          <w:iCs/>
        </w:rPr>
        <w:t>Viasystems</w:t>
      </w:r>
      <w:proofErr w:type="spellEnd"/>
      <w:r w:rsidRPr="003B78B4">
        <w:rPr>
          <w:i/>
          <w:iCs/>
        </w:rPr>
        <w:t xml:space="preserve"> v Thermal Transfer Ltd</w:t>
      </w:r>
      <w:r>
        <w:t xml:space="preserve"> [2005]</w:t>
      </w:r>
    </w:p>
    <w:p w14:paraId="553FBCD4" w14:textId="093BE397" w:rsidR="003B78B4" w:rsidRDefault="003B78B4" w:rsidP="003B78B4">
      <w:pPr>
        <w:spacing w:before="240"/>
      </w:pPr>
    </w:p>
    <w:p w14:paraId="3CDE619B" w14:textId="4D1E7A27" w:rsidR="00326601" w:rsidRDefault="00326601" w:rsidP="003B78B4">
      <w:pPr>
        <w:pStyle w:val="ListParagraph"/>
        <w:numPr>
          <w:ilvl w:val="0"/>
          <w:numId w:val="6"/>
        </w:numPr>
        <w:spacing w:before="240"/>
        <w:rPr>
          <w:b/>
          <w:bCs/>
        </w:rPr>
      </w:pPr>
      <w:r w:rsidRPr="003B78B4">
        <w:rPr>
          <w:b/>
          <w:bCs/>
        </w:rPr>
        <w:t xml:space="preserve">HURDLE </w:t>
      </w:r>
      <w:r w:rsidRPr="003B78B4">
        <w:rPr>
          <w:b/>
          <w:bCs/>
        </w:rPr>
        <w:t>TWO</w:t>
      </w:r>
      <w:r w:rsidRPr="003B78B4">
        <w:rPr>
          <w:b/>
          <w:bCs/>
        </w:rPr>
        <w:t xml:space="preserve">: </w:t>
      </w:r>
      <w:r w:rsidRPr="003B78B4">
        <w:rPr>
          <w:b/>
          <w:bCs/>
        </w:rPr>
        <w:t>Did the tortfeasor commit a tort?</w:t>
      </w:r>
    </w:p>
    <w:p w14:paraId="2540F972" w14:textId="58C78A3A" w:rsidR="003B78B4" w:rsidRDefault="003B78B4" w:rsidP="003B78B4">
      <w:pPr>
        <w:pStyle w:val="ListParagraph"/>
        <w:spacing w:before="240"/>
        <w:ind w:left="360"/>
      </w:pPr>
      <w:r w:rsidRPr="003B78B4">
        <w:t xml:space="preserve">The employee must have committed a tort </w:t>
      </w:r>
      <w:proofErr w:type="gramStart"/>
      <w:r w:rsidRPr="003B78B4">
        <w:t>in order for</w:t>
      </w:r>
      <w:proofErr w:type="gramEnd"/>
      <w:r w:rsidRPr="003B78B4">
        <w:t xml:space="preserve"> the possibility of vicarious liability to arise.</w:t>
      </w:r>
      <w:r>
        <w:t xml:space="preserve"> </w:t>
      </w:r>
      <w:r w:rsidRPr="003B78B4">
        <w:t xml:space="preserve">Very important to </w:t>
      </w:r>
      <w:proofErr w:type="gramStart"/>
      <w:r w:rsidRPr="003B78B4">
        <w:t>note:</w:t>
      </w:r>
      <w:proofErr w:type="gramEnd"/>
      <w:r w:rsidRPr="003B78B4">
        <w:t xml:space="preserve"> there is more to tort than negligence!! Vicarious liability has been applied to</w:t>
      </w:r>
      <w:r>
        <w:t xml:space="preserve">: </w:t>
      </w:r>
      <w:r w:rsidRPr="003B78B4">
        <w:t>Harassment (</w:t>
      </w:r>
      <w:proofErr w:type="spellStart"/>
      <w:r w:rsidRPr="003B78B4">
        <w:rPr>
          <w:i/>
          <w:iCs/>
        </w:rPr>
        <w:t>Majrowski</w:t>
      </w:r>
      <w:proofErr w:type="spellEnd"/>
      <w:r w:rsidRPr="003B78B4">
        <w:rPr>
          <w:i/>
          <w:iCs/>
        </w:rPr>
        <w:t xml:space="preserve"> v Guy’s and Thomas’s NHS Trust</w:t>
      </w:r>
      <w:r w:rsidRPr="003B78B4">
        <w:t>)</w:t>
      </w:r>
      <w:r>
        <w:t>; b</w:t>
      </w:r>
      <w:r w:rsidRPr="003B78B4">
        <w:t>attery</w:t>
      </w:r>
      <w:r>
        <w:t>; s</w:t>
      </w:r>
      <w:r w:rsidRPr="003B78B4">
        <w:t>exual assaults</w:t>
      </w:r>
      <w:r>
        <w:t>; s</w:t>
      </w:r>
      <w:r w:rsidRPr="003B78B4">
        <w:t>tealing</w:t>
      </w:r>
      <w:r>
        <w:t>; m</w:t>
      </w:r>
      <w:r w:rsidRPr="003B78B4">
        <w:t>isuse of private information</w:t>
      </w:r>
      <w:r>
        <w:t>.</w:t>
      </w:r>
    </w:p>
    <w:p w14:paraId="7A0EBF99" w14:textId="22D93A15" w:rsidR="003B78B4" w:rsidRDefault="003B78B4" w:rsidP="003B78B4">
      <w:pPr>
        <w:pStyle w:val="ListParagraph"/>
        <w:ind w:left="360"/>
      </w:pPr>
    </w:p>
    <w:p w14:paraId="029607E2" w14:textId="7DE66B00" w:rsidR="003B78B4" w:rsidRDefault="003B78B4" w:rsidP="003B78B4">
      <w:pPr>
        <w:pStyle w:val="ListParagraph"/>
        <w:numPr>
          <w:ilvl w:val="0"/>
          <w:numId w:val="6"/>
        </w:numPr>
        <w:rPr>
          <w:b/>
          <w:bCs/>
        </w:rPr>
      </w:pPr>
      <w:r w:rsidRPr="003B78B4">
        <w:rPr>
          <w:b/>
          <w:bCs/>
        </w:rPr>
        <w:t>HURDLE THREE: Did the tortfeasor commit the tort in the course of their employment?</w:t>
      </w:r>
    </w:p>
    <w:p w14:paraId="3889C008" w14:textId="3A01610C" w:rsidR="003B78B4" w:rsidRDefault="003B78B4" w:rsidP="003B78B4">
      <w:pPr>
        <w:pStyle w:val="ListParagraph"/>
        <w:ind w:left="360"/>
      </w:pPr>
      <w:r>
        <w:t xml:space="preserve">An employer will be vicariously liable for torts committed by an employee ONLY IF the tort is committed in the ‘course of their employment’. This creates the necessary connection between the tortfeasor, their </w:t>
      </w:r>
      <w:proofErr w:type="gramStart"/>
      <w:r>
        <w:t>employer</w:t>
      </w:r>
      <w:proofErr w:type="gramEnd"/>
      <w:r>
        <w:t xml:space="preserve"> and the claimant.</w:t>
      </w:r>
      <w:r>
        <w:t xml:space="preserve"> </w:t>
      </w:r>
      <w:r>
        <w:t xml:space="preserve">When is an employee acting in the course of their employment? </w:t>
      </w:r>
    </w:p>
    <w:p w14:paraId="495AF025" w14:textId="142A0151" w:rsidR="003B78B4" w:rsidRDefault="003B78B4" w:rsidP="003B78B4">
      <w:pPr>
        <w:pStyle w:val="ListParagraph"/>
        <w:numPr>
          <w:ilvl w:val="1"/>
          <w:numId w:val="6"/>
        </w:numPr>
        <w:ind w:left="360"/>
      </w:pPr>
      <w:r>
        <w:t>Traditionally = ‘</w:t>
      </w:r>
      <w:r w:rsidRPr="003B78B4">
        <w:rPr>
          <w:i/>
          <w:iCs/>
        </w:rPr>
        <w:t>Salmond</w:t>
      </w:r>
      <w:r>
        <w:t xml:space="preserve"> Test’: </w:t>
      </w:r>
      <w:r>
        <w:t>W</w:t>
      </w:r>
      <w:r>
        <w:t>hether the employer’s act was a ‘wrongful and unauthorised mode of doing some act authorised by the master’.</w:t>
      </w:r>
      <w:r>
        <w:t xml:space="preserve"> </w:t>
      </w:r>
      <w:r>
        <w:t>Introduces some difficulties in the context of wilful wrongdoing, and this issue was exposed when many claims were lodged against local authorities and other institutions in respect of physical and sexual abuse suffered by the claimants while they were children in care. These cases stretched the traditional formula ‘to breaking point’ since ‘[e]</w:t>
      </w:r>
      <w:proofErr w:type="spellStart"/>
      <w:r>
        <w:t>ven</w:t>
      </w:r>
      <w:proofErr w:type="spellEnd"/>
      <w:r>
        <w:t xml:space="preserve"> on its most elastic interpretation’, sexual abuse of children ‘could not be described as a mode, albeit an improper mode, of caring for them’. (</w:t>
      </w:r>
      <w:r w:rsidRPr="003B78B4">
        <w:rPr>
          <w:i/>
          <w:iCs/>
        </w:rPr>
        <w:t>Mohamud v WM Morrison Supermarkets Plc</w:t>
      </w:r>
      <w:r>
        <w:t>, [39])</w:t>
      </w:r>
    </w:p>
    <w:p w14:paraId="1ECC178A" w14:textId="2168C76F" w:rsidR="003B78B4" w:rsidRDefault="003B78B4" w:rsidP="003B78B4">
      <w:pPr>
        <w:pStyle w:val="ListParagraph"/>
        <w:numPr>
          <w:ilvl w:val="0"/>
          <w:numId w:val="6"/>
        </w:numPr>
      </w:pPr>
      <w:r>
        <w:t xml:space="preserve">Shift away = </w:t>
      </w:r>
      <w:r w:rsidRPr="003B78B4">
        <w:rPr>
          <w:i/>
          <w:iCs/>
        </w:rPr>
        <w:t xml:space="preserve">Lister v </w:t>
      </w:r>
      <w:proofErr w:type="spellStart"/>
      <w:r w:rsidRPr="003B78B4">
        <w:rPr>
          <w:i/>
          <w:iCs/>
        </w:rPr>
        <w:t>Hesley</w:t>
      </w:r>
      <w:proofErr w:type="spellEnd"/>
      <w:r w:rsidRPr="003B78B4">
        <w:rPr>
          <w:i/>
          <w:iCs/>
        </w:rPr>
        <w:t xml:space="preserve"> Hall</w:t>
      </w:r>
      <w:r>
        <w:t xml:space="preserve"> [2002]: ‘close connection’ test which means that vicarious liability arises where the employee’s unlawful conduct was ‘so closely connected with his employment’ that it is fair and just to make the employer liable.</w:t>
      </w:r>
      <w:r>
        <w:t xml:space="preserve"> A</w:t>
      </w:r>
      <w:r>
        <w:t xml:space="preserve">pplied in </w:t>
      </w:r>
      <w:r w:rsidRPr="003B78B4">
        <w:rPr>
          <w:i/>
          <w:iCs/>
        </w:rPr>
        <w:t>Dubai Aluminium Co Ltd v Salaam</w:t>
      </w:r>
      <w:r>
        <w:t xml:space="preserve"> [2003] and </w:t>
      </w:r>
      <w:r w:rsidRPr="003B78B4">
        <w:rPr>
          <w:i/>
          <w:iCs/>
        </w:rPr>
        <w:t>WM Morrison Supermarkets Plc v Various Claimants</w:t>
      </w:r>
      <w:r>
        <w:t xml:space="preserve"> [2020]</w:t>
      </w:r>
    </w:p>
    <w:p w14:paraId="16AFDD81" w14:textId="77777777" w:rsidR="003B78B4" w:rsidRDefault="003B78B4" w:rsidP="003B78B4">
      <w:pPr>
        <w:pStyle w:val="ListParagraph"/>
        <w:ind w:left="360"/>
      </w:pPr>
    </w:p>
    <w:p w14:paraId="09BC0A5E" w14:textId="77777777" w:rsidR="003B78B4" w:rsidRDefault="003B78B4" w:rsidP="003B78B4">
      <w:r>
        <w:t>Additional considerations:</w:t>
      </w:r>
    </w:p>
    <w:p w14:paraId="314A99B1" w14:textId="5BBA00C2" w:rsidR="003B78B4" w:rsidRDefault="003B78B4" w:rsidP="003B78B4">
      <w:pPr>
        <w:pStyle w:val="ListParagraph"/>
        <w:numPr>
          <w:ilvl w:val="0"/>
          <w:numId w:val="11"/>
        </w:numPr>
      </w:pPr>
      <w:r w:rsidRPr="003B78B4">
        <w:rPr>
          <w:b/>
          <w:bCs/>
        </w:rPr>
        <w:t>Incompetents and misguided enthusiasts</w:t>
      </w:r>
      <w:r>
        <w:t xml:space="preserve">: </w:t>
      </w:r>
      <w:r w:rsidRPr="003B78B4">
        <w:rPr>
          <w:i/>
          <w:iCs/>
        </w:rPr>
        <w:t>Century Insurance v Northern Ireland Road Transport Board</w:t>
      </w:r>
      <w:r>
        <w:t xml:space="preserve"> [1942] AC 509.</w:t>
      </w:r>
    </w:p>
    <w:p w14:paraId="3A9520E0" w14:textId="77777777" w:rsidR="003B78B4" w:rsidRDefault="003B78B4" w:rsidP="003B78B4">
      <w:pPr>
        <w:pStyle w:val="ListParagraph"/>
        <w:numPr>
          <w:ilvl w:val="0"/>
          <w:numId w:val="9"/>
        </w:numPr>
      </w:pPr>
      <w:r w:rsidRPr="003B78B4">
        <w:rPr>
          <w:b/>
          <w:bCs/>
        </w:rPr>
        <w:t>Frolics and Detours</w:t>
      </w:r>
      <w:r>
        <w:t xml:space="preserve">: </w:t>
      </w:r>
      <w:r w:rsidRPr="003B78B4">
        <w:rPr>
          <w:i/>
          <w:iCs/>
        </w:rPr>
        <w:t>Smith v Stages</w:t>
      </w:r>
      <w:r>
        <w:t xml:space="preserve"> [1989] 1 All ER 833, </w:t>
      </w:r>
      <w:r w:rsidRPr="003B78B4">
        <w:rPr>
          <w:i/>
          <w:iCs/>
        </w:rPr>
        <w:t>Whatman v Pearson</w:t>
      </w:r>
      <w:r>
        <w:t xml:space="preserve"> (1868) LR 3CP 422, </w:t>
      </w:r>
      <w:r w:rsidRPr="003B78B4">
        <w:rPr>
          <w:i/>
          <w:iCs/>
        </w:rPr>
        <w:t>Storey v Ashton</w:t>
      </w:r>
      <w:r>
        <w:t xml:space="preserve"> (1869) LR 4 QB 476, and </w:t>
      </w:r>
      <w:r w:rsidRPr="007C4A02">
        <w:rPr>
          <w:i/>
          <w:iCs/>
        </w:rPr>
        <w:t>Williams v Hemphill</w:t>
      </w:r>
      <w:r>
        <w:t xml:space="preserve"> 1966 SC (HL) 31</w:t>
      </w:r>
    </w:p>
    <w:p w14:paraId="576484D3" w14:textId="77777777" w:rsidR="003B78B4" w:rsidRDefault="003B78B4" w:rsidP="003B78B4">
      <w:pPr>
        <w:pStyle w:val="ListParagraph"/>
        <w:numPr>
          <w:ilvl w:val="0"/>
          <w:numId w:val="9"/>
        </w:numPr>
      </w:pPr>
      <w:r w:rsidRPr="003B78B4">
        <w:rPr>
          <w:b/>
          <w:bCs/>
        </w:rPr>
        <w:t>Express Prohibitions</w:t>
      </w:r>
      <w:r>
        <w:t xml:space="preserve">: </w:t>
      </w:r>
      <w:r w:rsidRPr="007C4A02">
        <w:rPr>
          <w:i/>
          <w:iCs/>
        </w:rPr>
        <w:t>Twine v Bean’s Express Ltd</w:t>
      </w:r>
      <w:r>
        <w:t xml:space="preserve"> (1946) 175 LT 131; </w:t>
      </w:r>
      <w:r w:rsidRPr="007C4A02">
        <w:rPr>
          <w:i/>
          <w:iCs/>
        </w:rPr>
        <w:t>Rose v Plenty</w:t>
      </w:r>
      <w:r>
        <w:t xml:space="preserve"> [1975] ICR 4, </w:t>
      </w:r>
    </w:p>
    <w:p w14:paraId="2E042EDD" w14:textId="62743B15" w:rsidR="003B78B4" w:rsidRPr="003B78B4" w:rsidRDefault="003B78B4" w:rsidP="003B78B4">
      <w:pPr>
        <w:pStyle w:val="ListParagraph"/>
        <w:numPr>
          <w:ilvl w:val="0"/>
          <w:numId w:val="9"/>
        </w:numPr>
      </w:pPr>
      <w:r w:rsidRPr="003B78B4">
        <w:rPr>
          <w:b/>
          <w:bCs/>
        </w:rPr>
        <w:t>Criminal acts of employees</w:t>
      </w:r>
      <w:r>
        <w:t xml:space="preserve">: </w:t>
      </w:r>
      <w:r w:rsidRPr="007C4A02">
        <w:rPr>
          <w:i/>
          <w:iCs/>
        </w:rPr>
        <w:t xml:space="preserve">Lister v </w:t>
      </w:r>
      <w:proofErr w:type="spellStart"/>
      <w:r w:rsidRPr="007C4A02">
        <w:rPr>
          <w:i/>
          <w:iCs/>
        </w:rPr>
        <w:t>Hesley</w:t>
      </w:r>
      <w:proofErr w:type="spellEnd"/>
      <w:r w:rsidRPr="007C4A02">
        <w:rPr>
          <w:i/>
          <w:iCs/>
        </w:rPr>
        <w:t xml:space="preserve"> Hall</w:t>
      </w:r>
      <w:r>
        <w:t xml:space="preserve"> [2002]; </w:t>
      </w:r>
      <w:r w:rsidRPr="007C4A02">
        <w:rPr>
          <w:i/>
          <w:iCs/>
        </w:rPr>
        <w:t>Mattis v Pollock</w:t>
      </w:r>
      <w:r>
        <w:t xml:space="preserve"> [2003]; </w:t>
      </w:r>
      <w:r w:rsidRPr="007C4A02">
        <w:rPr>
          <w:i/>
          <w:iCs/>
        </w:rPr>
        <w:t>N v Chief Constable of Merseyside Police</w:t>
      </w:r>
      <w:r>
        <w:t xml:space="preserve"> [2006]; </w:t>
      </w:r>
      <w:r w:rsidRPr="007C4A02">
        <w:rPr>
          <w:i/>
          <w:iCs/>
        </w:rPr>
        <w:t>Maga v Birmingham Roman Catholic Archdiocese Trustees</w:t>
      </w:r>
      <w:r>
        <w:t xml:space="preserve"> [2010] EWCA </w:t>
      </w:r>
      <w:proofErr w:type="spellStart"/>
      <w:r>
        <w:t>Civ</w:t>
      </w:r>
      <w:proofErr w:type="spellEnd"/>
      <w:r>
        <w:t xml:space="preserve"> 256; </w:t>
      </w:r>
      <w:r w:rsidRPr="007C4A02">
        <w:rPr>
          <w:i/>
          <w:iCs/>
        </w:rPr>
        <w:t>Mohamud v Wm Morrison Supermarkets Plc</w:t>
      </w:r>
      <w:r>
        <w:t xml:space="preserve"> [2016] UKSC 11</w:t>
      </w:r>
    </w:p>
    <w:sectPr w:rsidR="003B78B4" w:rsidRPr="003B78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A20D2D"/>
    <w:multiLevelType w:val="hybridMultilevel"/>
    <w:tmpl w:val="604250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4396985"/>
    <w:multiLevelType w:val="hybridMultilevel"/>
    <w:tmpl w:val="58646CE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2FD77817"/>
    <w:multiLevelType w:val="hybridMultilevel"/>
    <w:tmpl w:val="AAA060B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3828097E"/>
    <w:multiLevelType w:val="hybridMultilevel"/>
    <w:tmpl w:val="C1BCBAC2"/>
    <w:lvl w:ilvl="0" w:tplc="08090001">
      <w:start w:val="1"/>
      <w:numFmt w:val="bullet"/>
      <w:lvlText w:val=""/>
      <w:lvlJc w:val="left"/>
      <w:pPr>
        <w:ind w:left="827" w:hanging="360"/>
      </w:pPr>
      <w:rPr>
        <w:rFonts w:ascii="Symbol" w:hAnsi="Symbol" w:hint="default"/>
      </w:rPr>
    </w:lvl>
    <w:lvl w:ilvl="1" w:tplc="08090003" w:tentative="1">
      <w:start w:val="1"/>
      <w:numFmt w:val="bullet"/>
      <w:lvlText w:val="o"/>
      <w:lvlJc w:val="left"/>
      <w:pPr>
        <w:ind w:left="1547" w:hanging="360"/>
      </w:pPr>
      <w:rPr>
        <w:rFonts w:ascii="Courier New" w:hAnsi="Courier New" w:cs="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cs="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cs="Courier New" w:hint="default"/>
      </w:rPr>
    </w:lvl>
    <w:lvl w:ilvl="8" w:tplc="08090005" w:tentative="1">
      <w:start w:val="1"/>
      <w:numFmt w:val="bullet"/>
      <w:lvlText w:val=""/>
      <w:lvlJc w:val="left"/>
      <w:pPr>
        <w:ind w:left="6587" w:hanging="360"/>
      </w:pPr>
      <w:rPr>
        <w:rFonts w:ascii="Wingdings" w:hAnsi="Wingdings" w:hint="default"/>
      </w:rPr>
    </w:lvl>
  </w:abstractNum>
  <w:abstractNum w:abstractNumId="4" w15:restartNumberingAfterBreak="0">
    <w:nsid w:val="38CE0002"/>
    <w:multiLevelType w:val="hybridMultilevel"/>
    <w:tmpl w:val="2206B290"/>
    <w:lvl w:ilvl="0" w:tplc="C90EA508">
      <w:start w:val="1"/>
      <w:numFmt w:val="bullet"/>
      <w:lvlText w:val=""/>
      <w:lvlJc w:val="left"/>
      <w:pPr>
        <w:ind w:left="720" w:hanging="360"/>
      </w:pPr>
      <w:rPr>
        <w:rFonts w:ascii="Symbol" w:hAnsi="Symbol" w:hint="default"/>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4746A45"/>
    <w:multiLevelType w:val="hybridMultilevel"/>
    <w:tmpl w:val="2B5CEA0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6DDB2FB1"/>
    <w:multiLevelType w:val="hybridMultilevel"/>
    <w:tmpl w:val="6DFE3B86"/>
    <w:lvl w:ilvl="0" w:tplc="08090001">
      <w:start w:val="1"/>
      <w:numFmt w:val="bullet"/>
      <w:lvlText w:val=""/>
      <w:lvlJc w:val="left"/>
      <w:pPr>
        <w:ind w:left="360" w:hanging="360"/>
      </w:pPr>
      <w:rPr>
        <w:rFonts w:ascii="Symbol" w:hAnsi="Symbol" w:hint="default"/>
      </w:rPr>
    </w:lvl>
    <w:lvl w:ilvl="1" w:tplc="08090001">
      <w:start w:val="1"/>
      <w:numFmt w:val="bullet"/>
      <w:lvlText w:val=""/>
      <w:lvlJc w:val="left"/>
      <w:pPr>
        <w:ind w:left="1080" w:hanging="360"/>
      </w:pPr>
      <w:rPr>
        <w:rFonts w:ascii="Symbol" w:hAnsi="Symbol"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70F70975"/>
    <w:multiLevelType w:val="hybridMultilevel"/>
    <w:tmpl w:val="A84ACD32"/>
    <w:lvl w:ilvl="0" w:tplc="08090001">
      <w:start w:val="1"/>
      <w:numFmt w:val="bullet"/>
      <w:lvlText w:val=""/>
      <w:lvlJc w:val="left"/>
      <w:pPr>
        <w:ind w:left="827" w:hanging="360"/>
      </w:pPr>
      <w:rPr>
        <w:rFonts w:ascii="Symbol" w:hAnsi="Symbol" w:hint="default"/>
      </w:rPr>
    </w:lvl>
    <w:lvl w:ilvl="1" w:tplc="08090003" w:tentative="1">
      <w:start w:val="1"/>
      <w:numFmt w:val="bullet"/>
      <w:lvlText w:val="o"/>
      <w:lvlJc w:val="left"/>
      <w:pPr>
        <w:ind w:left="1547" w:hanging="360"/>
      </w:pPr>
      <w:rPr>
        <w:rFonts w:ascii="Courier New" w:hAnsi="Courier New" w:cs="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cs="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cs="Courier New" w:hint="default"/>
      </w:rPr>
    </w:lvl>
    <w:lvl w:ilvl="8" w:tplc="08090005" w:tentative="1">
      <w:start w:val="1"/>
      <w:numFmt w:val="bullet"/>
      <w:lvlText w:val=""/>
      <w:lvlJc w:val="left"/>
      <w:pPr>
        <w:ind w:left="6587" w:hanging="360"/>
      </w:pPr>
      <w:rPr>
        <w:rFonts w:ascii="Wingdings" w:hAnsi="Wingdings" w:hint="default"/>
      </w:rPr>
    </w:lvl>
  </w:abstractNum>
  <w:abstractNum w:abstractNumId="8" w15:restartNumberingAfterBreak="0">
    <w:nsid w:val="77392734"/>
    <w:multiLevelType w:val="multilevel"/>
    <w:tmpl w:val="39586BA8"/>
    <w:lvl w:ilvl="0">
      <w:start w:val="1"/>
      <w:numFmt w:val="decimal"/>
      <w:lvlText w:val="%1)"/>
      <w:lvlJc w:val="left"/>
      <w:pPr>
        <w:ind w:left="360" w:hanging="360"/>
      </w:pPr>
    </w:lvl>
    <w:lvl w:ilvl="1">
      <w:start w:val="1"/>
      <w:numFmt w:val="decimal"/>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7D9B6DDC"/>
    <w:multiLevelType w:val="multilevel"/>
    <w:tmpl w:val="0809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7DC96507"/>
    <w:multiLevelType w:val="hybridMultilevel"/>
    <w:tmpl w:val="6E9824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13418555">
    <w:abstractNumId w:val="4"/>
  </w:num>
  <w:num w:numId="2" w16cid:durableId="1631666494">
    <w:abstractNumId w:val="3"/>
  </w:num>
  <w:num w:numId="3" w16cid:durableId="1978491225">
    <w:abstractNumId w:val="7"/>
  </w:num>
  <w:num w:numId="4" w16cid:durableId="1994094906">
    <w:abstractNumId w:val="9"/>
  </w:num>
  <w:num w:numId="5" w16cid:durableId="1577321698">
    <w:abstractNumId w:val="8"/>
  </w:num>
  <w:num w:numId="6" w16cid:durableId="1132595269">
    <w:abstractNumId w:val="6"/>
  </w:num>
  <w:num w:numId="7" w16cid:durableId="576014714">
    <w:abstractNumId w:val="1"/>
  </w:num>
  <w:num w:numId="8" w16cid:durableId="2093425660">
    <w:abstractNumId w:val="2"/>
  </w:num>
  <w:num w:numId="9" w16cid:durableId="1480803065">
    <w:abstractNumId w:val="10"/>
  </w:num>
  <w:num w:numId="10" w16cid:durableId="67700353">
    <w:abstractNumId w:val="5"/>
  </w:num>
  <w:num w:numId="11" w16cid:durableId="4811912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EDF"/>
    <w:rsid w:val="001258DB"/>
    <w:rsid w:val="00326601"/>
    <w:rsid w:val="00386221"/>
    <w:rsid w:val="003B78B4"/>
    <w:rsid w:val="00494999"/>
    <w:rsid w:val="00546B03"/>
    <w:rsid w:val="005B7B25"/>
    <w:rsid w:val="00605DD0"/>
    <w:rsid w:val="006A4860"/>
    <w:rsid w:val="0078498C"/>
    <w:rsid w:val="007C4A02"/>
    <w:rsid w:val="008678BC"/>
    <w:rsid w:val="00882970"/>
    <w:rsid w:val="008F638A"/>
    <w:rsid w:val="009A25C8"/>
    <w:rsid w:val="00A31781"/>
    <w:rsid w:val="00A36DC0"/>
    <w:rsid w:val="00B3426C"/>
    <w:rsid w:val="00B66941"/>
    <w:rsid w:val="00CA1DCA"/>
    <w:rsid w:val="00D75415"/>
    <w:rsid w:val="00D758AE"/>
    <w:rsid w:val="00E05CD9"/>
    <w:rsid w:val="00E702B0"/>
    <w:rsid w:val="00EE5F80"/>
    <w:rsid w:val="00F62658"/>
    <w:rsid w:val="00F70ED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B44D9"/>
  <w15:chartTrackingRefBased/>
  <w15:docId w15:val="{1C30A5A7-19A4-42E8-B309-9AE07E8FC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0EDF"/>
    <w:pPr>
      <w:jc w:val="both"/>
    </w:pPr>
    <w:rPr>
      <w:rFonts w:ascii="Arial" w:hAnsi="Arial"/>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70EDF"/>
    <w:pPr>
      <w:ind w:left="720"/>
      <w:contextualSpacing/>
    </w:pPr>
  </w:style>
  <w:style w:type="paragraph" w:styleId="BodyText">
    <w:name w:val="Body Text"/>
    <w:basedOn w:val="Normal"/>
    <w:link w:val="BodyTextChar"/>
    <w:uiPriority w:val="1"/>
    <w:qFormat/>
    <w:rsid w:val="00CA1DCA"/>
    <w:pPr>
      <w:widowControl w:val="0"/>
      <w:autoSpaceDE w:val="0"/>
      <w:autoSpaceDN w:val="0"/>
      <w:spacing w:after="0" w:line="240" w:lineRule="auto"/>
      <w:jc w:val="left"/>
    </w:pPr>
    <w:rPr>
      <w:rFonts w:ascii="Candara" w:eastAsia="Candara" w:hAnsi="Candara" w:cs="Candara"/>
      <w:sz w:val="22"/>
    </w:rPr>
  </w:style>
  <w:style w:type="character" w:customStyle="1" w:styleId="BodyTextChar">
    <w:name w:val="Body Text Char"/>
    <w:basedOn w:val="DefaultParagraphFont"/>
    <w:link w:val="BodyText"/>
    <w:uiPriority w:val="1"/>
    <w:rsid w:val="00CA1DCA"/>
    <w:rPr>
      <w:rFonts w:ascii="Candara" w:eastAsia="Candara" w:hAnsi="Candara" w:cs="Candar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4</Pages>
  <Words>1350</Words>
  <Characters>7699</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Durham University</Company>
  <LinksUpToDate>false</LinksUpToDate>
  <CharactersWithSpaces>9031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PICKLES, CAMILLA M.S.</dc:creator>
  <cp:keywords/>
  <dc:description/>
  <cp:lastModifiedBy>PICKLES, CAMILLA M.S.</cp:lastModifiedBy>
  <cp:revision>1</cp:revision>
  <dcterms:created xsi:type="dcterms:W3CDTF">2023-11-24T14:37:00Z</dcterms:created>
  <dcterms:modified xsi:type="dcterms:W3CDTF">2023-11-24T16:32:00Z</dcterms:modified>
</cp:coreProperties>
</file>