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3DA96" w14:textId="77777777" w:rsidR="00C129EE" w:rsidRPr="004F293D" w:rsidRDefault="00C129EE" w:rsidP="00C129EE">
      <w:pPr>
        <w:jc w:val="left"/>
        <w:rPr>
          <w:b/>
          <w:bCs/>
          <w:sz w:val="32"/>
          <w:szCs w:val="32"/>
        </w:rPr>
      </w:pPr>
      <w:r w:rsidRPr="004F293D">
        <w:rPr>
          <w:b/>
          <w:bCs/>
          <w:sz w:val="32"/>
          <w:szCs w:val="32"/>
        </w:rPr>
        <w:t>TORT LAW</w:t>
      </w:r>
      <w:r>
        <w:rPr>
          <w:b/>
          <w:bCs/>
          <w:sz w:val="32"/>
          <w:szCs w:val="32"/>
        </w:rPr>
        <w:t xml:space="preserve"> (2023-24)</w:t>
      </w:r>
    </w:p>
    <w:p w14:paraId="71FFA910" w14:textId="45B8C28F" w:rsidR="00322DB9" w:rsidRPr="00C129EE" w:rsidRDefault="00194BDD">
      <w:pPr>
        <w:rPr>
          <w:b/>
          <w:bCs/>
          <w:sz w:val="32"/>
          <w:szCs w:val="32"/>
        </w:rPr>
      </w:pPr>
      <w:r w:rsidRPr="00C129EE">
        <w:rPr>
          <w:b/>
          <w:bCs/>
          <w:sz w:val="32"/>
          <w:szCs w:val="32"/>
        </w:rPr>
        <w:t>L</w:t>
      </w:r>
      <w:r w:rsidR="00C129EE" w:rsidRPr="00C129EE">
        <w:rPr>
          <w:b/>
          <w:bCs/>
          <w:sz w:val="32"/>
          <w:szCs w:val="32"/>
        </w:rPr>
        <w:t xml:space="preserve">ECTURE TWO: </w:t>
      </w:r>
      <w:r w:rsidR="00C129EE">
        <w:rPr>
          <w:b/>
          <w:bCs/>
          <w:sz w:val="32"/>
          <w:szCs w:val="32"/>
        </w:rPr>
        <w:t>BASIC PRINCIPLES</w:t>
      </w:r>
      <w:r w:rsidR="00C129EE" w:rsidRPr="00C129EE">
        <w:rPr>
          <w:b/>
          <w:bCs/>
          <w:sz w:val="32"/>
          <w:szCs w:val="32"/>
        </w:rPr>
        <w:t xml:space="preserve"> </w:t>
      </w:r>
      <w:r w:rsidR="00C129EE">
        <w:rPr>
          <w:b/>
          <w:bCs/>
          <w:sz w:val="32"/>
          <w:szCs w:val="32"/>
        </w:rPr>
        <w:t xml:space="preserve">OF </w:t>
      </w:r>
      <w:r w:rsidR="00C129EE" w:rsidRPr="00C129EE">
        <w:rPr>
          <w:b/>
          <w:bCs/>
          <w:sz w:val="32"/>
          <w:szCs w:val="32"/>
        </w:rPr>
        <w:t>DUTY OF CARE</w:t>
      </w:r>
    </w:p>
    <w:p w14:paraId="24EB7167" w14:textId="7C8D28A2" w:rsidR="00C11BBE" w:rsidRPr="00C129EE" w:rsidRDefault="00C129EE">
      <w:pPr>
        <w:rPr>
          <w:b/>
          <w:bCs/>
        </w:rPr>
      </w:pPr>
      <w:r w:rsidRPr="00C129EE">
        <w:rPr>
          <w:b/>
          <w:bCs/>
        </w:rPr>
        <w:t>Dr Camilla Pickles</w:t>
      </w:r>
    </w:p>
    <w:p w14:paraId="2B88400B" w14:textId="77777777" w:rsidR="0055696D" w:rsidRDefault="0055696D" w:rsidP="0055696D">
      <w:pPr>
        <w:rPr>
          <w:b/>
          <w:bCs/>
        </w:rPr>
      </w:pPr>
    </w:p>
    <w:p w14:paraId="250DA59D" w14:textId="77777777" w:rsidR="0055696D" w:rsidRPr="00AC72AD" w:rsidRDefault="0055696D" w:rsidP="0055696D">
      <w:pPr>
        <w:spacing w:after="0"/>
        <w:rPr>
          <w:b/>
          <w:bCs/>
        </w:rPr>
      </w:pPr>
      <w:bookmarkStart w:id="0" w:name="_Hlk147143435"/>
      <w:r w:rsidRPr="00AC72AD">
        <w:rPr>
          <w:b/>
          <w:bCs/>
        </w:rPr>
        <w:t>Basic reading</w:t>
      </w:r>
    </w:p>
    <w:p w14:paraId="179733AE" w14:textId="3D9B115D" w:rsidR="0055696D" w:rsidRPr="004C1462" w:rsidRDefault="0055696D" w:rsidP="0055696D">
      <w:pPr>
        <w:pStyle w:val="ListParagraph"/>
        <w:numPr>
          <w:ilvl w:val="0"/>
          <w:numId w:val="1"/>
        </w:numPr>
        <w:rPr>
          <w:vertAlign w:val="superscript"/>
        </w:rPr>
      </w:pPr>
      <w:r>
        <w:t>Horsey &amp; Rackley, chapter 3</w:t>
      </w:r>
      <w:r w:rsidRPr="004C1462">
        <w:rPr>
          <w:vertAlign w:val="superscript"/>
        </w:rPr>
        <w:sym w:font="Symbol" w:char="F02A"/>
      </w:r>
    </w:p>
    <w:p w14:paraId="1EA6642B" w14:textId="00F5E7DE" w:rsidR="0055696D" w:rsidRDefault="0055696D" w:rsidP="0055696D">
      <w:pPr>
        <w:pStyle w:val="ListParagraph"/>
        <w:numPr>
          <w:ilvl w:val="0"/>
          <w:numId w:val="1"/>
        </w:numPr>
      </w:pPr>
      <w:r>
        <w:t>Nolan &amp; Oliphant, chapter 3</w:t>
      </w:r>
    </w:p>
    <w:bookmarkEnd w:id="0"/>
    <w:p w14:paraId="705D83CF" w14:textId="51B34585" w:rsidR="0055696D" w:rsidRDefault="0055696D" w:rsidP="0055696D"/>
    <w:p w14:paraId="657EDB7A" w14:textId="14D864B5" w:rsidR="00C11BBE" w:rsidRPr="00C11BBE" w:rsidRDefault="00C11BBE" w:rsidP="0055696D">
      <w:pPr>
        <w:rPr>
          <w:b/>
          <w:bCs/>
        </w:rPr>
      </w:pPr>
      <w:r w:rsidRPr="00C11BBE">
        <w:rPr>
          <w:b/>
          <w:bCs/>
        </w:rPr>
        <w:t>Case law</w:t>
      </w:r>
    </w:p>
    <w:p w14:paraId="11C02B52" w14:textId="4AFCDEBB" w:rsidR="00C11BBE" w:rsidRPr="00C11BBE" w:rsidRDefault="00C11BBE" w:rsidP="00C11BBE">
      <w:pPr>
        <w:pStyle w:val="ListParagraph"/>
        <w:numPr>
          <w:ilvl w:val="0"/>
          <w:numId w:val="3"/>
        </w:numPr>
        <w:rPr>
          <w:b/>
          <w:bCs/>
          <w:vertAlign w:val="superscript"/>
        </w:rPr>
      </w:pPr>
      <w:r w:rsidRPr="00C11BBE">
        <w:rPr>
          <w:i/>
          <w:iCs/>
        </w:rPr>
        <w:t>Donoghue v Stevenson</w:t>
      </w:r>
      <w:r>
        <w:t xml:space="preserve"> [1932] AC 562</w:t>
      </w:r>
      <w:r w:rsidRPr="00C11BBE">
        <w:rPr>
          <w:b/>
          <w:bCs/>
          <w:vertAlign w:val="superscript"/>
        </w:rPr>
        <w:sym w:font="Symbol" w:char="F02A"/>
      </w:r>
      <w:r w:rsidRPr="00C11BBE">
        <w:rPr>
          <w:b/>
          <w:bCs/>
          <w:vertAlign w:val="superscript"/>
        </w:rPr>
        <w:t xml:space="preserve"> </w:t>
      </w:r>
    </w:p>
    <w:p w14:paraId="144A9932" w14:textId="61F98EFD" w:rsidR="00C11BBE" w:rsidRDefault="00C11BBE" w:rsidP="00C11BBE">
      <w:pPr>
        <w:pStyle w:val="ListParagraph"/>
        <w:numPr>
          <w:ilvl w:val="0"/>
          <w:numId w:val="3"/>
        </w:numPr>
      </w:pPr>
      <w:r w:rsidRPr="00C11BBE">
        <w:rPr>
          <w:i/>
          <w:iCs/>
        </w:rPr>
        <w:t>Caparo Industries plc v Dickman</w:t>
      </w:r>
      <w:r>
        <w:t xml:space="preserve"> [1990] 2 AC 605</w:t>
      </w:r>
      <w:r w:rsidRPr="00C11BBE">
        <w:rPr>
          <w:b/>
          <w:bCs/>
          <w:vertAlign w:val="superscript"/>
        </w:rPr>
        <w:sym w:font="Symbol" w:char="F02A"/>
      </w:r>
    </w:p>
    <w:p w14:paraId="0CE3D3AE" w14:textId="3DEF5EB2" w:rsidR="00C11BBE" w:rsidRDefault="00C11BBE" w:rsidP="00C11BBE">
      <w:pPr>
        <w:pStyle w:val="ListParagraph"/>
        <w:numPr>
          <w:ilvl w:val="0"/>
          <w:numId w:val="3"/>
        </w:numPr>
      </w:pPr>
      <w:r w:rsidRPr="00C11BBE">
        <w:rPr>
          <w:i/>
          <w:iCs/>
        </w:rPr>
        <w:t>Robinson v Chief Constable of West Yorkshire</w:t>
      </w:r>
      <w:r>
        <w:t xml:space="preserve"> [2018] UKSC 4</w:t>
      </w:r>
      <w:r w:rsidRPr="00C11BBE">
        <w:rPr>
          <w:b/>
          <w:bCs/>
          <w:vertAlign w:val="superscript"/>
        </w:rPr>
        <w:sym w:font="Symbol" w:char="F02A"/>
      </w:r>
    </w:p>
    <w:p w14:paraId="1B3C7CC0" w14:textId="2310A3E3" w:rsidR="00C11BBE" w:rsidRPr="00C11BBE" w:rsidRDefault="00C11BBE" w:rsidP="00C11BBE">
      <w:pPr>
        <w:pStyle w:val="ListParagraph"/>
        <w:numPr>
          <w:ilvl w:val="0"/>
          <w:numId w:val="3"/>
        </w:numPr>
        <w:rPr>
          <w:b/>
          <w:bCs/>
          <w:vertAlign w:val="superscript"/>
        </w:rPr>
      </w:pPr>
      <w:r w:rsidRPr="00C11BBE">
        <w:rPr>
          <w:i/>
          <w:iCs/>
        </w:rPr>
        <w:t>Darnley v Croydon Health Services</w:t>
      </w:r>
      <w:r>
        <w:t xml:space="preserve"> NHS Trust [2018] UKSC 50</w:t>
      </w:r>
      <w:r w:rsidRPr="00C11BBE">
        <w:rPr>
          <w:b/>
          <w:bCs/>
          <w:vertAlign w:val="superscript"/>
        </w:rPr>
        <w:sym w:font="Symbol" w:char="F02A"/>
      </w:r>
    </w:p>
    <w:p w14:paraId="7A8A909D" w14:textId="506C1168" w:rsidR="00C11BBE" w:rsidRDefault="00C11BBE" w:rsidP="00C11BBE">
      <w:pPr>
        <w:pStyle w:val="ListParagraph"/>
        <w:numPr>
          <w:ilvl w:val="0"/>
          <w:numId w:val="3"/>
        </w:numPr>
      </w:pPr>
      <w:r w:rsidRPr="00C11BBE">
        <w:rPr>
          <w:i/>
          <w:iCs/>
        </w:rPr>
        <w:t>Marc Rich &amp; Co AG v Bishop Rock Marine Co Ltd, The Nicholas</w:t>
      </w:r>
      <w:r>
        <w:t xml:space="preserve"> H [1996] AC 211</w:t>
      </w:r>
      <w:r w:rsidRPr="00C11BBE">
        <w:rPr>
          <w:b/>
          <w:bCs/>
          <w:vertAlign w:val="superscript"/>
        </w:rPr>
        <w:sym w:font="Symbol" w:char="F02A"/>
      </w:r>
    </w:p>
    <w:p w14:paraId="5307D8F1" w14:textId="6AACE32C" w:rsidR="00C11BBE" w:rsidRDefault="00C11BBE" w:rsidP="00C11BBE">
      <w:pPr>
        <w:pStyle w:val="ListParagraph"/>
        <w:numPr>
          <w:ilvl w:val="0"/>
          <w:numId w:val="3"/>
        </w:numPr>
      </w:pPr>
      <w:r w:rsidRPr="00C11BBE">
        <w:rPr>
          <w:i/>
          <w:iCs/>
        </w:rPr>
        <w:t>Home Office v Dorset Yacht Co</w:t>
      </w:r>
      <w:r>
        <w:t xml:space="preserve"> [1970] AC 1004 </w:t>
      </w:r>
    </w:p>
    <w:p w14:paraId="6F1A844B" w14:textId="77777777" w:rsidR="00C11BBE" w:rsidRDefault="00C11BBE" w:rsidP="00C11BBE">
      <w:pPr>
        <w:pStyle w:val="ListParagraph"/>
        <w:numPr>
          <w:ilvl w:val="0"/>
          <w:numId w:val="3"/>
        </w:numPr>
      </w:pPr>
      <w:r w:rsidRPr="00C11BBE">
        <w:rPr>
          <w:i/>
          <w:iCs/>
        </w:rPr>
        <w:t>Anns v London Merton Borough Council</w:t>
      </w:r>
      <w:r>
        <w:t xml:space="preserve"> [1978] AC 728</w:t>
      </w:r>
    </w:p>
    <w:p w14:paraId="67521CEA" w14:textId="5FD2EF3E" w:rsidR="00C11BBE" w:rsidRDefault="00C11BBE" w:rsidP="00C11BBE">
      <w:pPr>
        <w:pStyle w:val="ListParagraph"/>
        <w:numPr>
          <w:ilvl w:val="0"/>
          <w:numId w:val="3"/>
        </w:numPr>
      </w:pPr>
      <w:r w:rsidRPr="00C11BBE">
        <w:rPr>
          <w:i/>
          <w:iCs/>
        </w:rPr>
        <w:t>Customs and Excise Commissioners v Barclays Bank plc</w:t>
      </w:r>
      <w:r>
        <w:t xml:space="preserve"> [2007] 1 AC 181 </w:t>
      </w:r>
    </w:p>
    <w:p w14:paraId="542C3DF5" w14:textId="3A30FCE8" w:rsidR="00C11BBE" w:rsidRDefault="00C11BBE" w:rsidP="00C11BBE">
      <w:pPr>
        <w:pStyle w:val="ListParagraph"/>
        <w:numPr>
          <w:ilvl w:val="0"/>
          <w:numId w:val="3"/>
        </w:numPr>
      </w:pPr>
      <w:r w:rsidRPr="00C11BBE">
        <w:rPr>
          <w:i/>
          <w:iCs/>
        </w:rPr>
        <w:t>Bourhill v Young</w:t>
      </w:r>
      <w:r>
        <w:t xml:space="preserve"> [1942] 2 All ER 396 </w:t>
      </w:r>
    </w:p>
    <w:p w14:paraId="4051D0FF" w14:textId="77777777" w:rsidR="00C11BBE" w:rsidRDefault="00C11BBE" w:rsidP="00C11BBE">
      <w:pPr>
        <w:pStyle w:val="ListParagraph"/>
        <w:numPr>
          <w:ilvl w:val="0"/>
          <w:numId w:val="3"/>
        </w:numPr>
      </w:pPr>
      <w:r w:rsidRPr="00C11BBE">
        <w:rPr>
          <w:i/>
          <w:iCs/>
        </w:rPr>
        <w:t>Hill v Chief Constable of W. Yorkshire</w:t>
      </w:r>
      <w:r>
        <w:t xml:space="preserve"> [1989] 1 AC 53</w:t>
      </w:r>
    </w:p>
    <w:p w14:paraId="1DCB9D2E" w14:textId="046332E4" w:rsidR="00C11BBE" w:rsidRDefault="00C11BBE" w:rsidP="00C11BBE">
      <w:pPr>
        <w:pStyle w:val="ListParagraph"/>
        <w:numPr>
          <w:ilvl w:val="0"/>
          <w:numId w:val="3"/>
        </w:numPr>
      </w:pPr>
      <w:r w:rsidRPr="00C11BBE">
        <w:rPr>
          <w:i/>
          <w:iCs/>
        </w:rPr>
        <w:t>Smith v Chief Constable of Sussex Police</w:t>
      </w:r>
      <w:r>
        <w:t xml:space="preserve"> [2009] 1 AC 225 </w:t>
      </w:r>
    </w:p>
    <w:p w14:paraId="2759BFAF" w14:textId="6CA409CD" w:rsidR="00C11BBE" w:rsidRDefault="00C11BBE" w:rsidP="00C11BBE">
      <w:pPr>
        <w:pStyle w:val="ListParagraph"/>
        <w:numPr>
          <w:ilvl w:val="0"/>
          <w:numId w:val="3"/>
        </w:numPr>
      </w:pPr>
      <w:r w:rsidRPr="00C11BBE">
        <w:rPr>
          <w:i/>
          <w:iCs/>
        </w:rPr>
        <w:t>D v East Berkshire Community Health NHS Trust</w:t>
      </w:r>
      <w:r>
        <w:t xml:space="preserve"> [2005] UKHL 23; [2005] 2 AC 373 </w:t>
      </w:r>
    </w:p>
    <w:p w14:paraId="541E67E4" w14:textId="77777777" w:rsidR="00C11BBE" w:rsidRDefault="00C11BBE" w:rsidP="0055696D"/>
    <w:p w14:paraId="4E969342" w14:textId="77777777" w:rsidR="0055696D" w:rsidRPr="00AC72AD" w:rsidRDefault="0055696D" w:rsidP="0055696D">
      <w:pPr>
        <w:spacing w:after="0"/>
        <w:rPr>
          <w:b/>
          <w:bCs/>
        </w:rPr>
      </w:pPr>
      <w:r w:rsidRPr="00AC72AD">
        <w:rPr>
          <w:b/>
          <w:bCs/>
        </w:rPr>
        <w:t>Further reading</w:t>
      </w:r>
    </w:p>
    <w:p w14:paraId="4EDC74C6" w14:textId="435A9FCD" w:rsidR="00C11BBE" w:rsidRDefault="00C11BBE" w:rsidP="00C11BBE">
      <w:pPr>
        <w:pStyle w:val="ListParagraph"/>
        <w:numPr>
          <w:ilvl w:val="0"/>
          <w:numId w:val="4"/>
        </w:numPr>
      </w:pPr>
      <w:r>
        <w:t xml:space="preserve">McBride, ‘Duties of Care—Do They Really Exist?’ (2004) 24(3) </w:t>
      </w:r>
      <w:r w:rsidRPr="00C11BBE">
        <w:rPr>
          <w:i/>
          <w:iCs/>
        </w:rPr>
        <w:t>Oxford Journal of Legal Studies</w:t>
      </w:r>
      <w:r>
        <w:t xml:space="preserve"> 417</w:t>
      </w:r>
    </w:p>
    <w:p w14:paraId="35EE4B74" w14:textId="5DE31B8F" w:rsidR="0055696D" w:rsidRDefault="00C11BBE" w:rsidP="00C11BBE">
      <w:pPr>
        <w:pStyle w:val="ListParagraph"/>
        <w:numPr>
          <w:ilvl w:val="0"/>
          <w:numId w:val="4"/>
        </w:numPr>
      </w:pPr>
      <w:r>
        <w:t xml:space="preserve">Witting, ‘Duty of Care: An Analytical Approach’ (2005) 25(1) </w:t>
      </w:r>
      <w:r w:rsidRPr="00C11BBE">
        <w:rPr>
          <w:i/>
          <w:iCs/>
        </w:rPr>
        <w:t>Oxford Journal of Legal Studies</w:t>
      </w:r>
      <w:r>
        <w:t xml:space="preserve"> 33</w:t>
      </w:r>
    </w:p>
    <w:p w14:paraId="6CA51FA1" w14:textId="27F0DE6A" w:rsidR="00C11BBE" w:rsidRDefault="00C11BBE" w:rsidP="00C11BBE">
      <w:pPr>
        <w:pStyle w:val="ListParagraph"/>
        <w:numPr>
          <w:ilvl w:val="0"/>
          <w:numId w:val="4"/>
        </w:numPr>
      </w:pPr>
      <w:r>
        <w:t xml:space="preserve">Morgan, </w:t>
      </w:r>
      <w:r w:rsidRPr="00C11BBE">
        <w:rPr>
          <w:i/>
          <w:iCs/>
        </w:rPr>
        <w:t>Great Debates in Tort Law</w:t>
      </w:r>
      <w:r>
        <w:t xml:space="preserve"> (2022), </w:t>
      </w:r>
      <w:proofErr w:type="spellStart"/>
      <w:r>
        <w:t>chs</w:t>
      </w:r>
      <w:proofErr w:type="spellEnd"/>
      <w:r>
        <w:t xml:space="preserve"> 6 and 7</w:t>
      </w:r>
    </w:p>
    <w:p w14:paraId="5E914A38" w14:textId="6E15ADB4" w:rsidR="00C11BBE" w:rsidRDefault="00C11BBE" w:rsidP="00C11BBE">
      <w:pPr>
        <w:pStyle w:val="ListParagraph"/>
        <w:numPr>
          <w:ilvl w:val="0"/>
          <w:numId w:val="4"/>
        </w:numPr>
      </w:pPr>
      <w:r>
        <w:t xml:space="preserve">Steele, ‘Duty of Care and Ethics of Care: Irreconcilable Difference?’ in Richardson and Rackley (eds) </w:t>
      </w:r>
      <w:r w:rsidRPr="00C11BBE">
        <w:rPr>
          <w:i/>
          <w:iCs/>
        </w:rPr>
        <w:t>Feminist Perspectives on Tort Law</w:t>
      </w:r>
      <w:r>
        <w:t xml:space="preserve"> (2012) 14</w:t>
      </w:r>
    </w:p>
    <w:p w14:paraId="50B5B705" w14:textId="77777777" w:rsidR="00C11BBE" w:rsidRDefault="00C11BBE">
      <w:pPr>
        <w:jc w:val="left"/>
      </w:pPr>
      <w:r>
        <w:br w:type="page"/>
      </w:r>
    </w:p>
    <w:p w14:paraId="11D16F98" w14:textId="77777777" w:rsidR="0055696D" w:rsidRPr="008E61A7" w:rsidRDefault="0055696D" w:rsidP="0055696D">
      <w:pPr>
        <w:rPr>
          <w:b/>
          <w:bCs/>
          <w:sz w:val="28"/>
          <w:szCs w:val="28"/>
        </w:rPr>
      </w:pPr>
      <w:r w:rsidRPr="008E61A7">
        <w:rPr>
          <w:b/>
          <w:bCs/>
          <w:sz w:val="28"/>
          <w:szCs w:val="28"/>
        </w:rPr>
        <w:lastRenderedPageBreak/>
        <w:t>Outline</w:t>
      </w:r>
    </w:p>
    <w:p w14:paraId="36A49243" w14:textId="5A79A6B7" w:rsidR="0055696D" w:rsidRDefault="0055696D"/>
    <w:p w14:paraId="3AB7F386" w14:textId="24C27322" w:rsidR="00EA7FF6" w:rsidRDefault="00EA7FF6" w:rsidP="00EA7FF6">
      <w:r>
        <w:t xml:space="preserve">While we should always take care to avoid harming others, </w:t>
      </w:r>
      <w:r w:rsidRPr="00EA7FF6">
        <w:rPr>
          <w:i/>
          <w:iCs/>
        </w:rPr>
        <w:t>this does not mean that a duty of care will always be owed in such circumstances</w:t>
      </w:r>
      <w:r>
        <w:t>.</w:t>
      </w:r>
      <w:r w:rsidRPr="00EA7FF6">
        <w:t xml:space="preserve"> </w:t>
      </w:r>
      <w:r>
        <w:t>Lord Rodger</w:t>
      </w:r>
      <w:r>
        <w:t xml:space="preserve"> in</w:t>
      </w:r>
      <w:r>
        <w:t xml:space="preserve"> </w:t>
      </w:r>
      <w:r w:rsidRPr="00EA7FF6">
        <w:rPr>
          <w:i/>
          <w:iCs/>
        </w:rPr>
        <w:t>D v East Berkshire Community NHS Trust</w:t>
      </w:r>
      <w:r>
        <w:t xml:space="preserve"> [2005] UKHL 23 [100]</w:t>
      </w:r>
      <w:r>
        <w:t xml:space="preserve">: </w:t>
      </w:r>
    </w:p>
    <w:p w14:paraId="07FDA961" w14:textId="35D3528A" w:rsidR="00EA7FF6" w:rsidRDefault="00EA7FF6" w:rsidP="00EA7FF6">
      <w:pPr>
        <w:ind w:left="720"/>
      </w:pPr>
      <w:r>
        <w:t xml:space="preserve">‘I do not actually find it helpful to bear in mind – what is in any event obvious - that the public policy consideration which has first claim on the loyalty of the law is that wrongs should be remedied. Harm which constitutes a “wrong” in the contemplation of the law must, of course, be remedied. But the world is full of harm for which the law furnishes no remedy … A young man whose fiancée deserts him for his best friend may become clinically depressed as a result, but in the circumstances the fiancée owes him no duty of care to avoid causing this suffering. </w:t>
      </w:r>
      <w:proofErr w:type="gramStart"/>
      <w:r>
        <w:t>So</w:t>
      </w:r>
      <w:proofErr w:type="gramEnd"/>
      <w:r>
        <w:t xml:space="preserve"> he too will have no right to damages for his illness. The same goes for a middle-aged woman whose husband runs off with a younger woman. Experience suggests that such intimate matters are best left to the individuals themselves. However badly one of them may have treated the other, the law does not get involved in awarding damages</w:t>
      </w:r>
      <w:r>
        <w:t>.</w:t>
      </w:r>
      <w:r>
        <w:t>’</w:t>
      </w:r>
    </w:p>
    <w:p w14:paraId="50EFA71E" w14:textId="60079E6C" w:rsidR="00847C2F" w:rsidRDefault="00EA7FF6">
      <w:r>
        <w:t xml:space="preserve">Consequently, </w:t>
      </w:r>
      <w:r w:rsidRPr="00AA23D0">
        <w:t>the question as to when the defendant does owe such a duty crucial.</w:t>
      </w:r>
      <w:r>
        <w:t xml:space="preserve"> </w:t>
      </w:r>
      <w:r w:rsidR="00AA23D0" w:rsidRPr="00AA23D0">
        <w:t xml:space="preserve">Duty of care </w:t>
      </w:r>
      <w:r w:rsidR="00AA23D0">
        <w:t>is the first hurdle to overcome</w:t>
      </w:r>
      <w:r w:rsidR="00AA23D0" w:rsidRPr="00AA23D0">
        <w:t xml:space="preserve"> to recover damages in negligence</w:t>
      </w:r>
      <w:r w:rsidR="00AA23D0">
        <w:t>:</w:t>
      </w:r>
      <w:r w:rsidR="00AA23D0" w:rsidRPr="00AA23D0">
        <w:t xml:space="preserve"> </w:t>
      </w:r>
      <w:r w:rsidR="00AA23D0">
        <w:t>I</w:t>
      </w:r>
      <w:r w:rsidR="00AA23D0" w:rsidRPr="00AA23D0">
        <w:t xml:space="preserve">f </w:t>
      </w:r>
      <w:r w:rsidR="00AA23D0">
        <w:t xml:space="preserve">the claimant cannot establish that the defendant owed a duty of care, </w:t>
      </w:r>
      <w:r w:rsidR="004C1462">
        <w:t xml:space="preserve">her </w:t>
      </w:r>
      <w:r w:rsidR="00AA23D0" w:rsidRPr="00AA23D0">
        <w:t xml:space="preserve">action will fail from the outset. If </w:t>
      </w:r>
      <w:r w:rsidR="00460A9D">
        <w:t>the defendant</w:t>
      </w:r>
      <w:r w:rsidR="00AA23D0" w:rsidRPr="00AA23D0">
        <w:t xml:space="preserve"> owes</w:t>
      </w:r>
      <w:r w:rsidR="00460A9D">
        <w:t xml:space="preserve"> the claimant</w:t>
      </w:r>
      <w:r w:rsidR="00AA23D0" w:rsidRPr="00AA23D0">
        <w:t xml:space="preserve"> no duty of care in respect of the kind of loss suffered, then </w:t>
      </w:r>
      <w:r w:rsidR="00460A9D">
        <w:t>the defendant</w:t>
      </w:r>
      <w:r w:rsidR="00AA23D0" w:rsidRPr="00AA23D0">
        <w:t xml:space="preserve"> will incur no liability regardless of how carelessly he acted and how much loss he caused to the claimant. However, the courts have had great difficulty in setting down any single test which will determine when a duty of care is owed to the claimant</w:t>
      </w:r>
      <w:r w:rsidR="004C1462">
        <w:t>…</w:t>
      </w:r>
    </w:p>
    <w:p w14:paraId="4A2EB6C8" w14:textId="163C5D3D" w:rsidR="004C1462" w:rsidRDefault="004C1462"/>
    <w:p w14:paraId="24D19F84" w14:textId="2C0A4FE4" w:rsidR="00EF0D12" w:rsidRPr="00EA7FF6" w:rsidRDefault="00EF0D12" w:rsidP="00EF0D12">
      <w:pPr>
        <w:pStyle w:val="ListParagraph"/>
        <w:numPr>
          <w:ilvl w:val="0"/>
          <w:numId w:val="6"/>
        </w:numPr>
        <w:rPr>
          <w:b/>
          <w:bCs/>
        </w:rPr>
      </w:pPr>
      <w:r w:rsidRPr="00EA7FF6">
        <w:rPr>
          <w:b/>
          <w:bCs/>
        </w:rPr>
        <w:t xml:space="preserve">From </w:t>
      </w:r>
      <w:r w:rsidRPr="00EA7FF6">
        <w:rPr>
          <w:b/>
          <w:bCs/>
          <w:i/>
          <w:iCs/>
        </w:rPr>
        <w:t>Donoghue</w:t>
      </w:r>
      <w:r w:rsidRPr="00EA7FF6">
        <w:rPr>
          <w:b/>
          <w:bCs/>
        </w:rPr>
        <w:t xml:space="preserve"> to </w:t>
      </w:r>
      <w:r w:rsidRPr="00EA7FF6">
        <w:rPr>
          <w:b/>
          <w:bCs/>
          <w:i/>
          <w:iCs/>
        </w:rPr>
        <w:t>Anns</w:t>
      </w:r>
    </w:p>
    <w:p w14:paraId="5872AC8D" w14:textId="1294392A" w:rsidR="004C1462" w:rsidRDefault="004C1462" w:rsidP="00EF0D12">
      <w:pPr>
        <w:pStyle w:val="ListParagraph"/>
      </w:pPr>
      <w:r w:rsidRPr="004C1462">
        <w:rPr>
          <w:i/>
          <w:iCs/>
        </w:rPr>
        <w:t>Donoghue v Stevenson</w:t>
      </w:r>
      <w:r>
        <w:t>: Introduces the</w:t>
      </w:r>
      <w:r>
        <w:t xml:space="preserve"> </w:t>
      </w:r>
      <w:r>
        <w:t>‘</w:t>
      </w:r>
      <w:r>
        <w:t>neighbour principle</w:t>
      </w:r>
      <w:r>
        <w:t>’</w:t>
      </w:r>
      <w:r>
        <w:t>: take reasonable care to avoid harming others whom it is reasonably foreseeably would be directly affected by your actions</w:t>
      </w:r>
      <w:r w:rsidR="00C75FA2">
        <w:t>.</w:t>
      </w:r>
    </w:p>
    <w:p w14:paraId="517093B4" w14:textId="77777777" w:rsidR="004C1462" w:rsidRDefault="004C1462" w:rsidP="004C1462">
      <w:pPr>
        <w:pStyle w:val="ListParagraph"/>
      </w:pPr>
    </w:p>
    <w:p w14:paraId="42527796" w14:textId="2C5F8BF8" w:rsidR="004C1462" w:rsidRDefault="004C1462" w:rsidP="00EF0D12">
      <w:pPr>
        <w:pStyle w:val="ListParagraph"/>
      </w:pPr>
      <w:r w:rsidRPr="004C1462">
        <w:rPr>
          <w:i/>
          <w:iCs/>
        </w:rPr>
        <w:t>Anns v Merton LBC</w:t>
      </w:r>
      <w:r>
        <w:t>: A</w:t>
      </w:r>
      <w:r>
        <w:t xml:space="preserve"> duty of care will arise wherever it is reasonably foreseeable that others may be harmed by your </w:t>
      </w:r>
      <w:proofErr w:type="gramStart"/>
      <w:r>
        <w:t>carelessness, unless</w:t>
      </w:r>
      <w:proofErr w:type="gramEnd"/>
      <w:r>
        <w:t xml:space="preserve"> there are policy reasons for denying or restricting such a duty</w:t>
      </w:r>
      <w:r>
        <w:t>.</w:t>
      </w:r>
    </w:p>
    <w:p w14:paraId="688970DF" w14:textId="77777777" w:rsidR="004C1462" w:rsidRDefault="004C1462" w:rsidP="00EF0D12"/>
    <w:p w14:paraId="5BC7F415" w14:textId="75C926D2" w:rsidR="004C1462" w:rsidRPr="00EF0D12" w:rsidRDefault="00EF0D12" w:rsidP="00EF0D12">
      <w:pPr>
        <w:pStyle w:val="ListParagraph"/>
        <w:numPr>
          <w:ilvl w:val="0"/>
          <w:numId w:val="6"/>
        </w:numPr>
      </w:pPr>
      <w:r w:rsidRPr="00EA7FF6">
        <w:rPr>
          <w:b/>
          <w:bCs/>
          <w:i/>
          <w:iCs/>
        </w:rPr>
        <w:t>Caparo Industries plc v Dickman</w:t>
      </w:r>
      <w:r w:rsidRPr="00EA7FF6">
        <w:rPr>
          <w:b/>
          <w:bCs/>
        </w:rPr>
        <w:t xml:space="preserve"> [1990] 2 AC 605</w:t>
      </w:r>
      <w:r w:rsidRPr="00EA7FF6">
        <w:rPr>
          <w:b/>
          <w:bCs/>
        </w:rPr>
        <w:t xml:space="preserve">: rejects </w:t>
      </w:r>
      <w:r w:rsidRPr="00EA7FF6">
        <w:rPr>
          <w:b/>
          <w:bCs/>
          <w:i/>
          <w:iCs/>
        </w:rPr>
        <w:t>Donoghue</w:t>
      </w:r>
      <w:r w:rsidRPr="00EA7FF6">
        <w:rPr>
          <w:b/>
          <w:bCs/>
        </w:rPr>
        <w:t xml:space="preserve"> and </w:t>
      </w:r>
      <w:r w:rsidRPr="00EA7FF6">
        <w:rPr>
          <w:b/>
          <w:bCs/>
          <w:i/>
          <w:iCs/>
        </w:rPr>
        <w:t>Anns</w:t>
      </w:r>
    </w:p>
    <w:p w14:paraId="3488D936" w14:textId="3B8EEF08" w:rsidR="00EF0D12" w:rsidRDefault="00EF0D12" w:rsidP="00EF0D12">
      <w:pPr>
        <w:pStyle w:val="ListParagraph"/>
        <w:ind w:left="360"/>
      </w:pPr>
      <w:r>
        <w:t>The claimants bought shares in F plc in reliance on an audit into the company’s finances carried out by the defendant. In fact</w:t>
      </w:r>
      <w:r>
        <w:t>,</w:t>
      </w:r>
      <w:r>
        <w:t xml:space="preserve"> the accounts published by the defendant were inaccurate and the claimants sued in negligence.</w:t>
      </w:r>
    </w:p>
    <w:p w14:paraId="0AD3E0F0" w14:textId="36DB12C0" w:rsidR="00EF0D12" w:rsidRDefault="00EF0D12" w:rsidP="00EF0D12">
      <w:pPr>
        <w:pStyle w:val="ListParagraph"/>
        <w:ind w:left="360"/>
      </w:pPr>
      <w:r>
        <w:t xml:space="preserve">Held </w:t>
      </w:r>
      <w:r>
        <w:t>that</w:t>
      </w:r>
      <w:r>
        <w:t xml:space="preserve"> no duty of care was owed, so the claim failed</w:t>
      </w:r>
      <w:r w:rsidR="007804A1">
        <w:t>.</w:t>
      </w:r>
    </w:p>
    <w:p w14:paraId="1477487B" w14:textId="5EB57A89" w:rsidR="00EF0D12" w:rsidRDefault="00EF0D12" w:rsidP="00EF0D12">
      <w:pPr>
        <w:pStyle w:val="ListParagraph"/>
        <w:ind w:left="360"/>
      </w:pPr>
    </w:p>
    <w:p w14:paraId="49BB202D" w14:textId="645C7183" w:rsidR="00EF0D12" w:rsidRDefault="00EF0D12" w:rsidP="00EF0D12">
      <w:pPr>
        <w:pStyle w:val="ListParagraph"/>
        <w:ind w:left="360"/>
      </w:pPr>
      <w:r>
        <w:t xml:space="preserve">Lord Bridge [1990] 2 AC 605, at pp 617-8: </w:t>
      </w:r>
      <w:r w:rsidR="007804A1">
        <w:t>‘</w:t>
      </w:r>
      <w:r>
        <w:t>[S]</w:t>
      </w:r>
      <w:proofErr w:type="spellStart"/>
      <w:r>
        <w:t>ince</w:t>
      </w:r>
      <w:proofErr w:type="spellEnd"/>
      <w:r>
        <w:t xml:space="preserve"> the </w:t>
      </w:r>
      <w:r w:rsidRPr="00EF0D12">
        <w:rPr>
          <w:i/>
          <w:iCs/>
        </w:rPr>
        <w:t>Anns</w:t>
      </w:r>
      <w:r>
        <w:t xml:space="preserve"> case a series of decisions … have emphasised the inability of any single general principle to provide a practical test which can be applied to every situation to determine whether a duty of care is owed and, if so, what is its scope.</w:t>
      </w:r>
      <w:r w:rsidR="007804A1">
        <w:t>’</w:t>
      </w:r>
    </w:p>
    <w:p w14:paraId="2ACE4587" w14:textId="77777777" w:rsidR="00EF0D12" w:rsidRDefault="00EF0D12" w:rsidP="00EF0D12">
      <w:pPr>
        <w:pStyle w:val="ListParagraph"/>
        <w:ind w:left="360"/>
      </w:pPr>
    </w:p>
    <w:p w14:paraId="39FFBB1A" w14:textId="538A906E" w:rsidR="00EF0D12" w:rsidRDefault="007804A1" w:rsidP="00EF0D12">
      <w:pPr>
        <w:pStyle w:val="ListParagraph"/>
        <w:ind w:left="360"/>
      </w:pPr>
      <w:r>
        <w:t>‘</w:t>
      </w:r>
      <w:r w:rsidR="00EF0D12">
        <w:t>What emerges is that, in addition to the foreseeability of damage, necessary ingredients in any situation giving rise to a duty of care are that there should exist between the party owing the duty and the party to whom it is owed a relationship characterised by the law as one of</w:t>
      </w:r>
      <w:r w:rsidR="00EF0D12">
        <w:t xml:space="preserve"> </w:t>
      </w:r>
      <w:r w:rsidR="00EF0D12">
        <w:t>“proximity” or “neighbourhood” and that the situation should be one in which the court considers it fair, just and reasonable that the law should impose a duty of a given scope upon the one party for the benefit of the other</w:t>
      </w:r>
      <w:r>
        <w:t>’</w:t>
      </w:r>
      <w:r w:rsidR="00EF0D12">
        <w:t>.</w:t>
      </w:r>
    </w:p>
    <w:p w14:paraId="22B998A2" w14:textId="77777777" w:rsidR="00EF0D12" w:rsidRDefault="00EF0D12" w:rsidP="00EF0D12">
      <w:pPr>
        <w:pStyle w:val="ListParagraph"/>
        <w:ind w:left="360"/>
      </w:pPr>
    </w:p>
    <w:p w14:paraId="2743BECA" w14:textId="6B1AA9AA" w:rsidR="00EF0D12" w:rsidRDefault="007804A1" w:rsidP="00EF0D12">
      <w:pPr>
        <w:pStyle w:val="ListParagraph"/>
        <w:ind w:left="360"/>
      </w:pPr>
      <w:r>
        <w:t>‘</w:t>
      </w:r>
      <w:r w:rsidR="00EF0D12">
        <w:t>Whilst recognising … the importance of the general principles common to the whole field of negligence, I think the law has now moved in the direction of attaching greater significance to the more traditional categorisation of distinct and recognisable situations as guides to the</w:t>
      </w:r>
      <w:r>
        <w:t xml:space="preserve"> </w:t>
      </w:r>
      <w:r w:rsidR="00EF0D12">
        <w:t>existence, the scope and the limits of the varied duties of care which the law imposes.</w:t>
      </w:r>
      <w:r>
        <w:t>’</w:t>
      </w:r>
    </w:p>
    <w:p w14:paraId="6CFB206D" w14:textId="77777777" w:rsidR="00EF0D12" w:rsidRDefault="00EF0D12" w:rsidP="00EF0D12">
      <w:pPr>
        <w:pStyle w:val="ListParagraph"/>
        <w:ind w:left="360"/>
      </w:pPr>
    </w:p>
    <w:p w14:paraId="7917D5A7" w14:textId="1B47BF0A" w:rsidR="00EF0D12" w:rsidRDefault="007804A1" w:rsidP="00EF0D12">
      <w:pPr>
        <w:pStyle w:val="ListParagraph"/>
        <w:ind w:left="360"/>
      </w:pPr>
      <w:r>
        <w:t>‘</w:t>
      </w:r>
      <w:r w:rsidR="00EF0D12">
        <w:t xml:space="preserve">We must now, I think, recognise the wisdom of the words of Brennan J. in the High Court of Australia in </w:t>
      </w:r>
      <w:r w:rsidR="00EF0D12" w:rsidRPr="007804A1">
        <w:rPr>
          <w:i/>
          <w:iCs/>
        </w:rPr>
        <w:t>Sutherland Shire Council v Heyman</w:t>
      </w:r>
      <w:r w:rsidR="00EF0D12">
        <w:t xml:space="preserve"> (1985) 60 ALR 1, 43-44, where he said:</w:t>
      </w:r>
    </w:p>
    <w:p w14:paraId="732AB567" w14:textId="1AFDB1B0" w:rsidR="00EF0D12" w:rsidRDefault="007804A1" w:rsidP="007804A1">
      <w:pPr>
        <w:pStyle w:val="ListParagraph"/>
      </w:pPr>
      <w:r>
        <w:t>“</w:t>
      </w:r>
      <w:r w:rsidR="00EF0D12">
        <w:t>It is preferable, in my view, that the law should develop novel categories of negligence incrementally and by analogy with established categories, rather than by a massive extension of a prima facie duty of care restrained only by indefinable “considerations which ought to negative, or to reduce or limit the scope of the duty or the class of person to whom it is owed.</w:t>
      </w:r>
      <w:r>
        <w:t>”’</w:t>
      </w:r>
    </w:p>
    <w:p w14:paraId="2CF3ABE3" w14:textId="77777777" w:rsidR="00EF0D12" w:rsidRDefault="00EF0D12" w:rsidP="00EF0D12">
      <w:pPr>
        <w:pStyle w:val="ListParagraph"/>
        <w:ind w:left="360"/>
      </w:pPr>
    </w:p>
    <w:p w14:paraId="40E34B36" w14:textId="008786B7" w:rsidR="00EF0D12" w:rsidRDefault="00EF0D12" w:rsidP="00EF0D12">
      <w:pPr>
        <w:pStyle w:val="ListParagraph"/>
        <w:ind w:left="360"/>
      </w:pPr>
      <w:r w:rsidRPr="00C75FA2">
        <w:rPr>
          <w:i/>
          <w:iCs/>
        </w:rPr>
        <w:t>Caparo</w:t>
      </w:r>
      <w:r>
        <w:t xml:space="preserve"> </w:t>
      </w:r>
      <w:r w:rsidR="007804A1">
        <w:t>was interpreted as intr</w:t>
      </w:r>
      <w:r>
        <w:t>oduc</w:t>
      </w:r>
      <w:r w:rsidR="00471054">
        <w:t>ing</w:t>
      </w:r>
      <w:r>
        <w:t xml:space="preserve"> a</w:t>
      </w:r>
      <w:r w:rsidR="00471054">
        <w:t xml:space="preserve"> new</w:t>
      </w:r>
      <w:r>
        <w:t xml:space="preserve"> “three stage test</w:t>
      </w:r>
      <w:r w:rsidR="007804A1">
        <w:t xml:space="preserve">” to establish </w:t>
      </w:r>
      <w:r w:rsidR="00471054" w:rsidRPr="00471054">
        <w:t>duty of care</w:t>
      </w:r>
      <w:r w:rsidR="00471054">
        <w:t>:</w:t>
      </w:r>
    </w:p>
    <w:p w14:paraId="24041464" w14:textId="047487B1" w:rsidR="00471054" w:rsidRDefault="00471054" w:rsidP="00471054">
      <w:pPr>
        <w:pStyle w:val="ListParagraph"/>
        <w:numPr>
          <w:ilvl w:val="0"/>
          <w:numId w:val="8"/>
        </w:numPr>
      </w:pPr>
      <w:r>
        <w:t>W</w:t>
      </w:r>
      <w:r>
        <w:t>as it reasonably foreseeable that a failure to take care could cause damage to the claimant? (</w:t>
      </w:r>
      <w:proofErr w:type="gramStart"/>
      <w:r>
        <w:t>see</w:t>
      </w:r>
      <w:proofErr w:type="gramEnd"/>
      <w:r>
        <w:t xml:space="preserve">, </w:t>
      </w:r>
      <w:proofErr w:type="spellStart"/>
      <w:r>
        <w:t>eg</w:t>
      </w:r>
      <w:proofErr w:type="spellEnd"/>
      <w:r>
        <w:t xml:space="preserve">, </w:t>
      </w:r>
      <w:proofErr w:type="spellStart"/>
      <w:r w:rsidRPr="00471054">
        <w:rPr>
          <w:i/>
          <w:iCs/>
        </w:rPr>
        <w:t>Palsgraf</w:t>
      </w:r>
      <w:proofErr w:type="spellEnd"/>
      <w:r w:rsidRPr="00471054">
        <w:rPr>
          <w:i/>
          <w:iCs/>
        </w:rPr>
        <w:t xml:space="preserve"> v Long Island Railroad</w:t>
      </w:r>
      <w:r>
        <w:t xml:space="preserve"> Co (1928) 162 NE 99)</w:t>
      </w:r>
    </w:p>
    <w:p w14:paraId="4B8EFD52" w14:textId="0A799E6F" w:rsidR="00471054" w:rsidRDefault="00471054" w:rsidP="00471054">
      <w:pPr>
        <w:pStyle w:val="ListParagraph"/>
        <w:numPr>
          <w:ilvl w:val="0"/>
          <w:numId w:val="8"/>
        </w:numPr>
      </w:pPr>
      <w:r>
        <w:t>W</w:t>
      </w:r>
      <w:r>
        <w:t>as there a relationship of proximity between the claimant and the defendant?</w:t>
      </w:r>
    </w:p>
    <w:p w14:paraId="602ADC5F" w14:textId="3357A106" w:rsidR="00471054" w:rsidRDefault="00471054" w:rsidP="00C75FA2">
      <w:pPr>
        <w:pStyle w:val="ListParagraph"/>
        <w:numPr>
          <w:ilvl w:val="0"/>
          <w:numId w:val="8"/>
        </w:numPr>
      </w:pPr>
      <w:r>
        <w:t>I</w:t>
      </w:r>
      <w:r>
        <w:t xml:space="preserve">s it fair, </w:t>
      </w:r>
      <w:proofErr w:type="gramStart"/>
      <w:r>
        <w:t>just</w:t>
      </w:r>
      <w:proofErr w:type="gramEnd"/>
      <w:r>
        <w:t xml:space="preserve"> and reasonable that the law should recognise a duty on the defendant to take reasonable care not to cause that damage to the claimant?</w:t>
      </w:r>
    </w:p>
    <w:p w14:paraId="43C93A52" w14:textId="77777777" w:rsidR="00C75FA2" w:rsidRDefault="00C75FA2" w:rsidP="00EA7FF6">
      <w:pPr>
        <w:pStyle w:val="ListParagraph"/>
        <w:ind w:left="1080"/>
      </w:pPr>
    </w:p>
    <w:p w14:paraId="41E95ADE" w14:textId="61A16A8B" w:rsidR="00C75FA2" w:rsidRPr="00EA7FF6" w:rsidRDefault="00EA7FF6" w:rsidP="00EA7FF6">
      <w:pPr>
        <w:pStyle w:val="ListParagraph"/>
        <w:numPr>
          <w:ilvl w:val="0"/>
          <w:numId w:val="6"/>
        </w:numPr>
        <w:rPr>
          <w:b/>
          <w:bCs/>
        </w:rPr>
      </w:pPr>
      <w:r w:rsidRPr="00EA7FF6">
        <w:rPr>
          <w:b/>
          <w:bCs/>
        </w:rPr>
        <w:t>Case law clarifying</w:t>
      </w:r>
      <w:r w:rsidR="00C75FA2" w:rsidRPr="00EA7FF6">
        <w:rPr>
          <w:b/>
          <w:bCs/>
        </w:rPr>
        <w:t xml:space="preserve"> the position…</w:t>
      </w:r>
    </w:p>
    <w:p w14:paraId="7569DF04" w14:textId="77777777" w:rsidR="00C75FA2" w:rsidRDefault="00C75FA2" w:rsidP="00C75FA2">
      <w:pPr>
        <w:pStyle w:val="ListParagraph"/>
        <w:ind w:left="360"/>
      </w:pPr>
      <w:r w:rsidRPr="00C75FA2">
        <w:rPr>
          <w:i/>
          <w:iCs/>
        </w:rPr>
        <w:t xml:space="preserve">Robinson v Chief Constable of West Yorkshire </w:t>
      </w:r>
      <w:r>
        <w:t>[2018] UKSC 4</w:t>
      </w:r>
      <w:r>
        <w:t xml:space="preserve">: </w:t>
      </w:r>
    </w:p>
    <w:p w14:paraId="39B2EFB5" w14:textId="61196E8A" w:rsidR="00C75FA2" w:rsidRDefault="00C75FA2" w:rsidP="00C75FA2">
      <w:pPr>
        <w:pStyle w:val="ListParagraph"/>
        <w:spacing w:before="240"/>
        <w:ind w:left="360"/>
      </w:pPr>
      <w:r>
        <w:t xml:space="preserve">The </w:t>
      </w:r>
      <w:r w:rsidRPr="00C75FA2">
        <w:rPr>
          <w:i/>
          <w:iCs/>
        </w:rPr>
        <w:t>Caparo</w:t>
      </w:r>
      <w:r>
        <w:t xml:space="preserve"> test does not apply to all claims in negligence. </w:t>
      </w:r>
      <w:r w:rsidR="00EA7FF6">
        <w:t>P</w:t>
      </w:r>
      <w:r>
        <w:t>er Lord Reed, [21]</w:t>
      </w:r>
      <w:r>
        <w:t xml:space="preserve">: </w:t>
      </w:r>
      <w:r>
        <w:t xml:space="preserve">As Lord Toulson JSC observed in </w:t>
      </w:r>
      <w:r w:rsidRPr="00EA7FF6">
        <w:rPr>
          <w:i/>
          <w:iCs/>
        </w:rPr>
        <w:t xml:space="preserve">Michael v Chief Constable of South Wales Police </w:t>
      </w:r>
      <w:r>
        <w:t xml:space="preserve">[2015] AC 1732, [106]: whole point of </w:t>
      </w:r>
      <w:r w:rsidRPr="00EA7FF6">
        <w:rPr>
          <w:i/>
          <w:iCs/>
        </w:rPr>
        <w:t>Caparo</w:t>
      </w:r>
      <w:r>
        <w:t xml:space="preserve"> was to repudiate the idea that there was a single test to determine whether a duty of care exists</w:t>
      </w:r>
      <w:r>
        <w:t xml:space="preserve">. </w:t>
      </w:r>
      <w:r>
        <w:t xml:space="preserve">In </w:t>
      </w:r>
      <w:r w:rsidRPr="00C75FA2">
        <w:rPr>
          <w:i/>
          <w:iCs/>
        </w:rPr>
        <w:t>Robinson</w:t>
      </w:r>
      <w:r>
        <w:t xml:space="preserve">, the claimant was a relatively frail woman of 76. She was walking down a busy shopping street when she was knocked over by two police officers attempting to arrest a suspected drug dealer. They all fell to the ground, with the claimant underneath. The </w:t>
      </w:r>
      <w:r>
        <w:t>key</w:t>
      </w:r>
      <w:r>
        <w:t xml:space="preserve"> question: </w:t>
      </w:r>
      <w:r>
        <w:t>D</w:t>
      </w:r>
      <w:r>
        <w:t>id the police officers owe a duty of care to the claimant</w:t>
      </w:r>
      <w:r>
        <w:t>?</w:t>
      </w:r>
      <w:r>
        <w:t xml:space="preserve"> The present case did not depend on </w:t>
      </w:r>
      <w:r w:rsidRPr="00C75FA2">
        <w:rPr>
          <w:i/>
          <w:iCs/>
        </w:rPr>
        <w:t>Caparo</w:t>
      </w:r>
      <w:r>
        <w:t xml:space="preserve"> but on the application of existing principles of the law of negligence: [30]. The Supreme Court held that since there was a reasonably foreseeable risk of injury if the arrest was attempted, when pedestrians- especially physically vulnerable ones such as the claimant-were close to the suspect and might be knocked into and injured in the course of his attempting to escape, the police officers owed a duty of care towards pedestrians, including the claimant, in the immediate vicinity when the arrest was attempted. Thus</w:t>
      </w:r>
      <w:r>
        <w:t>,</w:t>
      </w:r>
      <w:r>
        <w:t xml:space="preserve"> the reasonably foreseeable risk of injury was sufficient to impose a duty of care: [74].</w:t>
      </w:r>
    </w:p>
    <w:p w14:paraId="637CF244" w14:textId="77777777" w:rsidR="00C75FA2" w:rsidRDefault="00C75FA2" w:rsidP="00C75FA2">
      <w:pPr>
        <w:pStyle w:val="ListParagraph"/>
        <w:spacing w:before="240"/>
        <w:ind w:left="360"/>
      </w:pPr>
    </w:p>
    <w:p w14:paraId="4F513089" w14:textId="2C848251" w:rsidR="00C75FA2" w:rsidRDefault="00C75FA2" w:rsidP="00C75FA2">
      <w:pPr>
        <w:pStyle w:val="ListParagraph"/>
        <w:ind w:left="360"/>
      </w:pPr>
      <w:r w:rsidRPr="00C75FA2">
        <w:rPr>
          <w:i/>
          <w:iCs/>
        </w:rPr>
        <w:t>Darnley v Croydon Health Services NHS Trust</w:t>
      </w:r>
      <w:r>
        <w:t xml:space="preserve"> [2018] UKSC</w:t>
      </w:r>
      <w:r>
        <w:t>:</w:t>
      </w:r>
    </w:p>
    <w:p w14:paraId="6842F10D" w14:textId="66BAF335" w:rsidR="00C75FA2" w:rsidRDefault="00C75FA2" w:rsidP="00C75FA2">
      <w:pPr>
        <w:pStyle w:val="ListParagraph"/>
        <w:ind w:left="360"/>
      </w:pPr>
      <w:r>
        <w:t>In absence of a ‘general principle’ or ‘universal touchstone’ for imposition of duty of care, common law has taken established categories of situations where a duty of care is recognised, per Lord Lloyd-Jones, [15]</w:t>
      </w:r>
      <w:r>
        <w:t xml:space="preserve"> </w:t>
      </w:r>
      <w:r>
        <w:t>Thus</w:t>
      </w:r>
      <w:r>
        <w:t>,</w:t>
      </w:r>
      <w:r>
        <w:t xml:space="preserve"> in </w:t>
      </w:r>
      <w:r w:rsidRPr="00C75FA2">
        <w:rPr>
          <w:i/>
          <w:iCs/>
        </w:rPr>
        <w:t>Darnley</w:t>
      </w:r>
      <w:r>
        <w:t>, the claimant suffered a head injury after being struck on the head by an unknown assailant. He went to an ‘A &amp; E’ department, managed by the defendant NHS Trust. The receptionist told the claimant that he would have to go and sit down and wait up to 4-5 hours before he was examined. He decided to leave after 19 mins as he felt unwell and went home. He was subsequently taken back by ambulance to the A &amp; E department, where a CT scan identified a large extra-</w:t>
      </w:r>
      <w:proofErr w:type="spellStart"/>
      <w:r>
        <w:t>dural</w:t>
      </w:r>
      <w:proofErr w:type="spellEnd"/>
      <w:r>
        <w:t xml:space="preserve"> haematoma (blood forming between inner surface of the skull and outer layer of the dura). He was transferred to neurosurgeons in another hospital and underwent an operation for evacuation of the haematoma. He suffered permanent brain damage and hemiplegia (paralysis of one side). The Supreme Court held that this did not concern the imposition of duty of care in a novel situation. The case fell squarely within the established category of a duty of care owed by those who provide and run casualty to take reasonable care not to cause physical injury to a patient: </w:t>
      </w:r>
      <w:r w:rsidRPr="00C334F1">
        <w:rPr>
          <w:i/>
          <w:iCs/>
        </w:rPr>
        <w:t>Barnett</w:t>
      </w:r>
      <w:r>
        <w:t xml:space="preserve">: 435-436. The scope of the duty to take reasonable care extends to a duty to take reasonable care not to provide misleading information that may foreseeably cause physical injury: </w:t>
      </w:r>
      <w:r w:rsidRPr="00C75FA2">
        <w:rPr>
          <w:i/>
          <w:iCs/>
        </w:rPr>
        <w:t>Darnley</w:t>
      </w:r>
      <w:r>
        <w:t>, [16].</w:t>
      </w:r>
    </w:p>
    <w:p w14:paraId="708205EF" w14:textId="2D1132B0" w:rsidR="00C75FA2" w:rsidRDefault="00C75FA2" w:rsidP="00C75FA2">
      <w:pPr>
        <w:pStyle w:val="ListParagraph"/>
        <w:ind w:left="360"/>
      </w:pPr>
    </w:p>
    <w:p w14:paraId="07D25C23" w14:textId="66DA46E0" w:rsidR="00C75FA2" w:rsidRPr="00704B78" w:rsidRDefault="00EA7FF6" w:rsidP="00C75FA2">
      <w:pPr>
        <w:pStyle w:val="ListParagraph"/>
        <w:ind w:left="360"/>
        <w:rPr>
          <w:b/>
          <w:bCs/>
        </w:rPr>
      </w:pPr>
      <w:r w:rsidRPr="00704B78">
        <w:rPr>
          <w:b/>
          <w:bCs/>
        </w:rPr>
        <w:t xml:space="preserve">WHEN TO USE </w:t>
      </w:r>
      <w:r w:rsidRPr="00704B78">
        <w:rPr>
          <w:b/>
          <w:bCs/>
          <w:i/>
          <w:iCs/>
        </w:rPr>
        <w:t>CAPARO</w:t>
      </w:r>
      <w:r w:rsidRPr="00704B78">
        <w:rPr>
          <w:b/>
          <w:bCs/>
        </w:rPr>
        <w:t>?</w:t>
      </w:r>
    </w:p>
    <w:p w14:paraId="5EDDEF77" w14:textId="13838848" w:rsidR="00EA7FF6" w:rsidRDefault="00EA7FF6" w:rsidP="00EA7FF6">
      <w:pPr>
        <w:pStyle w:val="ListParagraph"/>
        <w:ind w:left="360"/>
      </w:pPr>
      <w:r w:rsidRPr="00C334F1">
        <w:rPr>
          <w:i/>
          <w:iCs/>
        </w:rPr>
        <w:t>Caparo</w:t>
      </w:r>
      <w:r>
        <w:t xml:space="preserve"> test ‘does not require a re-evaluation of whether these criteria are satisfied on every occasion on which an established category of duty is applied’: </w:t>
      </w:r>
      <w:r w:rsidRPr="00EA7FF6">
        <w:rPr>
          <w:i/>
          <w:iCs/>
        </w:rPr>
        <w:t>Darnley</w:t>
      </w:r>
      <w:r>
        <w:t xml:space="preserve">, [15]; </w:t>
      </w:r>
      <w:r w:rsidRPr="00EA7FF6">
        <w:rPr>
          <w:i/>
          <w:iCs/>
        </w:rPr>
        <w:t>Robinson</w:t>
      </w:r>
      <w:r>
        <w:t xml:space="preserve">, per Lord Reed, [26]-[27]. Where the existence of a duty of care has been established, justice and reasonableness has already been </w:t>
      </w:r>
      <w:proofErr w:type="gramStart"/>
      <w:r>
        <w:t>taken into account</w:t>
      </w:r>
      <w:proofErr w:type="gramEnd"/>
      <w:r>
        <w:t xml:space="preserve"> in arriving at the relevant principles: Robinson, per Lord Reed, [26]</w:t>
      </w:r>
      <w:r>
        <w:t xml:space="preserve">. </w:t>
      </w:r>
      <w:r>
        <w:t xml:space="preserve">Outside any established category, </w:t>
      </w:r>
      <w:proofErr w:type="gramStart"/>
      <w:r>
        <w:t>i.e.</w:t>
      </w:r>
      <w:proofErr w:type="gramEnd"/>
      <w:r>
        <w:t xml:space="preserve"> </w:t>
      </w:r>
      <w:r>
        <w:t>‘</w:t>
      </w:r>
      <w:r>
        <w:t>novel cases</w:t>
      </w:r>
      <w:r>
        <w:t>’</w:t>
      </w:r>
      <w:r>
        <w:t>, law will proceed incrementally and by analogy with established authorities (</w:t>
      </w:r>
      <w:r w:rsidRPr="00EA7FF6">
        <w:rPr>
          <w:i/>
          <w:iCs/>
        </w:rPr>
        <w:t>Robinson</w:t>
      </w:r>
      <w:r>
        <w:t xml:space="preserve">, per Lord Reed, [27]), and </w:t>
      </w:r>
      <w:r w:rsidR="00280A43">
        <w:t>the</w:t>
      </w:r>
      <w:r>
        <w:t xml:space="preserve"> </w:t>
      </w:r>
      <w:r w:rsidRPr="00C334F1">
        <w:rPr>
          <w:i/>
          <w:iCs/>
        </w:rPr>
        <w:t>Caparo</w:t>
      </w:r>
      <w:r>
        <w:t xml:space="preserve"> test will be material: (</w:t>
      </w:r>
      <w:r w:rsidRPr="00EA7FF6">
        <w:rPr>
          <w:i/>
          <w:iCs/>
        </w:rPr>
        <w:t>Robinson</w:t>
      </w:r>
      <w:r>
        <w:t xml:space="preserve">, per Lord </w:t>
      </w:r>
      <w:proofErr w:type="spellStart"/>
      <w:r>
        <w:t>Mance</w:t>
      </w:r>
      <w:proofErr w:type="spellEnd"/>
      <w:r>
        <w:t xml:space="preserve"> at [83])</w:t>
      </w:r>
      <w:r w:rsidR="00C334F1">
        <w:t>.</w:t>
      </w:r>
    </w:p>
    <w:p w14:paraId="176D6101" w14:textId="5A2F2633" w:rsidR="00280A43" w:rsidRDefault="00280A43" w:rsidP="00EA7FF6">
      <w:pPr>
        <w:pStyle w:val="ListParagraph"/>
        <w:ind w:left="360"/>
      </w:pPr>
    </w:p>
    <w:p w14:paraId="5DD94D44" w14:textId="5C0CB50D" w:rsidR="00280A43" w:rsidRDefault="00280A43" w:rsidP="00EA7FF6">
      <w:pPr>
        <w:pStyle w:val="ListParagraph"/>
        <w:ind w:left="360"/>
      </w:pPr>
      <w:r w:rsidRPr="00280A43">
        <w:t>It is important to remember that where there is binding authority, this will provide the answer</w:t>
      </w:r>
      <w:r w:rsidR="00F10DB5">
        <w:t xml:space="preserve"> regarding duty of care</w:t>
      </w:r>
      <w:r w:rsidRPr="00280A43">
        <w:t>. Moreover, the courts have come up with more precise tests for determining duties of care</w:t>
      </w:r>
      <w:r w:rsidR="00F10DB5">
        <w:t xml:space="preserve"> in particular instances. F</w:t>
      </w:r>
      <w:r w:rsidRPr="00280A43">
        <w:t xml:space="preserve">or example, if the claimant suffers psychiatric </w:t>
      </w:r>
      <w:r w:rsidR="00F10DB5">
        <w:t>harm</w:t>
      </w:r>
      <w:r w:rsidRPr="00280A43">
        <w:t xml:space="preserve">, the courts will look to cases such as </w:t>
      </w:r>
      <w:proofErr w:type="spellStart"/>
      <w:r w:rsidRPr="00F10DB5">
        <w:rPr>
          <w:i/>
          <w:iCs/>
        </w:rPr>
        <w:t>Alcock</w:t>
      </w:r>
      <w:proofErr w:type="spellEnd"/>
      <w:r w:rsidRPr="00F10DB5">
        <w:rPr>
          <w:i/>
          <w:iCs/>
        </w:rPr>
        <w:t xml:space="preserve"> v Chief Constable of South Yorkshire</w:t>
      </w:r>
      <w:r w:rsidRPr="00280A43">
        <w:t xml:space="preserve"> [1992] and </w:t>
      </w:r>
      <w:r w:rsidRPr="00F10DB5">
        <w:rPr>
          <w:i/>
          <w:iCs/>
        </w:rPr>
        <w:t>Page v Smith</w:t>
      </w:r>
      <w:r w:rsidRPr="00280A43">
        <w:t xml:space="preserve"> [1996] (discussed in lecture</w:t>
      </w:r>
      <w:r w:rsidR="00F10DB5">
        <w:t xml:space="preserve"> 4</w:t>
      </w:r>
      <w:r w:rsidRPr="00280A43">
        <w:t xml:space="preserve">) rather than </w:t>
      </w:r>
      <w:r w:rsidRPr="00F10DB5">
        <w:rPr>
          <w:i/>
          <w:iCs/>
        </w:rPr>
        <w:t>Caparo</w:t>
      </w:r>
      <w:r w:rsidRPr="00280A43">
        <w:t xml:space="preserve"> to answer the duty of care question. As such it is only relatively rarely that the courts </w:t>
      </w:r>
      <w:proofErr w:type="gramStart"/>
      <w:r w:rsidRPr="00280A43">
        <w:t>have to</w:t>
      </w:r>
      <w:proofErr w:type="gramEnd"/>
      <w:r w:rsidRPr="00280A43">
        <w:t xml:space="preserve"> weigh up the relevant factors from scratch. Indeed, in </w:t>
      </w:r>
      <w:proofErr w:type="gramStart"/>
      <w:r w:rsidRPr="00280A43">
        <w:t>the vast majority of</w:t>
      </w:r>
      <w:proofErr w:type="gramEnd"/>
      <w:r w:rsidRPr="00280A43">
        <w:t xml:space="preserve"> cases, the question of duty will not be in doubt.</w:t>
      </w:r>
    </w:p>
    <w:p w14:paraId="6E8A8A0A" w14:textId="53DE8510" w:rsidR="00C129EE" w:rsidRDefault="00C129EE" w:rsidP="00EA7FF6">
      <w:pPr>
        <w:pStyle w:val="ListParagraph"/>
        <w:ind w:left="360"/>
      </w:pPr>
    </w:p>
    <w:p w14:paraId="1AA39227" w14:textId="2E0C8A28" w:rsidR="00C129EE" w:rsidRPr="00C75FA2" w:rsidRDefault="00C129EE" w:rsidP="00EA7FF6">
      <w:pPr>
        <w:pStyle w:val="ListParagraph"/>
        <w:ind w:left="360"/>
      </w:pPr>
      <w:r>
        <w:t>After having established the basic principles of duty of care, the next two lectures will focus on ‘special duty problems’, exploring legal principles relevant to duty of care in the context of omissions and third parties, and psychiatric harm.</w:t>
      </w:r>
    </w:p>
    <w:sectPr w:rsidR="00C129EE" w:rsidRPr="00C75FA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B50F1" w14:textId="77777777" w:rsidR="003C0642" w:rsidRDefault="003C0642" w:rsidP="00C334F1">
      <w:pPr>
        <w:spacing w:after="0" w:line="240" w:lineRule="auto"/>
      </w:pPr>
      <w:r>
        <w:separator/>
      </w:r>
    </w:p>
  </w:endnote>
  <w:endnote w:type="continuationSeparator" w:id="0">
    <w:p w14:paraId="2330D85F" w14:textId="77777777" w:rsidR="003C0642" w:rsidRDefault="003C0642" w:rsidP="00C33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800136"/>
      <w:docPartObj>
        <w:docPartGallery w:val="Page Numbers (Bottom of Page)"/>
        <w:docPartUnique/>
      </w:docPartObj>
    </w:sdtPr>
    <w:sdtEndPr>
      <w:rPr>
        <w:noProof/>
      </w:rPr>
    </w:sdtEndPr>
    <w:sdtContent>
      <w:p w14:paraId="066F4A4F" w14:textId="7C6948E8" w:rsidR="00C334F1" w:rsidRDefault="00C334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0EEEE0" w14:textId="77777777" w:rsidR="00C334F1" w:rsidRDefault="00C33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8C1058" w14:textId="77777777" w:rsidR="003C0642" w:rsidRDefault="003C0642" w:rsidP="00C334F1">
      <w:pPr>
        <w:spacing w:after="0" w:line="240" w:lineRule="auto"/>
      </w:pPr>
      <w:r>
        <w:separator/>
      </w:r>
    </w:p>
  </w:footnote>
  <w:footnote w:type="continuationSeparator" w:id="0">
    <w:p w14:paraId="0CE2ACDA" w14:textId="77777777" w:rsidR="003C0642" w:rsidRDefault="003C0642" w:rsidP="00C33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1769"/>
    <w:multiLevelType w:val="hybridMultilevel"/>
    <w:tmpl w:val="8D82532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1406938"/>
    <w:multiLevelType w:val="hybridMultilevel"/>
    <w:tmpl w:val="C902D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AD57B3"/>
    <w:multiLevelType w:val="hybridMultilevel"/>
    <w:tmpl w:val="7ED2C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5939D9"/>
    <w:multiLevelType w:val="hybridMultilevel"/>
    <w:tmpl w:val="5778332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8F2558"/>
    <w:multiLevelType w:val="hybridMultilevel"/>
    <w:tmpl w:val="E368D2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A9F42D1"/>
    <w:multiLevelType w:val="hybridMultilevel"/>
    <w:tmpl w:val="471EACE6"/>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7B9A2325"/>
    <w:multiLevelType w:val="hybridMultilevel"/>
    <w:tmpl w:val="4D8EB81E"/>
    <w:lvl w:ilvl="0" w:tplc="0AB40724">
      <w:start w:val="1"/>
      <w:numFmt w:val="bullet"/>
      <w:lvlText w:val=""/>
      <w:lvlJc w:val="left"/>
      <w:pPr>
        <w:ind w:left="720" w:hanging="360"/>
      </w:pPr>
      <w:rPr>
        <w:rFonts w:ascii="Symbol" w:hAnsi="Symbol" w:hint="default"/>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6319119">
    <w:abstractNumId w:val="3"/>
  </w:num>
  <w:num w:numId="2" w16cid:durableId="48917043">
    <w:abstractNumId w:val="4"/>
  </w:num>
  <w:num w:numId="3" w16cid:durableId="1999648073">
    <w:abstractNumId w:val="7"/>
  </w:num>
  <w:num w:numId="4" w16cid:durableId="1112480029">
    <w:abstractNumId w:val="2"/>
  </w:num>
  <w:num w:numId="5" w16cid:durableId="1008483912">
    <w:abstractNumId w:val="1"/>
  </w:num>
  <w:num w:numId="6" w16cid:durableId="2030179314">
    <w:abstractNumId w:val="5"/>
  </w:num>
  <w:num w:numId="7" w16cid:durableId="476068614">
    <w:abstractNumId w:val="0"/>
  </w:num>
  <w:num w:numId="8" w16cid:durableId="264969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BDD"/>
    <w:rsid w:val="001258DB"/>
    <w:rsid w:val="00194BDD"/>
    <w:rsid w:val="00280A43"/>
    <w:rsid w:val="00386221"/>
    <w:rsid w:val="003C0642"/>
    <w:rsid w:val="00460A9D"/>
    <w:rsid w:val="00471054"/>
    <w:rsid w:val="00494999"/>
    <w:rsid w:val="004C1462"/>
    <w:rsid w:val="00546B03"/>
    <w:rsid w:val="0055696D"/>
    <w:rsid w:val="005B7B25"/>
    <w:rsid w:val="00605DD0"/>
    <w:rsid w:val="006A4860"/>
    <w:rsid w:val="00704B78"/>
    <w:rsid w:val="007804A1"/>
    <w:rsid w:val="0078498C"/>
    <w:rsid w:val="00847C2F"/>
    <w:rsid w:val="008678BC"/>
    <w:rsid w:val="00882970"/>
    <w:rsid w:val="008F638A"/>
    <w:rsid w:val="009A25C8"/>
    <w:rsid w:val="00A31781"/>
    <w:rsid w:val="00A36DC0"/>
    <w:rsid w:val="00AA23D0"/>
    <w:rsid w:val="00B3426C"/>
    <w:rsid w:val="00C11BBE"/>
    <w:rsid w:val="00C129EE"/>
    <w:rsid w:val="00C334F1"/>
    <w:rsid w:val="00C75FA2"/>
    <w:rsid w:val="00D75415"/>
    <w:rsid w:val="00E05CD9"/>
    <w:rsid w:val="00E702B0"/>
    <w:rsid w:val="00EA7FF6"/>
    <w:rsid w:val="00EE5F80"/>
    <w:rsid w:val="00EF0D12"/>
    <w:rsid w:val="00F10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BD100"/>
  <w15:chartTrackingRefBased/>
  <w15:docId w15:val="{E524A328-4D1F-460C-868C-CE695FBC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999"/>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696D"/>
    <w:pPr>
      <w:ind w:left="720"/>
      <w:contextualSpacing/>
    </w:pPr>
  </w:style>
  <w:style w:type="paragraph" w:styleId="Header">
    <w:name w:val="header"/>
    <w:basedOn w:val="Normal"/>
    <w:link w:val="HeaderChar"/>
    <w:uiPriority w:val="99"/>
    <w:unhideWhenUsed/>
    <w:rsid w:val="00C334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34F1"/>
    <w:rPr>
      <w:rFonts w:ascii="Arial" w:hAnsi="Arial"/>
      <w:sz w:val="24"/>
    </w:rPr>
  </w:style>
  <w:style w:type="paragraph" w:styleId="Footer">
    <w:name w:val="footer"/>
    <w:basedOn w:val="Normal"/>
    <w:link w:val="FooterChar"/>
    <w:uiPriority w:val="99"/>
    <w:unhideWhenUsed/>
    <w:rsid w:val="00C334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34F1"/>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10471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10</cp:revision>
  <dcterms:created xsi:type="dcterms:W3CDTF">2023-09-28T10:19:00Z</dcterms:created>
  <dcterms:modified xsi:type="dcterms:W3CDTF">2023-10-02T13:47:00Z</dcterms:modified>
</cp:coreProperties>
</file>