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94EE2" w14:textId="77777777" w:rsidR="00923531" w:rsidRPr="001E076B" w:rsidRDefault="00923531" w:rsidP="001E076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Traditional Sub-Trusts</w:t>
      </w:r>
    </w:p>
    <w:p w14:paraId="2184033A" w14:textId="77777777" w:rsidR="00923531" w:rsidRPr="001E076B" w:rsidRDefault="00923531" w:rsidP="001E076B">
      <w:pPr>
        <w:numPr>
          <w:ilvl w:val="0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Structure and Roles</w:t>
      </w:r>
      <w:r w:rsidRPr="001E076B">
        <w:rPr>
          <w:rFonts w:ascii="Times New Roman" w:hAnsi="Times New Roman"/>
          <w:lang w:val="en-HK"/>
        </w:rPr>
        <w:t>:</w:t>
      </w:r>
    </w:p>
    <w:p w14:paraId="607C9AB7" w14:textId="77777777" w:rsidR="00923531" w:rsidRPr="001E076B" w:rsidRDefault="00923531" w:rsidP="001E076B">
      <w:pPr>
        <w:numPr>
          <w:ilvl w:val="1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In a traditional sub-trust, </w:t>
      </w:r>
      <w:r w:rsidRPr="001E076B">
        <w:rPr>
          <w:rFonts w:ascii="Times New Roman" w:hAnsi="Times New Roman"/>
          <w:b/>
          <w:bCs/>
          <w:lang w:val="en-HK"/>
        </w:rPr>
        <w:t>A</w:t>
      </w:r>
      <w:r w:rsidRPr="001E076B">
        <w:rPr>
          <w:rFonts w:ascii="Times New Roman" w:hAnsi="Times New Roman"/>
          <w:lang w:val="en-HK"/>
        </w:rPr>
        <w:t xml:space="preserve"> (the legal titleholder) holds property on trust for </w:t>
      </w:r>
      <w:r w:rsidRPr="001E076B">
        <w:rPr>
          <w:rFonts w:ascii="Times New Roman" w:hAnsi="Times New Roman"/>
          <w:b/>
          <w:bCs/>
          <w:lang w:val="en-HK"/>
        </w:rPr>
        <w:t>B</w:t>
      </w:r>
      <w:r w:rsidRPr="001E076B">
        <w:rPr>
          <w:rFonts w:ascii="Times New Roman" w:hAnsi="Times New Roman"/>
          <w:lang w:val="en-HK"/>
        </w:rPr>
        <w:t xml:space="preserve">, and </w:t>
      </w:r>
      <w:r w:rsidRPr="001E076B">
        <w:rPr>
          <w:rFonts w:ascii="Times New Roman" w:hAnsi="Times New Roman"/>
          <w:b/>
          <w:bCs/>
          <w:lang w:val="en-HK"/>
        </w:rPr>
        <w:t>B</w:t>
      </w:r>
      <w:r w:rsidRPr="001E076B">
        <w:rPr>
          <w:rFonts w:ascii="Times New Roman" w:hAnsi="Times New Roman"/>
          <w:lang w:val="en-HK"/>
        </w:rPr>
        <w:t xml:space="preserve"> (the beneficiary of A’s trust) declares a sub-trust in </w:t>
      </w:r>
      <w:proofErr w:type="spellStart"/>
      <w:r w:rsidRPr="001E076B">
        <w:rPr>
          <w:rFonts w:ascii="Times New Roman" w:hAnsi="Times New Roman"/>
          <w:lang w:val="en-HK"/>
        </w:rPr>
        <w:t>favor</w:t>
      </w:r>
      <w:proofErr w:type="spellEnd"/>
      <w:r w:rsidRPr="001E076B">
        <w:rPr>
          <w:rFonts w:ascii="Times New Roman" w:hAnsi="Times New Roman"/>
          <w:lang w:val="en-HK"/>
        </w:rPr>
        <w:t xml:space="preserve"> of </w:t>
      </w:r>
      <w:r w:rsidRPr="001E076B">
        <w:rPr>
          <w:rFonts w:ascii="Times New Roman" w:hAnsi="Times New Roman"/>
          <w:b/>
          <w:bCs/>
          <w:lang w:val="en-HK"/>
        </w:rPr>
        <w:t>C</w:t>
      </w:r>
      <w:r w:rsidRPr="001E076B">
        <w:rPr>
          <w:rFonts w:ascii="Times New Roman" w:hAnsi="Times New Roman"/>
          <w:lang w:val="en-HK"/>
        </w:rPr>
        <w:t>.</w:t>
      </w:r>
    </w:p>
    <w:p w14:paraId="274845BC" w14:textId="77777777" w:rsidR="00923531" w:rsidRPr="001E076B" w:rsidRDefault="00923531" w:rsidP="001E076B">
      <w:pPr>
        <w:numPr>
          <w:ilvl w:val="1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This creates a layered trust structure:</w:t>
      </w:r>
    </w:p>
    <w:p w14:paraId="1AA7FC50" w14:textId="77777777" w:rsidR="00923531" w:rsidRPr="001E076B" w:rsidRDefault="00923531" w:rsidP="001E076B">
      <w:pPr>
        <w:numPr>
          <w:ilvl w:val="2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A → B (head trust).</w:t>
      </w:r>
    </w:p>
    <w:p w14:paraId="398759B0" w14:textId="77777777" w:rsidR="00923531" w:rsidRPr="001E076B" w:rsidRDefault="00923531" w:rsidP="001E076B">
      <w:pPr>
        <w:numPr>
          <w:ilvl w:val="2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B → C (sub-trust).</w:t>
      </w:r>
    </w:p>
    <w:p w14:paraId="18887980" w14:textId="77777777" w:rsidR="00923531" w:rsidRPr="001E076B" w:rsidRDefault="00923531" w:rsidP="001E076B">
      <w:pPr>
        <w:numPr>
          <w:ilvl w:val="0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Modern Position</w:t>
      </w:r>
      <w:r w:rsidRPr="001E076B">
        <w:rPr>
          <w:rFonts w:ascii="Times New Roman" w:hAnsi="Times New Roman"/>
          <w:lang w:val="en-HK"/>
        </w:rPr>
        <w:t>:</w:t>
      </w:r>
    </w:p>
    <w:p w14:paraId="46A9DEB1" w14:textId="77777777" w:rsidR="00923531" w:rsidRPr="001E076B" w:rsidRDefault="00923531" w:rsidP="001E076B">
      <w:pPr>
        <w:numPr>
          <w:ilvl w:val="1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B does not "drop out"</w:t>
      </w:r>
      <w:r w:rsidRPr="001E076B">
        <w:rPr>
          <w:rFonts w:ascii="Times New Roman" w:hAnsi="Times New Roman"/>
          <w:lang w:val="en-HK"/>
        </w:rPr>
        <w:t xml:space="preserve"> in a traditional sub-trust structure.</w:t>
      </w:r>
    </w:p>
    <w:p w14:paraId="7DD1192B" w14:textId="77777777" w:rsidR="00923531" w:rsidRPr="001E076B" w:rsidRDefault="00923531" w:rsidP="001E076B">
      <w:pPr>
        <w:numPr>
          <w:ilvl w:val="1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Reason</w:t>
      </w:r>
      <w:r w:rsidRPr="001E076B">
        <w:rPr>
          <w:rFonts w:ascii="Times New Roman" w:hAnsi="Times New Roman"/>
          <w:lang w:val="en-HK"/>
        </w:rPr>
        <w:t>:</w:t>
      </w:r>
    </w:p>
    <w:p w14:paraId="59BF83E6" w14:textId="77777777" w:rsidR="00923531" w:rsidRPr="001E076B" w:rsidRDefault="00923531" w:rsidP="001E076B">
      <w:pPr>
        <w:numPr>
          <w:ilvl w:val="2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B remains an intermediary</w:t>
      </w:r>
      <w:r w:rsidRPr="001E076B">
        <w:rPr>
          <w:rFonts w:ascii="Times New Roman" w:hAnsi="Times New Roman"/>
          <w:lang w:val="en-HK"/>
        </w:rPr>
        <w:t xml:space="preserve"> between A and C, serving as a trustee for C while continuing to hold the beneficial interest under A's trust.</w:t>
      </w:r>
    </w:p>
    <w:p w14:paraId="2334035F" w14:textId="77777777" w:rsidR="00923531" w:rsidRPr="001E076B" w:rsidRDefault="00923531" w:rsidP="001E076B">
      <w:pPr>
        <w:numPr>
          <w:ilvl w:val="2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Precedents Supporting This View</w:t>
      </w:r>
      <w:r w:rsidRPr="001E076B">
        <w:rPr>
          <w:rFonts w:ascii="Times New Roman" w:hAnsi="Times New Roman"/>
          <w:lang w:val="en-HK"/>
        </w:rPr>
        <w:t>:</w:t>
      </w:r>
    </w:p>
    <w:p w14:paraId="1D720DCF" w14:textId="77777777" w:rsidR="00923531" w:rsidRPr="001E076B" w:rsidRDefault="00923531" w:rsidP="001E076B">
      <w:pPr>
        <w:numPr>
          <w:ilvl w:val="3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 xml:space="preserve">Nelson v Greening and Sykes (Builders) Ltd [2007] EWCA </w:t>
      </w:r>
      <w:proofErr w:type="spellStart"/>
      <w:r w:rsidRPr="001E076B">
        <w:rPr>
          <w:rFonts w:ascii="Times New Roman" w:hAnsi="Times New Roman"/>
          <w:b/>
          <w:bCs/>
          <w:lang w:val="en-HK"/>
        </w:rPr>
        <w:t>Civ</w:t>
      </w:r>
      <w:proofErr w:type="spellEnd"/>
      <w:r w:rsidRPr="001E076B">
        <w:rPr>
          <w:rFonts w:ascii="Times New Roman" w:hAnsi="Times New Roman"/>
          <w:b/>
          <w:bCs/>
          <w:lang w:val="en-HK"/>
        </w:rPr>
        <w:t xml:space="preserve"> 1358</w:t>
      </w:r>
      <w:r w:rsidRPr="001E076B">
        <w:rPr>
          <w:rFonts w:ascii="Times New Roman" w:hAnsi="Times New Roman"/>
          <w:lang w:val="en-HK"/>
        </w:rPr>
        <w:t>: Reinforced that B retains intermediary responsibilities.</w:t>
      </w:r>
    </w:p>
    <w:p w14:paraId="3B887DD0" w14:textId="77777777" w:rsidR="00923531" w:rsidRPr="001E076B" w:rsidRDefault="00923531" w:rsidP="001E076B">
      <w:pPr>
        <w:numPr>
          <w:ilvl w:val="3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Sheffield v Sheffield [2013] EWHC 3927 (Ch)</w:t>
      </w:r>
      <w:r w:rsidRPr="001E076B">
        <w:rPr>
          <w:rFonts w:ascii="Times New Roman" w:hAnsi="Times New Roman"/>
          <w:lang w:val="en-HK"/>
        </w:rPr>
        <w:t>: Highlighted B’s ongoing role as a conduit between A and C.</w:t>
      </w:r>
    </w:p>
    <w:p w14:paraId="7E4F7691" w14:textId="77777777" w:rsidR="00923531" w:rsidRPr="001E076B" w:rsidRDefault="00923531" w:rsidP="001E076B">
      <w:pPr>
        <w:numPr>
          <w:ilvl w:val="0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Key Characteristics</w:t>
      </w:r>
      <w:r w:rsidRPr="001E076B">
        <w:rPr>
          <w:rFonts w:ascii="Times New Roman" w:hAnsi="Times New Roman"/>
          <w:lang w:val="en-HK"/>
        </w:rPr>
        <w:t>:</w:t>
      </w:r>
    </w:p>
    <w:p w14:paraId="498488FE" w14:textId="77777777" w:rsidR="00923531" w:rsidRPr="001E076B" w:rsidRDefault="00923531" w:rsidP="001E076B">
      <w:pPr>
        <w:numPr>
          <w:ilvl w:val="1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C has no direct legal relationship with A.</w:t>
      </w:r>
    </w:p>
    <w:p w14:paraId="7C885CE6" w14:textId="77777777" w:rsidR="00923531" w:rsidRPr="001E076B" w:rsidRDefault="00923531" w:rsidP="001E076B">
      <w:pPr>
        <w:numPr>
          <w:ilvl w:val="1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C’s rights</w:t>
      </w:r>
      <w:r w:rsidRPr="001E076B">
        <w:rPr>
          <w:rFonts w:ascii="Times New Roman" w:hAnsi="Times New Roman"/>
          <w:lang w:val="en-HK"/>
        </w:rPr>
        <w:t xml:space="preserve"> are enforceable only against B, not A.</w:t>
      </w:r>
    </w:p>
    <w:p w14:paraId="1660E196" w14:textId="77777777" w:rsidR="00923531" w:rsidRPr="001E076B" w:rsidRDefault="00923531" w:rsidP="001E076B">
      <w:pPr>
        <w:numPr>
          <w:ilvl w:val="1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This ensures clarity in the duties and relationships between the parties.</w:t>
      </w:r>
    </w:p>
    <w:p w14:paraId="1DBAFEE7" w14:textId="77777777" w:rsidR="00923531" w:rsidRPr="001E076B" w:rsidRDefault="00144570" w:rsidP="001E076B">
      <w:pPr>
        <w:spacing w:after="240" w:line="360" w:lineRule="auto"/>
        <w:rPr>
          <w:rFonts w:ascii="Times New Roman" w:hAnsi="Times New Roman"/>
          <w:lang w:val="en-HK"/>
        </w:rPr>
      </w:pPr>
      <w:r w:rsidRPr="00144570">
        <w:rPr>
          <w:rFonts w:ascii="Times New Roman" w:hAnsi="Times New Roman"/>
          <w:noProof/>
          <w:lang w:val="en-HK"/>
          <w14:ligatures w14:val="standardContextual"/>
        </w:rPr>
        <w:pict w14:anchorId="36882C7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9D19B5E" w14:textId="77777777" w:rsidR="00923531" w:rsidRPr="001E076B" w:rsidRDefault="00923531" w:rsidP="001E076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What Does "B Drops Out" Mean?</w:t>
      </w:r>
    </w:p>
    <w:p w14:paraId="69422882" w14:textId="77777777" w:rsidR="00923531" w:rsidRPr="001E076B" w:rsidRDefault="00923531" w:rsidP="001E076B">
      <w:pPr>
        <w:numPr>
          <w:ilvl w:val="0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lastRenderedPageBreak/>
        <w:t>Court of Appeal’s View in LA Micro</w:t>
      </w:r>
      <w:r w:rsidRPr="001E076B">
        <w:rPr>
          <w:rFonts w:ascii="Times New Roman" w:hAnsi="Times New Roman"/>
          <w:lang w:val="en-HK"/>
        </w:rPr>
        <w:t>:</w:t>
      </w:r>
    </w:p>
    <w:p w14:paraId="2A18E862" w14:textId="77777777" w:rsidR="00923531" w:rsidRPr="001E076B" w:rsidRDefault="00923531" w:rsidP="001E076B">
      <w:pPr>
        <w:numPr>
          <w:ilvl w:val="1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In </w:t>
      </w:r>
      <w:r w:rsidRPr="001E076B">
        <w:rPr>
          <w:rFonts w:ascii="Times New Roman" w:hAnsi="Times New Roman"/>
          <w:b/>
          <w:bCs/>
          <w:lang w:val="en-HK"/>
        </w:rPr>
        <w:t>LA Micro</w:t>
      </w:r>
      <w:r w:rsidRPr="001E076B">
        <w:rPr>
          <w:rFonts w:ascii="Times New Roman" w:hAnsi="Times New Roman"/>
          <w:lang w:val="en-HK"/>
        </w:rPr>
        <w:t>, the Court held that in the specific trust structure where A → B → A:</w:t>
      </w:r>
    </w:p>
    <w:p w14:paraId="1897B352" w14:textId="77777777" w:rsidR="00923531" w:rsidRPr="001E076B" w:rsidRDefault="00923531" w:rsidP="001E076B">
      <w:pPr>
        <w:numPr>
          <w:ilvl w:val="2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color w:val="FF0000"/>
          <w:lang w:val="en-HK"/>
        </w:rPr>
        <w:t>B’s role as a sub-trustee ceases immediately</w:t>
      </w:r>
      <w:r w:rsidRPr="001E076B">
        <w:rPr>
          <w:rFonts w:ascii="Times New Roman" w:hAnsi="Times New Roman"/>
          <w:color w:val="FF0000"/>
          <w:lang w:val="en-HK"/>
        </w:rPr>
        <w:t xml:space="preserve"> </w:t>
      </w:r>
      <w:r w:rsidRPr="001E076B">
        <w:rPr>
          <w:rFonts w:ascii="Times New Roman" w:hAnsi="Times New Roman"/>
          <w:lang w:val="en-HK"/>
        </w:rPr>
        <w:t>upon the formation of the sub-trust.</w:t>
      </w:r>
    </w:p>
    <w:p w14:paraId="0EC721B7" w14:textId="77777777" w:rsidR="00923531" w:rsidRPr="001E076B" w:rsidRDefault="00923531" w:rsidP="001E076B">
      <w:pPr>
        <w:numPr>
          <w:ilvl w:val="2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The beneficial interest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merges back with A</w:t>
      </w:r>
      <w:r w:rsidRPr="001E076B">
        <w:rPr>
          <w:rFonts w:ascii="Times New Roman" w:hAnsi="Times New Roman"/>
          <w:color w:val="FF0000"/>
          <w:lang w:val="en-HK"/>
        </w:rPr>
        <w:t xml:space="preserve"> </w:t>
      </w:r>
      <w:r w:rsidRPr="001E076B">
        <w:rPr>
          <w:rFonts w:ascii="Times New Roman" w:hAnsi="Times New Roman"/>
          <w:lang w:val="en-HK"/>
        </w:rPr>
        <w:t>(the legal titleholder).</w:t>
      </w:r>
    </w:p>
    <w:p w14:paraId="0865238E" w14:textId="77777777" w:rsidR="00923531" w:rsidRPr="001E076B" w:rsidRDefault="00923531" w:rsidP="001E076B">
      <w:pPr>
        <w:numPr>
          <w:ilvl w:val="0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Practical Effect</w:t>
      </w:r>
      <w:r w:rsidRPr="001E076B">
        <w:rPr>
          <w:rFonts w:ascii="Times New Roman" w:hAnsi="Times New Roman"/>
          <w:lang w:val="en-HK"/>
        </w:rPr>
        <w:t>:</w:t>
      </w:r>
    </w:p>
    <w:p w14:paraId="2B11A94C" w14:textId="77777777" w:rsidR="00923531" w:rsidRPr="001E076B" w:rsidRDefault="00923531" w:rsidP="001E076B">
      <w:pPr>
        <w:numPr>
          <w:ilvl w:val="1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color w:val="FF0000"/>
          <w:lang w:val="en-HK"/>
        </w:rPr>
        <w:t xml:space="preserve">A ends up holding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both the legal and beneficial interest</w:t>
      </w:r>
      <w:r w:rsidRPr="001E076B">
        <w:rPr>
          <w:rFonts w:ascii="Times New Roman" w:hAnsi="Times New Roman"/>
          <w:color w:val="FF0000"/>
          <w:lang w:val="en-HK"/>
        </w:rPr>
        <w:t xml:space="preserve"> </w:t>
      </w:r>
      <w:r w:rsidRPr="001E076B">
        <w:rPr>
          <w:rFonts w:ascii="Times New Roman" w:hAnsi="Times New Roman"/>
          <w:lang w:val="en-HK"/>
        </w:rPr>
        <w:t>outright.</w:t>
      </w:r>
    </w:p>
    <w:p w14:paraId="5F98909D" w14:textId="77777777" w:rsidR="00923531" w:rsidRPr="001E076B" w:rsidRDefault="00923531" w:rsidP="001E076B">
      <w:pPr>
        <w:numPr>
          <w:ilvl w:val="1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This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eliminates B’s role</w:t>
      </w:r>
      <w:r w:rsidRPr="001E076B">
        <w:rPr>
          <w:rFonts w:ascii="Times New Roman" w:hAnsi="Times New Roman"/>
          <w:color w:val="FF0000"/>
          <w:lang w:val="en-HK"/>
        </w:rPr>
        <w:t xml:space="preserve"> </w:t>
      </w:r>
      <w:r w:rsidRPr="001E076B">
        <w:rPr>
          <w:rFonts w:ascii="Times New Roman" w:hAnsi="Times New Roman"/>
          <w:lang w:val="en-HK"/>
        </w:rPr>
        <w:t>entirely, bypassing the intermediary structure of traditional sub-trusts.</w:t>
      </w:r>
    </w:p>
    <w:p w14:paraId="7AF0C63A" w14:textId="77777777" w:rsidR="00923531" w:rsidRPr="001E076B" w:rsidRDefault="00923531" w:rsidP="001E076B">
      <w:pPr>
        <w:numPr>
          <w:ilvl w:val="0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Rationale in LA Micro</w:t>
      </w:r>
      <w:r w:rsidRPr="001E076B">
        <w:rPr>
          <w:rFonts w:ascii="Times New Roman" w:hAnsi="Times New Roman"/>
          <w:lang w:val="en-HK"/>
        </w:rPr>
        <w:t>:</w:t>
      </w:r>
    </w:p>
    <w:p w14:paraId="01F18E31" w14:textId="77777777" w:rsidR="00923531" w:rsidRPr="001E076B" w:rsidRDefault="00923531" w:rsidP="001E076B">
      <w:pPr>
        <w:numPr>
          <w:ilvl w:val="1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Prevents </w:t>
      </w:r>
      <w:r w:rsidRPr="001E076B">
        <w:rPr>
          <w:rFonts w:ascii="Times New Roman" w:hAnsi="Times New Roman"/>
          <w:b/>
          <w:bCs/>
          <w:lang w:val="en-HK"/>
        </w:rPr>
        <w:t>absurd results</w:t>
      </w:r>
      <w:r w:rsidRPr="001E076B">
        <w:rPr>
          <w:rFonts w:ascii="Times New Roman" w:hAnsi="Times New Roman"/>
          <w:lang w:val="en-HK"/>
        </w:rPr>
        <w:t>:</w:t>
      </w:r>
    </w:p>
    <w:p w14:paraId="2AE8AFAA" w14:textId="77777777" w:rsidR="00923531" w:rsidRPr="001E076B" w:rsidRDefault="00923531" w:rsidP="001E076B">
      <w:pPr>
        <w:numPr>
          <w:ilvl w:val="2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If B remained as an intermediary, A (as the ultimate beneficiary) could theoretically sue B for breaching trust obligations caused by A’s own actions.</w:t>
      </w:r>
    </w:p>
    <w:p w14:paraId="3BA7D9A3" w14:textId="77777777" w:rsidR="00923531" w:rsidRPr="001E076B" w:rsidRDefault="00923531" w:rsidP="001E076B">
      <w:pPr>
        <w:numPr>
          <w:ilvl w:val="1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This "merger" avoids circular accountability.</w:t>
      </w:r>
    </w:p>
    <w:p w14:paraId="31551AA2" w14:textId="77777777" w:rsidR="00923531" w:rsidRPr="001E076B" w:rsidRDefault="00923531" w:rsidP="001E076B">
      <w:pPr>
        <w:numPr>
          <w:ilvl w:val="0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Criticism</w:t>
      </w:r>
      <w:r w:rsidRPr="001E076B">
        <w:rPr>
          <w:rFonts w:ascii="Times New Roman" w:hAnsi="Times New Roman"/>
          <w:lang w:val="en-HK"/>
        </w:rPr>
        <w:t>:</w:t>
      </w:r>
    </w:p>
    <w:p w14:paraId="28EB7937" w14:textId="77777777" w:rsidR="00923531" w:rsidRPr="001E076B" w:rsidRDefault="00923531" w:rsidP="001E076B">
      <w:pPr>
        <w:numPr>
          <w:ilvl w:val="1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This approach is </w:t>
      </w:r>
      <w:r w:rsidRPr="001E076B">
        <w:rPr>
          <w:rFonts w:ascii="Times New Roman" w:hAnsi="Times New Roman"/>
          <w:b/>
          <w:bCs/>
          <w:lang w:val="en-HK"/>
        </w:rPr>
        <w:t>inconsistent with traditional sub-trust principles</w:t>
      </w:r>
      <w:r w:rsidRPr="001E076B">
        <w:rPr>
          <w:rFonts w:ascii="Times New Roman" w:hAnsi="Times New Roman"/>
          <w:lang w:val="en-HK"/>
        </w:rPr>
        <w:t>, where B always remains in the picture to ensure accountability and enforceability.</w:t>
      </w:r>
    </w:p>
    <w:p w14:paraId="6C960DF1" w14:textId="77777777" w:rsidR="00923531" w:rsidRPr="001E076B" w:rsidRDefault="00923531" w:rsidP="001E076B">
      <w:pPr>
        <w:numPr>
          <w:ilvl w:val="1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Scholars like </w:t>
      </w:r>
      <w:r w:rsidRPr="001E076B">
        <w:rPr>
          <w:rFonts w:ascii="Times New Roman" w:hAnsi="Times New Roman"/>
          <w:b/>
          <w:bCs/>
          <w:lang w:val="en-HK"/>
        </w:rPr>
        <w:t>Brian Green</w:t>
      </w:r>
      <w:r w:rsidRPr="001E076B">
        <w:rPr>
          <w:rFonts w:ascii="Times New Roman" w:hAnsi="Times New Roman"/>
          <w:lang w:val="en-HK"/>
        </w:rPr>
        <w:t xml:space="preserve"> argue that B cannot "drop out" because B must retain some equitable interest for the sub-trust to exist.</w:t>
      </w:r>
    </w:p>
    <w:p w14:paraId="53A1C405" w14:textId="77777777" w:rsidR="00923531" w:rsidRPr="001E076B" w:rsidRDefault="00144570" w:rsidP="001E076B">
      <w:pPr>
        <w:spacing w:after="240" w:line="360" w:lineRule="auto"/>
        <w:rPr>
          <w:rFonts w:ascii="Times New Roman" w:hAnsi="Times New Roman"/>
          <w:lang w:val="en-HK"/>
        </w:rPr>
      </w:pPr>
      <w:r w:rsidRPr="00144570">
        <w:rPr>
          <w:rFonts w:ascii="Times New Roman" w:hAnsi="Times New Roman"/>
          <w:noProof/>
          <w:lang w:val="en-HK"/>
          <w14:ligatures w14:val="standardContextual"/>
        </w:rPr>
        <w:pict w14:anchorId="211F82C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FE9DC30" w14:textId="77777777" w:rsidR="00923531" w:rsidRPr="001E076B" w:rsidRDefault="00923531" w:rsidP="001E076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What’s New Now?</w:t>
      </w:r>
    </w:p>
    <w:p w14:paraId="49B11E9D" w14:textId="77777777" w:rsidR="00923531" w:rsidRPr="001E076B" w:rsidRDefault="00923531" w:rsidP="001E076B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Circular Trust Structures (A → B → A)</w:t>
      </w:r>
      <w:r w:rsidRPr="001E076B">
        <w:rPr>
          <w:rFonts w:ascii="Times New Roman" w:hAnsi="Times New Roman"/>
          <w:lang w:val="en-HK"/>
        </w:rPr>
        <w:t>:</w:t>
      </w:r>
    </w:p>
    <w:p w14:paraId="2AF04C92" w14:textId="77777777" w:rsidR="00923531" w:rsidRPr="001E076B" w:rsidRDefault="00923531" w:rsidP="001E076B">
      <w:pPr>
        <w:numPr>
          <w:ilvl w:val="1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lastRenderedPageBreak/>
        <w:t xml:space="preserve">The Court in </w:t>
      </w:r>
      <w:r w:rsidRPr="001E076B">
        <w:rPr>
          <w:rFonts w:ascii="Times New Roman" w:hAnsi="Times New Roman"/>
          <w:b/>
          <w:bCs/>
          <w:lang w:val="en-HK"/>
        </w:rPr>
        <w:t>LA Micro</w:t>
      </w:r>
      <w:r w:rsidRPr="001E076B">
        <w:rPr>
          <w:rFonts w:ascii="Times New Roman" w:hAnsi="Times New Roman"/>
          <w:lang w:val="en-HK"/>
        </w:rPr>
        <w:t xml:space="preserve"> introduced a novel concept:</w:t>
      </w:r>
    </w:p>
    <w:p w14:paraId="5FB64737" w14:textId="77777777" w:rsidR="00923531" w:rsidRPr="001E076B" w:rsidRDefault="00923531" w:rsidP="001E076B">
      <w:pPr>
        <w:numPr>
          <w:ilvl w:val="2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The </w:t>
      </w:r>
      <w:r w:rsidRPr="001E076B">
        <w:rPr>
          <w:rFonts w:ascii="Times New Roman" w:hAnsi="Times New Roman"/>
          <w:b/>
          <w:bCs/>
          <w:lang w:val="en-HK"/>
        </w:rPr>
        <w:t>sub-trust exists momentarily</w:t>
      </w:r>
      <w:r w:rsidRPr="001E076B">
        <w:rPr>
          <w:rFonts w:ascii="Times New Roman" w:hAnsi="Times New Roman"/>
          <w:lang w:val="en-HK"/>
        </w:rPr>
        <w:t xml:space="preserve"> and then ceases.</w:t>
      </w:r>
    </w:p>
    <w:p w14:paraId="6ED70270" w14:textId="77777777" w:rsidR="00923531" w:rsidRPr="001E076B" w:rsidRDefault="00923531" w:rsidP="001E076B">
      <w:pPr>
        <w:numPr>
          <w:ilvl w:val="2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This results in the </w:t>
      </w:r>
      <w:r w:rsidRPr="001E076B">
        <w:rPr>
          <w:rFonts w:ascii="Times New Roman" w:hAnsi="Times New Roman"/>
          <w:b/>
          <w:bCs/>
          <w:lang w:val="en-HK"/>
        </w:rPr>
        <w:t>merger of legal and beneficial titles</w:t>
      </w:r>
      <w:r w:rsidRPr="001E076B">
        <w:rPr>
          <w:rFonts w:ascii="Times New Roman" w:hAnsi="Times New Roman"/>
          <w:lang w:val="en-HK"/>
        </w:rPr>
        <w:t xml:space="preserve"> in A, effectively collapsing the trust structure.</w:t>
      </w:r>
    </w:p>
    <w:p w14:paraId="49856D63" w14:textId="77777777" w:rsidR="00923531" w:rsidRPr="001E076B" w:rsidRDefault="00923531" w:rsidP="001E076B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Departure from Traditional Principles</w:t>
      </w:r>
      <w:r w:rsidRPr="001E076B">
        <w:rPr>
          <w:rFonts w:ascii="Times New Roman" w:hAnsi="Times New Roman"/>
          <w:lang w:val="en-HK"/>
        </w:rPr>
        <w:t>:</w:t>
      </w:r>
    </w:p>
    <w:p w14:paraId="1EC23B9E" w14:textId="77777777" w:rsidR="00923531" w:rsidRPr="001E076B" w:rsidRDefault="00923531" w:rsidP="001E076B">
      <w:pPr>
        <w:numPr>
          <w:ilvl w:val="1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Traditional sub-trusts prioritize clarity and enforceable rights by retaining B as an intermediary.</w:t>
      </w:r>
    </w:p>
    <w:p w14:paraId="1C75EF46" w14:textId="77777777" w:rsidR="00923531" w:rsidRPr="001E076B" w:rsidRDefault="00923531" w:rsidP="001E076B">
      <w:pPr>
        <w:numPr>
          <w:ilvl w:val="1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In </w:t>
      </w:r>
      <w:r w:rsidRPr="001E076B">
        <w:rPr>
          <w:rFonts w:ascii="Times New Roman" w:hAnsi="Times New Roman"/>
          <w:b/>
          <w:bCs/>
          <w:lang w:val="en-HK"/>
        </w:rPr>
        <w:t>LA Micro</w:t>
      </w:r>
      <w:r w:rsidRPr="001E076B">
        <w:rPr>
          <w:rFonts w:ascii="Times New Roman" w:hAnsi="Times New Roman"/>
          <w:lang w:val="en-HK"/>
        </w:rPr>
        <w:t>, the Court justified B "dropping out" to avoid circularity, prioritizing fairness over strict adherence to trust principles.</w:t>
      </w:r>
    </w:p>
    <w:p w14:paraId="7368FFDB" w14:textId="77777777" w:rsidR="00923531" w:rsidRPr="001E076B" w:rsidRDefault="00923531" w:rsidP="001E076B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Proposed Alternatives</w:t>
      </w:r>
      <w:r w:rsidRPr="001E076B">
        <w:rPr>
          <w:rFonts w:ascii="Times New Roman" w:hAnsi="Times New Roman"/>
          <w:lang w:val="en-HK"/>
        </w:rPr>
        <w:t>:</w:t>
      </w:r>
    </w:p>
    <w:p w14:paraId="1E2C73F0" w14:textId="77777777" w:rsidR="00923531" w:rsidRPr="001E076B" w:rsidRDefault="00923531" w:rsidP="001E076B">
      <w:pPr>
        <w:numPr>
          <w:ilvl w:val="1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Scholars suggest </w:t>
      </w:r>
      <w:r w:rsidRPr="001E076B">
        <w:rPr>
          <w:rFonts w:ascii="Times New Roman" w:hAnsi="Times New Roman"/>
          <w:b/>
          <w:bCs/>
          <w:lang w:val="en-HK"/>
        </w:rPr>
        <w:t>reconceptualizing VPCTs</w:t>
      </w:r>
      <w:r w:rsidRPr="001E076B">
        <w:rPr>
          <w:rFonts w:ascii="Times New Roman" w:hAnsi="Times New Roman"/>
          <w:lang w:val="en-HK"/>
        </w:rPr>
        <w:t xml:space="preserve"> as:</w:t>
      </w:r>
    </w:p>
    <w:p w14:paraId="2A688FF0" w14:textId="77777777" w:rsidR="00923531" w:rsidRPr="001E076B" w:rsidRDefault="00923531" w:rsidP="001E076B">
      <w:pPr>
        <w:numPr>
          <w:ilvl w:val="2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Equitable orders</w:t>
      </w:r>
      <w:r w:rsidRPr="001E076B">
        <w:rPr>
          <w:rFonts w:ascii="Times New Roman" w:hAnsi="Times New Roman"/>
          <w:lang w:val="en-HK"/>
        </w:rPr>
        <w:t xml:space="preserve"> (e.g., specific performance) rather than true trusts.</w:t>
      </w:r>
    </w:p>
    <w:p w14:paraId="0866A430" w14:textId="77777777" w:rsidR="00923531" w:rsidRPr="001E076B" w:rsidRDefault="00923531" w:rsidP="001E076B">
      <w:pPr>
        <w:numPr>
          <w:ilvl w:val="2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This avoids distorting sub-trust principles while still achieving practical justice.</w:t>
      </w:r>
    </w:p>
    <w:p w14:paraId="64B5692D" w14:textId="77777777" w:rsidR="00923531" w:rsidRPr="001E076B" w:rsidRDefault="00923531" w:rsidP="001E076B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Key Implication</w:t>
      </w:r>
      <w:r w:rsidRPr="001E076B">
        <w:rPr>
          <w:rFonts w:ascii="Times New Roman" w:hAnsi="Times New Roman"/>
          <w:lang w:val="en-HK"/>
        </w:rPr>
        <w:t>:</w:t>
      </w:r>
    </w:p>
    <w:p w14:paraId="3225E9C4" w14:textId="06C358FA" w:rsidR="00923531" w:rsidRPr="001E076B" w:rsidRDefault="00923531" w:rsidP="001E076B">
      <w:pPr>
        <w:numPr>
          <w:ilvl w:val="1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The </w:t>
      </w:r>
      <w:r w:rsidRPr="001E076B">
        <w:rPr>
          <w:rFonts w:ascii="Times New Roman" w:hAnsi="Times New Roman"/>
          <w:b/>
          <w:bCs/>
          <w:lang w:val="en-HK"/>
        </w:rPr>
        <w:t>A → B → A</w:t>
      </w:r>
      <w:r w:rsidRPr="001E076B">
        <w:rPr>
          <w:rFonts w:ascii="Times New Roman" w:hAnsi="Times New Roman"/>
          <w:lang w:val="en-HK"/>
        </w:rPr>
        <w:t xml:space="preserve"> structure is now seen as inherently unstable in trust law. The </w:t>
      </w:r>
      <w:r w:rsidRPr="001E076B">
        <w:rPr>
          <w:rFonts w:ascii="Times New Roman" w:hAnsi="Times New Roman"/>
          <w:b/>
          <w:bCs/>
          <w:lang w:val="en-HK"/>
        </w:rPr>
        <w:t>merger approach</w:t>
      </w:r>
      <w:r w:rsidRPr="001E076B">
        <w:rPr>
          <w:rFonts w:ascii="Times New Roman" w:hAnsi="Times New Roman"/>
          <w:lang w:val="en-HK"/>
        </w:rPr>
        <w:t xml:space="preserve"> used in </w:t>
      </w:r>
      <w:r w:rsidRPr="001E076B">
        <w:rPr>
          <w:rFonts w:ascii="Times New Roman" w:hAnsi="Times New Roman"/>
          <w:b/>
          <w:bCs/>
          <w:lang w:val="en-HK"/>
        </w:rPr>
        <w:t>LA Micro</w:t>
      </w:r>
      <w:r w:rsidRPr="001E076B">
        <w:rPr>
          <w:rFonts w:ascii="Times New Roman" w:hAnsi="Times New Roman"/>
          <w:lang w:val="en-HK"/>
        </w:rPr>
        <w:t xml:space="preserve"> may set a precedent for dealing with such cases but challenges traditional views of trust relationships.</w:t>
      </w:r>
    </w:p>
    <w:p w14:paraId="6D880D00" w14:textId="09F98C2E" w:rsidR="00923531" w:rsidRPr="001E076B" w:rsidRDefault="00144570" w:rsidP="001E076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44570">
        <w:rPr>
          <w:rFonts w:ascii="Times New Roman" w:hAnsi="Times New Roman"/>
          <w:noProof/>
          <w:lang w:val="en-HK"/>
          <w14:ligatures w14:val="standardContextual"/>
        </w:rPr>
        <w:pict w14:anchorId="45837C6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8C8BFEC" w14:textId="77777777" w:rsidR="001E076B" w:rsidRPr="001E076B" w:rsidRDefault="001E076B" w:rsidP="001E076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What is a VPCT?</w:t>
      </w:r>
    </w:p>
    <w:p w14:paraId="7877B28C" w14:textId="77777777" w:rsidR="001E076B" w:rsidRPr="001E076B" w:rsidRDefault="001E076B" w:rsidP="001E076B">
      <w:pPr>
        <w:numPr>
          <w:ilvl w:val="0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Definition</w:t>
      </w:r>
      <w:r w:rsidRPr="001E076B">
        <w:rPr>
          <w:rFonts w:ascii="Times New Roman" w:hAnsi="Times New Roman"/>
          <w:lang w:val="en-HK"/>
        </w:rPr>
        <w:t>:</w:t>
      </w:r>
    </w:p>
    <w:p w14:paraId="2309A1B1" w14:textId="77777777" w:rsidR="001E076B" w:rsidRPr="001E076B" w:rsidRDefault="001E076B" w:rsidP="001E076B">
      <w:pPr>
        <w:numPr>
          <w:ilvl w:val="1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A VPCT arises when a </w:t>
      </w:r>
      <w:r w:rsidRPr="001E076B">
        <w:rPr>
          <w:rFonts w:ascii="Times New Roman" w:hAnsi="Times New Roman"/>
          <w:b/>
          <w:bCs/>
          <w:lang w:val="en-HK"/>
        </w:rPr>
        <w:t>vendor</w:t>
      </w:r>
      <w:r w:rsidRPr="001E076B">
        <w:rPr>
          <w:rFonts w:ascii="Times New Roman" w:hAnsi="Times New Roman"/>
          <w:lang w:val="en-HK"/>
        </w:rPr>
        <w:t xml:space="preserve"> (seller) contracts to sell property to a </w:t>
      </w:r>
      <w:r w:rsidRPr="001E076B">
        <w:rPr>
          <w:rFonts w:ascii="Times New Roman" w:hAnsi="Times New Roman"/>
          <w:b/>
          <w:bCs/>
          <w:lang w:val="en-HK"/>
        </w:rPr>
        <w:t>purchaser</w:t>
      </w:r>
      <w:r w:rsidRPr="001E076B">
        <w:rPr>
          <w:rFonts w:ascii="Times New Roman" w:hAnsi="Times New Roman"/>
          <w:lang w:val="en-HK"/>
        </w:rPr>
        <w:t xml:space="preserve"> (buyer).</w:t>
      </w:r>
    </w:p>
    <w:p w14:paraId="438CCE4E" w14:textId="77777777" w:rsidR="001E076B" w:rsidRPr="001E076B" w:rsidRDefault="001E076B" w:rsidP="001E076B">
      <w:pPr>
        <w:numPr>
          <w:ilvl w:val="1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lastRenderedPageBreak/>
        <w:t xml:space="preserve">Once the contract becomes enforceable (e.g., the buyer performs their side of the contract or pays the purchase price), equity treats the </w:t>
      </w:r>
      <w:r w:rsidRPr="001E076B">
        <w:rPr>
          <w:rFonts w:ascii="Times New Roman" w:hAnsi="Times New Roman"/>
          <w:b/>
          <w:bCs/>
          <w:lang w:val="en-HK"/>
        </w:rPr>
        <w:t>vendor as holding the property on trust for the purchaser</w:t>
      </w:r>
      <w:r w:rsidRPr="001E076B">
        <w:rPr>
          <w:rFonts w:ascii="Times New Roman" w:hAnsi="Times New Roman"/>
          <w:lang w:val="en-HK"/>
        </w:rPr>
        <w:t>.</w:t>
      </w:r>
    </w:p>
    <w:p w14:paraId="0BD3595C" w14:textId="77777777" w:rsidR="001E076B" w:rsidRPr="001E076B" w:rsidRDefault="001E076B" w:rsidP="001E076B">
      <w:pPr>
        <w:numPr>
          <w:ilvl w:val="0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Purpose</w:t>
      </w:r>
      <w:r w:rsidRPr="001E076B">
        <w:rPr>
          <w:rFonts w:ascii="Times New Roman" w:hAnsi="Times New Roman"/>
          <w:lang w:val="en-HK"/>
        </w:rPr>
        <w:t>:</w:t>
      </w:r>
    </w:p>
    <w:p w14:paraId="4617DBCA" w14:textId="77777777" w:rsidR="001E076B" w:rsidRPr="001E076B" w:rsidRDefault="001E076B" w:rsidP="001E076B">
      <w:pPr>
        <w:numPr>
          <w:ilvl w:val="1"/>
          <w:numId w:val="9"/>
        </w:numPr>
        <w:spacing w:before="100" w:beforeAutospacing="1" w:after="240" w:line="360" w:lineRule="auto"/>
        <w:rPr>
          <w:rFonts w:ascii="Times New Roman" w:hAnsi="Times New Roman"/>
          <w:b/>
          <w:bCs/>
          <w:color w:val="FF0000"/>
          <w:lang w:val="en-HK"/>
        </w:rPr>
      </w:pPr>
      <w:r w:rsidRPr="001E076B">
        <w:rPr>
          <w:rFonts w:ascii="Times New Roman" w:hAnsi="Times New Roman"/>
          <w:lang w:val="en-HK"/>
        </w:rPr>
        <w:t xml:space="preserve">Ensures </w:t>
      </w:r>
      <w:r w:rsidRPr="001E076B">
        <w:rPr>
          <w:rFonts w:ascii="Times New Roman" w:hAnsi="Times New Roman"/>
          <w:b/>
          <w:bCs/>
          <w:lang w:val="en-HK"/>
        </w:rPr>
        <w:t>the buyer</w:t>
      </w:r>
      <w:r w:rsidRPr="001E076B">
        <w:rPr>
          <w:rFonts w:ascii="Times New Roman" w:hAnsi="Times New Roman"/>
          <w:lang w:val="en-HK"/>
        </w:rPr>
        <w:t xml:space="preserve"> has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enforceable rights to the property before legal title is transferred.</w:t>
      </w:r>
    </w:p>
    <w:p w14:paraId="1C57A528" w14:textId="77777777" w:rsidR="001E076B" w:rsidRPr="001E076B" w:rsidRDefault="001E076B" w:rsidP="001E076B">
      <w:pPr>
        <w:numPr>
          <w:ilvl w:val="1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Balances the rights of both parties:</w:t>
      </w:r>
    </w:p>
    <w:p w14:paraId="6967C206" w14:textId="77777777" w:rsidR="001E076B" w:rsidRPr="001E076B" w:rsidRDefault="001E076B" w:rsidP="001E076B">
      <w:pPr>
        <w:numPr>
          <w:ilvl w:val="2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The </w:t>
      </w:r>
      <w:r w:rsidRPr="001E076B">
        <w:rPr>
          <w:rFonts w:ascii="Times New Roman" w:hAnsi="Times New Roman"/>
          <w:b/>
          <w:bCs/>
          <w:lang w:val="en-HK"/>
        </w:rPr>
        <w:t>vendor retains legal title</w:t>
      </w:r>
      <w:r w:rsidRPr="001E076B">
        <w:rPr>
          <w:rFonts w:ascii="Times New Roman" w:hAnsi="Times New Roman"/>
          <w:lang w:val="en-HK"/>
        </w:rPr>
        <w:t xml:space="preserve"> until the contract is completed.</w:t>
      </w:r>
    </w:p>
    <w:p w14:paraId="4C8B5FDB" w14:textId="77777777" w:rsidR="001E076B" w:rsidRPr="001E076B" w:rsidRDefault="001E076B" w:rsidP="001E076B">
      <w:pPr>
        <w:numPr>
          <w:ilvl w:val="2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The </w:t>
      </w:r>
      <w:r w:rsidRPr="001E076B">
        <w:rPr>
          <w:rFonts w:ascii="Times New Roman" w:hAnsi="Times New Roman"/>
          <w:b/>
          <w:bCs/>
          <w:lang w:val="en-HK"/>
        </w:rPr>
        <w:t>purchaser gains equitable ownership</w:t>
      </w:r>
      <w:r w:rsidRPr="001E076B">
        <w:rPr>
          <w:rFonts w:ascii="Times New Roman" w:hAnsi="Times New Roman"/>
          <w:lang w:val="en-HK"/>
        </w:rPr>
        <w:t>, protecting their interest in the property.</w:t>
      </w:r>
    </w:p>
    <w:p w14:paraId="19E9422E" w14:textId="77777777" w:rsidR="001E076B" w:rsidRPr="001E076B" w:rsidRDefault="001E076B" w:rsidP="001E076B">
      <w:pPr>
        <w:numPr>
          <w:ilvl w:val="0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Core Characteristics</w:t>
      </w:r>
      <w:r w:rsidRPr="001E076B">
        <w:rPr>
          <w:rFonts w:ascii="Times New Roman" w:hAnsi="Times New Roman"/>
          <w:lang w:val="en-HK"/>
        </w:rPr>
        <w:t>:</w:t>
      </w:r>
    </w:p>
    <w:p w14:paraId="249CAE96" w14:textId="77777777" w:rsidR="001E076B" w:rsidRPr="001E076B" w:rsidRDefault="001E076B" w:rsidP="001E076B">
      <w:pPr>
        <w:numPr>
          <w:ilvl w:val="1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The vendor’s duty to transfer the property to the purchaser forms the basis of the trust.</w:t>
      </w:r>
    </w:p>
    <w:p w14:paraId="29E27C19" w14:textId="77777777" w:rsidR="001E076B" w:rsidRPr="001E076B" w:rsidRDefault="001E076B" w:rsidP="001E076B">
      <w:pPr>
        <w:numPr>
          <w:ilvl w:val="1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The trust terminates when legal title is transferred, and ownership is complete.</w:t>
      </w:r>
    </w:p>
    <w:p w14:paraId="70BF891F" w14:textId="77777777" w:rsidR="001E076B" w:rsidRPr="001E076B" w:rsidRDefault="001E076B" w:rsidP="001E076B">
      <w:pPr>
        <w:numPr>
          <w:ilvl w:val="0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Example</w:t>
      </w:r>
      <w:r w:rsidRPr="001E076B">
        <w:rPr>
          <w:rFonts w:ascii="Times New Roman" w:hAnsi="Times New Roman"/>
          <w:lang w:val="en-HK"/>
        </w:rPr>
        <w:t>:</w:t>
      </w:r>
    </w:p>
    <w:p w14:paraId="7EFC5362" w14:textId="77777777" w:rsidR="001E076B" w:rsidRPr="001E076B" w:rsidRDefault="001E076B" w:rsidP="001E076B">
      <w:pPr>
        <w:numPr>
          <w:ilvl w:val="1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If A agrees to sell land to B, once B has fulfilled their obligations (e.g., paid the price), A holds the land on trust for B until formal legal transfer.</w:t>
      </w:r>
    </w:p>
    <w:p w14:paraId="3117D0D0" w14:textId="77777777" w:rsidR="001E076B" w:rsidRPr="001E076B" w:rsidRDefault="00144570" w:rsidP="001E076B">
      <w:pPr>
        <w:spacing w:after="240" w:line="360" w:lineRule="auto"/>
        <w:rPr>
          <w:rFonts w:ascii="Times New Roman" w:hAnsi="Times New Roman"/>
          <w:lang w:val="en-HK"/>
        </w:rPr>
      </w:pPr>
      <w:r w:rsidRPr="00144570">
        <w:rPr>
          <w:rFonts w:ascii="Times New Roman" w:hAnsi="Times New Roman"/>
          <w:noProof/>
          <w:lang w:val="en-HK"/>
          <w14:ligatures w14:val="standardContextual"/>
        </w:rPr>
        <w:pict w14:anchorId="586AAB0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9B278ED" w14:textId="77777777" w:rsidR="001E076B" w:rsidRPr="001E076B" w:rsidRDefault="001E076B" w:rsidP="001E076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Why a VPCT is Controversial in LA Micro</w:t>
      </w:r>
    </w:p>
    <w:p w14:paraId="4ED6133C" w14:textId="77777777" w:rsidR="001E076B" w:rsidRPr="001E076B" w:rsidRDefault="001E076B" w:rsidP="001E076B">
      <w:pPr>
        <w:numPr>
          <w:ilvl w:val="0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The Court's Finding</w:t>
      </w:r>
      <w:r w:rsidRPr="001E076B">
        <w:rPr>
          <w:rFonts w:ascii="Times New Roman" w:hAnsi="Times New Roman"/>
          <w:lang w:val="en-HK"/>
        </w:rPr>
        <w:t>:</w:t>
      </w:r>
    </w:p>
    <w:p w14:paraId="05ACB74C" w14:textId="77777777" w:rsidR="001E076B" w:rsidRPr="001E076B" w:rsidRDefault="001E076B" w:rsidP="001E076B">
      <w:pPr>
        <w:numPr>
          <w:ilvl w:val="1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In </w:t>
      </w:r>
      <w:r w:rsidRPr="001E076B">
        <w:rPr>
          <w:rFonts w:ascii="Times New Roman" w:hAnsi="Times New Roman"/>
          <w:b/>
          <w:bCs/>
          <w:lang w:val="en-HK"/>
        </w:rPr>
        <w:t>LA Micro</w:t>
      </w:r>
      <w:r w:rsidRPr="001E076B">
        <w:rPr>
          <w:rFonts w:ascii="Times New Roman" w:hAnsi="Times New Roman"/>
          <w:lang w:val="en-HK"/>
        </w:rPr>
        <w:t xml:space="preserve">, the Court of Appeal treated the arrangement as involving a VPCT to </w:t>
      </w:r>
      <w:r w:rsidRPr="001E076B">
        <w:rPr>
          <w:rFonts w:ascii="Times New Roman" w:hAnsi="Times New Roman"/>
          <w:b/>
          <w:bCs/>
          <w:lang w:val="en-HK"/>
        </w:rPr>
        <w:t>circumvent the statutory writing requirement</w:t>
      </w:r>
      <w:r w:rsidRPr="001E076B">
        <w:rPr>
          <w:rFonts w:ascii="Times New Roman" w:hAnsi="Times New Roman"/>
          <w:lang w:val="en-HK"/>
        </w:rPr>
        <w:t xml:space="preserve"> under </w:t>
      </w:r>
      <w:r w:rsidRPr="001E076B">
        <w:rPr>
          <w:rFonts w:ascii="Times New Roman" w:hAnsi="Times New Roman"/>
          <w:b/>
          <w:bCs/>
          <w:lang w:val="en-HK"/>
        </w:rPr>
        <w:t>s.53(1)(c)</w:t>
      </w:r>
      <w:r w:rsidRPr="001E076B">
        <w:rPr>
          <w:rFonts w:ascii="Times New Roman" w:hAnsi="Times New Roman"/>
          <w:lang w:val="en-HK"/>
        </w:rPr>
        <w:t xml:space="preserve"> of the </w:t>
      </w:r>
      <w:r w:rsidRPr="001E076B">
        <w:rPr>
          <w:rFonts w:ascii="Times New Roman" w:hAnsi="Times New Roman"/>
          <w:b/>
          <w:bCs/>
          <w:lang w:val="en-HK"/>
        </w:rPr>
        <w:t>Law of Property Act 1925</w:t>
      </w:r>
      <w:r w:rsidRPr="001E076B">
        <w:rPr>
          <w:rFonts w:ascii="Times New Roman" w:hAnsi="Times New Roman"/>
          <w:lang w:val="en-HK"/>
        </w:rPr>
        <w:t>.</w:t>
      </w:r>
    </w:p>
    <w:p w14:paraId="4E00918F" w14:textId="77777777" w:rsidR="001E076B" w:rsidRPr="001E076B" w:rsidRDefault="001E076B" w:rsidP="001E076B">
      <w:pPr>
        <w:numPr>
          <w:ilvl w:val="1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lastRenderedPageBreak/>
        <w:t xml:space="preserve">This allowed the </w:t>
      </w:r>
      <w:r w:rsidRPr="001E076B">
        <w:rPr>
          <w:rFonts w:ascii="Times New Roman" w:hAnsi="Times New Roman"/>
          <w:b/>
          <w:bCs/>
          <w:lang w:val="en-HK"/>
        </w:rPr>
        <w:t>beneficial interest</w:t>
      </w:r>
      <w:r w:rsidRPr="001E076B">
        <w:rPr>
          <w:rFonts w:ascii="Times New Roman" w:hAnsi="Times New Roman"/>
          <w:lang w:val="en-HK"/>
        </w:rPr>
        <w:t xml:space="preserve"> to pass from B (LA Micro Group Inc) to A (Bell) without needing a written instrument.</w:t>
      </w:r>
    </w:p>
    <w:p w14:paraId="06DD0893" w14:textId="77777777" w:rsidR="001E076B" w:rsidRPr="001E076B" w:rsidRDefault="001E076B" w:rsidP="001E076B">
      <w:pPr>
        <w:numPr>
          <w:ilvl w:val="0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The Criticism</w:t>
      </w:r>
      <w:r w:rsidRPr="001E076B">
        <w:rPr>
          <w:rFonts w:ascii="Times New Roman" w:hAnsi="Times New Roman"/>
          <w:lang w:val="en-HK"/>
        </w:rPr>
        <w:t>:</w:t>
      </w:r>
    </w:p>
    <w:p w14:paraId="689E98E9" w14:textId="77777777" w:rsidR="001E076B" w:rsidRPr="001E076B" w:rsidRDefault="001E076B" w:rsidP="001E076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Not a Genuine VPCT</w:t>
      </w:r>
      <w:r w:rsidRPr="001E076B">
        <w:rPr>
          <w:rFonts w:ascii="Times New Roman" w:hAnsi="Times New Roman"/>
          <w:lang w:val="en-HK"/>
        </w:rPr>
        <w:t>:</w:t>
      </w:r>
    </w:p>
    <w:p w14:paraId="275D149D" w14:textId="77777777" w:rsidR="001E076B" w:rsidRPr="001E076B" w:rsidRDefault="001E076B" w:rsidP="001E076B">
      <w:pPr>
        <w:numPr>
          <w:ilvl w:val="2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Scholars argue the VPCT framework is </w:t>
      </w:r>
      <w:r w:rsidRPr="001E076B">
        <w:rPr>
          <w:rFonts w:ascii="Times New Roman" w:hAnsi="Times New Roman"/>
          <w:b/>
          <w:bCs/>
          <w:lang w:val="en-HK"/>
        </w:rPr>
        <w:t>inappropriate</w:t>
      </w:r>
      <w:r w:rsidRPr="001E076B">
        <w:rPr>
          <w:rFonts w:ascii="Times New Roman" w:hAnsi="Times New Roman"/>
          <w:lang w:val="en-HK"/>
        </w:rPr>
        <w:t xml:space="preserve"> for this case because:</w:t>
      </w:r>
    </w:p>
    <w:p w14:paraId="38EC8914" w14:textId="77777777" w:rsidR="001E076B" w:rsidRPr="001E076B" w:rsidRDefault="001E076B" w:rsidP="001E076B">
      <w:pPr>
        <w:numPr>
          <w:ilvl w:val="3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VPCTs are intended for </w:t>
      </w:r>
      <w:r w:rsidRPr="001E076B">
        <w:rPr>
          <w:rFonts w:ascii="Times New Roman" w:hAnsi="Times New Roman"/>
          <w:b/>
          <w:bCs/>
          <w:lang w:val="en-HK"/>
        </w:rPr>
        <w:t>vendor-purchaser relationships</w:t>
      </w:r>
      <w:r w:rsidRPr="001E076B">
        <w:rPr>
          <w:rFonts w:ascii="Times New Roman" w:hAnsi="Times New Roman"/>
          <w:lang w:val="en-HK"/>
        </w:rPr>
        <w:t xml:space="preserve"> where legal title is yet to transfer.</w:t>
      </w:r>
    </w:p>
    <w:p w14:paraId="65538706" w14:textId="77777777" w:rsidR="001E076B" w:rsidRPr="001E076B" w:rsidRDefault="001E076B" w:rsidP="001E076B">
      <w:pPr>
        <w:numPr>
          <w:ilvl w:val="3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In </w:t>
      </w:r>
      <w:r w:rsidRPr="001E076B">
        <w:rPr>
          <w:rFonts w:ascii="Times New Roman" w:hAnsi="Times New Roman"/>
          <w:b/>
          <w:bCs/>
          <w:lang w:val="en-HK"/>
        </w:rPr>
        <w:t>LA Micro</w:t>
      </w:r>
      <w:r w:rsidRPr="001E076B">
        <w:rPr>
          <w:rFonts w:ascii="Times New Roman" w:hAnsi="Times New Roman"/>
          <w:lang w:val="en-HK"/>
        </w:rPr>
        <w:t xml:space="preserve">, Bell already held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both</w:t>
      </w:r>
      <w:r w:rsidRPr="001E076B">
        <w:rPr>
          <w:rFonts w:ascii="Times New Roman" w:hAnsi="Times New Roman"/>
          <w:lang w:val="en-HK"/>
        </w:rPr>
        <w:t xml:space="preserve"> </w:t>
      </w:r>
      <w:r w:rsidRPr="001E076B">
        <w:rPr>
          <w:rFonts w:ascii="Times New Roman" w:hAnsi="Times New Roman"/>
          <w:b/>
          <w:bCs/>
          <w:lang w:val="en-HK"/>
        </w:rPr>
        <w:t>legal title</w:t>
      </w:r>
      <w:r w:rsidRPr="001E076B">
        <w:rPr>
          <w:rFonts w:ascii="Times New Roman" w:hAnsi="Times New Roman"/>
          <w:lang w:val="en-HK"/>
        </w:rPr>
        <w:t xml:space="preserve"> and </w:t>
      </w:r>
      <w:r w:rsidRPr="001E076B">
        <w:rPr>
          <w:rFonts w:ascii="Times New Roman" w:hAnsi="Times New Roman"/>
          <w:b/>
          <w:bCs/>
          <w:lang w:val="en-HK"/>
        </w:rPr>
        <w:t>beneficial interest</w:t>
      </w:r>
      <w:r w:rsidRPr="001E076B">
        <w:rPr>
          <w:rFonts w:ascii="Times New Roman" w:hAnsi="Times New Roman"/>
          <w:lang w:val="en-HK"/>
        </w:rPr>
        <w:t xml:space="preserve"> for LA Micro Group Inc. The transaction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did not</w:t>
      </w:r>
      <w:r w:rsidRPr="001E076B">
        <w:rPr>
          <w:rFonts w:ascii="Times New Roman" w:hAnsi="Times New Roman"/>
          <w:color w:val="FF0000"/>
          <w:lang w:val="en-HK"/>
        </w:rPr>
        <w:t xml:space="preserve"> </w:t>
      </w:r>
      <w:r w:rsidRPr="001E076B">
        <w:rPr>
          <w:rFonts w:ascii="Times New Roman" w:hAnsi="Times New Roman"/>
          <w:lang w:val="en-HK"/>
        </w:rPr>
        <w:t xml:space="preserve">involve a </w:t>
      </w:r>
      <w:r w:rsidRPr="001E076B">
        <w:rPr>
          <w:rFonts w:ascii="Times New Roman" w:hAnsi="Times New Roman"/>
          <w:b/>
          <w:bCs/>
          <w:lang w:val="en-HK"/>
        </w:rPr>
        <w:t>sale of property</w:t>
      </w:r>
      <w:r w:rsidRPr="001E076B">
        <w:rPr>
          <w:rFonts w:ascii="Times New Roman" w:hAnsi="Times New Roman"/>
          <w:lang w:val="en-HK"/>
        </w:rPr>
        <w:t>.</w:t>
      </w:r>
    </w:p>
    <w:p w14:paraId="506FEB50" w14:textId="77777777" w:rsidR="001E076B" w:rsidRPr="001E076B" w:rsidRDefault="001E076B" w:rsidP="001E076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Backward Reasoning</w:t>
      </w:r>
      <w:r w:rsidRPr="001E076B">
        <w:rPr>
          <w:rFonts w:ascii="Times New Roman" w:hAnsi="Times New Roman"/>
          <w:lang w:val="en-HK"/>
        </w:rPr>
        <w:t>:</w:t>
      </w:r>
    </w:p>
    <w:p w14:paraId="70A338BF" w14:textId="77777777" w:rsidR="001E076B" w:rsidRPr="001E076B" w:rsidRDefault="001E076B" w:rsidP="001E076B">
      <w:pPr>
        <w:numPr>
          <w:ilvl w:val="2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Professor </w:t>
      </w:r>
      <w:r w:rsidRPr="001E076B">
        <w:rPr>
          <w:rFonts w:ascii="Times New Roman" w:hAnsi="Times New Roman"/>
          <w:b/>
          <w:bCs/>
          <w:lang w:val="en-HK"/>
        </w:rPr>
        <w:t xml:space="preserve">William </w:t>
      </w:r>
      <w:proofErr w:type="spellStart"/>
      <w:r w:rsidRPr="001E076B">
        <w:rPr>
          <w:rFonts w:ascii="Times New Roman" w:hAnsi="Times New Roman"/>
          <w:b/>
          <w:bCs/>
          <w:lang w:val="en-HK"/>
        </w:rPr>
        <w:t>Swadling</w:t>
      </w:r>
      <w:proofErr w:type="spellEnd"/>
      <w:r w:rsidRPr="001E076B">
        <w:rPr>
          <w:rFonts w:ascii="Times New Roman" w:hAnsi="Times New Roman"/>
          <w:lang w:val="en-HK"/>
        </w:rPr>
        <w:t xml:space="preserve"> critiques the use of VPCTs in such cases, arguing that:</w:t>
      </w:r>
    </w:p>
    <w:p w14:paraId="40C4EBAD" w14:textId="77777777" w:rsidR="001E076B" w:rsidRPr="001E076B" w:rsidRDefault="001E076B" w:rsidP="001E076B">
      <w:pPr>
        <w:numPr>
          <w:ilvl w:val="3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A VPCT is improperly applied when used as a justification for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transferring property,</w:t>
      </w:r>
      <w:r w:rsidRPr="001E076B">
        <w:rPr>
          <w:rFonts w:ascii="Times New Roman" w:hAnsi="Times New Roman"/>
          <w:color w:val="FF0000"/>
          <w:lang w:val="en-HK"/>
        </w:rPr>
        <w:t xml:space="preserve"> </w:t>
      </w:r>
      <w:r w:rsidRPr="001E076B">
        <w:rPr>
          <w:rFonts w:ascii="Times New Roman" w:hAnsi="Times New Roman"/>
          <w:lang w:val="en-HK"/>
        </w:rPr>
        <w:t>rather than as a consequence of a specific duty.</w:t>
      </w:r>
    </w:p>
    <w:p w14:paraId="5D922217" w14:textId="77777777" w:rsidR="001E076B" w:rsidRPr="001E076B" w:rsidRDefault="001E076B" w:rsidP="001E076B">
      <w:pPr>
        <w:numPr>
          <w:ilvl w:val="2"/>
          <w:numId w:val="1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The trust in </w:t>
      </w:r>
      <w:r w:rsidRPr="001E076B">
        <w:rPr>
          <w:rFonts w:ascii="Times New Roman" w:hAnsi="Times New Roman"/>
          <w:b/>
          <w:bCs/>
          <w:lang w:val="en-HK"/>
        </w:rPr>
        <w:t>LA Micro</w:t>
      </w:r>
      <w:r w:rsidRPr="001E076B">
        <w:rPr>
          <w:rFonts w:ascii="Times New Roman" w:hAnsi="Times New Roman"/>
          <w:lang w:val="en-HK"/>
        </w:rPr>
        <w:t xml:space="preserve"> appears to have been a construct of the Court, rather than arising naturally from a contractual duty to transfer.</w:t>
      </w:r>
    </w:p>
    <w:p w14:paraId="4A32A8D1" w14:textId="77777777" w:rsidR="001E076B" w:rsidRPr="001E076B" w:rsidRDefault="00144570" w:rsidP="001E076B">
      <w:pPr>
        <w:spacing w:after="240" w:line="360" w:lineRule="auto"/>
        <w:rPr>
          <w:rFonts w:ascii="Times New Roman" w:hAnsi="Times New Roman"/>
          <w:lang w:val="en-HK"/>
        </w:rPr>
      </w:pPr>
      <w:r w:rsidRPr="00144570">
        <w:rPr>
          <w:rFonts w:ascii="Times New Roman" w:hAnsi="Times New Roman"/>
          <w:noProof/>
          <w:lang w:val="en-HK"/>
          <w14:ligatures w14:val="standardContextual"/>
        </w:rPr>
        <w:pict w14:anchorId="0F31139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4833950" w14:textId="77777777" w:rsidR="001E076B" w:rsidRPr="001E076B" w:rsidRDefault="001E076B" w:rsidP="001E076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Why the Case Should Not Be a VPCT Case</w:t>
      </w:r>
    </w:p>
    <w:p w14:paraId="093A6E4F" w14:textId="77777777" w:rsidR="001E076B" w:rsidRPr="001E076B" w:rsidRDefault="001E076B" w:rsidP="001E076B">
      <w:pPr>
        <w:numPr>
          <w:ilvl w:val="0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Conceptual Misalignment</w:t>
      </w:r>
      <w:r w:rsidRPr="001E076B">
        <w:rPr>
          <w:rFonts w:ascii="Times New Roman" w:hAnsi="Times New Roman"/>
          <w:lang w:val="en-HK"/>
        </w:rPr>
        <w:t>:</w:t>
      </w:r>
    </w:p>
    <w:p w14:paraId="21A681AD" w14:textId="77777777" w:rsidR="001E076B" w:rsidRPr="001E076B" w:rsidRDefault="001E076B" w:rsidP="001E076B">
      <w:pPr>
        <w:numPr>
          <w:ilvl w:val="1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VPCTs are designed to enforce property transfer in </w:t>
      </w:r>
      <w:r w:rsidRPr="001E076B">
        <w:rPr>
          <w:rFonts w:ascii="Times New Roman" w:hAnsi="Times New Roman"/>
          <w:b/>
          <w:bCs/>
          <w:lang w:val="en-HK"/>
        </w:rPr>
        <w:t>sales contracts</w:t>
      </w:r>
      <w:r w:rsidRPr="001E076B">
        <w:rPr>
          <w:rFonts w:ascii="Times New Roman" w:hAnsi="Times New Roman"/>
          <w:lang w:val="en-HK"/>
        </w:rPr>
        <w:t xml:space="preserve">, not in trust restructures like </w:t>
      </w:r>
      <w:r w:rsidRPr="001E076B">
        <w:rPr>
          <w:rFonts w:ascii="Times New Roman" w:hAnsi="Times New Roman"/>
          <w:b/>
          <w:bCs/>
          <w:lang w:val="en-HK"/>
        </w:rPr>
        <w:t>A → B → A</w:t>
      </w:r>
      <w:r w:rsidRPr="001E076B">
        <w:rPr>
          <w:rFonts w:ascii="Times New Roman" w:hAnsi="Times New Roman"/>
          <w:lang w:val="en-HK"/>
        </w:rPr>
        <w:t>.</w:t>
      </w:r>
    </w:p>
    <w:p w14:paraId="0BC98D70" w14:textId="77777777" w:rsidR="001E076B" w:rsidRPr="001E076B" w:rsidRDefault="001E076B" w:rsidP="001E076B">
      <w:pPr>
        <w:numPr>
          <w:ilvl w:val="1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lastRenderedPageBreak/>
        <w:t xml:space="preserve">In this case, there was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no vendor-purchaser relationship</w:t>
      </w:r>
      <w:r w:rsidRPr="001E076B">
        <w:rPr>
          <w:rFonts w:ascii="Times New Roman" w:hAnsi="Times New Roman"/>
          <w:color w:val="FF0000"/>
          <w:lang w:val="en-HK"/>
        </w:rPr>
        <w:t xml:space="preserve"> </w:t>
      </w:r>
      <w:r w:rsidRPr="001E076B">
        <w:rPr>
          <w:rFonts w:ascii="Times New Roman" w:hAnsi="Times New Roman"/>
          <w:lang w:val="en-HK"/>
        </w:rPr>
        <w:t>between Bell and LA Micro Group Inc.</w:t>
      </w:r>
    </w:p>
    <w:p w14:paraId="4E43AF05" w14:textId="77777777" w:rsidR="001E076B" w:rsidRPr="001E076B" w:rsidRDefault="001E076B" w:rsidP="001E076B">
      <w:pPr>
        <w:numPr>
          <w:ilvl w:val="0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Better Alternatives</w:t>
      </w:r>
      <w:r w:rsidRPr="001E076B">
        <w:rPr>
          <w:rFonts w:ascii="Times New Roman" w:hAnsi="Times New Roman"/>
          <w:lang w:val="en-HK"/>
        </w:rPr>
        <w:t>:</w:t>
      </w:r>
    </w:p>
    <w:p w14:paraId="159E288A" w14:textId="77777777" w:rsidR="001E076B" w:rsidRPr="001E076B" w:rsidRDefault="001E076B" w:rsidP="001E076B">
      <w:pPr>
        <w:numPr>
          <w:ilvl w:val="1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The authors suggest the result in </w:t>
      </w:r>
      <w:r w:rsidRPr="001E076B">
        <w:rPr>
          <w:rFonts w:ascii="Times New Roman" w:hAnsi="Times New Roman"/>
          <w:b/>
          <w:bCs/>
          <w:lang w:val="en-HK"/>
        </w:rPr>
        <w:t>LA Micro</w:t>
      </w:r>
      <w:r w:rsidRPr="001E076B">
        <w:rPr>
          <w:rFonts w:ascii="Times New Roman" w:hAnsi="Times New Roman"/>
          <w:lang w:val="en-HK"/>
        </w:rPr>
        <w:t xml:space="preserve"> should be treated as a </w:t>
      </w:r>
      <w:r w:rsidRPr="001E076B">
        <w:rPr>
          <w:rFonts w:ascii="Times New Roman" w:hAnsi="Times New Roman"/>
          <w:b/>
          <w:bCs/>
          <w:lang w:val="en-HK"/>
        </w:rPr>
        <w:t>sui generis equitable order</w:t>
      </w:r>
      <w:r w:rsidRPr="001E076B">
        <w:rPr>
          <w:rFonts w:ascii="Times New Roman" w:hAnsi="Times New Roman"/>
          <w:lang w:val="en-HK"/>
        </w:rPr>
        <w:t>:</w:t>
      </w:r>
    </w:p>
    <w:p w14:paraId="6F85E1D0" w14:textId="77777777" w:rsidR="001E076B" w:rsidRPr="001E076B" w:rsidRDefault="001E076B" w:rsidP="001E076B">
      <w:pPr>
        <w:numPr>
          <w:ilvl w:val="2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A unique remedy tailored to the case, bypassing the conceptual difficulties of a VPCT or sub-trust.</w:t>
      </w:r>
    </w:p>
    <w:p w14:paraId="7E34E4CA" w14:textId="77777777" w:rsidR="001E076B" w:rsidRPr="001E076B" w:rsidRDefault="001E076B" w:rsidP="001E076B">
      <w:pPr>
        <w:numPr>
          <w:ilvl w:val="0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Practicality over Theory</w:t>
      </w:r>
      <w:r w:rsidRPr="001E076B">
        <w:rPr>
          <w:rFonts w:ascii="Times New Roman" w:hAnsi="Times New Roman"/>
          <w:lang w:val="en-HK"/>
        </w:rPr>
        <w:t>:</w:t>
      </w:r>
    </w:p>
    <w:p w14:paraId="4E3A1FBB" w14:textId="77777777" w:rsidR="001E076B" w:rsidRPr="001E076B" w:rsidRDefault="001E076B" w:rsidP="001E076B">
      <w:pPr>
        <w:numPr>
          <w:ilvl w:val="1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The Court's reasoning was motivated by achieving fairness, but it strained the principles of VPCTs.</w:t>
      </w:r>
    </w:p>
    <w:p w14:paraId="26E016A3" w14:textId="77777777" w:rsidR="001E076B" w:rsidRPr="001E076B" w:rsidRDefault="001E076B" w:rsidP="001E076B">
      <w:pPr>
        <w:numPr>
          <w:ilvl w:val="1"/>
          <w:numId w:val="1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A VPCT label is inappropriate since the underlying structure lacked the defining features of vendor-purchaser relationships.</w:t>
      </w:r>
    </w:p>
    <w:p w14:paraId="3EE8EF48" w14:textId="2FBDEE14" w:rsidR="001E076B" w:rsidRPr="001E076B" w:rsidRDefault="00144570" w:rsidP="001E076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44570">
        <w:rPr>
          <w:rFonts w:ascii="Times New Roman" w:hAnsi="Times New Roman"/>
          <w:noProof/>
          <w:lang w:val="en-HK"/>
          <w14:ligatures w14:val="standardContextual"/>
        </w:rPr>
        <w:pict w14:anchorId="246331E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EEAE56" w14:textId="29D3D6EC" w:rsidR="006E2819" w:rsidRPr="001E076B" w:rsidRDefault="006E2819" w:rsidP="001E076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Case Summary</w:t>
      </w:r>
    </w:p>
    <w:p w14:paraId="45A2DB1B" w14:textId="77777777" w:rsidR="006E2819" w:rsidRPr="001E076B" w:rsidRDefault="006E2819" w:rsidP="001E076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Facts:</w:t>
      </w:r>
    </w:p>
    <w:p w14:paraId="13BC67B0" w14:textId="77777777" w:rsidR="006E2819" w:rsidRPr="001E076B" w:rsidRDefault="006E2819" w:rsidP="001E076B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Parties and Shares</w:t>
      </w:r>
      <w:r w:rsidRPr="001E076B">
        <w:rPr>
          <w:rFonts w:ascii="Times New Roman" w:hAnsi="Times New Roman"/>
          <w:lang w:val="en-HK"/>
        </w:rPr>
        <w:t>:</w:t>
      </w:r>
    </w:p>
    <w:p w14:paraId="3DE28C5A" w14:textId="77777777" w:rsidR="006E2819" w:rsidRPr="001E076B" w:rsidRDefault="006E2819" w:rsidP="001E076B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LA Micro Group (UK) Ltd (the "Company") had two issued shares:</w:t>
      </w:r>
    </w:p>
    <w:p w14:paraId="372F2220" w14:textId="77777777" w:rsidR="006E2819" w:rsidRPr="001E076B" w:rsidRDefault="006E2819" w:rsidP="001E076B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One held by </w:t>
      </w:r>
      <w:r w:rsidRPr="001E076B">
        <w:rPr>
          <w:rFonts w:ascii="Times New Roman" w:hAnsi="Times New Roman"/>
          <w:b/>
          <w:bCs/>
          <w:lang w:val="en-HK"/>
        </w:rPr>
        <w:t>Bell</w:t>
      </w:r>
      <w:r w:rsidRPr="001E076B">
        <w:rPr>
          <w:rFonts w:ascii="Times New Roman" w:hAnsi="Times New Roman"/>
          <w:lang w:val="en-HK"/>
        </w:rPr>
        <w:t>.</w:t>
      </w:r>
    </w:p>
    <w:p w14:paraId="263CFFC4" w14:textId="77777777" w:rsidR="006E2819" w:rsidRPr="001E076B" w:rsidRDefault="006E2819" w:rsidP="001E076B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One held by </w:t>
      </w:r>
      <w:proofErr w:type="spellStart"/>
      <w:r w:rsidRPr="001E076B">
        <w:rPr>
          <w:rFonts w:ascii="Times New Roman" w:hAnsi="Times New Roman"/>
          <w:b/>
          <w:bCs/>
          <w:lang w:val="en-HK"/>
        </w:rPr>
        <w:t>Lyampert</w:t>
      </w:r>
      <w:proofErr w:type="spellEnd"/>
      <w:r w:rsidRPr="001E076B">
        <w:rPr>
          <w:rFonts w:ascii="Times New Roman" w:hAnsi="Times New Roman"/>
          <w:lang w:val="en-HK"/>
        </w:rPr>
        <w:t>.</w:t>
      </w:r>
    </w:p>
    <w:p w14:paraId="0D2CC963" w14:textId="77777777" w:rsidR="006E2819" w:rsidRPr="001E076B" w:rsidRDefault="006E2819" w:rsidP="001E076B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These shares were held under an </w:t>
      </w:r>
      <w:r w:rsidRPr="001E076B">
        <w:rPr>
          <w:rFonts w:ascii="Times New Roman" w:hAnsi="Times New Roman"/>
          <w:b/>
          <w:bCs/>
          <w:lang w:val="en-HK"/>
        </w:rPr>
        <w:t>express trust</w:t>
      </w:r>
      <w:r w:rsidRPr="001E076B">
        <w:rPr>
          <w:rFonts w:ascii="Times New Roman" w:hAnsi="Times New Roman"/>
          <w:lang w:val="en-HK"/>
        </w:rPr>
        <w:t>:</w:t>
      </w:r>
    </w:p>
    <w:p w14:paraId="0A36A3E0" w14:textId="77777777" w:rsidR="006E2819" w:rsidRPr="001E076B" w:rsidRDefault="006E2819" w:rsidP="001E076B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Bell’s share: 49% for Bell, 51% for LA Micro Group Inc (partly owned by </w:t>
      </w:r>
      <w:proofErr w:type="spellStart"/>
      <w:r w:rsidRPr="001E076B">
        <w:rPr>
          <w:rFonts w:ascii="Times New Roman" w:hAnsi="Times New Roman"/>
          <w:lang w:val="en-HK"/>
        </w:rPr>
        <w:t>Lyampert</w:t>
      </w:r>
      <w:proofErr w:type="spellEnd"/>
      <w:r w:rsidRPr="001E076B">
        <w:rPr>
          <w:rFonts w:ascii="Times New Roman" w:hAnsi="Times New Roman"/>
          <w:lang w:val="en-HK"/>
        </w:rPr>
        <w:t>).</w:t>
      </w:r>
    </w:p>
    <w:p w14:paraId="6D3971BC" w14:textId="77777777" w:rsidR="006E2819" w:rsidRPr="001E076B" w:rsidRDefault="006E2819" w:rsidP="001E076B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1E076B">
        <w:rPr>
          <w:rFonts w:ascii="Times New Roman" w:hAnsi="Times New Roman"/>
          <w:lang w:val="en-HK"/>
        </w:rPr>
        <w:t>Lyampert’s</w:t>
      </w:r>
      <w:proofErr w:type="spellEnd"/>
      <w:r w:rsidRPr="001E076B">
        <w:rPr>
          <w:rFonts w:ascii="Times New Roman" w:hAnsi="Times New Roman"/>
          <w:lang w:val="en-HK"/>
        </w:rPr>
        <w:t xml:space="preserve"> share: 51% for LA Micro Group Inc and 49% for Bell.</w:t>
      </w:r>
    </w:p>
    <w:p w14:paraId="4FCD1D53" w14:textId="77777777" w:rsidR="006E2819" w:rsidRPr="001E076B" w:rsidRDefault="006E2819" w:rsidP="001E076B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The 2010 Agreement</w:t>
      </w:r>
      <w:r w:rsidRPr="001E076B">
        <w:rPr>
          <w:rFonts w:ascii="Times New Roman" w:hAnsi="Times New Roman"/>
          <w:lang w:val="en-HK"/>
        </w:rPr>
        <w:t>:</w:t>
      </w:r>
    </w:p>
    <w:p w14:paraId="0AEAE5E0" w14:textId="77777777" w:rsidR="006E2819" w:rsidRPr="001E076B" w:rsidRDefault="006E2819" w:rsidP="001E076B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lastRenderedPageBreak/>
        <w:t xml:space="preserve">An </w:t>
      </w:r>
      <w:r w:rsidRPr="001E076B">
        <w:rPr>
          <w:rFonts w:ascii="Times New Roman" w:hAnsi="Times New Roman"/>
          <w:b/>
          <w:bCs/>
          <w:lang w:val="en-HK"/>
        </w:rPr>
        <w:t>oral agreement</w:t>
      </w:r>
      <w:r w:rsidRPr="001E076B">
        <w:rPr>
          <w:rFonts w:ascii="Times New Roman" w:hAnsi="Times New Roman"/>
          <w:lang w:val="en-HK"/>
        </w:rPr>
        <w:t xml:space="preserve"> between Bell and </w:t>
      </w:r>
      <w:proofErr w:type="spellStart"/>
      <w:r w:rsidRPr="001E076B">
        <w:rPr>
          <w:rFonts w:ascii="Times New Roman" w:hAnsi="Times New Roman"/>
          <w:lang w:val="en-HK"/>
        </w:rPr>
        <w:t>Lyampert</w:t>
      </w:r>
      <w:proofErr w:type="spellEnd"/>
      <w:r w:rsidRPr="001E076B">
        <w:rPr>
          <w:rFonts w:ascii="Times New Roman" w:hAnsi="Times New Roman"/>
          <w:lang w:val="en-HK"/>
        </w:rPr>
        <w:t>:</w:t>
      </w:r>
    </w:p>
    <w:p w14:paraId="70818B5A" w14:textId="77777777" w:rsidR="006E2819" w:rsidRPr="001E076B" w:rsidRDefault="006E2819" w:rsidP="001E076B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Bell’s share: The 51% beneficial interest held by LA Micro Group Inc would be transferred to Bell, making him the </w:t>
      </w:r>
      <w:r w:rsidRPr="001E076B">
        <w:rPr>
          <w:rFonts w:ascii="Times New Roman" w:hAnsi="Times New Roman"/>
          <w:b/>
          <w:bCs/>
          <w:lang w:val="en-HK"/>
        </w:rPr>
        <w:t>sole legal and beneficial owner</w:t>
      </w:r>
      <w:r w:rsidRPr="001E076B">
        <w:rPr>
          <w:rFonts w:ascii="Times New Roman" w:hAnsi="Times New Roman"/>
          <w:lang w:val="en-HK"/>
        </w:rPr>
        <w:t>.</w:t>
      </w:r>
    </w:p>
    <w:p w14:paraId="34CBF8C0" w14:textId="77777777" w:rsidR="006E2819" w:rsidRPr="001E076B" w:rsidRDefault="006E2819" w:rsidP="001E076B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1E076B">
        <w:rPr>
          <w:rFonts w:ascii="Times New Roman" w:hAnsi="Times New Roman"/>
          <w:lang w:val="en-HK"/>
        </w:rPr>
        <w:t>Lyampert’s</w:t>
      </w:r>
      <w:proofErr w:type="spellEnd"/>
      <w:r w:rsidRPr="001E076B">
        <w:rPr>
          <w:rFonts w:ascii="Times New Roman" w:hAnsi="Times New Roman"/>
          <w:lang w:val="en-HK"/>
        </w:rPr>
        <w:t xml:space="preserve"> share: Both Bell’s 49% and LA Micro Group Inc’s 51% beneficial interest would transfer to </w:t>
      </w:r>
      <w:proofErr w:type="spellStart"/>
      <w:r w:rsidRPr="001E076B">
        <w:rPr>
          <w:rFonts w:ascii="Times New Roman" w:hAnsi="Times New Roman"/>
          <w:lang w:val="en-HK"/>
        </w:rPr>
        <w:t>Lyampert</w:t>
      </w:r>
      <w:proofErr w:type="spellEnd"/>
      <w:r w:rsidRPr="001E076B">
        <w:rPr>
          <w:rFonts w:ascii="Times New Roman" w:hAnsi="Times New Roman"/>
          <w:lang w:val="en-HK"/>
        </w:rPr>
        <w:t>.</w:t>
      </w:r>
    </w:p>
    <w:p w14:paraId="1012BDBD" w14:textId="77777777" w:rsidR="006E2819" w:rsidRPr="001E076B" w:rsidRDefault="006E2819" w:rsidP="001E076B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The agreement failed to meet the </w:t>
      </w:r>
      <w:r w:rsidRPr="001E076B">
        <w:rPr>
          <w:rFonts w:ascii="Times New Roman" w:hAnsi="Times New Roman"/>
          <w:b/>
          <w:bCs/>
          <w:lang w:val="en-HK"/>
        </w:rPr>
        <w:t>written formality requirements</w:t>
      </w:r>
      <w:r w:rsidRPr="001E076B">
        <w:rPr>
          <w:rFonts w:ascii="Times New Roman" w:hAnsi="Times New Roman"/>
          <w:lang w:val="en-HK"/>
        </w:rPr>
        <w:t xml:space="preserve"> under </w:t>
      </w:r>
      <w:r w:rsidRPr="001E076B">
        <w:rPr>
          <w:rFonts w:ascii="Times New Roman" w:hAnsi="Times New Roman"/>
          <w:b/>
          <w:bCs/>
          <w:lang w:val="en-HK"/>
        </w:rPr>
        <w:t>s.53(1)(c)</w:t>
      </w:r>
      <w:r w:rsidRPr="001E076B">
        <w:rPr>
          <w:rFonts w:ascii="Times New Roman" w:hAnsi="Times New Roman"/>
          <w:lang w:val="en-HK"/>
        </w:rPr>
        <w:t xml:space="preserve"> of the </w:t>
      </w:r>
      <w:r w:rsidRPr="001E076B">
        <w:rPr>
          <w:rFonts w:ascii="Times New Roman" w:hAnsi="Times New Roman"/>
          <w:b/>
          <w:bCs/>
          <w:lang w:val="en-HK"/>
        </w:rPr>
        <w:t>Law of Property Act 1925</w:t>
      </w:r>
      <w:r w:rsidRPr="001E076B">
        <w:rPr>
          <w:rFonts w:ascii="Times New Roman" w:hAnsi="Times New Roman"/>
          <w:lang w:val="en-HK"/>
        </w:rPr>
        <w:t xml:space="preserve"> for disposing of equitable interests.</w:t>
      </w:r>
    </w:p>
    <w:p w14:paraId="3A05A2EC" w14:textId="77777777" w:rsidR="006E2819" w:rsidRPr="001E076B" w:rsidRDefault="006E2819" w:rsidP="001E076B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Key Legal Issue</w:t>
      </w:r>
      <w:r w:rsidRPr="001E076B">
        <w:rPr>
          <w:rFonts w:ascii="Times New Roman" w:hAnsi="Times New Roman"/>
          <w:lang w:val="en-HK"/>
        </w:rPr>
        <w:t>:</w:t>
      </w:r>
    </w:p>
    <w:p w14:paraId="05481879" w14:textId="77777777" w:rsidR="006E2819" w:rsidRPr="001E076B" w:rsidRDefault="006E2819" w:rsidP="001E076B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Whether a </w:t>
      </w:r>
      <w:r w:rsidRPr="001E076B">
        <w:rPr>
          <w:rFonts w:ascii="Times New Roman" w:hAnsi="Times New Roman"/>
          <w:b/>
          <w:bCs/>
          <w:lang w:val="en-HK"/>
        </w:rPr>
        <w:t>Vendor–Purchaser Constructive Trust (VPCT)</w:t>
      </w:r>
      <w:r w:rsidRPr="001E076B">
        <w:rPr>
          <w:rFonts w:ascii="Times New Roman" w:hAnsi="Times New Roman"/>
          <w:lang w:val="en-HK"/>
        </w:rPr>
        <w:t xml:space="preserve"> could arise for the 51% beneficial interest in Bell’s share, bypassing the writing requirement of s.53(1)(c).</w:t>
      </w:r>
    </w:p>
    <w:p w14:paraId="39DF7A2D" w14:textId="77777777" w:rsidR="006E2819" w:rsidRPr="001E076B" w:rsidRDefault="006E2819" w:rsidP="001E076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Court’s Decision:</w:t>
      </w:r>
    </w:p>
    <w:p w14:paraId="4D5EEE3B" w14:textId="77777777" w:rsidR="006E2819" w:rsidRPr="001E076B" w:rsidRDefault="006E2819" w:rsidP="001E076B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Judgment</w:t>
      </w:r>
      <w:r w:rsidRPr="001E076B">
        <w:rPr>
          <w:rFonts w:ascii="Times New Roman" w:hAnsi="Times New Roman"/>
          <w:lang w:val="en-HK"/>
        </w:rPr>
        <w:t>:</w:t>
      </w:r>
    </w:p>
    <w:p w14:paraId="4DE63E20" w14:textId="77777777" w:rsidR="006E2819" w:rsidRPr="001E076B" w:rsidRDefault="006E2819" w:rsidP="001E076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The </w:t>
      </w:r>
      <w:r w:rsidRPr="001E076B">
        <w:rPr>
          <w:rFonts w:ascii="Times New Roman" w:hAnsi="Times New Roman"/>
          <w:b/>
          <w:bCs/>
          <w:lang w:val="en-HK"/>
        </w:rPr>
        <w:t>Court of Appeal</w:t>
      </w:r>
      <w:r w:rsidRPr="001E076B">
        <w:rPr>
          <w:rFonts w:ascii="Times New Roman" w:hAnsi="Times New Roman"/>
          <w:lang w:val="en-HK"/>
        </w:rPr>
        <w:t xml:space="preserve"> held that a VPCT did arise, allowing the beneficial interest to transfer without written documentation.</w:t>
      </w:r>
    </w:p>
    <w:p w14:paraId="14EA32A9" w14:textId="77777777" w:rsidR="006E2819" w:rsidRPr="001E076B" w:rsidRDefault="006E2819" w:rsidP="001E076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Circular Trust Structure</w:t>
      </w:r>
      <w:r w:rsidRPr="001E076B">
        <w:rPr>
          <w:rFonts w:ascii="Times New Roman" w:hAnsi="Times New Roman"/>
          <w:lang w:val="en-HK"/>
        </w:rPr>
        <w:t>:</w:t>
      </w:r>
    </w:p>
    <w:p w14:paraId="77A6397C" w14:textId="77777777" w:rsidR="006E2819" w:rsidRPr="001E076B" w:rsidRDefault="006E2819" w:rsidP="001E076B">
      <w:pPr>
        <w:numPr>
          <w:ilvl w:val="2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Bell (A) held the share on trust for LA Micro Group Inc (B).</w:t>
      </w:r>
    </w:p>
    <w:p w14:paraId="3EF83DD0" w14:textId="77777777" w:rsidR="006E2819" w:rsidRPr="001E076B" w:rsidRDefault="006E2819" w:rsidP="001E076B">
      <w:pPr>
        <w:numPr>
          <w:ilvl w:val="2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Under the VPCT, LA Micro Group Inc (B) held its interest on trust for Bell (A).</w:t>
      </w:r>
    </w:p>
    <w:p w14:paraId="54682077" w14:textId="77777777" w:rsidR="006E2819" w:rsidRPr="001E076B" w:rsidRDefault="006E2819" w:rsidP="001E076B">
      <w:pPr>
        <w:numPr>
          <w:ilvl w:val="2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This resulted in B "dropping out," merging Bell’s legal and beneficial ownership.</w:t>
      </w:r>
    </w:p>
    <w:p w14:paraId="39B24F25" w14:textId="77777777" w:rsidR="006E2819" w:rsidRPr="001E076B" w:rsidRDefault="006E2819" w:rsidP="001E076B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Key Opinions</w:t>
      </w:r>
      <w:r w:rsidRPr="001E076B">
        <w:rPr>
          <w:rFonts w:ascii="Times New Roman" w:hAnsi="Times New Roman"/>
          <w:lang w:val="en-HK"/>
        </w:rPr>
        <w:t>:</w:t>
      </w:r>
    </w:p>
    <w:p w14:paraId="08931716" w14:textId="77777777" w:rsidR="006E2819" w:rsidRPr="001E076B" w:rsidRDefault="006E2819" w:rsidP="001E076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 xml:space="preserve">Lord Justice </w:t>
      </w:r>
      <w:proofErr w:type="spellStart"/>
      <w:r w:rsidRPr="001E076B">
        <w:rPr>
          <w:rFonts w:ascii="Times New Roman" w:hAnsi="Times New Roman"/>
          <w:b/>
          <w:bCs/>
          <w:lang w:val="en-HK"/>
        </w:rPr>
        <w:t>Nugee</w:t>
      </w:r>
      <w:proofErr w:type="spellEnd"/>
      <w:r w:rsidRPr="001E076B">
        <w:rPr>
          <w:rFonts w:ascii="Times New Roman" w:hAnsi="Times New Roman"/>
          <w:lang w:val="en-HK"/>
        </w:rPr>
        <w:t xml:space="preserve"> (Leading Judgment):</w:t>
      </w:r>
    </w:p>
    <w:p w14:paraId="0DE955E7" w14:textId="77777777" w:rsidR="006E2819" w:rsidRPr="001E076B" w:rsidRDefault="006E2819" w:rsidP="001E076B">
      <w:pPr>
        <w:numPr>
          <w:ilvl w:val="2"/>
          <w:numId w:val="2"/>
        </w:numPr>
        <w:spacing w:before="240" w:after="240" w:line="360" w:lineRule="auto"/>
        <w:rPr>
          <w:rFonts w:ascii="Times New Roman" w:hAnsi="Times New Roman"/>
          <w:color w:val="FF0000"/>
          <w:lang w:val="en-HK"/>
        </w:rPr>
      </w:pPr>
      <w:r w:rsidRPr="001E076B">
        <w:rPr>
          <w:rFonts w:ascii="Times New Roman" w:hAnsi="Times New Roman"/>
          <w:color w:val="FF0000"/>
          <w:lang w:val="en-HK"/>
        </w:rPr>
        <w:t xml:space="preserve">Sub-trusts </w:t>
      </w:r>
      <w:r w:rsidRPr="001E076B">
        <w:rPr>
          <w:rFonts w:ascii="Times New Roman" w:hAnsi="Times New Roman"/>
          <w:color w:val="000000" w:themeColor="text1"/>
          <w:lang w:val="en-HK"/>
        </w:rPr>
        <w:t xml:space="preserve">where A holds for B, and B for A, lead to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B "dropping out</w:t>
      </w:r>
      <w:r w:rsidRPr="001E076B">
        <w:rPr>
          <w:rFonts w:ascii="Times New Roman" w:hAnsi="Times New Roman"/>
          <w:color w:val="FF0000"/>
          <w:lang w:val="en-HK"/>
        </w:rPr>
        <w:t xml:space="preserve">"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upon completion</w:t>
      </w:r>
      <w:r w:rsidRPr="001E076B">
        <w:rPr>
          <w:rFonts w:ascii="Times New Roman" w:hAnsi="Times New Roman"/>
          <w:color w:val="FF0000"/>
          <w:lang w:val="en-HK"/>
        </w:rPr>
        <w:t>.</w:t>
      </w:r>
    </w:p>
    <w:p w14:paraId="4B912727" w14:textId="77777777" w:rsidR="006E2819" w:rsidRPr="001E076B" w:rsidRDefault="006E2819" w:rsidP="001E076B">
      <w:pPr>
        <w:numPr>
          <w:ilvl w:val="2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color w:val="FF0000"/>
          <w:lang w:val="en-HK"/>
        </w:rPr>
        <w:lastRenderedPageBreak/>
        <w:t xml:space="preserve">A cannot hold property on trust for himself, </w:t>
      </w:r>
      <w:r w:rsidRPr="001E076B">
        <w:rPr>
          <w:rFonts w:ascii="Times New Roman" w:hAnsi="Times New Roman"/>
          <w:lang w:val="en-HK"/>
        </w:rPr>
        <w:t>so the interests merge in A.</w:t>
      </w:r>
    </w:p>
    <w:p w14:paraId="1A97F1C4" w14:textId="77777777" w:rsidR="006E2819" w:rsidRPr="001E076B" w:rsidRDefault="006E2819" w:rsidP="001E076B">
      <w:pPr>
        <w:numPr>
          <w:ilvl w:val="2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The outcome ensured fairness and avoided leaving the beneficial interest with B contrary to the agreement.</w:t>
      </w:r>
    </w:p>
    <w:p w14:paraId="5222A393" w14:textId="77777777" w:rsidR="006E2819" w:rsidRPr="001E076B" w:rsidRDefault="006E2819" w:rsidP="001E076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Lord Justice Males</w:t>
      </w:r>
      <w:r w:rsidRPr="001E076B">
        <w:rPr>
          <w:rFonts w:ascii="Times New Roman" w:hAnsi="Times New Roman"/>
          <w:lang w:val="en-HK"/>
        </w:rPr>
        <w:t>:</w:t>
      </w:r>
    </w:p>
    <w:p w14:paraId="15EA2129" w14:textId="77777777" w:rsidR="006E2819" w:rsidRPr="001E076B" w:rsidRDefault="006E2819" w:rsidP="001E076B">
      <w:pPr>
        <w:numPr>
          <w:ilvl w:val="2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Supported </w:t>
      </w:r>
      <w:proofErr w:type="spellStart"/>
      <w:r w:rsidRPr="001E076B">
        <w:rPr>
          <w:rFonts w:ascii="Times New Roman" w:hAnsi="Times New Roman"/>
          <w:lang w:val="en-HK"/>
        </w:rPr>
        <w:t>Nugee</w:t>
      </w:r>
      <w:proofErr w:type="spellEnd"/>
      <w:r w:rsidRPr="001E076B">
        <w:rPr>
          <w:rFonts w:ascii="Times New Roman" w:hAnsi="Times New Roman"/>
          <w:lang w:val="en-HK"/>
        </w:rPr>
        <w:t xml:space="preserve"> LJ’s reasoning, emphasizing that the constructive trust in </w:t>
      </w:r>
      <w:proofErr w:type="spellStart"/>
      <w:r w:rsidRPr="001E076B">
        <w:rPr>
          <w:rFonts w:ascii="Times New Roman" w:hAnsi="Times New Roman"/>
          <w:lang w:val="en-HK"/>
        </w:rPr>
        <w:t>favor</w:t>
      </w:r>
      <w:proofErr w:type="spellEnd"/>
      <w:r w:rsidRPr="001E076B">
        <w:rPr>
          <w:rFonts w:ascii="Times New Roman" w:hAnsi="Times New Roman"/>
          <w:lang w:val="en-HK"/>
        </w:rPr>
        <w:t xml:space="preserve"> of Bell ceased the moment it arose, merging the interests.</w:t>
      </w:r>
    </w:p>
    <w:p w14:paraId="5206E4CE" w14:textId="77777777" w:rsidR="006E2819" w:rsidRPr="001E076B" w:rsidRDefault="006E2819" w:rsidP="001E076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Lord Justice Arnold</w:t>
      </w:r>
      <w:r w:rsidRPr="001E076B">
        <w:rPr>
          <w:rFonts w:ascii="Times New Roman" w:hAnsi="Times New Roman"/>
          <w:lang w:val="en-HK"/>
        </w:rPr>
        <w:t>:</w:t>
      </w:r>
    </w:p>
    <w:p w14:paraId="6D84948A" w14:textId="77777777" w:rsidR="006E2819" w:rsidRPr="001E076B" w:rsidRDefault="006E2819" w:rsidP="001E076B">
      <w:pPr>
        <w:numPr>
          <w:ilvl w:val="2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Agreed with </w:t>
      </w:r>
      <w:proofErr w:type="spellStart"/>
      <w:r w:rsidRPr="001E076B">
        <w:rPr>
          <w:rFonts w:ascii="Times New Roman" w:hAnsi="Times New Roman"/>
          <w:lang w:val="en-HK"/>
        </w:rPr>
        <w:t>Nugee</w:t>
      </w:r>
      <w:proofErr w:type="spellEnd"/>
      <w:r w:rsidRPr="001E076B">
        <w:rPr>
          <w:rFonts w:ascii="Times New Roman" w:hAnsi="Times New Roman"/>
          <w:lang w:val="en-HK"/>
        </w:rPr>
        <w:t xml:space="preserve"> LJ and added no further reasoning.</w:t>
      </w:r>
    </w:p>
    <w:p w14:paraId="12436CF2" w14:textId="77777777" w:rsidR="006E2819" w:rsidRPr="001E076B" w:rsidRDefault="00144570" w:rsidP="001E076B">
      <w:pPr>
        <w:spacing w:before="240" w:after="240" w:line="360" w:lineRule="auto"/>
        <w:rPr>
          <w:rFonts w:ascii="Times New Roman" w:hAnsi="Times New Roman"/>
          <w:lang w:val="en-HK"/>
        </w:rPr>
      </w:pPr>
      <w:r w:rsidRPr="00144570">
        <w:rPr>
          <w:rFonts w:ascii="Times New Roman" w:hAnsi="Times New Roman"/>
          <w:noProof/>
          <w:lang w:val="en-HK"/>
          <w14:ligatures w14:val="standardContextual"/>
        </w:rPr>
        <w:pict w14:anchorId="209F6B9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FB7284D" w14:textId="77777777" w:rsidR="006E2819" w:rsidRPr="001E076B" w:rsidRDefault="006E2819" w:rsidP="001E076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Analysis</w:t>
      </w:r>
    </w:p>
    <w:p w14:paraId="7091E823" w14:textId="77777777" w:rsidR="006E2819" w:rsidRPr="001E076B" w:rsidRDefault="006E2819" w:rsidP="001E076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Criticism of the Court’s Reasoning:</w:t>
      </w:r>
    </w:p>
    <w:p w14:paraId="28838293" w14:textId="77777777" w:rsidR="006E2819" w:rsidRPr="001E076B" w:rsidRDefault="006E2819" w:rsidP="001E076B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Modern Trust Principles</w:t>
      </w:r>
      <w:r w:rsidRPr="001E076B">
        <w:rPr>
          <w:rFonts w:ascii="Times New Roman" w:hAnsi="Times New Roman"/>
          <w:lang w:val="en-HK"/>
        </w:rPr>
        <w:t>:</w:t>
      </w:r>
    </w:p>
    <w:p w14:paraId="5834FE9E" w14:textId="77777777" w:rsidR="006E2819" w:rsidRPr="001E076B" w:rsidRDefault="006E2819" w:rsidP="001E076B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Orthodox Position</w:t>
      </w:r>
      <w:r w:rsidRPr="001E076B">
        <w:rPr>
          <w:rFonts w:ascii="Times New Roman" w:hAnsi="Times New Roman"/>
          <w:lang w:val="en-HK"/>
        </w:rPr>
        <w:t>: In a sub-trust (e.g., A → B → C):</w:t>
      </w:r>
    </w:p>
    <w:p w14:paraId="0418DC9A" w14:textId="77777777" w:rsidR="006E2819" w:rsidRPr="001E076B" w:rsidRDefault="006E2819" w:rsidP="001E076B">
      <w:pPr>
        <w:numPr>
          <w:ilvl w:val="2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B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does not "drop out."</w:t>
      </w:r>
    </w:p>
    <w:p w14:paraId="48D3B452" w14:textId="77777777" w:rsidR="006E2819" w:rsidRPr="001E076B" w:rsidRDefault="006E2819" w:rsidP="001E076B">
      <w:pPr>
        <w:numPr>
          <w:ilvl w:val="2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B </w:t>
      </w:r>
      <w:r w:rsidRPr="001E076B">
        <w:rPr>
          <w:rFonts w:ascii="Times New Roman" w:hAnsi="Times New Roman"/>
          <w:color w:val="FF0000"/>
          <w:lang w:val="en-HK"/>
        </w:rPr>
        <w:t>retains intermediary duties</w:t>
      </w:r>
      <w:r w:rsidRPr="001E076B">
        <w:rPr>
          <w:rFonts w:ascii="Times New Roman" w:hAnsi="Times New Roman"/>
          <w:lang w:val="en-HK"/>
        </w:rPr>
        <w:t>, even if merely as a bare trustee.</w:t>
      </w:r>
    </w:p>
    <w:p w14:paraId="7CB9865A" w14:textId="77777777" w:rsidR="006E2819" w:rsidRPr="001E076B" w:rsidRDefault="006E2819" w:rsidP="001E076B">
      <w:pPr>
        <w:numPr>
          <w:ilvl w:val="2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Precedent:</w:t>
      </w:r>
    </w:p>
    <w:p w14:paraId="74641F5B" w14:textId="77777777" w:rsidR="006E2819" w:rsidRPr="001E076B" w:rsidRDefault="006E2819" w:rsidP="001E076B">
      <w:pPr>
        <w:numPr>
          <w:ilvl w:val="3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 xml:space="preserve">Nelson v Greening and Sykes (Builders) Ltd [2007] EWCA </w:t>
      </w:r>
      <w:proofErr w:type="spellStart"/>
      <w:r w:rsidRPr="001E076B">
        <w:rPr>
          <w:rFonts w:ascii="Times New Roman" w:hAnsi="Times New Roman"/>
          <w:b/>
          <w:bCs/>
          <w:lang w:val="en-HK"/>
        </w:rPr>
        <w:t>Civ</w:t>
      </w:r>
      <w:proofErr w:type="spellEnd"/>
      <w:r w:rsidRPr="001E076B">
        <w:rPr>
          <w:rFonts w:ascii="Times New Roman" w:hAnsi="Times New Roman"/>
          <w:b/>
          <w:bCs/>
          <w:lang w:val="en-HK"/>
        </w:rPr>
        <w:t xml:space="preserve"> 1358</w:t>
      </w:r>
      <w:r w:rsidRPr="001E076B">
        <w:rPr>
          <w:rFonts w:ascii="Times New Roman" w:hAnsi="Times New Roman"/>
          <w:lang w:val="en-HK"/>
        </w:rPr>
        <w:t xml:space="preserve"> (Lawrence Collins LJ).</w:t>
      </w:r>
    </w:p>
    <w:p w14:paraId="4013DF38" w14:textId="77777777" w:rsidR="006E2819" w:rsidRPr="001E076B" w:rsidRDefault="006E2819" w:rsidP="001E076B">
      <w:pPr>
        <w:numPr>
          <w:ilvl w:val="3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Sheffield v Sheffield [2013] EWHC 3927 (Ch)</w:t>
      </w:r>
      <w:r w:rsidRPr="001E076B">
        <w:rPr>
          <w:rFonts w:ascii="Times New Roman" w:hAnsi="Times New Roman"/>
          <w:lang w:val="en-HK"/>
        </w:rPr>
        <w:t xml:space="preserve"> (HHJ Pelling QC).</w:t>
      </w:r>
    </w:p>
    <w:p w14:paraId="5567363E" w14:textId="77777777" w:rsidR="006E2819" w:rsidRPr="001E076B" w:rsidRDefault="006E2819" w:rsidP="001E076B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Scholars:</w:t>
      </w:r>
    </w:p>
    <w:p w14:paraId="7398CCA0" w14:textId="77777777" w:rsidR="006E2819" w:rsidRPr="001E076B" w:rsidRDefault="006E2819" w:rsidP="001E076B">
      <w:pPr>
        <w:numPr>
          <w:ilvl w:val="2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Brian Green</w:t>
      </w:r>
      <w:r w:rsidRPr="001E076B">
        <w:rPr>
          <w:rFonts w:ascii="Times New Roman" w:hAnsi="Times New Roman"/>
          <w:lang w:val="en-HK"/>
        </w:rPr>
        <w:t>: B must retain some equitable interest to sustain a sub-trust, even if minor.</w:t>
      </w:r>
    </w:p>
    <w:p w14:paraId="47EF09BD" w14:textId="77777777" w:rsidR="006E2819" w:rsidRPr="001E076B" w:rsidRDefault="006E2819" w:rsidP="001E076B">
      <w:pPr>
        <w:numPr>
          <w:ilvl w:val="2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Patrick McLoughlin</w:t>
      </w:r>
      <w:r w:rsidRPr="001E076B">
        <w:rPr>
          <w:rFonts w:ascii="Times New Roman" w:hAnsi="Times New Roman"/>
          <w:lang w:val="en-HK"/>
        </w:rPr>
        <w:t>: B serves as a necessary conduit between A and C.</w:t>
      </w:r>
    </w:p>
    <w:p w14:paraId="38557BFD" w14:textId="77777777" w:rsidR="006E2819" w:rsidRPr="001E076B" w:rsidRDefault="006E2819" w:rsidP="001E076B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lastRenderedPageBreak/>
        <w:t>Circular Trust Problems</w:t>
      </w:r>
      <w:r w:rsidRPr="001E076B">
        <w:rPr>
          <w:rFonts w:ascii="Times New Roman" w:hAnsi="Times New Roman"/>
          <w:lang w:val="en-HK"/>
        </w:rPr>
        <w:t>:</w:t>
      </w:r>
    </w:p>
    <w:p w14:paraId="42827B11" w14:textId="77777777" w:rsidR="006E2819" w:rsidRPr="001E076B" w:rsidRDefault="006E2819" w:rsidP="001E076B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In the LA Micro case (A → B → A):</w:t>
      </w:r>
    </w:p>
    <w:p w14:paraId="22B81312" w14:textId="77777777" w:rsidR="006E2819" w:rsidRPr="001E076B" w:rsidRDefault="006E2819" w:rsidP="001E076B">
      <w:pPr>
        <w:numPr>
          <w:ilvl w:val="2"/>
          <w:numId w:val="3"/>
        </w:numPr>
        <w:spacing w:before="240" w:after="240" w:line="360" w:lineRule="auto"/>
        <w:rPr>
          <w:rFonts w:ascii="Times New Roman" w:hAnsi="Times New Roman"/>
          <w:b/>
          <w:bCs/>
          <w:color w:val="FF0000"/>
          <w:lang w:val="en-HK"/>
        </w:rPr>
      </w:pPr>
      <w:r w:rsidRPr="001E076B">
        <w:rPr>
          <w:rFonts w:ascii="Times New Roman" w:hAnsi="Times New Roman"/>
          <w:lang w:val="en-HK"/>
        </w:rPr>
        <w:t xml:space="preserve">If B does not "drop out," A (as the ultimate beneficiary) could sue B for breaching trust obligations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caused by A’s own wrongdoing—an absurd result.</w:t>
      </w:r>
    </w:p>
    <w:p w14:paraId="0AC04F7E" w14:textId="77777777" w:rsidR="006E2819" w:rsidRPr="001E076B" w:rsidRDefault="006E2819" w:rsidP="001E076B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The Court avoided this by merging interests in A, but this contradicts orthodox trust frameworks.</w:t>
      </w:r>
    </w:p>
    <w:p w14:paraId="0EB63FDC" w14:textId="77777777" w:rsidR="006E2819" w:rsidRPr="001E076B" w:rsidRDefault="006E2819" w:rsidP="001E076B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Alternative Views</w:t>
      </w:r>
      <w:r w:rsidRPr="001E076B">
        <w:rPr>
          <w:rFonts w:ascii="Times New Roman" w:hAnsi="Times New Roman"/>
          <w:lang w:val="en-HK"/>
        </w:rPr>
        <w:t>:</w:t>
      </w:r>
    </w:p>
    <w:p w14:paraId="00BC9F69" w14:textId="77777777" w:rsidR="006E2819" w:rsidRPr="001E076B" w:rsidRDefault="006E2819" w:rsidP="001E076B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Equitable Surrender</w:t>
      </w:r>
      <w:r w:rsidRPr="001E076B">
        <w:rPr>
          <w:rFonts w:ascii="Times New Roman" w:hAnsi="Times New Roman"/>
          <w:lang w:val="en-HK"/>
        </w:rPr>
        <w:t>:</w:t>
      </w:r>
    </w:p>
    <w:p w14:paraId="5F3C335E" w14:textId="77777777" w:rsidR="006E2819" w:rsidRPr="001E076B" w:rsidRDefault="006E2819" w:rsidP="001E076B">
      <w:pPr>
        <w:numPr>
          <w:ilvl w:val="2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Treat B’s sub-trust as a surrender of beneficial interest back to A, avoiding circularity.</w:t>
      </w:r>
    </w:p>
    <w:p w14:paraId="238B8E25" w14:textId="77777777" w:rsidR="006E2819" w:rsidRPr="001E076B" w:rsidRDefault="006E2819" w:rsidP="001E076B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 xml:space="preserve">Professor William </w:t>
      </w:r>
      <w:proofErr w:type="spellStart"/>
      <w:r w:rsidRPr="001E076B">
        <w:rPr>
          <w:rFonts w:ascii="Times New Roman" w:hAnsi="Times New Roman"/>
          <w:b/>
          <w:bCs/>
          <w:lang w:val="en-HK"/>
        </w:rPr>
        <w:t>Swadling</w:t>
      </w:r>
      <w:proofErr w:type="spellEnd"/>
      <w:r w:rsidRPr="001E076B">
        <w:rPr>
          <w:rFonts w:ascii="Times New Roman" w:hAnsi="Times New Roman"/>
          <w:lang w:val="en-HK"/>
        </w:rPr>
        <w:t>:</w:t>
      </w:r>
    </w:p>
    <w:p w14:paraId="3BD8DD16" w14:textId="77777777" w:rsidR="006E2819" w:rsidRPr="001E076B" w:rsidRDefault="006E2819" w:rsidP="001E076B">
      <w:pPr>
        <w:numPr>
          <w:ilvl w:val="2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VPCTs should be seen as court orders to enforce specific performance rather than genuine trusts.</w:t>
      </w:r>
    </w:p>
    <w:p w14:paraId="09A65EF3" w14:textId="77777777" w:rsidR="006E2819" w:rsidRPr="001E076B" w:rsidRDefault="006E2819" w:rsidP="001E076B">
      <w:pPr>
        <w:numPr>
          <w:ilvl w:val="2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This </w:t>
      </w:r>
      <w:r w:rsidRPr="001E076B">
        <w:rPr>
          <w:rFonts w:ascii="Times New Roman" w:hAnsi="Times New Roman"/>
          <w:b/>
          <w:bCs/>
          <w:lang w:val="en-HK"/>
        </w:rPr>
        <w:t>avoids the conceptual issues of merging legal and equitable interests</w:t>
      </w:r>
      <w:r w:rsidRPr="001E076B">
        <w:rPr>
          <w:rFonts w:ascii="Times New Roman" w:hAnsi="Times New Roman"/>
          <w:lang w:val="en-HK"/>
        </w:rPr>
        <w:t>.</w:t>
      </w:r>
    </w:p>
    <w:p w14:paraId="4E954E78" w14:textId="77777777" w:rsidR="006E2819" w:rsidRPr="001E076B" w:rsidRDefault="006E2819" w:rsidP="001E076B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Court’s Justification</w:t>
      </w:r>
      <w:r w:rsidRPr="001E076B">
        <w:rPr>
          <w:rFonts w:ascii="Times New Roman" w:hAnsi="Times New Roman"/>
          <w:lang w:val="en-HK"/>
        </w:rPr>
        <w:t>:</w:t>
      </w:r>
    </w:p>
    <w:p w14:paraId="50F0224A" w14:textId="77777777" w:rsidR="006E2819" w:rsidRPr="001E076B" w:rsidRDefault="006E2819" w:rsidP="001E076B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1E076B">
        <w:rPr>
          <w:rFonts w:ascii="Times New Roman" w:hAnsi="Times New Roman"/>
          <w:b/>
          <w:bCs/>
          <w:color w:val="FF0000"/>
          <w:lang w:val="en-HK"/>
        </w:rPr>
        <w:t>Nugee</w:t>
      </w:r>
      <w:proofErr w:type="spellEnd"/>
      <w:r w:rsidRPr="001E076B">
        <w:rPr>
          <w:rFonts w:ascii="Times New Roman" w:hAnsi="Times New Roman"/>
          <w:b/>
          <w:bCs/>
          <w:color w:val="FF0000"/>
          <w:lang w:val="en-HK"/>
        </w:rPr>
        <w:t xml:space="preserve"> LJ</w:t>
      </w:r>
      <w:r w:rsidRPr="001E076B">
        <w:rPr>
          <w:rFonts w:ascii="Times New Roman" w:hAnsi="Times New Roman"/>
          <w:color w:val="FF0000"/>
          <w:lang w:val="en-HK"/>
        </w:rPr>
        <w:t xml:space="preserve"> </w:t>
      </w:r>
      <w:r w:rsidRPr="001E076B">
        <w:rPr>
          <w:rFonts w:ascii="Times New Roman" w:hAnsi="Times New Roman"/>
          <w:lang w:val="en-HK"/>
        </w:rPr>
        <w:t xml:space="preserve">prioritized a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fair outcome</w:t>
      </w:r>
      <w:r w:rsidRPr="001E076B">
        <w:rPr>
          <w:rFonts w:ascii="Times New Roman" w:hAnsi="Times New Roman"/>
          <w:color w:val="FF0000"/>
          <w:lang w:val="en-HK"/>
        </w:rPr>
        <w:t xml:space="preserve"> </w:t>
      </w:r>
      <w:r w:rsidRPr="001E076B">
        <w:rPr>
          <w:rFonts w:ascii="Times New Roman" w:hAnsi="Times New Roman"/>
          <w:lang w:val="en-HK"/>
        </w:rPr>
        <w:t>over conceptual clarity, stating the result was "a just result."</w:t>
      </w:r>
    </w:p>
    <w:p w14:paraId="276062C7" w14:textId="77777777" w:rsidR="006E2819" w:rsidRPr="001E076B" w:rsidRDefault="006E2819" w:rsidP="001E076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Contrary Views:</w:t>
      </w:r>
    </w:p>
    <w:p w14:paraId="37BA235E" w14:textId="77777777" w:rsidR="006E2819" w:rsidRPr="001E076B" w:rsidRDefault="006E2819" w:rsidP="001E076B">
      <w:pPr>
        <w:numPr>
          <w:ilvl w:val="0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Sub-trust Analogy</w:t>
      </w:r>
      <w:r w:rsidRPr="001E076B">
        <w:rPr>
          <w:rFonts w:ascii="Times New Roman" w:hAnsi="Times New Roman"/>
          <w:lang w:val="en-HK"/>
        </w:rPr>
        <w:t>:</w:t>
      </w:r>
    </w:p>
    <w:p w14:paraId="7AEB9407" w14:textId="77777777" w:rsidR="006E2819" w:rsidRPr="001E076B" w:rsidRDefault="006E2819" w:rsidP="001E076B">
      <w:pPr>
        <w:numPr>
          <w:ilvl w:val="1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Scholars </w:t>
      </w:r>
      <w:r w:rsidRPr="001E076B">
        <w:rPr>
          <w:rFonts w:ascii="Times New Roman" w:hAnsi="Times New Roman"/>
          <w:color w:val="FF0000"/>
          <w:lang w:val="en-HK"/>
        </w:rPr>
        <w:t>compare sub-trusts to sub-leases</w:t>
      </w:r>
      <w:r w:rsidRPr="001E076B">
        <w:rPr>
          <w:rFonts w:ascii="Times New Roman" w:hAnsi="Times New Roman"/>
          <w:lang w:val="en-HK"/>
        </w:rPr>
        <w:t>, where intermediaries (e.g., sub-trustee B) are essential for clarity and accountability.</w:t>
      </w:r>
    </w:p>
    <w:p w14:paraId="3A9ACA4D" w14:textId="77777777" w:rsidR="006E2819" w:rsidRPr="001E076B" w:rsidRDefault="006E2819" w:rsidP="001E076B">
      <w:pPr>
        <w:numPr>
          <w:ilvl w:val="1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E.g., </w:t>
      </w:r>
      <w:proofErr w:type="spellStart"/>
      <w:r w:rsidRPr="001E076B">
        <w:rPr>
          <w:rFonts w:ascii="Times New Roman" w:hAnsi="Times New Roman"/>
          <w:b/>
          <w:bCs/>
          <w:lang w:val="en-HK"/>
        </w:rPr>
        <w:t>Hayim</w:t>
      </w:r>
      <w:proofErr w:type="spellEnd"/>
      <w:r w:rsidRPr="001E076B">
        <w:rPr>
          <w:rFonts w:ascii="Times New Roman" w:hAnsi="Times New Roman"/>
          <w:b/>
          <w:bCs/>
          <w:lang w:val="en-HK"/>
        </w:rPr>
        <w:t xml:space="preserve"> v Citibank NA [1987] A.C. 730</w:t>
      </w:r>
      <w:r w:rsidRPr="001E076B">
        <w:rPr>
          <w:rFonts w:ascii="Times New Roman" w:hAnsi="Times New Roman"/>
          <w:lang w:val="en-HK"/>
        </w:rPr>
        <w:t>: Intermediaries provide enforceable rights against the correct trustee.</w:t>
      </w:r>
    </w:p>
    <w:p w14:paraId="5F4FCC41" w14:textId="77777777" w:rsidR="006E2819" w:rsidRPr="001E076B" w:rsidRDefault="006E2819" w:rsidP="001E076B">
      <w:pPr>
        <w:numPr>
          <w:ilvl w:val="0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lastRenderedPageBreak/>
        <w:t>Radical Proposals</w:t>
      </w:r>
      <w:r w:rsidRPr="001E076B">
        <w:rPr>
          <w:rFonts w:ascii="Times New Roman" w:hAnsi="Times New Roman"/>
          <w:lang w:val="en-HK"/>
        </w:rPr>
        <w:t>:</w:t>
      </w:r>
    </w:p>
    <w:p w14:paraId="135BC31E" w14:textId="77777777" w:rsidR="006E2819" w:rsidRPr="001E076B" w:rsidRDefault="006E2819" w:rsidP="001E076B">
      <w:pPr>
        <w:numPr>
          <w:ilvl w:val="1"/>
          <w:numId w:val="4"/>
        </w:numPr>
        <w:spacing w:before="240" w:after="240" w:line="360" w:lineRule="auto"/>
        <w:rPr>
          <w:rFonts w:ascii="Times New Roman" w:hAnsi="Times New Roman"/>
          <w:b/>
          <w:bCs/>
          <w:color w:val="FF0000"/>
          <w:lang w:val="en-HK"/>
        </w:rPr>
      </w:pPr>
      <w:r w:rsidRPr="001E076B">
        <w:rPr>
          <w:rFonts w:ascii="Times New Roman" w:hAnsi="Times New Roman"/>
          <w:lang w:val="en-HK"/>
        </w:rPr>
        <w:t xml:space="preserve">Reframe </w:t>
      </w:r>
      <w:r w:rsidRPr="001E076B">
        <w:rPr>
          <w:rFonts w:ascii="Times New Roman" w:hAnsi="Times New Roman"/>
          <w:b/>
          <w:bCs/>
          <w:color w:val="FF0000"/>
          <w:lang w:val="en-HK"/>
        </w:rPr>
        <w:t>VPCTs as equitable remedies, eliminating the need for B to "drop out."</w:t>
      </w:r>
    </w:p>
    <w:p w14:paraId="4258FFC9" w14:textId="77777777" w:rsidR="006E2819" w:rsidRPr="001E076B" w:rsidRDefault="006E2819" w:rsidP="001E076B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1E076B">
        <w:rPr>
          <w:rFonts w:ascii="Times New Roman" w:hAnsi="Times New Roman"/>
          <w:b/>
          <w:bCs/>
          <w:lang w:val="en-HK"/>
        </w:rPr>
        <w:t>Authors’ Conclusion:</w:t>
      </w:r>
    </w:p>
    <w:p w14:paraId="6B598A19" w14:textId="77777777" w:rsidR="006E2819" w:rsidRPr="001E076B" w:rsidRDefault="006E2819" w:rsidP="001E076B">
      <w:pPr>
        <w:numPr>
          <w:ilvl w:val="0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 xml:space="preserve">The LA Micro outcome should be treated as a </w:t>
      </w:r>
      <w:r w:rsidRPr="001E076B">
        <w:rPr>
          <w:rFonts w:ascii="Times New Roman" w:hAnsi="Times New Roman"/>
          <w:b/>
          <w:bCs/>
          <w:lang w:val="en-HK"/>
        </w:rPr>
        <w:t>sui generis equitable order</w:t>
      </w:r>
      <w:r w:rsidRPr="001E076B">
        <w:rPr>
          <w:rFonts w:ascii="Times New Roman" w:hAnsi="Times New Roman"/>
          <w:lang w:val="en-HK"/>
        </w:rPr>
        <w:t xml:space="preserve"> rather than a trust:</w:t>
      </w:r>
    </w:p>
    <w:p w14:paraId="6513D73E" w14:textId="77777777" w:rsidR="006E2819" w:rsidRPr="001E076B" w:rsidRDefault="006E2819" w:rsidP="001E076B">
      <w:pPr>
        <w:numPr>
          <w:ilvl w:val="1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No genuine sub-trust arose.</w:t>
      </w:r>
    </w:p>
    <w:p w14:paraId="45355099" w14:textId="77777777" w:rsidR="006E2819" w:rsidRPr="001E076B" w:rsidRDefault="006E2819" w:rsidP="001E076B">
      <w:pPr>
        <w:numPr>
          <w:ilvl w:val="1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E076B">
        <w:rPr>
          <w:rFonts w:ascii="Times New Roman" w:hAnsi="Times New Roman"/>
          <w:lang w:val="en-HK"/>
        </w:rPr>
        <w:t>Equity’s flexibility achieved justice without distorting trust law.</w:t>
      </w:r>
    </w:p>
    <w:p w14:paraId="53982CB6" w14:textId="77777777" w:rsidR="00CD39F1" w:rsidRPr="001E076B" w:rsidRDefault="00CD39F1" w:rsidP="001E076B">
      <w:pPr>
        <w:spacing w:before="240" w:after="240" w:line="360" w:lineRule="auto"/>
        <w:rPr>
          <w:rFonts w:ascii="Times New Roman" w:hAnsi="Times New Roman"/>
        </w:rPr>
      </w:pPr>
    </w:p>
    <w:sectPr w:rsidR="00CD39F1" w:rsidRPr="001E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D10F2"/>
    <w:multiLevelType w:val="multilevel"/>
    <w:tmpl w:val="A02C3E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FA6967"/>
    <w:multiLevelType w:val="multilevel"/>
    <w:tmpl w:val="45DA3F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A505481"/>
    <w:multiLevelType w:val="multilevel"/>
    <w:tmpl w:val="348E79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1E341E6"/>
    <w:multiLevelType w:val="multilevel"/>
    <w:tmpl w:val="C74C4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E982ADF"/>
    <w:multiLevelType w:val="multilevel"/>
    <w:tmpl w:val="E68C2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8FF5E00"/>
    <w:multiLevelType w:val="multilevel"/>
    <w:tmpl w:val="02863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37D5CAA"/>
    <w:multiLevelType w:val="multilevel"/>
    <w:tmpl w:val="6380B0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7B24E6B"/>
    <w:multiLevelType w:val="multilevel"/>
    <w:tmpl w:val="4E22F9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A1E52B8"/>
    <w:multiLevelType w:val="multilevel"/>
    <w:tmpl w:val="57129F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A2971DF"/>
    <w:multiLevelType w:val="multilevel"/>
    <w:tmpl w:val="9932B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490188A"/>
    <w:multiLevelType w:val="multilevel"/>
    <w:tmpl w:val="8D44F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57732069">
    <w:abstractNumId w:val="0"/>
  </w:num>
  <w:num w:numId="2" w16cid:durableId="1349723406">
    <w:abstractNumId w:val="2"/>
  </w:num>
  <w:num w:numId="3" w16cid:durableId="359208329">
    <w:abstractNumId w:val="5"/>
  </w:num>
  <w:num w:numId="4" w16cid:durableId="555894631">
    <w:abstractNumId w:val="9"/>
  </w:num>
  <w:num w:numId="5" w16cid:durableId="31459990">
    <w:abstractNumId w:val="10"/>
  </w:num>
  <w:num w:numId="6" w16cid:durableId="50155233">
    <w:abstractNumId w:val="3"/>
  </w:num>
  <w:num w:numId="7" w16cid:durableId="1850026761">
    <w:abstractNumId w:val="6"/>
  </w:num>
  <w:num w:numId="8" w16cid:durableId="386537121">
    <w:abstractNumId w:val="4"/>
  </w:num>
  <w:num w:numId="9" w16cid:durableId="439303264">
    <w:abstractNumId w:val="7"/>
  </w:num>
  <w:num w:numId="10" w16cid:durableId="1135559971">
    <w:abstractNumId w:val="8"/>
  </w:num>
  <w:num w:numId="11" w16cid:durableId="522785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CE"/>
    <w:rsid w:val="000147A9"/>
    <w:rsid w:val="00042755"/>
    <w:rsid w:val="0006107D"/>
    <w:rsid w:val="000623A3"/>
    <w:rsid w:val="000719DA"/>
    <w:rsid w:val="00094D65"/>
    <w:rsid w:val="000A2074"/>
    <w:rsid w:val="000A3F4D"/>
    <w:rsid w:val="000C4ABC"/>
    <w:rsid w:val="000C58D7"/>
    <w:rsid w:val="000E15ED"/>
    <w:rsid w:val="00101CCF"/>
    <w:rsid w:val="001372F7"/>
    <w:rsid w:val="00144570"/>
    <w:rsid w:val="00166F56"/>
    <w:rsid w:val="00175AB8"/>
    <w:rsid w:val="0019260C"/>
    <w:rsid w:val="001A41D2"/>
    <w:rsid w:val="001B0E31"/>
    <w:rsid w:val="001D360C"/>
    <w:rsid w:val="001E076B"/>
    <w:rsid w:val="001E2584"/>
    <w:rsid w:val="00223837"/>
    <w:rsid w:val="00243CED"/>
    <w:rsid w:val="00257540"/>
    <w:rsid w:val="0026510F"/>
    <w:rsid w:val="00291F37"/>
    <w:rsid w:val="00297C6E"/>
    <w:rsid w:val="002D715D"/>
    <w:rsid w:val="002E46F2"/>
    <w:rsid w:val="002F1DB1"/>
    <w:rsid w:val="002F4CF8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74DD1"/>
    <w:rsid w:val="004751B5"/>
    <w:rsid w:val="0048097D"/>
    <w:rsid w:val="0048175B"/>
    <w:rsid w:val="004845CE"/>
    <w:rsid w:val="00493092"/>
    <w:rsid w:val="004A553E"/>
    <w:rsid w:val="004B1048"/>
    <w:rsid w:val="004D01FE"/>
    <w:rsid w:val="004D582C"/>
    <w:rsid w:val="004D59D4"/>
    <w:rsid w:val="004D5B1A"/>
    <w:rsid w:val="004E458E"/>
    <w:rsid w:val="004F0E12"/>
    <w:rsid w:val="004F5A36"/>
    <w:rsid w:val="00542B57"/>
    <w:rsid w:val="00557B52"/>
    <w:rsid w:val="005770A9"/>
    <w:rsid w:val="0058416B"/>
    <w:rsid w:val="00595357"/>
    <w:rsid w:val="005B34ED"/>
    <w:rsid w:val="005B61CD"/>
    <w:rsid w:val="005C50B3"/>
    <w:rsid w:val="005D57DA"/>
    <w:rsid w:val="005E7702"/>
    <w:rsid w:val="005F33FC"/>
    <w:rsid w:val="00605F8E"/>
    <w:rsid w:val="00650543"/>
    <w:rsid w:val="00654D8B"/>
    <w:rsid w:val="00661136"/>
    <w:rsid w:val="0068027B"/>
    <w:rsid w:val="006C42B8"/>
    <w:rsid w:val="006C50C7"/>
    <w:rsid w:val="006D1612"/>
    <w:rsid w:val="006E2819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776B"/>
    <w:rsid w:val="00796A93"/>
    <w:rsid w:val="007B48C2"/>
    <w:rsid w:val="007E1559"/>
    <w:rsid w:val="007F776E"/>
    <w:rsid w:val="00816563"/>
    <w:rsid w:val="00830C88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23531"/>
    <w:rsid w:val="0093405B"/>
    <w:rsid w:val="0094782D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170CE"/>
    <w:rsid w:val="00A220B7"/>
    <w:rsid w:val="00A37AB0"/>
    <w:rsid w:val="00A4085F"/>
    <w:rsid w:val="00A45953"/>
    <w:rsid w:val="00A57EEF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7714"/>
    <w:rsid w:val="00BD7C9B"/>
    <w:rsid w:val="00C072F8"/>
    <w:rsid w:val="00C163D7"/>
    <w:rsid w:val="00C17D79"/>
    <w:rsid w:val="00C24A8A"/>
    <w:rsid w:val="00C44474"/>
    <w:rsid w:val="00C54722"/>
    <w:rsid w:val="00C65F70"/>
    <w:rsid w:val="00C941C4"/>
    <w:rsid w:val="00C96A36"/>
    <w:rsid w:val="00CA350B"/>
    <w:rsid w:val="00CA3F60"/>
    <w:rsid w:val="00CB282F"/>
    <w:rsid w:val="00CC2EFF"/>
    <w:rsid w:val="00CC4FEF"/>
    <w:rsid w:val="00CD39F1"/>
    <w:rsid w:val="00CE1439"/>
    <w:rsid w:val="00CF74EF"/>
    <w:rsid w:val="00D02AC8"/>
    <w:rsid w:val="00D0623C"/>
    <w:rsid w:val="00D07271"/>
    <w:rsid w:val="00D16917"/>
    <w:rsid w:val="00D65735"/>
    <w:rsid w:val="00DA31CB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5689E"/>
    <w:rsid w:val="00E60DF5"/>
    <w:rsid w:val="00E80D33"/>
    <w:rsid w:val="00E95D8D"/>
    <w:rsid w:val="00EA6ED5"/>
    <w:rsid w:val="00EB7051"/>
    <w:rsid w:val="00EC68EB"/>
    <w:rsid w:val="00EC7C43"/>
    <w:rsid w:val="00EE4F6A"/>
    <w:rsid w:val="00EF3EF4"/>
    <w:rsid w:val="00F012E4"/>
    <w:rsid w:val="00F22759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EDFB"/>
  <w15:chartTrackingRefBased/>
  <w15:docId w15:val="{FDA83F87-EF5D-0244-B89B-85F8A34E4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0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70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0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0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0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0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0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0C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0C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70CE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170CE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0CE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0CE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0CE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0CE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0CE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170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0C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0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0C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70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0CE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A17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0CE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70C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28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819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66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1431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8</cp:revision>
  <dcterms:created xsi:type="dcterms:W3CDTF">2024-12-19T11:20:00Z</dcterms:created>
  <dcterms:modified xsi:type="dcterms:W3CDTF">2024-12-19T14:09:00Z</dcterms:modified>
</cp:coreProperties>
</file>