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36D1BD" w14:textId="77777777" w:rsidR="00F50BAB" w:rsidRPr="00F50BAB" w:rsidRDefault="00F50BAB" w:rsidP="006A23FA">
      <w:pPr>
        <w:spacing w:before="240" w:after="100" w:afterAutospacing="1" w:line="360" w:lineRule="auto"/>
        <w:outlineLvl w:val="2"/>
        <w:rPr>
          <w:rFonts w:ascii="Times New Roman" w:hAnsi="Times New Roman"/>
          <w:b/>
          <w:bCs/>
          <w:lang w:val="en-HK"/>
        </w:rPr>
      </w:pPr>
      <w:r w:rsidRPr="00F50BAB">
        <w:rPr>
          <w:rFonts w:ascii="Times New Roman" w:hAnsi="Times New Roman"/>
          <w:b/>
          <w:bCs/>
          <w:lang w:val="en-HK"/>
        </w:rPr>
        <w:t>1. The Status Quo and Its Limitations</w:t>
      </w:r>
    </w:p>
    <w:p w14:paraId="3E0D440F" w14:textId="77777777" w:rsidR="00A44C2F" w:rsidRPr="006A23FA"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Definition and Current Uses</w:t>
      </w:r>
      <w:r w:rsidRPr="00F50BAB">
        <w:rPr>
          <w:rFonts w:ascii="Times New Roman" w:hAnsi="Times New Roman"/>
          <w:lang w:val="en-HK"/>
        </w:rPr>
        <w:t>: Private purpose trusts (PPTs) in English law are non-charitable trusts that lack identifiable human beneficiaries. Examples include trusts for maintaining pet animals, graves, or conducting private religious ceremonies. Despite being used for these purposes, their validity under English law is heavily constrained.</w:t>
      </w:r>
    </w:p>
    <w:p w14:paraId="1AD9B3E2" w14:textId="7B992AD6"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Anomalous Nature</w:t>
      </w:r>
      <w:r w:rsidRPr="00F50BAB">
        <w:rPr>
          <w:rFonts w:ascii="Times New Roman" w:hAnsi="Times New Roman"/>
          <w:lang w:val="en-HK"/>
        </w:rPr>
        <w:t>:</w:t>
      </w:r>
    </w:p>
    <w:p w14:paraId="2CD6AA0A" w14:textId="35DDB8D3" w:rsidR="00F50BAB" w:rsidRPr="006A23FA" w:rsidRDefault="00F50BAB" w:rsidP="006A23FA">
      <w:pPr>
        <w:pStyle w:val="ListParagraph"/>
        <w:numPr>
          <w:ilvl w:val="0"/>
          <w:numId w:val="8"/>
        </w:numPr>
        <w:spacing w:before="240" w:after="100" w:afterAutospacing="1" w:line="360" w:lineRule="auto"/>
        <w:rPr>
          <w:rFonts w:ascii="Times New Roman" w:hAnsi="Times New Roman"/>
          <w:lang w:val="en-HK"/>
        </w:rPr>
      </w:pPr>
      <w:r w:rsidRPr="006A23FA">
        <w:rPr>
          <w:rFonts w:ascii="Times New Roman" w:hAnsi="Times New Roman"/>
          <w:lang w:val="en-HK"/>
        </w:rPr>
        <w:t xml:space="preserve">PPTs are recognized as valid under certain conditions, yet they are unenforceable. This is because English law traditionally requires a trust to have identifiable human beneficiaries who can compel the trustee to </w:t>
      </w:r>
      <w:proofErr w:type="spellStart"/>
      <w:r w:rsidRPr="006A23FA">
        <w:rPr>
          <w:rFonts w:ascii="Times New Roman" w:hAnsi="Times New Roman"/>
          <w:lang w:val="en-HK"/>
        </w:rPr>
        <w:t>fulfill</w:t>
      </w:r>
      <w:proofErr w:type="spellEnd"/>
      <w:r w:rsidRPr="006A23FA">
        <w:rPr>
          <w:rFonts w:ascii="Times New Roman" w:hAnsi="Times New Roman"/>
          <w:lang w:val="en-HK"/>
        </w:rPr>
        <w:t xml:space="preserve"> their obligations. Without such enforcement, a trust fails in its purpose.</w:t>
      </w:r>
    </w:p>
    <w:p w14:paraId="5F91AE48" w14:textId="77777777" w:rsidR="00A44C2F" w:rsidRPr="006A23FA" w:rsidRDefault="00F50BAB" w:rsidP="006A23FA">
      <w:pPr>
        <w:numPr>
          <w:ilvl w:val="1"/>
          <w:numId w:val="1"/>
        </w:numPr>
        <w:spacing w:before="240" w:after="100" w:afterAutospacing="1" w:line="360" w:lineRule="auto"/>
        <w:rPr>
          <w:rFonts w:ascii="Times New Roman" w:hAnsi="Times New Roman"/>
          <w:lang w:val="en-HK"/>
        </w:rPr>
      </w:pPr>
      <w:r w:rsidRPr="00F50BAB">
        <w:rPr>
          <w:rFonts w:ascii="Times New Roman" w:hAnsi="Times New Roman"/>
          <w:lang w:val="en-HK"/>
        </w:rPr>
        <w:t>In cases where PPTs are upheld, there is often no consistent rationale or legal framework explaining why these trusts are deemed valid.</w:t>
      </w:r>
    </w:p>
    <w:p w14:paraId="14EC75E7" w14:textId="64670758"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Case Law Inconsistencies</w:t>
      </w:r>
      <w:r w:rsidRPr="00F50BAB">
        <w:rPr>
          <w:rFonts w:ascii="Times New Roman" w:hAnsi="Times New Roman"/>
          <w:lang w:val="en-HK"/>
        </w:rPr>
        <w:t>:</w:t>
      </w:r>
    </w:p>
    <w:p w14:paraId="4E73D22B" w14:textId="77777777" w:rsidR="00F50BAB" w:rsidRPr="00F50BAB" w:rsidRDefault="00F50BAB" w:rsidP="006A23FA">
      <w:pPr>
        <w:numPr>
          <w:ilvl w:val="1"/>
          <w:numId w:val="1"/>
        </w:numPr>
        <w:spacing w:before="240" w:after="100" w:afterAutospacing="1" w:line="360" w:lineRule="auto"/>
        <w:rPr>
          <w:rFonts w:ascii="Times New Roman" w:hAnsi="Times New Roman"/>
          <w:lang w:val="en-HK"/>
        </w:rPr>
      </w:pPr>
      <w:r w:rsidRPr="00F50BAB">
        <w:rPr>
          <w:rFonts w:ascii="Times New Roman" w:hAnsi="Times New Roman"/>
          <w:b/>
          <w:bCs/>
          <w:lang w:val="en-HK"/>
        </w:rPr>
        <w:t xml:space="preserve">Re </w:t>
      </w:r>
      <w:proofErr w:type="spellStart"/>
      <w:r w:rsidRPr="00F50BAB">
        <w:rPr>
          <w:rFonts w:ascii="Times New Roman" w:hAnsi="Times New Roman"/>
          <w:b/>
          <w:bCs/>
          <w:lang w:val="en-HK"/>
        </w:rPr>
        <w:t>Endacott</w:t>
      </w:r>
      <w:proofErr w:type="spellEnd"/>
      <w:r w:rsidRPr="00F50BAB">
        <w:rPr>
          <w:rFonts w:ascii="Times New Roman" w:hAnsi="Times New Roman"/>
          <w:lang w:val="en-HK"/>
        </w:rPr>
        <w:t xml:space="preserve"> classified PPTs as "exceptions" or "anomalies" under five broad categories: (1) erection of monuments or graves; (2) saying of masses; (3) maintenance of particular animals; (4) unincorporated associations; and (5) miscellaneous cases.</w:t>
      </w:r>
    </w:p>
    <w:p w14:paraId="4C529EC0" w14:textId="77777777" w:rsidR="00F50BAB" w:rsidRPr="00F50BAB" w:rsidRDefault="00F50BAB" w:rsidP="006A23FA">
      <w:pPr>
        <w:numPr>
          <w:ilvl w:val="1"/>
          <w:numId w:val="1"/>
        </w:numPr>
        <w:spacing w:before="240" w:after="100" w:afterAutospacing="1" w:line="360" w:lineRule="auto"/>
        <w:rPr>
          <w:rFonts w:ascii="Times New Roman" w:hAnsi="Times New Roman"/>
          <w:lang w:val="en-HK"/>
        </w:rPr>
      </w:pPr>
      <w:r w:rsidRPr="00F50BAB">
        <w:rPr>
          <w:rFonts w:ascii="Times New Roman" w:hAnsi="Times New Roman"/>
          <w:lang w:val="en-HK"/>
        </w:rPr>
        <w:t>These exceptions lack a coherent legal foundation, leading to conflicting precedents.</w:t>
      </w:r>
    </w:p>
    <w:p w14:paraId="18A11181"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Perpetuity and Certainty</w:t>
      </w:r>
      <w:r w:rsidRPr="00F50BAB">
        <w:rPr>
          <w:rFonts w:ascii="Times New Roman" w:hAnsi="Times New Roman"/>
          <w:lang w:val="en-HK"/>
        </w:rPr>
        <w:t>:</w:t>
      </w:r>
    </w:p>
    <w:p w14:paraId="76294EF6" w14:textId="77777777" w:rsidR="00F50BAB" w:rsidRPr="00F50BAB" w:rsidRDefault="00F50BAB" w:rsidP="006A23FA">
      <w:pPr>
        <w:numPr>
          <w:ilvl w:val="1"/>
          <w:numId w:val="1"/>
        </w:numPr>
        <w:spacing w:before="240" w:after="100" w:afterAutospacing="1" w:line="360" w:lineRule="auto"/>
        <w:rPr>
          <w:rFonts w:ascii="Times New Roman" w:hAnsi="Times New Roman"/>
          <w:lang w:val="en-HK"/>
        </w:rPr>
      </w:pPr>
      <w:r w:rsidRPr="00F50BAB">
        <w:rPr>
          <w:rFonts w:ascii="Times New Roman" w:hAnsi="Times New Roman"/>
          <w:lang w:val="en-HK"/>
        </w:rPr>
        <w:t>PPTs are only valid if confined to the perpetuity period and if their purposes are sufficiently certain.</w:t>
      </w:r>
    </w:p>
    <w:p w14:paraId="29C7300D" w14:textId="77777777" w:rsidR="00F50BAB" w:rsidRPr="00F50BAB" w:rsidRDefault="00F50BAB" w:rsidP="006A23FA">
      <w:pPr>
        <w:numPr>
          <w:ilvl w:val="1"/>
          <w:numId w:val="1"/>
        </w:numPr>
        <w:spacing w:before="240" w:after="100" w:afterAutospacing="1" w:line="360" w:lineRule="auto"/>
        <w:rPr>
          <w:rFonts w:ascii="Times New Roman" w:hAnsi="Times New Roman"/>
          <w:lang w:val="en-HK"/>
        </w:rPr>
      </w:pPr>
      <w:r w:rsidRPr="00F50BAB">
        <w:rPr>
          <w:rFonts w:ascii="Times New Roman" w:hAnsi="Times New Roman"/>
          <w:lang w:val="en-HK"/>
        </w:rPr>
        <w:t xml:space="preserve">Trusts for vague or capricious purposes fail, as demonstrated in cases like </w:t>
      </w:r>
      <w:proofErr w:type="spellStart"/>
      <w:r w:rsidRPr="00F50BAB">
        <w:rPr>
          <w:rFonts w:ascii="Times New Roman" w:hAnsi="Times New Roman"/>
          <w:i/>
          <w:iCs/>
          <w:lang w:val="en-HK"/>
        </w:rPr>
        <w:t>Morice</w:t>
      </w:r>
      <w:proofErr w:type="spellEnd"/>
      <w:r w:rsidRPr="00F50BAB">
        <w:rPr>
          <w:rFonts w:ascii="Times New Roman" w:hAnsi="Times New Roman"/>
          <w:i/>
          <w:iCs/>
          <w:lang w:val="en-HK"/>
        </w:rPr>
        <w:t xml:space="preserve"> v Bishop of Durham</w:t>
      </w:r>
      <w:r w:rsidRPr="00F50BAB">
        <w:rPr>
          <w:rFonts w:ascii="Times New Roman" w:hAnsi="Times New Roman"/>
          <w:lang w:val="en-HK"/>
        </w:rPr>
        <w:t>, which emphasized the necessity of definite objects.</w:t>
      </w:r>
    </w:p>
    <w:p w14:paraId="598B1FCA"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Social Need vs Legal Principle</w:t>
      </w:r>
      <w:r w:rsidRPr="00F50BAB">
        <w:rPr>
          <w:rFonts w:ascii="Times New Roman" w:hAnsi="Times New Roman"/>
          <w:lang w:val="en-HK"/>
        </w:rPr>
        <w:t>:</w:t>
      </w:r>
    </w:p>
    <w:p w14:paraId="494F63A5"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lastRenderedPageBreak/>
        <w:t>Some PPTs, like trusts for pet care, are upheld based on social acceptability or practical necessity rather than strict legal principles. This ad hoc approach undermines consistency in the application of the law.</w:t>
      </w:r>
    </w:p>
    <w:p w14:paraId="05AE93ED" w14:textId="77777777" w:rsidR="00F50BAB" w:rsidRPr="00F50BAB" w:rsidRDefault="00CF5826" w:rsidP="006A23FA">
      <w:pPr>
        <w:spacing w:before="240" w:line="360" w:lineRule="auto"/>
        <w:rPr>
          <w:rFonts w:ascii="Times New Roman" w:hAnsi="Times New Roman"/>
          <w:lang w:val="en-HK"/>
        </w:rPr>
      </w:pPr>
      <w:r w:rsidRPr="00CF5826">
        <w:rPr>
          <w:rFonts w:ascii="Times New Roman" w:hAnsi="Times New Roman"/>
          <w:noProof/>
          <w:lang w:val="en-HK"/>
          <w14:ligatures w14:val="standardContextual"/>
        </w:rPr>
        <w:pict w14:anchorId="754842C7">
          <v:rect id="_x0000_i1031" alt="" style="width:451.3pt;height:.05pt;mso-width-percent:0;mso-height-percent:0;mso-width-percent:0;mso-height-percent:0" o:hralign="center" o:hrstd="t" o:hr="t" fillcolor="#a0a0a0" stroked="f"/>
        </w:pict>
      </w:r>
    </w:p>
    <w:p w14:paraId="156D9C8E" w14:textId="77777777" w:rsidR="00F50BAB" w:rsidRPr="00F50BAB" w:rsidRDefault="00F50BAB" w:rsidP="006A23FA">
      <w:pPr>
        <w:spacing w:before="240" w:after="100" w:afterAutospacing="1" w:line="360" w:lineRule="auto"/>
        <w:outlineLvl w:val="2"/>
        <w:rPr>
          <w:rFonts w:ascii="Times New Roman" w:hAnsi="Times New Roman"/>
          <w:b/>
          <w:bCs/>
          <w:lang w:val="en-HK"/>
        </w:rPr>
      </w:pPr>
      <w:r w:rsidRPr="00F50BAB">
        <w:rPr>
          <w:rFonts w:ascii="Times New Roman" w:hAnsi="Times New Roman"/>
          <w:b/>
          <w:bCs/>
          <w:lang w:val="en-HK"/>
        </w:rPr>
        <w:t>2. Critique of the "Human Beneficiary Rule"</w:t>
      </w:r>
    </w:p>
    <w:p w14:paraId="291BA291"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Origins and Justification</w:t>
      </w:r>
      <w:r w:rsidRPr="00F50BAB">
        <w:rPr>
          <w:rFonts w:ascii="Times New Roman" w:hAnsi="Times New Roman"/>
          <w:lang w:val="en-HK"/>
        </w:rPr>
        <w:t>:</w:t>
      </w:r>
    </w:p>
    <w:p w14:paraId="24386A3F" w14:textId="77777777" w:rsidR="00F50BAB" w:rsidRPr="00F50BAB" w:rsidRDefault="00F50BAB" w:rsidP="006A23FA">
      <w:pPr>
        <w:numPr>
          <w:ilvl w:val="1"/>
          <w:numId w:val="2"/>
        </w:numPr>
        <w:spacing w:before="240" w:after="100" w:afterAutospacing="1" w:line="360" w:lineRule="auto"/>
        <w:rPr>
          <w:rFonts w:ascii="Times New Roman" w:hAnsi="Times New Roman"/>
          <w:lang w:val="en-HK"/>
        </w:rPr>
      </w:pPr>
      <w:r w:rsidRPr="00F50BAB">
        <w:rPr>
          <w:rFonts w:ascii="Times New Roman" w:hAnsi="Times New Roman"/>
          <w:lang w:val="en-HK"/>
        </w:rPr>
        <w:t xml:space="preserve">The "human beneficiary rule" stems from the principle articulated in </w:t>
      </w:r>
      <w:proofErr w:type="spellStart"/>
      <w:r w:rsidRPr="00F50BAB">
        <w:rPr>
          <w:rFonts w:ascii="Times New Roman" w:hAnsi="Times New Roman"/>
          <w:i/>
          <w:iCs/>
          <w:lang w:val="en-HK"/>
        </w:rPr>
        <w:t>Morice</w:t>
      </w:r>
      <w:proofErr w:type="spellEnd"/>
      <w:r w:rsidRPr="00F50BAB">
        <w:rPr>
          <w:rFonts w:ascii="Times New Roman" w:hAnsi="Times New Roman"/>
          <w:i/>
          <w:iCs/>
          <w:lang w:val="en-HK"/>
        </w:rPr>
        <w:t xml:space="preserve"> v Bishop of Durham</w:t>
      </w:r>
      <w:r w:rsidRPr="00F50BAB">
        <w:rPr>
          <w:rFonts w:ascii="Times New Roman" w:hAnsi="Times New Roman"/>
          <w:lang w:val="en-HK"/>
        </w:rPr>
        <w:t xml:space="preserve">: a valid trust must have a definite object—someone in whose </w:t>
      </w:r>
      <w:proofErr w:type="spellStart"/>
      <w:r w:rsidRPr="00F50BAB">
        <w:rPr>
          <w:rFonts w:ascii="Times New Roman" w:hAnsi="Times New Roman"/>
          <w:lang w:val="en-HK"/>
        </w:rPr>
        <w:t>favor</w:t>
      </w:r>
      <w:proofErr w:type="spellEnd"/>
      <w:r w:rsidRPr="00F50BAB">
        <w:rPr>
          <w:rFonts w:ascii="Times New Roman" w:hAnsi="Times New Roman"/>
          <w:lang w:val="en-HK"/>
        </w:rPr>
        <w:t xml:space="preserve"> the court can enforce the trust.</w:t>
      </w:r>
    </w:p>
    <w:p w14:paraId="2350B700" w14:textId="77777777" w:rsidR="00F50BAB" w:rsidRPr="00F50BAB" w:rsidRDefault="00F50BAB" w:rsidP="006A23FA">
      <w:pPr>
        <w:numPr>
          <w:ilvl w:val="1"/>
          <w:numId w:val="2"/>
        </w:numPr>
        <w:spacing w:before="240" w:after="100" w:afterAutospacing="1" w:line="360" w:lineRule="auto"/>
        <w:rPr>
          <w:rFonts w:ascii="Times New Roman" w:hAnsi="Times New Roman"/>
          <w:lang w:val="en-HK"/>
        </w:rPr>
      </w:pPr>
      <w:r w:rsidRPr="00F50BAB">
        <w:rPr>
          <w:rFonts w:ascii="Times New Roman" w:hAnsi="Times New Roman"/>
          <w:lang w:val="en-HK"/>
        </w:rPr>
        <w:t xml:space="preserve">Subsequent cases like </w:t>
      </w:r>
      <w:r w:rsidRPr="00F50BAB">
        <w:rPr>
          <w:rFonts w:ascii="Times New Roman" w:hAnsi="Times New Roman"/>
          <w:i/>
          <w:iCs/>
          <w:lang w:val="en-HK"/>
        </w:rPr>
        <w:t>Re Wood</w:t>
      </w:r>
      <w:r w:rsidRPr="00F50BAB">
        <w:rPr>
          <w:rFonts w:ascii="Times New Roman" w:hAnsi="Times New Roman"/>
          <w:lang w:val="en-HK"/>
        </w:rPr>
        <w:t xml:space="preserve"> and </w:t>
      </w:r>
      <w:r w:rsidRPr="00F50BAB">
        <w:rPr>
          <w:rFonts w:ascii="Times New Roman" w:hAnsi="Times New Roman"/>
          <w:i/>
          <w:iCs/>
          <w:lang w:val="en-HK"/>
        </w:rPr>
        <w:t>Re Astor’s Settlement Trusts</w:t>
      </w:r>
      <w:r w:rsidRPr="00F50BAB">
        <w:rPr>
          <w:rFonts w:ascii="Times New Roman" w:hAnsi="Times New Roman"/>
          <w:lang w:val="en-HK"/>
        </w:rPr>
        <w:t xml:space="preserve"> reaffirmed that a trust must have a </w:t>
      </w:r>
      <w:r w:rsidRPr="00F50BAB">
        <w:rPr>
          <w:rFonts w:ascii="Times New Roman" w:hAnsi="Times New Roman"/>
          <w:i/>
          <w:iCs/>
          <w:lang w:val="en-HK"/>
        </w:rPr>
        <w:t>cestui que trust</w:t>
      </w:r>
      <w:r w:rsidRPr="00F50BAB">
        <w:rPr>
          <w:rFonts w:ascii="Times New Roman" w:hAnsi="Times New Roman"/>
          <w:lang w:val="en-HK"/>
        </w:rPr>
        <w:t xml:space="preserve"> (a person with an equitable interest) to be enforceable.</w:t>
      </w:r>
    </w:p>
    <w:p w14:paraId="6A8932BF"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Challenges to the Rule</w:t>
      </w:r>
      <w:r w:rsidRPr="00F50BAB">
        <w:rPr>
          <w:rFonts w:ascii="Times New Roman" w:hAnsi="Times New Roman"/>
          <w:lang w:val="en-HK"/>
        </w:rPr>
        <w:t>:</w:t>
      </w:r>
    </w:p>
    <w:p w14:paraId="2C6CA89F" w14:textId="77777777" w:rsidR="00F50BAB" w:rsidRPr="00F50BAB" w:rsidRDefault="00F50BAB" w:rsidP="006A23FA">
      <w:pPr>
        <w:numPr>
          <w:ilvl w:val="1"/>
          <w:numId w:val="2"/>
        </w:numPr>
        <w:spacing w:before="240" w:after="100" w:afterAutospacing="1" w:line="360" w:lineRule="auto"/>
        <w:rPr>
          <w:rFonts w:ascii="Times New Roman" w:hAnsi="Times New Roman"/>
          <w:lang w:val="en-HK"/>
        </w:rPr>
      </w:pPr>
      <w:r w:rsidRPr="00F50BAB">
        <w:rPr>
          <w:rFonts w:ascii="Times New Roman" w:hAnsi="Times New Roman"/>
          <w:lang w:val="en-HK"/>
        </w:rPr>
        <w:t>The rule is inconsistently applied. While many PPTs fail for lack of a human beneficiary, exceptions are made without a clear rationale, undermining its doctrinal authority.</w:t>
      </w:r>
    </w:p>
    <w:p w14:paraId="5F8DB06E" w14:textId="77777777" w:rsidR="00F50BAB" w:rsidRPr="00F50BAB" w:rsidRDefault="00F50BAB" w:rsidP="006A23FA">
      <w:pPr>
        <w:numPr>
          <w:ilvl w:val="1"/>
          <w:numId w:val="2"/>
        </w:numPr>
        <w:spacing w:before="240" w:after="100" w:afterAutospacing="1" w:line="360" w:lineRule="auto"/>
        <w:rPr>
          <w:rFonts w:ascii="Times New Roman" w:hAnsi="Times New Roman"/>
          <w:lang w:val="en-HK"/>
        </w:rPr>
      </w:pPr>
      <w:r w:rsidRPr="00F50BAB">
        <w:rPr>
          <w:rFonts w:ascii="Times New Roman" w:hAnsi="Times New Roman"/>
          <w:lang w:val="en-HK"/>
        </w:rPr>
        <w:t xml:space="preserve">In </w:t>
      </w:r>
      <w:r w:rsidRPr="00F50BAB">
        <w:rPr>
          <w:rFonts w:ascii="Times New Roman" w:hAnsi="Times New Roman"/>
          <w:i/>
          <w:iCs/>
          <w:lang w:val="en-HK"/>
        </w:rPr>
        <w:t>Re Dean</w:t>
      </w:r>
      <w:r w:rsidRPr="00F50BAB">
        <w:rPr>
          <w:rFonts w:ascii="Times New Roman" w:hAnsi="Times New Roman"/>
          <w:lang w:val="en-HK"/>
        </w:rPr>
        <w:t xml:space="preserve">, a trust for the care of horses and hounds was upheld without human beneficiaries, as was a gift for promoting foxhunting in </w:t>
      </w:r>
      <w:r w:rsidRPr="00F50BAB">
        <w:rPr>
          <w:rFonts w:ascii="Times New Roman" w:hAnsi="Times New Roman"/>
          <w:i/>
          <w:iCs/>
          <w:lang w:val="en-HK"/>
        </w:rPr>
        <w:t>Re Thompson</w:t>
      </w:r>
      <w:r w:rsidRPr="00F50BAB">
        <w:rPr>
          <w:rFonts w:ascii="Times New Roman" w:hAnsi="Times New Roman"/>
          <w:lang w:val="en-HK"/>
        </w:rPr>
        <w:t>. These outcomes contradict the foundational principle of requiring enforceable beneficiaries.</w:t>
      </w:r>
    </w:p>
    <w:p w14:paraId="59B64F8A"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Alternative Rationales for Validity</w:t>
      </w:r>
      <w:r w:rsidRPr="00F50BAB">
        <w:rPr>
          <w:rFonts w:ascii="Times New Roman" w:hAnsi="Times New Roman"/>
          <w:lang w:val="en-HK"/>
        </w:rPr>
        <w:t>:</w:t>
      </w:r>
    </w:p>
    <w:p w14:paraId="42164A55" w14:textId="77777777" w:rsidR="00F50BAB" w:rsidRPr="00F50BAB" w:rsidRDefault="00F50BAB" w:rsidP="006A23FA">
      <w:pPr>
        <w:numPr>
          <w:ilvl w:val="1"/>
          <w:numId w:val="2"/>
        </w:numPr>
        <w:spacing w:before="240" w:after="100" w:afterAutospacing="1" w:line="360" w:lineRule="auto"/>
        <w:rPr>
          <w:rFonts w:ascii="Times New Roman" w:hAnsi="Times New Roman"/>
          <w:lang w:val="en-HK"/>
        </w:rPr>
      </w:pPr>
      <w:r w:rsidRPr="00F50BAB">
        <w:rPr>
          <w:rFonts w:ascii="Times New Roman" w:hAnsi="Times New Roman"/>
          <w:b/>
          <w:bCs/>
          <w:lang w:val="en-HK"/>
        </w:rPr>
        <w:t>Enforcement Mechanisms</w:t>
      </w:r>
      <w:r w:rsidRPr="00F50BAB">
        <w:rPr>
          <w:rFonts w:ascii="Times New Roman" w:hAnsi="Times New Roman"/>
          <w:lang w:val="en-HK"/>
        </w:rPr>
        <w:t>: Courts have sometimes upheld PPTs if an enforcement mechanism exists (e.g., a willing residuary beneficiary or another party capable of ensuring the trust’s purpose is fulfilled).</w:t>
      </w:r>
    </w:p>
    <w:p w14:paraId="6C2E799D" w14:textId="77777777" w:rsidR="00F50BAB" w:rsidRPr="00F50BAB" w:rsidRDefault="00F50BAB" w:rsidP="006A23FA">
      <w:pPr>
        <w:numPr>
          <w:ilvl w:val="1"/>
          <w:numId w:val="2"/>
        </w:numPr>
        <w:spacing w:before="240" w:after="100" w:afterAutospacing="1" w:line="360" w:lineRule="auto"/>
        <w:rPr>
          <w:rFonts w:ascii="Times New Roman" w:hAnsi="Times New Roman"/>
          <w:lang w:val="en-HK"/>
        </w:rPr>
      </w:pPr>
      <w:r w:rsidRPr="00F50BAB">
        <w:rPr>
          <w:rFonts w:ascii="Times New Roman" w:hAnsi="Times New Roman"/>
          <w:b/>
          <w:bCs/>
          <w:lang w:val="en-HK"/>
        </w:rPr>
        <w:t>Factual Beneficiaries</w:t>
      </w:r>
      <w:r w:rsidRPr="00F50BAB">
        <w:rPr>
          <w:rFonts w:ascii="Times New Roman" w:hAnsi="Times New Roman"/>
          <w:lang w:val="en-HK"/>
        </w:rPr>
        <w:t xml:space="preserve">: Some cases rely on indirect or "factual" beneficiaries to validate the trust. For example, in </w:t>
      </w:r>
      <w:r w:rsidRPr="00F50BAB">
        <w:rPr>
          <w:rFonts w:ascii="Times New Roman" w:hAnsi="Times New Roman"/>
          <w:i/>
          <w:iCs/>
          <w:lang w:val="en-HK"/>
        </w:rPr>
        <w:t xml:space="preserve">Re </w:t>
      </w:r>
      <w:proofErr w:type="spellStart"/>
      <w:r w:rsidRPr="00F50BAB">
        <w:rPr>
          <w:rFonts w:ascii="Times New Roman" w:hAnsi="Times New Roman"/>
          <w:i/>
          <w:iCs/>
          <w:lang w:val="en-HK"/>
        </w:rPr>
        <w:t>Denley’s</w:t>
      </w:r>
      <w:proofErr w:type="spellEnd"/>
      <w:r w:rsidRPr="00F50BAB">
        <w:rPr>
          <w:rFonts w:ascii="Times New Roman" w:hAnsi="Times New Roman"/>
          <w:i/>
          <w:iCs/>
          <w:lang w:val="en-HK"/>
        </w:rPr>
        <w:t xml:space="preserve"> Trust Deed</w:t>
      </w:r>
      <w:r w:rsidRPr="00F50BAB">
        <w:rPr>
          <w:rFonts w:ascii="Times New Roman" w:hAnsi="Times New Roman"/>
          <w:lang w:val="en-HK"/>
        </w:rPr>
        <w:t>, a sports ground trust was upheld because the employees who used it had a factual interest in its enjoyment, even though they lacked a proprietary interest.</w:t>
      </w:r>
    </w:p>
    <w:p w14:paraId="4DFC7AF7"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Theoretical Critiques</w:t>
      </w:r>
      <w:r w:rsidRPr="00F50BAB">
        <w:rPr>
          <w:rFonts w:ascii="Times New Roman" w:hAnsi="Times New Roman"/>
          <w:lang w:val="en-HK"/>
        </w:rPr>
        <w:t>:</w:t>
      </w:r>
    </w:p>
    <w:p w14:paraId="6A062407" w14:textId="77777777" w:rsidR="00F50BAB" w:rsidRPr="00F50BAB" w:rsidRDefault="00F50BAB" w:rsidP="006A23FA">
      <w:pPr>
        <w:numPr>
          <w:ilvl w:val="1"/>
          <w:numId w:val="2"/>
        </w:numPr>
        <w:spacing w:before="240" w:after="100" w:afterAutospacing="1" w:line="360" w:lineRule="auto"/>
        <w:rPr>
          <w:rFonts w:ascii="Times New Roman" w:hAnsi="Times New Roman"/>
          <w:lang w:val="en-HK"/>
        </w:rPr>
      </w:pPr>
      <w:r w:rsidRPr="00F50BAB">
        <w:rPr>
          <w:rFonts w:ascii="Times New Roman" w:hAnsi="Times New Roman"/>
          <w:lang w:val="en-HK"/>
        </w:rPr>
        <w:lastRenderedPageBreak/>
        <w:t>Scholars like P. Matthews argue that a trust’s enforceability does not necessarily require a human beneficiary with a proprietary right. Instead, enforceability could be grounded in alternative mechanisms or broader notions of interest and duty.</w:t>
      </w:r>
    </w:p>
    <w:p w14:paraId="08A119A1" w14:textId="77777777" w:rsidR="00F50BAB" w:rsidRPr="00F50BAB" w:rsidRDefault="00F50BAB" w:rsidP="006A23FA">
      <w:pPr>
        <w:numPr>
          <w:ilvl w:val="1"/>
          <w:numId w:val="2"/>
        </w:numPr>
        <w:spacing w:before="240" w:after="100" w:afterAutospacing="1" w:line="360" w:lineRule="auto"/>
        <w:rPr>
          <w:rFonts w:ascii="Times New Roman" w:hAnsi="Times New Roman"/>
          <w:lang w:val="en-HK"/>
        </w:rPr>
      </w:pPr>
      <w:r w:rsidRPr="00F50BAB">
        <w:rPr>
          <w:rFonts w:ascii="Times New Roman" w:hAnsi="Times New Roman"/>
          <w:lang w:val="en-HK"/>
        </w:rPr>
        <w:t>Others, such as Martin Dixon, suggest that exceptions to the rule are policy-driven, validated by courts to reflect societal norms and practical needs rather than strict legal principles.</w:t>
      </w:r>
    </w:p>
    <w:p w14:paraId="2760FD59"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Inconsistent Policy Outcomes</w:t>
      </w:r>
      <w:r w:rsidRPr="00F50BAB">
        <w:rPr>
          <w:rFonts w:ascii="Times New Roman" w:hAnsi="Times New Roman"/>
          <w:lang w:val="en-HK"/>
        </w:rPr>
        <w:t>:</w:t>
      </w:r>
    </w:p>
    <w:p w14:paraId="4EE3FA3A" w14:textId="77777777" w:rsidR="00F50BAB" w:rsidRPr="00F50BAB" w:rsidRDefault="00F50BAB" w:rsidP="006A23FA">
      <w:pPr>
        <w:numPr>
          <w:ilvl w:val="1"/>
          <w:numId w:val="2"/>
        </w:numPr>
        <w:spacing w:before="240" w:after="100" w:afterAutospacing="1" w:line="360" w:lineRule="auto"/>
        <w:rPr>
          <w:rFonts w:ascii="Times New Roman" w:hAnsi="Times New Roman"/>
          <w:lang w:val="en-HK"/>
        </w:rPr>
      </w:pPr>
      <w:r w:rsidRPr="00F50BAB">
        <w:rPr>
          <w:rFonts w:ascii="Times New Roman" w:hAnsi="Times New Roman"/>
          <w:lang w:val="en-HK"/>
        </w:rPr>
        <w:t xml:space="preserve">Courts permit residuary beneficiaries to enforce a PPT, even if this contradicts their personal financial interest, but deny enforcement rights to parties with an indirect interest (e.g., the headmaster in </w:t>
      </w:r>
      <w:r w:rsidRPr="00F50BAB">
        <w:rPr>
          <w:rFonts w:ascii="Times New Roman" w:hAnsi="Times New Roman"/>
          <w:i/>
          <w:iCs/>
          <w:lang w:val="en-HK"/>
        </w:rPr>
        <w:t>Shaw v Lawless</w:t>
      </w:r>
      <w:r w:rsidRPr="00F50BAB">
        <w:rPr>
          <w:rFonts w:ascii="Times New Roman" w:hAnsi="Times New Roman"/>
          <w:lang w:val="en-HK"/>
        </w:rPr>
        <w:t>). These inconsistencies highlight the inadequacy of the current legal framework.</w:t>
      </w:r>
    </w:p>
    <w:p w14:paraId="2546C37C" w14:textId="77777777" w:rsidR="00F50BAB" w:rsidRPr="00F50BAB" w:rsidRDefault="00F50BAB" w:rsidP="006A23FA">
      <w:pPr>
        <w:spacing w:before="240" w:after="100" w:afterAutospacing="1" w:line="360" w:lineRule="auto"/>
        <w:outlineLvl w:val="2"/>
        <w:rPr>
          <w:rFonts w:ascii="Times New Roman" w:hAnsi="Times New Roman"/>
          <w:b/>
          <w:bCs/>
          <w:lang w:val="en-HK"/>
        </w:rPr>
      </w:pPr>
      <w:r w:rsidRPr="00F50BAB">
        <w:rPr>
          <w:rFonts w:ascii="Times New Roman" w:hAnsi="Times New Roman"/>
          <w:b/>
          <w:bCs/>
          <w:lang w:val="en-HK"/>
        </w:rPr>
        <w:t>3. Comparative Analysis: Offshore Jurisdictions</w:t>
      </w:r>
    </w:p>
    <w:p w14:paraId="26C62585"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t>The document explores how several offshore jurisdictions have successfully legislated to validate private purpose trusts (PPTs), overcoming the limitations inherent in English law. These jurisdictions serve as potential models for reform.</w:t>
      </w:r>
    </w:p>
    <w:p w14:paraId="1A9A1F02" w14:textId="77777777" w:rsidR="00F50BAB" w:rsidRPr="00F50BAB" w:rsidRDefault="00CF5826" w:rsidP="006A23FA">
      <w:pPr>
        <w:spacing w:before="240" w:line="360" w:lineRule="auto"/>
        <w:rPr>
          <w:rFonts w:ascii="Times New Roman" w:hAnsi="Times New Roman"/>
          <w:lang w:val="en-HK"/>
        </w:rPr>
      </w:pPr>
      <w:r w:rsidRPr="00CF5826">
        <w:rPr>
          <w:rFonts w:ascii="Times New Roman" w:hAnsi="Times New Roman"/>
          <w:noProof/>
          <w:lang w:val="en-HK"/>
          <w14:ligatures w14:val="standardContextual"/>
        </w:rPr>
        <w:pict w14:anchorId="6C029C3E">
          <v:rect id="_x0000_i1030" alt="" style="width:451.3pt;height:.05pt;mso-width-percent:0;mso-height-percent:0;mso-width-percent:0;mso-height-percent:0" o:hralign="center" o:hrstd="t" o:hr="t" fillcolor="#a0a0a0" stroked="f"/>
        </w:pict>
      </w:r>
    </w:p>
    <w:p w14:paraId="25A45257" w14:textId="77777777" w:rsidR="00F50BAB" w:rsidRPr="00F50BAB" w:rsidRDefault="00F50BAB" w:rsidP="006A23FA">
      <w:pPr>
        <w:spacing w:before="240" w:after="100" w:afterAutospacing="1" w:line="360" w:lineRule="auto"/>
        <w:outlineLvl w:val="3"/>
        <w:rPr>
          <w:rFonts w:ascii="Times New Roman" w:hAnsi="Times New Roman"/>
          <w:b/>
          <w:bCs/>
          <w:lang w:val="en-HK"/>
        </w:rPr>
      </w:pPr>
      <w:r w:rsidRPr="00F50BAB">
        <w:rPr>
          <w:rFonts w:ascii="Times New Roman" w:hAnsi="Times New Roman"/>
          <w:b/>
          <w:bCs/>
          <w:lang w:val="en-HK"/>
        </w:rPr>
        <w:t>Key Jurisdictions Examined</w:t>
      </w:r>
    </w:p>
    <w:p w14:paraId="2BF79971" w14:textId="77777777" w:rsidR="00F50BAB" w:rsidRPr="00F50BAB" w:rsidRDefault="00F50BAB" w:rsidP="006A23FA">
      <w:pPr>
        <w:numPr>
          <w:ilvl w:val="0"/>
          <w:numId w:val="3"/>
        </w:numPr>
        <w:spacing w:before="240" w:after="100" w:afterAutospacing="1" w:line="360" w:lineRule="auto"/>
        <w:rPr>
          <w:rFonts w:ascii="Times New Roman" w:hAnsi="Times New Roman"/>
          <w:lang w:val="en-HK"/>
        </w:rPr>
      </w:pPr>
      <w:r w:rsidRPr="00F50BAB">
        <w:rPr>
          <w:rFonts w:ascii="Times New Roman" w:hAnsi="Times New Roman"/>
          <w:b/>
          <w:bCs/>
          <w:lang w:val="en-HK"/>
        </w:rPr>
        <w:t>Jersey (Trusts (Jersey) Law 1984)</w:t>
      </w:r>
      <w:r w:rsidRPr="00F50BAB">
        <w:rPr>
          <w:rFonts w:ascii="Times New Roman" w:hAnsi="Times New Roman"/>
          <w:lang w:val="en-HK"/>
        </w:rPr>
        <w:t>:</w:t>
      </w:r>
    </w:p>
    <w:p w14:paraId="54C6429D" w14:textId="77777777" w:rsidR="00F50BAB" w:rsidRPr="00F50BAB" w:rsidRDefault="00F50BAB" w:rsidP="006A23FA">
      <w:pPr>
        <w:numPr>
          <w:ilvl w:val="1"/>
          <w:numId w:val="3"/>
        </w:numPr>
        <w:spacing w:before="240" w:after="100" w:afterAutospacing="1" w:line="360" w:lineRule="auto"/>
        <w:rPr>
          <w:rFonts w:ascii="Times New Roman" w:hAnsi="Times New Roman"/>
          <w:lang w:val="en-HK"/>
        </w:rPr>
      </w:pPr>
      <w:r w:rsidRPr="00F50BAB">
        <w:rPr>
          <w:rFonts w:ascii="Times New Roman" w:hAnsi="Times New Roman"/>
          <w:lang w:val="en-HK"/>
        </w:rPr>
        <w:t>Initially invalidated PPTs, but amendments in 1996 allowed PPTs with the provision of an "enforcer" to oversee their purposes.</w:t>
      </w:r>
    </w:p>
    <w:p w14:paraId="54F67493" w14:textId="77777777" w:rsidR="00F50BAB" w:rsidRPr="00F50BAB" w:rsidRDefault="00F50BAB" w:rsidP="006A23FA">
      <w:pPr>
        <w:numPr>
          <w:ilvl w:val="1"/>
          <w:numId w:val="3"/>
        </w:numPr>
        <w:spacing w:before="240" w:after="100" w:afterAutospacing="1" w:line="360" w:lineRule="auto"/>
        <w:rPr>
          <w:rFonts w:ascii="Times New Roman" w:hAnsi="Times New Roman"/>
          <w:lang w:val="en-HK"/>
        </w:rPr>
      </w:pPr>
      <w:r w:rsidRPr="00F50BAB">
        <w:rPr>
          <w:rFonts w:ascii="Times New Roman" w:hAnsi="Times New Roman"/>
          <w:lang w:val="en-HK"/>
        </w:rPr>
        <w:t>This approach mitigates enforcement issues inherent in English law.</w:t>
      </w:r>
    </w:p>
    <w:p w14:paraId="0DE308B1" w14:textId="77777777" w:rsidR="00F50BAB" w:rsidRPr="00F50BAB" w:rsidRDefault="00F50BAB" w:rsidP="006A23FA">
      <w:pPr>
        <w:numPr>
          <w:ilvl w:val="0"/>
          <w:numId w:val="3"/>
        </w:numPr>
        <w:spacing w:before="240" w:after="100" w:afterAutospacing="1" w:line="360" w:lineRule="auto"/>
        <w:rPr>
          <w:rFonts w:ascii="Times New Roman" w:hAnsi="Times New Roman"/>
          <w:lang w:val="en-HK"/>
        </w:rPr>
      </w:pPr>
      <w:r w:rsidRPr="00F50BAB">
        <w:rPr>
          <w:rFonts w:ascii="Times New Roman" w:hAnsi="Times New Roman"/>
          <w:b/>
          <w:bCs/>
          <w:lang w:val="en-HK"/>
        </w:rPr>
        <w:t>Cayman Islands (Special Trusts (Alternative Regime) Law 1997 - STAR trusts)</w:t>
      </w:r>
      <w:r w:rsidRPr="00F50BAB">
        <w:rPr>
          <w:rFonts w:ascii="Times New Roman" w:hAnsi="Times New Roman"/>
          <w:lang w:val="en-HK"/>
        </w:rPr>
        <w:t>:</w:t>
      </w:r>
    </w:p>
    <w:p w14:paraId="59D1273F" w14:textId="5C755E94" w:rsidR="00F50BAB" w:rsidRPr="00F50BAB" w:rsidRDefault="00F50BAB" w:rsidP="006A23FA">
      <w:pPr>
        <w:numPr>
          <w:ilvl w:val="1"/>
          <w:numId w:val="3"/>
        </w:numPr>
        <w:spacing w:before="240" w:after="100" w:afterAutospacing="1" w:line="360" w:lineRule="auto"/>
        <w:rPr>
          <w:rFonts w:ascii="Times New Roman" w:hAnsi="Times New Roman"/>
          <w:lang w:val="en-HK"/>
        </w:rPr>
      </w:pPr>
      <w:r w:rsidRPr="00F50BAB">
        <w:rPr>
          <w:rFonts w:ascii="Times New Roman" w:hAnsi="Times New Roman"/>
          <w:lang w:val="en-HK"/>
        </w:rPr>
        <w:lastRenderedPageBreak/>
        <w:t>STAR trusts</w:t>
      </w:r>
      <w:r w:rsidR="003C02FE">
        <w:rPr>
          <w:rStyle w:val="FootnoteReference"/>
          <w:rFonts w:ascii="Times New Roman" w:hAnsi="Times New Roman"/>
          <w:lang w:val="en-HK"/>
        </w:rPr>
        <w:footnoteReference w:id="1"/>
      </w:r>
      <w:r w:rsidRPr="00F50BAB">
        <w:rPr>
          <w:rFonts w:ascii="Times New Roman" w:hAnsi="Times New Roman"/>
          <w:lang w:val="en-HK"/>
        </w:rPr>
        <w:t xml:space="preserve"> are an entirely new regime allowing PPTs, with flexibility to benefit both humans and non-charitable purposes.</w:t>
      </w:r>
    </w:p>
    <w:p w14:paraId="47DB7786" w14:textId="77777777" w:rsidR="00F50BAB" w:rsidRPr="00F50BAB" w:rsidRDefault="00F50BAB" w:rsidP="006A23FA">
      <w:pPr>
        <w:numPr>
          <w:ilvl w:val="1"/>
          <w:numId w:val="3"/>
        </w:numPr>
        <w:spacing w:before="240" w:after="100" w:afterAutospacing="1" w:line="360" w:lineRule="auto"/>
        <w:rPr>
          <w:rFonts w:ascii="Times New Roman" w:hAnsi="Times New Roman"/>
          <w:lang w:val="en-HK"/>
        </w:rPr>
      </w:pPr>
      <w:r w:rsidRPr="00F50BAB">
        <w:rPr>
          <w:rFonts w:ascii="Times New Roman" w:hAnsi="Times New Roman"/>
          <w:lang w:val="en-HK"/>
        </w:rPr>
        <w:t>The rule against perpetuities does not apply, permitting PPTs to exist indefinitely.</w:t>
      </w:r>
    </w:p>
    <w:p w14:paraId="49852F23" w14:textId="77777777" w:rsidR="00F50BAB" w:rsidRPr="00F50BAB" w:rsidRDefault="00F50BAB" w:rsidP="006A23FA">
      <w:pPr>
        <w:numPr>
          <w:ilvl w:val="0"/>
          <w:numId w:val="3"/>
        </w:numPr>
        <w:spacing w:before="240" w:after="100" w:afterAutospacing="1" w:line="360" w:lineRule="auto"/>
        <w:rPr>
          <w:rFonts w:ascii="Times New Roman" w:hAnsi="Times New Roman"/>
          <w:lang w:val="en-HK"/>
        </w:rPr>
      </w:pPr>
      <w:r w:rsidRPr="00F50BAB">
        <w:rPr>
          <w:rFonts w:ascii="Times New Roman" w:hAnsi="Times New Roman"/>
          <w:b/>
          <w:bCs/>
          <w:lang w:val="en-HK"/>
        </w:rPr>
        <w:t>British Virgin Islands (Virgin Islands Special Trusts Act 2003 - VISTA trusts)</w:t>
      </w:r>
      <w:r w:rsidRPr="00F50BAB">
        <w:rPr>
          <w:rFonts w:ascii="Times New Roman" w:hAnsi="Times New Roman"/>
          <w:lang w:val="en-HK"/>
        </w:rPr>
        <w:t>:</w:t>
      </w:r>
    </w:p>
    <w:p w14:paraId="156E3B4B" w14:textId="77777777" w:rsidR="00F50BAB" w:rsidRPr="00F50BAB" w:rsidRDefault="00F50BAB" w:rsidP="006A23FA">
      <w:pPr>
        <w:numPr>
          <w:ilvl w:val="1"/>
          <w:numId w:val="3"/>
        </w:numPr>
        <w:spacing w:before="240" w:after="100" w:afterAutospacing="1" w:line="360" w:lineRule="auto"/>
        <w:rPr>
          <w:rFonts w:ascii="Times New Roman" w:hAnsi="Times New Roman"/>
          <w:lang w:val="en-HK"/>
        </w:rPr>
      </w:pPr>
      <w:r w:rsidRPr="00F50BAB">
        <w:rPr>
          <w:rFonts w:ascii="Times New Roman" w:hAnsi="Times New Roman"/>
          <w:lang w:val="en-HK"/>
        </w:rPr>
        <w:t>Facilitates PPTs for specific purposes, including holding company shares.</w:t>
      </w:r>
    </w:p>
    <w:p w14:paraId="40E55D1A" w14:textId="77777777" w:rsidR="00F50BAB" w:rsidRPr="00F50BAB" w:rsidRDefault="00F50BAB" w:rsidP="006A23FA">
      <w:pPr>
        <w:numPr>
          <w:ilvl w:val="1"/>
          <w:numId w:val="3"/>
        </w:numPr>
        <w:spacing w:before="240" w:after="100" w:afterAutospacing="1" w:line="360" w:lineRule="auto"/>
        <w:rPr>
          <w:rFonts w:ascii="Times New Roman" w:hAnsi="Times New Roman"/>
          <w:lang w:val="en-HK"/>
        </w:rPr>
      </w:pPr>
      <w:r w:rsidRPr="00F50BAB">
        <w:rPr>
          <w:rFonts w:ascii="Times New Roman" w:hAnsi="Times New Roman"/>
          <w:lang w:val="en-HK"/>
        </w:rPr>
        <w:t>Limits the trustees’ role to holding assets rather than engaging in active management.</w:t>
      </w:r>
    </w:p>
    <w:p w14:paraId="3A317268" w14:textId="77777777" w:rsidR="00F50BAB" w:rsidRPr="00F50BAB" w:rsidRDefault="00F50BAB" w:rsidP="006A23FA">
      <w:pPr>
        <w:numPr>
          <w:ilvl w:val="0"/>
          <w:numId w:val="3"/>
        </w:numPr>
        <w:spacing w:before="240" w:after="100" w:afterAutospacing="1" w:line="360" w:lineRule="auto"/>
        <w:rPr>
          <w:rFonts w:ascii="Times New Roman" w:hAnsi="Times New Roman"/>
          <w:lang w:val="en-HK"/>
        </w:rPr>
      </w:pPr>
      <w:r w:rsidRPr="00F50BAB">
        <w:rPr>
          <w:rFonts w:ascii="Times New Roman" w:hAnsi="Times New Roman"/>
          <w:b/>
          <w:bCs/>
          <w:lang w:val="en-HK"/>
        </w:rPr>
        <w:t>Other jurisdictions (e.g., Bermuda, Isle of Man)</w:t>
      </w:r>
      <w:r w:rsidRPr="00F50BAB">
        <w:rPr>
          <w:rFonts w:ascii="Times New Roman" w:hAnsi="Times New Roman"/>
          <w:lang w:val="en-HK"/>
        </w:rPr>
        <w:t>:</w:t>
      </w:r>
    </w:p>
    <w:p w14:paraId="15FECFF5" w14:textId="77777777" w:rsidR="00F50BAB" w:rsidRPr="00F50BAB" w:rsidRDefault="00F50BAB" w:rsidP="006A23FA">
      <w:pPr>
        <w:numPr>
          <w:ilvl w:val="1"/>
          <w:numId w:val="3"/>
        </w:numPr>
        <w:spacing w:before="240" w:after="100" w:afterAutospacing="1" w:line="360" w:lineRule="auto"/>
        <w:rPr>
          <w:rFonts w:ascii="Times New Roman" w:hAnsi="Times New Roman"/>
          <w:lang w:val="en-HK"/>
        </w:rPr>
      </w:pPr>
      <w:r w:rsidRPr="00F50BAB">
        <w:rPr>
          <w:rFonts w:ascii="Times New Roman" w:hAnsi="Times New Roman"/>
          <w:lang w:val="en-HK"/>
        </w:rPr>
        <w:t>Bermuda allows trusts for purposes provided they have no direct human beneficiaries.</w:t>
      </w:r>
    </w:p>
    <w:p w14:paraId="6B7CAB1D" w14:textId="77777777" w:rsidR="00F50BAB" w:rsidRPr="00F50BAB" w:rsidRDefault="00F50BAB" w:rsidP="006A23FA">
      <w:pPr>
        <w:numPr>
          <w:ilvl w:val="1"/>
          <w:numId w:val="3"/>
        </w:numPr>
        <w:spacing w:before="240" w:after="100" w:afterAutospacing="1" w:line="360" w:lineRule="auto"/>
        <w:rPr>
          <w:rFonts w:ascii="Times New Roman" w:hAnsi="Times New Roman"/>
          <w:lang w:val="en-HK"/>
        </w:rPr>
      </w:pPr>
      <w:r w:rsidRPr="00F50BAB">
        <w:rPr>
          <w:rFonts w:ascii="Times New Roman" w:hAnsi="Times New Roman"/>
          <w:lang w:val="en-HK"/>
        </w:rPr>
        <w:t>Isle of Man requires a perpetuity period but mandates "termination events" for clarity on how the trust ends.</w:t>
      </w:r>
    </w:p>
    <w:p w14:paraId="28BD71D2" w14:textId="77777777" w:rsidR="00F50BAB" w:rsidRPr="00F50BAB" w:rsidRDefault="00CF5826" w:rsidP="006A23FA">
      <w:pPr>
        <w:spacing w:before="240" w:line="360" w:lineRule="auto"/>
        <w:rPr>
          <w:rFonts w:ascii="Times New Roman" w:hAnsi="Times New Roman"/>
          <w:lang w:val="en-HK"/>
        </w:rPr>
      </w:pPr>
      <w:r w:rsidRPr="00CF5826">
        <w:rPr>
          <w:rFonts w:ascii="Times New Roman" w:hAnsi="Times New Roman"/>
          <w:noProof/>
          <w:lang w:val="en-HK"/>
          <w14:ligatures w14:val="standardContextual"/>
        </w:rPr>
        <w:pict w14:anchorId="3B30E259">
          <v:rect id="_x0000_i1029" alt="" style="width:451.3pt;height:.05pt;mso-width-percent:0;mso-height-percent:0;mso-width-percent:0;mso-height-percent:0" o:hralign="center" o:hrstd="t" o:hr="t" fillcolor="#a0a0a0" stroked="f"/>
        </w:pict>
      </w:r>
    </w:p>
    <w:p w14:paraId="06C4498D" w14:textId="77777777" w:rsidR="00F50BAB" w:rsidRPr="00F50BAB" w:rsidRDefault="00F50BAB" w:rsidP="006A23FA">
      <w:pPr>
        <w:spacing w:before="240" w:after="100" w:afterAutospacing="1" w:line="360" w:lineRule="auto"/>
        <w:outlineLvl w:val="3"/>
        <w:rPr>
          <w:rFonts w:ascii="Times New Roman" w:hAnsi="Times New Roman"/>
          <w:b/>
          <w:bCs/>
          <w:lang w:val="en-HK"/>
        </w:rPr>
      </w:pPr>
      <w:r w:rsidRPr="00F50BAB">
        <w:rPr>
          <w:rFonts w:ascii="Times New Roman" w:hAnsi="Times New Roman"/>
          <w:b/>
          <w:bCs/>
          <w:lang w:val="en-HK"/>
        </w:rPr>
        <w:t>Key Features of Offshore Reforms</w:t>
      </w:r>
    </w:p>
    <w:p w14:paraId="33466BE8" w14:textId="77777777" w:rsidR="00F50BAB" w:rsidRPr="00F50BAB" w:rsidRDefault="00F50BAB" w:rsidP="006A23FA">
      <w:pPr>
        <w:numPr>
          <w:ilvl w:val="0"/>
          <w:numId w:val="4"/>
        </w:numPr>
        <w:spacing w:before="240" w:after="100" w:afterAutospacing="1" w:line="360" w:lineRule="auto"/>
        <w:rPr>
          <w:rFonts w:ascii="Times New Roman" w:hAnsi="Times New Roman"/>
          <w:lang w:val="en-HK"/>
        </w:rPr>
      </w:pPr>
      <w:r w:rsidRPr="00F50BAB">
        <w:rPr>
          <w:rFonts w:ascii="Times New Roman" w:hAnsi="Times New Roman"/>
          <w:b/>
          <w:bCs/>
          <w:lang w:val="en-HK"/>
        </w:rPr>
        <w:t>Enforcer Mechanism</w:t>
      </w:r>
      <w:r w:rsidRPr="00F50BAB">
        <w:rPr>
          <w:rFonts w:ascii="Times New Roman" w:hAnsi="Times New Roman"/>
          <w:lang w:val="en-HK"/>
        </w:rPr>
        <w:t>:</w:t>
      </w:r>
    </w:p>
    <w:p w14:paraId="2FA67A46" w14:textId="77777777" w:rsidR="00F50BAB" w:rsidRPr="00F50BAB" w:rsidRDefault="00F50BAB" w:rsidP="006A23FA">
      <w:pPr>
        <w:numPr>
          <w:ilvl w:val="1"/>
          <w:numId w:val="4"/>
        </w:numPr>
        <w:spacing w:before="240" w:after="100" w:afterAutospacing="1" w:line="360" w:lineRule="auto"/>
        <w:rPr>
          <w:rFonts w:ascii="Times New Roman" w:hAnsi="Times New Roman"/>
          <w:lang w:val="en-HK"/>
        </w:rPr>
      </w:pPr>
      <w:r w:rsidRPr="00F50BAB">
        <w:rPr>
          <w:rFonts w:ascii="Times New Roman" w:hAnsi="Times New Roman"/>
          <w:lang w:val="en-HK"/>
        </w:rPr>
        <w:t>Most jurisdictions require an enforcer to act as a fiduciary, ensuring that the trust's purposes are met.</w:t>
      </w:r>
    </w:p>
    <w:p w14:paraId="20ADA4DA" w14:textId="77777777" w:rsidR="00F50BAB" w:rsidRPr="00F50BAB" w:rsidRDefault="00F50BAB" w:rsidP="006A23FA">
      <w:pPr>
        <w:numPr>
          <w:ilvl w:val="1"/>
          <w:numId w:val="4"/>
        </w:numPr>
        <w:spacing w:before="240" w:after="100" w:afterAutospacing="1" w:line="360" w:lineRule="auto"/>
        <w:rPr>
          <w:rFonts w:ascii="Times New Roman" w:hAnsi="Times New Roman"/>
          <w:lang w:val="en-HK"/>
        </w:rPr>
      </w:pPr>
      <w:r w:rsidRPr="00F50BAB">
        <w:rPr>
          <w:rFonts w:ascii="Times New Roman" w:hAnsi="Times New Roman"/>
          <w:lang w:val="en-HK"/>
        </w:rPr>
        <w:t>For example, Bermuda allows the Attorney General to enforce purposes if no private enforcer exists.</w:t>
      </w:r>
    </w:p>
    <w:p w14:paraId="4099F55E" w14:textId="77777777" w:rsidR="00F50BAB" w:rsidRPr="00F50BAB" w:rsidRDefault="00F50BAB" w:rsidP="006A23FA">
      <w:pPr>
        <w:numPr>
          <w:ilvl w:val="0"/>
          <w:numId w:val="4"/>
        </w:numPr>
        <w:spacing w:before="240" w:after="100" w:afterAutospacing="1" w:line="360" w:lineRule="auto"/>
        <w:rPr>
          <w:rFonts w:ascii="Times New Roman" w:hAnsi="Times New Roman"/>
          <w:lang w:val="en-HK"/>
        </w:rPr>
      </w:pPr>
      <w:r w:rsidRPr="00F50BAB">
        <w:rPr>
          <w:rFonts w:ascii="Times New Roman" w:hAnsi="Times New Roman"/>
          <w:b/>
          <w:bCs/>
          <w:lang w:val="en-HK"/>
        </w:rPr>
        <w:t>Perpetuity and Determination</w:t>
      </w:r>
      <w:r w:rsidRPr="00F50BAB">
        <w:rPr>
          <w:rFonts w:ascii="Times New Roman" w:hAnsi="Times New Roman"/>
          <w:lang w:val="en-HK"/>
        </w:rPr>
        <w:t>:</w:t>
      </w:r>
    </w:p>
    <w:p w14:paraId="00E47E39" w14:textId="4248E6AF" w:rsidR="006A23FA" w:rsidRPr="006A23FA" w:rsidRDefault="006A23FA" w:rsidP="006A23FA">
      <w:pPr>
        <w:pStyle w:val="ListParagraph"/>
        <w:numPr>
          <w:ilvl w:val="1"/>
          <w:numId w:val="4"/>
        </w:numPr>
        <w:spacing w:before="240" w:after="240" w:line="360" w:lineRule="auto"/>
        <w:rPr>
          <w:rFonts w:ascii="Times New Roman" w:hAnsi="Times New Roman"/>
          <w:lang w:val="en-HK"/>
        </w:rPr>
      </w:pPr>
      <w:r w:rsidRPr="006A23FA">
        <w:rPr>
          <w:rFonts w:ascii="Times New Roman" w:hAnsi="Times New Roman"/>
          <w:lang w:val="en-HK"/>
        </w:rPr>
        <w:t>The usual perpetuity period of 80 years in English law does not apply on-charitable purposes, which can only endure for (human) lives in being plus 21 years.</w:t>
      </w:r>
    </w:p>
    <w:p w14:paraId="6D66FD7F" w14:textId="03EECE88" w:rsidR="00F50BAB" w:rsidRPr="006A23FA" w:rsidRDefault="00F50BAB" w:rsidP="006A23FA">
      <w:pPr>
        <w:pStyle w:val="ListParagraph"/>
        <w:numPr>
          <w:ilvl w:val="1"/>
          <w:numId w:val="4"/>
        </w:numPr>
        <w:spacing w:before="240" w:after="240" w:line="360" w:lineRule="auto"/>
        <w:rPr>
          <w:rFonts w:ascii="Times New Roman" w:hAnsi="Times New Roman"/>
          <w:lang w:val="en-HK"/>
        </w:rPr>
      </w:pPr>
      <w:r w:rsidRPr="006A23FA">
        <w:rPr>
          <w:rFonts w:ascii="Times New Roman" w:hAnsi="Times New Roman"/>
          <w:lang w:val="en-HK"/>
        </w:rPr>
        <w:t xml:space="preserve">Jurisdictions like Cayman Islands remove the perpetuity restriction, while others (e.g., </w:t>
      </w:r>
      <w:r w:rsidR="006A23FA" w:rsidRPr="006A23FA">
        <w:rPr>
          <w:rFonts w:ascii="Times New Roman" w:hAnsi="Times New Roman"/>
          <w:lang w:val="en-HK"/>
        </w:rPr>
        <w:t xml:space="preserve">the </w:t>
      </w:r>
      <w:r w:rsidRPr="006A23FA">
        <w:rPr>
          <w:rFonts w:ascii="Times New Roman" w:hAnsi="Times New Roman"/>
          <w:lang w:val="en-HK"/>
        </w:rPr>
        <w:t>Isle of Man) require explicit termination provisions.</w:t>
      </w:r>
    </w:p>
    <w:p w14:paraId="2317F5FD" w14:textId="77777777" w:rsidR="00F50BAB" w:rsidRPr="00F50BAB" w:rsidRDefault="00F50BAB" w:rsidP="006A23FA">
      <w:pPr>
        <w:numPr>
          <w:ilvl w:val="0"/>
          <w:numId w:val="4"/>
        </w:numPr>
        <w:spacing w:before="240" w:after="100" w:afterAutospacing="1" w:line="360" w:lineRule="auto"/>
        <w:rPr>
          <w:rFonts w:ascii="Times New Roman" w:hAnsi="Times New Roman"/>
          <w:lang w:val="en-HK"/>
        </w:rPr>
      </w:pPr>
      <w:r w:rsidRPr="00F50BAB">
        <w:rPr>
          <w:rFonts w:ascii="Times New Roman" w:hAnsi="Times New Roman"/>
          <w:b/>
          <w:bCs/>
          <w:lang w:val="en-HK"/>
        </w:rPr>
        <w:lastRenderedPageBreak/>
        <w:t>Clarity in Purpose</w:t>
      </w:r>
      <w:r w:rsidRPr="00F50BAB">
        <w:rPr>
          <w:rFonts w:ascii="Times New Roman" w:hAnsi="Times New Roman"/>
          <w:lang w:val="en-HK"/>
        </w:rPr>
        <w:t>:</w:t>
      </w:r>
    </w:p>
    <w:p w14:paraId="6944A055"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t>Trusts must articulate clear, lawful purposes. Some jurisdictions allow PPTs even for internal objectives, such as holding company shares.</w:t>
      </w:r>
    </w:p>
    <w:p w14:paraId="08C7CA47" w14:textId="77777777" w:rsidR="00F50BAB" w:rsidRPr="00F50BAB" w:rsidRDefault="00F50BAB" w:rsidP="006A23FA">
      <w:pPr>
        <w:numPr>
          <w:ilvl w:val="0"/>
          <w:numId w:val="4"/>
        </w:numPr>
        <w:spacing w:before="240" w:after="100" w:afterAutospacing="1" w:line="360" w:lineRule="auto"/>
        <w:rPr>
          <w:rFonts w:ascii="Times New Roman" w:hAnsi="Times New Roman"/>
          <w:lang w:val="en-HK"/>
        </w:rPr>
      </w:pPr>
      <w:r w:rsidRPr="00F50BAB">
        <w:rPr>
          <w:rFonts w:ascii="Times New Roman" w:hAnsi="Times New Roman"/>
          <w:b/>
          <w:bCs/>
          <w:lang w:val="en-HK"/>
        </w:rPr>
        <w:t>Flexibility in Trust Instruments</w:t>
      </w:r>
      <w:r w:rsidRPr="00F50BAB">
        <w:rPr>
          <w:rFonts w:ascii="Times New Roman" w:hAnsi="Times New Roman"/>
          <w:lang w:val="en-HK"/>
        </w:rPr>
        <w:t>:</w:t>
      </w:r>
    </w:p>
    <w:p w14:paraId="73A7C0C2"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t>PPTs can often be created via trust deed or will, addressing flexibility concerns for settlors.</w:t>
      </w:r>
    </w:p>
    <w:p w14:paraId="059AD0CF" w14:textId="77777777" w:rsidR="00F50BAB" w:rsidRPr="00F50BAB" w:rsidRDefault="00CF5826" w:rsidP="006A23FA">
      <w:pPr>
        <w:spacing w:before="240" w:line="360" w:lineRule="auto"/>
        <w:rPr>
          <w:rFonts w:ascii="Times New Roman" w:hAnsi="Times New Roman"/>
          <w:lang w:val="en-HK"/>
        </w:rPr>
      </w:pPr>
      <w:r w:rsidRPr="00CF5826">
        <w:rPr>
          <w:rFonts w:ascii="Times New Roman" w:hAnsi="Times New Roman"/>
          <w:noProof/>
          <w:lang w:val="en-HK"/>
          <w14:ligatures w14:val="standardContextual"/>
        </w:rPr>
        <w:pict w14:anchorId="5D68327E">
          <v:rect id="_x0000_i1028" alt="" style="width:451.3pt;height:.05pt;mso-width-percent:0;mso-height-percent:0;mso-width-percent:0;mso-height-percent:0" o:hralign="center" o:hrstd="t" o:hr="t" fillcolor="#a0a0a0" stroked="f"/>
        </w:pict>
      </w:r>
    </w:p>
    <w:p w14:paraId="1F49521E" w14:textId="77777777" w:rsidR="00F50BAB" w:rsidRPr="00F50BAB" w:rsidRDefault="00F50BAB" w:rsidP="006A23FA">
      <w:pPr>
        <w:spacing w:before="240" w:after="100" w:afterAutospacing="1" w:line="360" w:lineRule="auto"/>
        <w:outlineLvl w:val="2"/>
        <w:rPr>
          <w:rFonts w:ascii="Times New Roman" w:hAnsi="Times New Roman"/>
          <w:b/>
          <w:bCs/>
          <w:lang w:val="en-HK"/>
        </w:rPr>
      </w:pPr>
      <w:r w:rsidRPr="00F50BAB">
        <w:rPr>
          <w:rFonts w:ascii="Times New Roman" w:hAnsi="Times New Roman"/>
          <w:b/>
          <w:bCs/>
          <w:lang w:val="en-HK"/>
        </w:rPr>
        <w:t>4. Reform Proposal for English Law</w:t>
      </w:r>
    </w:p>
    <w:p w14:paraId="5AE01639"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t>The document lays out a comprehensive reform agenda to modernize English trust law, drawing inspiration from offshore models while addressing domestic policy considerations.</w:t>
      </w:r>
    </w:p>
    <w:p w14:paraId="61C173ED" w14:textId="77777777" w:rsidR="00F50BAB" w:rsidRPr="00F50BAB" w:rsidRDefault="00CF5826" w:rsidP="006A23FA">
      <w:pPr>
        <w:spacing w:before="240" w:line="360" w:lineRule="auto"/>
        <w:rPr>
          <w:rFonts w:ascii="Times New Roman" w:hAnsi="Times New Roman"/>
          <w:lang w:val="en-HK"/>
        </w:rPr>
      </w:pPr>
      <w:r w:rsidRPr="00CF5826">
        <w:rPr>
          <w:rFonts w:ascii="Times New Roman" w:hAnsi="Times New Roman"/>
          <w:noProof/>
          <w:lang w:val="en-HK"/>
          <w14:ligatures w14:val="standardContextual"/>
        </w:rPr>
        <w:pict w14:anchorId="0165F487">
          <v:rect id="_x0000_i1027" alt="" style="width:451.3pt;height:.05pt;mso-width-percent:0;mso-height-percent:0;mso-width-percent:0;mso-height-percent:0" o:hralign="center" o:hrstd="t" o:hr="t" fillcolor="#a0a0a0" stroked="f"/>
        </w:pict>
      </w:r>
    </w:p>
    <w:p w14:paraId="55894887" w14:textId="77777777" w:rsidR="00F50BAB" w:rsidRPr="00F50BAB" w:rsidRDefault="00F50BAB" w:rsidP="006A23FA">
      <w:pPr>
        <w:spacing w:before="240" w:after="100" w:afterAutospacing="1" w:line="360" w:lineRule="auto"/>
        <w:outlineLvl w:val="3"/>
        <w:rPr>
          <w:rFonts w:ascii="Times New Roman" w:hAnsi="Times New Roman"/>
          <w:b/>
          <w:bCs/>
          <w:lang w:val="en-HK"/>
        </w:rPr>
      </w:pPr>
      <w:r w:rsidRPr="00F50BAB">
        <w:rPr>
          <w:rFonts w:ascii="Times New Roman" w:hAnsi="Times New Roman"/>
          <w:b/>
          <w:bCs/>
          <w:lang w:val="en-HK"/>
        </w:rPr>
        <w:t>Proposed Key Features for Reform</w:t>
      </w:r>
    </w:p>
    <w:p w14:paraId="0EB03F6F" w14:textId="77777777" w:rsidR="00F50BAB" w:rsidRPr="00F50BAB" w:rsidRDefault="00F50BAB" w:rsidP="006A23FA">
      <w:pPr>
        <w:numPr>
          <w:ilvl w:val="0"/>
          <w:numId w:val="5"/>
        </w:numPr>
        <w:spacing w:before="240" w:after="100" w:afterAutospacing="1" w:line="360" w:lineRule="auto"/>
        <w:rPr>
          <w:rFonts w:ascii="Times New Roman" w:hAnsi="Times New Roman"/>
          <w:lang w:val="en-HK"/>
        </w:rPr>
      </w:pPr>
      <w:r w:rsidRPr="00F50BAB">
        <w:rPr>
          <w:rFonts w:ascii="Times New Roman" w:hAnsi="Times New Roman"/>
          <w:b/>
          <w:bCs/>
          <w:lang w:val="en-HK"/>
        </w:rPr>
        <w:t>Recognition of PPTs</w:t>
      </w:r>
      <w:r w:rsidRPr="00F50BAB">
        <w:rPr>
          <w:rFonts w:ascii="Times New Roman" w:hAnsi="Times New Roman"/>
          <w:lang w:val="en-HK"/>
        </w:rPr>
        <w:t>:</w:t>
      </w:r>
    </w:p>
    <w:p w14:paraId="1A7E3761"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t>Enact legislation to explicitly validate PPTs, provided they serve legitimate and non-contradictory purposes.</w:t>
      </w:r>
    </w:p>
    <w:p w14:paraId="771F4499" w14:textId="77777777" w:rsidR="00F50BAB" w:rsidRPr="00F50BAB" w:rsidRDefault="00F50BAB" w:rsidP="006A23FA">
      <w:pPr>
        <w:numPr>
          <w:ilvl w:val="0"/>
          <w:numId w:val="5"/>
        </w:numPr>
        <w:spacing w:before="240" w:after="100" w:afterAutospacing="1" w:line="360" w:lineRule="auto"/>
        <w:rPr>
          <w:rFonts w:ascii="Times New Roman" w:hAnsi="Times New Roman"/>
          <w:lang w:val="en-HK"/>
        </w:rPr>
      </w:pPr>
      <w:r w:rsidRPr="00F50BAB">
        <w:rPr>
          <w:rFonts w:ascii="Times New Roman" w:hAnsi="Times New Roman"/>
          <w:b/>
          <w:bCs/>
          <w:lang w:val="en-HK"/>
        </w:rPr>
        <w:t>Enforcer Mechanism</w:t>
      </w:r>
      <w:r w:rsidRPr="00F50BAB">
        <w:rPr>
          <w:rFonts w:ascii="Times New Roman" w:hAnsi="Times New Roman"/>
          <w:lang w:val="en-HK"/>
        </w:rPr>
        <w:t>:</w:t>
      </w:r>
    </w:p>
    <w:p w14:paraId="0597A2EA" w14:textId="5BD29FC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t>Scholars like D.J. Hayton advocate for a designated enforcer, arguing that enforceability ensures trustees fulfil their duties.</w:t>
      </w:r>
    </w:p>
    <w:p w14:paraId="25518BC1" w14:textId="77777777" w:rsidR="00F50BAB" w:rsidRPr="00F50BAB" w:rsidRDefault="00F50BAB" w:rsidP="006A23FA">
      <w:pPr>
        <w:numPr>
          <w:ilvl w:val="0"/>
          <w:numId w:val="5"/>
        </w:numPr>
        <w:spacing w:before="240" w:after="100" w:afterAutospacing="1" w:line="360" w:lineRule="auto"/>
        <w:rPr>
          <w:rFonts w:ascii="Times New Roman" w:hAnsi="Times New Roman"/>
          <w:lang w:val="en-HK"/>
        </w:rPr>
      </w:pPr>
      <w:r w:rsidRPr="00F50BAB">
        <w:rPr>
          <w:rFonts w:ascii="Times New Roman" w:hAnsi="Times New Roman"/>
          <w:b/>
          <w:bCs/>
          <w:lang w:val="en-HK"/>
        </w:rPr>
        <w:t>Perpetuity Period</w:t>
      </w:r>
      <w:r w:rsidRPr="00F50BAB">
        <w:rPr>
          <w:rFonts w:ascii="Times New Roman" w:hAnsi="Times New Roman"/>
          <w:lang w:val="en-HK"/>
        </w:rPr>
        <w:t>:</w:t>
      </w:r>
    </w:p>
    <w:p w14:paraId="446B2D0D"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t>The reform should either align PPTs with the current 80-year perpetuity period or exempt PPTs entirely, as in Cayman Islands' STAR regime.</w:t>
      </w:r>
    </w:p>
    <w:p w14:paraId="5EAC1F91" w14:textId="77777777" w:rsidR="00F50BAB" w:rsidRPr="00F50BAB" w:rsidRDefault="00F50BAB" w:rsidP="006A23FA">
      <w:pPr>
        <w:numPr>
          <w:ilvl w:val="0"/>
          <w:numId w:val="5"/>
        </w:numPr>
        <w:spacing w:before="240" w:after="100" w:afterAutospacing="1" w:line="360" w:lineRule="auto"/>
        <w:rPr>
          <w:rFonts w:ascii="Times New Roman" w:hAnsi="Times New Roman"/>
          <w:lang w:val="en-HK"/>
        </w:rPr>
      </w:pPr>
      <w:r w:rsidRPr="00F50BAB">
        <w:rPr>
          <w:rFonts w:ascii="Times New Roman" w:hAnsi="Times New Roman"/>
          <w:b/>
          <w:bCs/>
          <w:lang w:val="en-HK"/>
        </w:rPr>
        <w:t>Purpose Definition</w:t>
      </w:r>
      <w:r w:rsidRPr="00F50BAB">
        <w:rPr>
          <w:rFonts w:ascii="Times New Roman" w:hAnsi="Times New Roman"/>
          <w:lang w:val="en-HK"/>
        </w:rPr>
        <w:t>:</w:t>
      </w:r>
    </w:p>
    <w:p w14:paraId="0C43E155"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t>The purpose must be lawful, certain, and not contrary to public policy. Martin Dixon emphasizes the need for clarity to prevent judicial confusion.</w:t>
      </w:r>
    </w:p>
    <w:p w14:paraId="232843AF" w14:textId="77777777" w:rsidR="00F50BAB" w:rsidRPr="00F50BAB" w:rsidRDefault="00F50BAB" w:rsidP="006A23FA">
      <w:pPr>
        <w:numPr>
          <w:ilvl w:val="0"/>
          <w:numId w:val="5"/>
        </w:numPr>
        <w:spacing w:before="240" w:after="100" w:afterAutospacing="1" w:line="360" w:lineRule="auto"/>
        <w:rPr>
          <w:rFonts w:ascii="Times New Roman" w:hAnsi="Times New Roman"/>
          <w:lang w:val="en-HK"/>
        </w:rPr>
      </w:pPr>
      <w:r w:rsidRPr="00F50BAB">
        <w:rPr>
          <w:rFonts w:ascii="Times New Roman" w:hAnsi="Times New Roman"/>
          <w:b/>
          <w:bCs/>
          <w:lang w:val="en-HK"/>
        </w:rPr>
        <w:lastRenderedPageBreak/>
        <w:t>Default Beneficiaries and Termination Events</w:t>
      </w:r>
      <w:r w:rsidRPr="00F50BAB">
        <w:rPr>
          <w:rFonts w:ascii="Times New Roman" w:hAnsi="Times New Roman"/>
          <w:lang w:val="en-HK"/>
        </w:rPr>
        <w:t>:</w:t>
      </w:r>
    </w:p>
    <w:p w14:paraId="5AB96731"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t>As per Jersey law, trusts should name default beneficiaries or specify termination triggers. The enforcer must act independently to manage conflicts.</w:t>
      </w:r>
    </w:p>
    <w:p w14:paraId="15B89BBE" w14:textId="77777777" w:rsidR="00F50BAB" w:rsidRPr="00F50BAB" w:rsidRDefault="00F50BAB" w:rsidP="006A23FA">
      <w:pPr>
        <w:numPr>
          <w:ilvl w:val="0"/>
          <w:numId w:val="5"/>
        </w:numPr>
        <w:spacing w:before="240" w:after="100" w:afterAutospacing="1" w:line="360" w:lineRule="auto"/>
        <w:rPr>
          <w:rFonts w:ascii="Times New Roman" w:hAnsi="Times New Roman"/>
          <w:lang w:val="en-HK"/>
        </w:rPr>
      </w:pPr>
      <w:r w:rsidRPr="00F50BAB">
        <w:rPr>
          <w:rFonts w:ascii="Times New Roman" w:hAnsi="Times New Roman"/>
          <w:b/>
          <w:bCs/>
          <w:lang w:val="en-HK"/>
        </w:rPr>
        <w:t>Disclosure</w:t>
      </w:r>
      <w:r w:rsidRPr="00F50BAB">
        <w:rPr>
          <w:rFonts w:ascii="Times New Roman" w:hAnsi="Times New Roman"/>
          <w:lang w:val="en-HK"/>
        </w:rPr>
        <w:t>:</w:t>
      </w:r>
    </w:p>
    <w:p w14:paraId="663B92CD"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t>Trust documentation should be accessible to default beneficiaries. However, as Dixon notes, settlors might seek discretion to limit this where privacy concerns arise.</w:t>
      </w:r>
    </w:p>
    <w:p w14:paraId="167BA6F4" w14:textId="77777777" w:rsidR="00F50BAB" w:rsidRPr="00F50BAB" w:rsidRDefault="00F50BAB" w:rsidP="006A23FA">
      <w:pPr>
        <w:numPr>
          <w:ilvl w:val="0"/>
          <w:numId w:val="5"/>
        </w:numPr>
        <w:spacing w:before="240" w:after="100" w:afterAutospacing="1" w:line="360" w:lineRule="auto"/>
        <w:rPr>
          <w:rFonts w:ascii="Times New Roman" w:hAnsi="Times New Roman"/>
          <w:lang w:val="en-HK"/>
        </w:rPr>
      </w:pPr>
      <w:r w:rsidRPr="00F50BAB">
        <w:rPr>
          <w:rFonts w:ascii="Times New Roman" w:hAnsi="Times New Roman"/>
          <w:b/>
          <w:bCs/>
          <w:lang w:val="en-HK"/>
        </w:rPr>
        <w:t>Type of Trust Instrument</w:t>
      </w:r>
      <w:r w:rsidRPr="00F50BAB">
        <w:rPr>
          <w:rFonts w:ascii="Times New Roman" w:hAnsi="Times New Roman"/>
          <w:lang w:val="en-HK"/>
        </w:rPr>
        <w:t>:</w:t>
      </w:r>
    </w:p>
    <w:p w14:paraId="20C0A85F"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t xml:space="preserve">PPTs should be creatable via inter </w:t>
      </w:r>
      <w:proofErr w:type="spellStart"/>
      <w:r w:rsidRPr="00F50BAB">
        <w:rPr>
          <w:rFonts w:ascii="Times New Roman" w:hAnsi="Times New Roman"/>
          <w:lang w:val="en-HK"/>
        </w:rPr>
        <w:t>vivos</w:t>
      </w:r>
      <w:proofErr w:type="spellEnd"/>
      <w:r w:rsidRPr="00F50BAB">
        <w:rPr>
          <w:rFonts w:ascii="Times New Roman" w:hAnsi="Times New Roman"/>
          <w:lang w:val="en-HK"/>
        </w:rPr>
        <w:t xml:space="preserve"> deeds or wills to maximize settlor flexibility.</w:t>
      </w:r>
    </w:p>
    <w:p w14:paraId="1A08142A" w14:textId="77777777" w:rsidR="00F50BAB" w:rsidRPr="00F50BAB" w:rsidRDefault="00CF5826" w:rsidP="006A23FA">
      <w:pPr>
        <w:spacing w:before="240" w:line="360" w:lineRule="auto"/>
        <w:rPr>
          <w:rFonts w:ascii="Times New Roman" w:hAnsi="Times New Roman"/>
          <w:lang w:val="en-HK"/>
        </w:rPr>
      </w:pPr>
      <w:r w:rsidRPr="00CF5826">
        <w:rPr>
          <w:rFonts w:ascii="Times New Roman" w:hAnsi="Times New Roman"/>
          <w:noProof/>
          <w:lang w:val="en-HK"/>
          <w14:ligatures w14:val="standardContextual"/>
        </w:rPr>
        <w:pict w14:anchorId="3F628FF9">
          <v:rect id="_x0000_i1026" alt="" style="width:451.3pt;height:.05pt;mso-width-percent:0;mso-height-percent:0;mso-width-percent:0;mso-height-percent:0" o:hralign="center" o:hrstd="t" o:hr="t" fillcolor="#a0a0a0" stroked="f"/>
        </w:pict>
      </w:r>
    </w:p>
    <w:p w14:paraId="42FA45F5" w14:textId="77777777" w:rsidR="00F50BAB" w:rsidRPr="00F50BAB" w:rsidRDefault="00F50BAB" w:rsidP="006A23FA">
      <w:pPr>
        <w:spacing w:before="240" w:after="100" w:afterAutospacing="1" w:line="360" w:lineRule="auto"/>
        <w:outlineLvl w:val="3"/>
        <w:rPr>
          <w:rFonts w:ascii="Times New Roman" w:hAnsi="Times New Roman"/>
          <w:b/>
          <w:bCs/>
          <w:lang w:val="en-HK"/>
        </w:rPr>
      </w:pPr>
      <w:r w:rsidRPr="00F50BAB">
        <w:rPr>
          <w:rFonts w:ascii="Times New Roman" w:hAnsi="Times New Roman"/>
          <w:b/>
          <w:bCs/>
          <w:lang w:val="en-HK"/>
        </w:rPr>
        <w:t>Scholars' Opinions</w:t>
      </w:r>
    </w:p>
    <w:p w14:paraId="165A9269" w14:textId="77777777" w:rsidR="00F50BAB" w:rsidRPr="00F50BAB" w:rsidRDefault="00F50BAB" w:rsidP="006A23FA">
      <w:pPr>
        <w:numPr>
          <w:ilvl w:val="0"/>
          <w:numId w:val="6"/>
        </w:numPr>
        <w:spacing w:before="240" w:after="100" w:afterAutospacing="1" w:line="360" w:lineRule="auto"/>
        <w:rPr>
          <w:rFonts w:ascii="Times New Roman" w:hAnsi="Times New Roman"/>
          <w:lang w:val="en-HK"/>
        </w:rPr>
      </w:pPr>
      <w:r w:rsidRPr="00F50BAB">
        <w:rPr>
          <w:rFonts w:ascii="Times New Roman" w:hAnsi="Times New Roman"/>
          <w:b/>
          <w:bCs/>
          <w:lang w:val="en-HK"/>
        </w:rPr>
        <w:t>D.J. Hayton</w:t>
      </w:r>
      <w:r w:rsidRPr="00F50BAB">
        <w:rPr>
          <w:rFonts w:ascii="Times New Roman" w:hAnsi="Times New Roman"/>
          <w:lang w:val="en-HK"/>
        </w:rPr>
        <w:t>: Stresses enforceability through an enforcer mechanism and argues that enforceability, not beneficiary ownership, should determine trust validity.</w:t>
      </w:r>
    </w:p>
    <w:p w14:paraId="2BAF87C9" w14:textId="77777777" w:rsidR="00F50BAB" w:rsidRPr="00F50BAB" w:rsidRDefault="00F50BAB" w:rsidP="006A23FA">
      <w:pPr>
        <w:numPr>
          <w:ilvl w:val="0"/>
          <w:numId w:val="6"/>
        </w:numPr>
        <w:spacing w:before="240" w:after="100" w:afterAutospacing="1" w:line="360" w:lineRule="auto"/>
        <w:rPr>
          <w:rFonts w:ascii="Times New Roman" w:hAnsi="Times New Roman"/>
          <w:lang w:val="en-HK"/>
        </w:rPr>
      </w:pPr>
      <w:r w:rsidRPr="00F50BAB">
        <w:rPr>
          <w:rFonts w:ascii="Times New Roman" w:hAnsi="Times New Roman"/>
          <w:b/>
          <w:bCs/>
          <w:lang w:val="en-HK"/>
        </w:rPr>
        <w:t>Martin Dixon</w:t>
      </w:r>
      <w:r w:rsidRPr="00F50BAB">
        <w:rPr>
          <w:rFonts w:ascii="Times New Roman" w:hAnsi="Times New Roman"/>
          <w:lang w:val="en-HK"/>
        </w:rPr>
        <w:t>: Criticizes the ad hoc exceptions in English law and calls for a statutory framework to validate PPTs with clear rules for enforceability and purposes.</w:t>
      </w:r>
    </w:p>
    <w:p w14:paraId="07F8E1FF" w14:textId="77777777" w:rsidR="00F50BAB" w:rsidRPr="00F50BAB" w:rsidRDefault="00F50BAB" w:rsidP="006A23FA">
      <w:pPr>
        <w:numPr>
          <w:ilvl w:val="0"/>
          <w:numId w:val="6"/>
        </w:numPr>
        <w:spacing w:before="240" w:after="100" w:afterAutospacing="1" w:line="360" w:lineRule="auto"/>
        <w:rPr>
          <w:rFonts w:ascii="Times New Roman" w:hAnsi="Times New Roman"/>
          <w:lang w:val="en-HK"/>
        </w:rPr>
      </w:pPr>
      <w:r w:rsidRPr="00F50BAB">
        <w:rPr>
          <w:rFonts w:ascii="Times New Roman" w:hAnsi="Times New Roman"/>
          <w:b/>
          <w:bCs/>
          <w:lang w:val="en-HK"/>
        </w:rPr>
        <w:t>P. Matthews</w:t>
      </w:r>
      <w:r w:rsidRPr="00F50BAB">
        <w:rPr>
          <w:rFonts w:ascii="Times New Roman" w:hAnsi="Times New Roman"/>
          <w:lang w:val="en-HK"/>
        </w:rPr>
        <w:t>: Advocates a broader view of trust law, suggesting PPTs can align with modern needs by emphasizing duties rather than rigid beneficiary requirements.</w:t>
      </w:r>
    </w:p>
    <w:p w14:paraId="72029B0C" w14:textId="77777777" w:rsidR="00F50BAB" w:rsidRPr="00F50BAB" w:rsidRDefault="00F50BAB" w:rsidP="006A23FA">
      <w:pPr>
        <w:numPr>
          <w:ilvl w:val="0"/>
          <w:numId w:val="6"/>
        </w:numPr>
        <w:spacing w:before="240" w:after="100" w:afterAutospacing="1" w:line="360" w:lineRule="auto"/>
        <w:rPr>
          <w:rFonts w:ascii="Times New Roman" w:hAnsi="Times New Roman"/>
          <w:lang w:val="en-HK"/>
        </w:rPr>
      </w:pPr>
      <w:r w:rsidRPr="00F50BAB">
        <w:rPr>
          <w:rFonts w:ascii="Times New Roman" w:hAnsi="Times New Roman"/>
          <w:b/>
          <w:bCs/>
          <w:lang w:val="en-HK"/>
        </w:rPr>
        <w:t>Mark Pawlowski &amp; Jo Summers (authors)</w:t>
      </w:r>
      <w:r w:rsidRPr="00F50BAB">
        <w:rPr>
          <w:rFonts w:ascii="Times New Roman" w:hAnsi="Times New Roman"/>
          <w:lang w:val="en-HK"/>
        </w:rPr>
        <w:t xml:space="preserve">: Urge for legislative reform </w:t>
      </w:r>
      <w:proofErr w:type="spellStart"/>
      <w:r w:rsidRPr="00F50BAB">
        <w:rPr>
          <w:rFonts w:ascii="Times New Roman" w:hAnsi="Times New Roman"/>
          <w:lang w:val="en-HK"/>
        </w:rPr>
        <w:t>modeled</w:t>
      </w:r>
      <w:proofErr w:type="spellEnd"/>
      <w:r w:rsidRPr="00F50BAB">
        <w:rPr>
          <w:rFonts w:ascii="Times New Roman" w:hAnsi="Times New Roman"/>
          <w:lang w:val="en-HK"/>
        </w:rPr>
        <w:t xml:space="preserve"> after offshore jurisdictions to resolve the current inconsistencies and enhance trust utility.</w:t>
      </w:r>
    </w:p>
    <w:p w14:paraId="69030A07" w14:textId="77777777" w:rsidR="00F50BAB" w:rsidRPr="00F50BAB" w:rsidRDefault="00CF5826" w:rsidP="006A23FA">
      <w:pPr>
        <w:spacing w:before="240" w:line="360" w:lineRule="auto"/>
        <w:rPr>
          <w:rFonts w:ascii="Times New Roman" w:hAnsi="Times New Roman"/>
          <w:lang w:val="en-HK"/>
        </w:rPr>
      </w:pPr>
      <w:r w:rsidRPr="00CF5826">
        <w:rPr>
          <w:rFonts w:ascii="Times New Roman" w:hAnsi="Times New Roman"/>
          <w:noProof/>
          <w:lang w:val="en-HK"/>
          <w14:ligatures w14:val="standardContextual"/>
        </w:rPr>
        <w:pict w14:anchorId="433A0E63">
          <v:rect id="_x0000_i1025" alt="" style="width:451.3pt;height:.05pt;mso-width-percent:0;mso-height-percent:0;mso-width-percent:0;mso-height-percent:0" o:hralign="center" o:hrstd="t" o:hr="t" fillcolor="#a0a0a0" stroked="f"/>
        </w:pict>
      </w:r>
    </w:p>
    <w:p w14:paraId="34A49353" w14:textId="77777777" w:rsidR="00F50BAB" w:rsidRPr="00F50BAB" w:rsidRDefault="00F50BAB" w:rsidP="006A23FA">
      <w:pPr>
        <w:spacing w:before="240" w:after="100" w:afterAutospacing="1" w:line="360" w:lineRule="auto"/>
        <w:outlineLvl w:val="2"/>
        <w:rPr>
          <w:rFonts w:ascii="Times New Roman" w:hAnsi="Times New Roman"/>
          <w:b/>
          <w:bCs/>
          <w:lang w:val="en-HK"/>
        </w:rPr>
      </w:pPr>
      <w:r w:rsidRPr="00F50BAB">
        <w:rPr>
          <w:rFonts w:ascii="Times New Roman" w:hAnsi="Times New Roman"/>
          <w:b/>
          <w:bCs/>
          <w:lang w:val="en-HK"/>
        </w:rPr>
        <w:t>Conclusion: Current Application in UK Law</w:t>
      </w:r>
    </w:p>
    <w:p w14:paraId="28B49665"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Current State</w:t>
      </w:r>
      <w:r w:rsidRPr="00F50BAB">
        <w:rPr>
          <w:rFonts w:ascii="Times New Roman" w:hAnsi="Times New Roman"/>
          <w:lang w:val="en-HK"/>
        </w:rPr>
        <w:t>:</w:t>
      </w:r>
    </w:p>
    <w:p w14:paraId="32FA5FDB" w14:textId="77777777" w:rsidR="00F50BAB" w:rsidRPr="00F50BAB" w:rsidRDefault="00F50BAB" w:rsidP="006A23FA">
      <w:pPr>
        <w:numPr>
          <w:ilvl w:val="1"/>
          <w:numId w:val="7"/>
        </w:numPr>
        <w:spacing w:before="240" w:after="100" w:afterAutospacing="1" w:line="360" w:lineRule="auto"/>
        <w:rPr>
          <w:rFonts w:ascii="Times New Roman" w:hAnsi="Times New Roman"/>
          <w:lang w:val="en-HK"/>
        </w:rPr>
      </w:pPr>
      <w:r w:rsidRPr="00F50BAB">
        <w:rPr>
          <w:rFonts w:ascii="Times New Roman" w:hAnsi="Times New Roman"/>
          <w:lang w:val="en-HK"/>
        </w:rPr>
        <w:t>Non-charitable private purpose trusts are largely invalid in English law due to the human beneficiary rule.</w:t>
      </w:r>
    </w:p>
    <w:p w14:paraId="4A3C331E" w14:textId="77777777" w:rsidR="00F50BAB" w:rsidRPr="00F50BAB" w:rsidRDefault="00F50BAB" w:rsidP="006A23FA">
      <w:pPr>
        <w:numPr>
          <w:ilvl w:val="1"/>
          <w:numId w:val="7"/>
        </w:numPr>
        <w:spacing w:before="240" w:after="100" w:afterAutospacing="1" w:line="360" w:lineRule="auto"/>
        <w:rPr>
          <w:rFonts w:ascii="Times New Roman" w:hAnsi="Times New Roman"/>
          <w:lang w:val="en-HK"/>
        </w:rPr>
      </w:pPr>
      <w:r w:rsidRPr="00F50BAB">
        <w:rPr>
          <w:rFonts w:ascii="Times New Roman" w:hAnsi="Times New Roman"/>
          <w:lang w:val="en-HK"/>
        </w:rPr>
        <w:lastRenderedPageBreak/>
        <w:t>Exceptions exist (e.g., pet care, graves), but they are anomalies, not representative of a coherent legal framework.</w:t>
      </w:r>
    </w:p>
    <w:p w14:paraId="0281E895"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Applicability of PPTs in England</w:t>
      </w:r>
      <w:r w:rsidRPr="00F50BAB">
        <w:rPr>
          <w:rFonts w:ascii="Times New Roman" w:hAnsi="Times New Roman"/>
          <w:lang w:val="en-HK"/>
        </w:rPr>
        <w:t>:</w:t>
      </w:r>
    </w:p>
    <w:p w14:paraId="4CC45812"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lang w:val="en-HK"/>
        </w:rPr>
        <w:t>Limited and inconsistent. English courts rely on policy-driven exceptions or indirect mechanisms (e.g., factual beneficiaries), but this creates uncertainty and restricts trust utility.</w:t>
      </w:r>
    </w:p>
    <w:p w14:paraId="2373905F" w14:textId="77777777" w:rsidR="00F50BAB" w:rsidRPr="00F50BAB" w:rsidRDefault="00F50BAB" w:rsidP="006A23FA">
      <w:pPr>
        <w:spacing w:before="240" w:after="100" w:afterAutospacing="1" w:line="360" w:lineRule="auto"/>
        <w:rPr>
          <w:rFonts w:ascii="Times New Roman" w:hAnsi="Times New Roman"/>
          <w:lang w:val="en-HK"/>
        </w:rPr>
      </w:pPr>
      <w:r w:rsidRPr="00F50BAB">
        <w:rPr>
          <w:rFonts w:ascii="Times New Roman" w:hAnsi="Times New Roman"/>
          <w:b/>
          <w:bCs/>
          <w:lang w:val="en-HK"/>
        </w:rPr>
        <w:t>Proposed Path to Reform</w:t>
      </w:r>
      <w:r w:rsidRPr="00F50BAB">
        <w:rPr>
          <w:rFonts w:ascii="Times New Roman" w:hAnsi="Times New Roman"/>
          <w:lang w:val="en-HK"/>
        </w:rPr>
        <w:t>:</w:t>
      </w:r>
    </w:p>
    <w:p w14:paraId="23765139" w14:textId="77777777" w:rsidR="00F50BAB" w:rsidRPr="00F50BAB" w:rsidRDefault="00F50BAB" w:rsidP="006A23FA">
      <w:pPr>
        <w:numPr>
          <w:ilvl w:val="1"/>
          <w:numId w:val="7"/>
        </w:numPr>
        <w:spacing w:before="240" w:after="100" w:afterAutospacing="1" w:line="360" w:lineRule="auto"/>
        <w:rPr>
          <w:rFonts w:ascii="Times New Roman" w:hAnsi="Times New Roman"/>
          <w:lang w:val="en-HK"/>
        </w:rPr>
      </w:pPr>
      <w:r w:rsidRPr="00F50BAB">
        <w:rPr>
          <w:rFonts w:ascii="Times New Roman" w:hAnsi="Times New Roman"/>
          <w:lang w:val="en-HK"/>
        </w:rPr>
        <w:t xml:space="preserve">Enact purpose trust legislation </w:t>
      </w:r>
      <w:proofErr w:type="spellStart"/>
      <w:r w:rsidRPr="00F50BAB">
        <w:rPr>
          <w:rFonts w:ascii="Times New Roman" w:hAnsi="Times New Roman"/>
          <w:lang w:val="en-HK"/>
        </w:rPr>
        <w:t>modeled</w:t>
      </w:r>
      <w:proofErr w:type="spellEnd"/>
      <w:r w:rsidRPr="00F50BAB">
        <w:rPr>
          <w:rFonts w:ascii="Times New Roman" w:hAnsi="Times New Roman"/>
          <w:lang w:val="en-HK"/>
        </w:rPr>
        <w:t xml:space="preserve"> on offshore jurisdictions, emphasizing enforceability (via enforcer mechanisms), clear purposes, and structured termination provisions.</w:t>
      </w:r>
    </w:p>
    <w:p w14:paraId="0D16C0D7" w14:textId="77777777" w:rsidR="00F50BAB" w:rsidRPr="00F50BAB" w:rsidRDefault="00F50BAB" w:rsidP="006A23FA">
      <w:pPr>
        <w:numPr>
          <w:ilvl w:val="1"/>
          <w:numId w:val="7"/>
        </w:numPr>
        <w:spacing w:before="240" w:after="100" w:afterAutospacing="1" w:line="360" w:lineRule="auto"/>
        <w:rPr>
          <w:rFonts w:ascii="Times New Roman" w:hAnsi="Times New Roman"/>
          <w:lang w:val="en-HK"/>
        </w:rPr>
      </w:pPr>
      <w:r w:rsidRPr="00F50BAB">
        <w:rPr>
          <w:rFonts w:ascii="Times New Roman" w:hAnsi="Times New Roman"/>
          <w:lang w:val="en-HK"/>
        </w:rPr>
        <w:t>Modernize perpetuity rules to either exempt PPTs or provide greater flexibility.</w:t>
      </w:r>
    </w:p>
    <w:p w14:paraId="4228297F" w14:textId="77777777" w:rsidR="00CD39F1" w:rsidRPr="006A23FA" w:rsidRDefault="00CD39F1" w:rsidP="006A23FA">
      <w:pPr>
        <w:spacing w:before="240" w:line="360" w:lineRule="auto"/>
        <w:rPr>
          <w:rFonts w:ascii="Times New Roman" w:hAnsi="Times New Roman"/>
          <w:lang w:val="en-US"/>
        </w:rPr>
      </w:pPr>
    </w:p>
    <w:sectPr w:rsidR="00CD39F1" w:rsidRPr="006A23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C3A855" w14:textId="77777777" w:rsidR="00CF5826" w:rsidRDefault="00CF5826" w:rsidP="003C02FE">
      <w:r>
        <w:separator/>
      </w:r>
    </w:p>
  </w:endnote>
  <w:endnote w:type="continuationSeparator" w:id="0">
    <w:p w14:paraId="2D50C22F" w14:textId="77777777" w:rsidR="00CF5826" w:rsidRDefault="00CF5826" w:rsidP="003C0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936D52" w14:textId="77777777" w:rsidR="00CF5826" w:rsidRDefault="00CF5826" w:rsidP="003C02FE">
      <w:r>
        <w:separator/>
      </w:r>
    </w:p>
  </w:footnote>
  <w:footnote w:type="continuationSeparator" w:id="0">
    <w:p w14:paraId="65525D5E" w14:textId="77777777" w:rsidR="00CF5826" w:rsidRDefault="00CF5826" w:rsidP="003C02FE">
      <w:r>
        <w:continuationSeparator/>
      </w:r>
    </w:p>
  </w:footnote>
  <w:footnote w:id="1">
    <w:p w14:paraId="1DBA419D" w14:textId="6A65AE01" w:rsidR="003C02FE" w:rsidRPr="003C02FE" w:rsidRDefault="003C02FE" w:rsidP="003C02FE">
      <w:pPr>
        <w:pStyle w:val="NormalWeb"/>
        <w:spacing w:line="360" w:lineRule="auto"/>
        <w:rPr>
          <w:vertAlign w:val="superscript"/>
        </w:rPr>
      </w:pPr>
      <w:r w:rsidRPr="003C02FE">
        <w:rPr>
          <w:rStyle w:val="FootnoteReference"/>
        </w:rPr>
        <w:footnoteRef/>
      </w:r>
      <w:r w:rsidRPr="003C02FE">
        <w:rPr>
          <w:vertAlign w:val="superscript"/>
        </w:rPr>
        <w:t xml:space="preserve"> </w:t>
      </w:r>
      <w:r w:rsidRPr="003C02FE">
        <w:rPr>
          <w:vertAlign w:val="superscript"/>
        </w:rPr>
        <w:t xml:space="preserve">This applies whenever it is expressly invoked by the trust deed or, in certain cases, where its application can be deemed to apply.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07991"/>
    <w:multiLevelType w:val="multilevel"/>
    <w:tmpl w:val="13B67FB4"/>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2BB45C3"/>
    <w:multiLevelType w:val="multilevel"/>
    <w:tmpl w:val="B7805C48"/>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0916670"/>
    <w:multiLevelType w:val="multilevel"/>
    <w:tmpl w:val="2790397A"/>
    <w:lvl w:ilvl="0">
      <w:start w:val="1"/>
      <w:numFmt w:val="decimal"/>
      <w:lvlText w:val="%1."/>
      <w:lvlJc w:val="left"/>
      <w:pPr>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541476D"/>
    <w:multiLevelType w:val="multilevel"/>
    <w:tmpl w:val="3A7ABC7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F3238"/>
    <w:multiLevelType w:val="hybridMultilevel"/>
    <w:tmpl w:val="83A49E5E"/>
    <w:lvl w:ilvl="0" w:tplc="87B003F8">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14559DE"/>
    <w:multiLevelType w:val="multilevel"/>
    <w:tmpl w:val="1C4E2DA4"/>
    <w:lvl w:ilvl="0">
      <w:start w:val="1"/>
      <w:numFmt w:val="decimal"/>
      <w:lvlText w:val="%1."/>
      <w:lvlJc w:val="left"/>
      <w:pPr>
        <w:tabs>
          <w:tab w:val="num" w:pos="360"/>
        </w:tabs>
        <w:ind w:left="360" w:hanging="360"/>
      </w:pPr>
    </w:lvl>
    <w:lvl w:ilvl="1">
      <w:numFmt w:val="bullet"/>
      <w:lvlText w:val="-"/>
      <w:lvlJc w:val="left"/>
      <w:pPr>
        <w:ind w:left="360" w:hanging="360"/>
      </w:pPr>
      <w:rPr>
        <w:rFonts w:ascii="Times New Roman" w:eastAsia="Times New Roman" w:hAnsi="Times New Roman"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728068E9"/>
    <w:multiLevelType w:val="multilevel"/>
    <w:tmpl w:val="838E53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E1E5C"/>
    <w:multiLevelType w:val="multilevel"/>
    <w:tmpl w:val="F06AD47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6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442100">
    <w:abstractNumId w:val="6"/>
  </w:num>
  <w:num w:numId="2" w16cid:durableId="1485321422">
    <w:abstractNumId w:val="7"/>
  </w:num>
  <w:num w:numId="3" w16cid:durableId="197400553">
    <w:abstractNumId w:val="5"/>
  </w:num>
  <w:num w:numId="4" w16cid:durableId="537084532">
    <w:abstractNumId w:val="0"/>
  </w:num>
  <w:num w:numId="5" w16cid:durableId="429736104">
    <w:abstractNumId w:val="1"/>
  </w:num>
  <w:num w:numId="6" w16cid:durableId="40400908">
    <w:abstractNumId w:val="2"/>
  </w:num>
  <w:num w:numId="7" w16cid:durableId="1101337564">
    <w:abstractNumId w:val="3"/>
  </w:num>
  <w:num w:numId="8" w16cid:durableId="862741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9D"/>
    <w:rsid w:val="000147A9"/>
    <w:rsid w:val="00042755"/>
    <w:rsid w:val="0006107D"/>
    <w:rsid w:val="000623A3"/>
    <w:rsid w:val="000719DA"/>
    <w:rsid w:val="00094D65"/>
    <w:rsid w:val="000A2074"/>
    <w:rsid w:val="000A3F4D"/>
    <w:rsid w:val="000C4ABC"/>
    <w:rsid w:val="000C58D7"/>
    <w:rsid w:val="000E15ED"/>
    <w:rsid w:val="000F7F13"/>
    <w:rsid w:val="00101CCF"/>
    <w:rsid w:val="0019260C"/>
    <w:rsid w:val="001B0E31"/>
    <w:rsid w:val="001D360C"/>
    <w:rsid w:val="001E2584"/>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02FE"/>
    <w:rsid w:val="003C116C"/>
    <w:rsid w:val="003E1CAA"/>
    <w:rsid w:val="0040210F"/>
    <w:rsid w:val="004222FD"/>
    <w:rsid w:val="004319FA"/>
    <w:rsid w:val="0048097D"/>
    <w:rsid w:val="0048175B"/>
    <w:rsid w:val="004845CE"/>
    <w:rsid w:val="004A553E"/>
    <w:rsid w:val="004B1048"/>
    <w:rsid w:val="004D01FE"/>
    <w:rsid w:val="004D5B1A"/>
    <w:rsid w:val="004E458E"/>
    <w:rsid w:val="004F0E12"/>
    <w:rsid w:val="004F5A36"/>
    <w:rsid w:val="00542B57"/>
    <w:rsid w:val="00557B52"/>
    <w:rsid w:val="0058416B"/>
    <w:rsid w:val="00595357"/>
    <w:rsid w:val="005B34ED"/>
    <w:rsid w:val="005B61CD"/>
    <w:rsid w:val="005C50B3"/>
    <w:rsid w:val="005D57DA"/>
    <w:rsid w:val="005E7702"/>
    <w:rsid w:val="00605F8E"/>
    <w:rsid w:val="00650543"/>
    <w:rsid w:val="00654D8B"/>
    <w:rsid w:val="00661136"/>
    <w:rsid w:val="0068027B"/>
    <w:rsid w:val="006A23FA"/>
    <w:rsid w:val="006C42B8"/>
    <w:rsid w:val="006C50C7"/>
    <w:rsid w:val="006D1612"/>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16563"/>
    <w:rsid w:val="00830C88"/>
    <w:rsid w:val="00861B11"/>
    <w:rsid w:val="008829C2"/>
    <w:rsid w:val="008A54BE"/>
    <w:rsid w:val="008C7B0A"/>
    <w:rsid w:val="008D0642"/>
    <w:rsid w:val="008E745B"/>
    <w:rsid w:val="008F4EA7"/>
    <w:rsid w:val="008F5A10"/>
    <w:rsid w:val="00905ED0"/>
    <w:rsid w:val="00931F9D"/>
    <w:rsid w:val="0093405B"/>
    <w:rsid w:val="0094782D"/>
    <w:rsid w:val="00966189"/>
    <w:rsid w:val="00974434"/>
    <w:rsid w:val="00977514"/>
    <w:rsid w:val="009A48B0"/>
    <w:rsid w:val="009B24D6"/>
    <w:rsid w:val="009B2F21"/>
    <w:rsid w:val="009C6498"/>
    <w:rsid w:val="009E62AF"/>
    <w:rsid w:val="00A03BBD"/>
    <w:rsid w:val="00A37AB0"/>
    <w:rsid w:val="00A4085F"/>
    <w:rsid w:val="00A44C2F"/>
    <w:rsid w:val="00A45953"/>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54722"/>
    <w:rsid w:val="00C65F70"/>
    <w:rsid w:val="00C96A36"/>
    <w:rsid w:val="00CA350B"/>
    <w:rsid w:val="00CA3F60"/>
    <w:rsid w:val="00CC2EFF"/>
    <w:rsid w:val="00CC4FEF"/>
    <w:rsid w:val="00CD39F1"/>
    <w:rsid w:val="00CE1439"/>
    <w:rsid w:val="00CF5826"/>
    <w:rsid w:val="00CF74EF"/>
    <w:rsid w:val="00D02AC8"/>
    <w:rsid w:val="00D0623C"/>
    <w:rsid w:val="00D07271"/>
    <w:rsid w:val="00D16917"/>
    <w:rsid w:val="00DA31CB"/>
    <w:rsid w:val="00DA4488"/>
    <w:rsid w:val="00DC0040"/>
    <w:rsid w:val="00DC0B7B"/>
    <w:rsid w:val="00DC495B"/>
    <w:rsid w:val="00DC7181"/>
    <w:rsid w:val="00DD6F5C"/>
    <w:rsid w:val="00DE6C87"/>
    <w:rsid w:val="00E14A1A"/>
    <w:rsid w:val="00E14E1F"/>
    <w:rsid w:val="00E2730E"/>
    <w:rsid w:val="00E438AC"/>
    <w:rsid w:val="00E60DF5"/>
    <w:rsid w:val="00E80D33"/>
    <w:rsid w:val="00E95D8D"/>
    <w:rsid w:val="00EA6ED5"/>
    <w:rsid w:val="00EB7051"/>
    <w:rsid w:val="00EC68EB"/>
    <w:rsid w:val="00EC7C43"/>
    <w:rsid w:val="00EF3EF4"/>
    <w:rsid w:val="00F012E4"/>
    <w:rsid w:val="00F248D2"/>
    <w:rsid w:val="00F27F00"/>
    <w:rsid w:val="00F50BAB"/>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C566"/>
  <w15:chartTrackingRefBased/>
  <w15:docId w15:val="{7635D697-7B0C-4547-AFF0-C8C32EF9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931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1F9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1F9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1F9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31F9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1F9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1F9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1F9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F9D"/>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931F9D"/>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931F9D"/>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931F9D"/>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931F9D"/>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931F9D"/>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931F9D"/>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931F9D"/>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931F9D"/>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931F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F9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931F9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F9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931F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1F9D"/>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931F9D"/>
    <w:pPr>
      <w:ind w:left="720"/>
      <w:contextualSpacing/>
    </w:pPr>
  </w:style>
  <w:style w:type="character" w:styleId="IntenseEmphasis">
    <w:name w:val="Intense Emphasis"/>
    <w:basedOn w:val="DefaultParagraphFont"/>
    <w:uiPriority w:val="21"/>
    <w:qFormat/>
    <w:rsid w:val="00931F9D"/>
    <w:rPr>
      <w:i/>
      <w:iCs/>
      <w:color w:val="2F5496" w:themeColor="accent1" w:themeShade="BF"/>
    </w:rPr>
  </w:style>
  <w:style w:type="paragraph" w:styleId="IntenseQuote">
    <w:name w:val="Intense Quote"/>
    <w:basedOn w:val="Normal"/>
    <w:next w:val="Normal"/>
    <w:link w:val="IntenseQuoteChar"/>
    <w:uiPriority w:val="30"/>
    <w:qFormat/>
    <w:rsid w:val="00931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F9D"/>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931F9D"/>
    <w:rPr>
      <w:b/>
      <w:bCs/>
      <w:smallCaps/>
      <w:color w:val="2F5496" w:themeColor="accent1" w:themeShade="BF"/>
      <w:spacing w:val="5"/>
    </w:rPr>
  </w:style>
  <w:style w:type="character" w:styleId="Strong">
    <w:name w:val="Strong"/>
    <w:basedOn w:val="DefaultParagraphFont"/>
    <w:uiPriority w:val="22"/>
    <w:qFormat/>
    <w:rsid w:val="00F50BAB"/>
    <w:rPr>
      <w:b/>
      <w:bCs/>
    </w:rPr>
  </w:style>
  <w:style w:type="paragraph" w:styleId="NormalWeb">
    <w:name w:val="Normal (Web)"/>
    <w:basedOn w:val="Normal"/>
    <w:uiPriority w:val="99"/>
    <w:unhideWhenUsed/>
    <w:rsid w:val="00F50BAB"/>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F50BAB"/>
    <w:rPr>
      <w:i/>
      <w:iCs/>
    </w:rPr>
  </w:style>
  <w:style w:type="paragraph" w:styleId="FootnoteText">
    <w:name w:val="footnote text"/>
    <w:basedOn w:val="Normal"/>
    <w:link w:val="FootnoteTextChar"/>
    <w:uiPriority w:val="99"/>
    <w:semiHidden/>
    <w:unhideWhenUsed/>
    <w:rsid w:val="003C02FE"/>
    <w:rPr>
      <w:sz w:val="20"/>
      <w:szCs w:val="20"/>
    </w:rPr>
  </w:style>
  <w:style w:type="character" w:customStyle="1" w:styleId="FootnoteTextChar">
    <w:name w:val="Footnote Text Char"/>
    <w:basedOn w:val="DefaultParagraphFont"/>
    <w:link w:val="FootnoteText"/>
    <w:uiPriority w:val="99"/>
    <w:semiHidden/>
    <w:rsid w:val="003C02FE"/>
    <w:rPr>
      <w:rFonts w:ascii="Arial" w:eastAsia="Times New Roman" w:hAnsi="Arial" w:cs="Times New Roman"/>
      <w:kern w:val="0"/>
      <w:sz w:val="20"/>
      <w:szCs w:val="20"/>
      <w:lang w:val="en-GB"/>
      <w14:ligatures w14:val="none"/>
    </w:rPr>
  </w:style>
  <w:style w:type="character" w:styleId="FootnoteReference">
    <w:name w:val="footnote reference"/>
    <w:basedOn w:val="DefaultParagraphFont"/>
    <w:uiPriority w:val="99"/>
    <w:semiHidden/>
    <w:unhideWhenUsed/>
    <w:rsid w:val="003C02F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03617">
      <w:bodyDiv w:val="1"/>
      <w:marLeft w:val="0"/>
      <w:marRight w:val="0"/>
      <w:marTop w:val="0"/>
      <w:marBottom w:val="0"/>
      <w:divBdr>
        <w:top w:val="none" w:sz="0" w:space="0" w:color="auto"/>
        <w:left w:val="none" w:sz="0" w:space="0" w:color="auto"/>
        <w:bottom w:val="none" w:sz="0" w:space="0" w:color="auto"/>
        <w:right w:val="none" w:sz="0" w:space="0" w:color="auto"/>
      </w:divBdr>
    </w:div>
    <w:div w:id="320044400">
      <w:bodyDiv w:val="1"/>
      <w:marLeft w:val="0"/>
      <w:marRight w:val="0"/>
      <w:marTop w:val="0"/>
      <w:marBottom w:val="0"/>
      <w:divBdr>
        <w:top w:val="none" w:sz="0" w:space="0" w:color="auto"/>
        <w:left w:val="none" w:sz="0" w:space="0" w:color="auto"/>
        <w:bottom w:val="none" w:sz="0" w:space="0" w:color="auto"/>
        <w:right w:val="none" w:sz="0" w:space="0" w:color="auto"/>
      </w:divBdr>
    </w:div>
    <w:div w:id="337539507">
      <w:bodyDiv w:val="1"/>
      <w:marLeft w:val="0"/>
      <w:marRight w:val="0"/>
      <w:marTop w:val="0"/>
      <w:marBottom w:val="0"/>
      <w:divBdr>
        <w:top w:val="none" w:sz="0" w:space="0" w:color="auto"/>
        <w:left w:val="none" w:sz="0" w:space="0" w:color="auto"/>
        <w:bottom w:val="none" w:sz="0" w:space="0" w:color="auto"/>
        <w:right w:val="none" w:sz="0" w:space="0" w:color="auto"/>
      </w:divBdr>
      <w:divsChild>
        <w:div w:id="672101401">
          <w:marLeft w:val="0"/>
          <w:marRight w:val="0"/>
          <w:marTop w:val="0"/>
          <w:marBottom w:val="0"/>
          <w:divBdr>
            <w:top w:val="none" w:sz="0" w:space="0" w:color="auto"/>
            <w:left w:val="none" w:sz="0" w:space="0" w:color="auto"/>
            <w:bottom w:val="none" w:sz="0" w:space="0" w:color="auto"/>
            <w:right w:val="none" w:sz="0" w:space="0" w:color="auto"/>
          </w:divBdr>
          <w:divsChild>
            <w:div w:id="1614438471">
              <w:marLeft w:val="0"/>
              <w:marRight w:val="0"/>
              <w:marTop w:val="0"/>
              <w:marBottom w:val="0"/>
              <w:divBdr>
                <w:top w:val="none" w:sz="0" w:space="0" w:color="auto"/>
                <w:left w:val="none" w:sz="0" w:space="0" w:color="auto"/>
                <w:bottom w:val="none" w:sz="0" w:space="0" w:color="auto"/>
                <w:right w:val="none" w:sz="0" w:space="0" w:color="auto"/>
              </w:divBdr>
              <w:divsChild>
                <w:div w:id="11591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09715">
      <w:bodyDiv w:val="1"/>
      <w:marLeft w:val="0"/>
      <w:marRight w:val="0"/>
      <w:marTop w:val="0"/>
      <w:marBottom w:val="0"/>
      <w:divBdr>
        <w:top w:val="none" w:sz="0" w:space="0" w:color="auto"/>
        <w:left w:val="none" w:sz="0" w:space="0" w:color="auto"/>
        <w:bottom w:val="none" w:sz="0" w:space="0" w:color="auto"/>
        <w:right w:val="none" w:sz="0" w:space="0" w:color="auto"/>
      </w:divBdr>
      <w:divsChild>
        <w:div w:id="1346664742">
          <w:marLeft w:val="0"/>
          <w:marRight w:val="0"/>
          <w:marTop w:val="0"/>
          <w:marBottom w:val="0"/>
          <w:divBdr>
            <w:top w:val="none" w:sz="0" w:space="0" w:color="auto"/>
            <w:left w:val="none" w:sz="0" w:space="0" w:color="auto"/>
            <w:bottom w:val="none" w:sz="0" w:space="0" w:color="auto"/>
            <w:right w:val="none" w:sz="0" w:space="0" w:color="auto"/>
          </w:divBdr>
          <w:divsChild>
            <w:div w:id="673267555">
              <w:marLeft w:val="0"/>
              <w:marRight w:val="0"/>
              <w:marTop w:val="0"/>
              <w:marBottom w:val="0"/>
              <w:divBdr>
                <w:top w:val="none" w:sz="0" w:space="0" w:color="auto"/>
                <w:left w:val="none" w:sz="0" w:space="0" w:color="auto"/>
                <w:bottom w:val="none" w:sz="0" w:space="0" w:color="auto"/>
                <w:right w:val="none" w:sz="0" w:space="0" w:color="auto"/>
              </w:divBdr>
              <w:divsChild>
                <w:div w:id="203360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C270D-841E-9541-85DB-1C3B4257D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1334</Words>
  <Characters>7605</Characters>
  <Application>Microsoft Office Word</Application>
  <DocSecurity>0</DocSecurity>
  <Lines>63</Lines>
  <Paragraphs>17</Paragraphs>
  <ScaleCrop>false</ScaleCrop>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2024-12-07T11:23:00Z</dcterms:created>
  <dcterms:modified xsi:type="dcterms:W3CDTF">2024-12-09T11:12:00Z</dcterms:modified>
</cp:coreProperties>
</file>