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4F919" w14:textId="77777777" w:rsidR="00371E21" w:rsidRPr="00371E21" w:rsidRDefault="00371E21" w:rsidP="00437B41">
      <w:pPr>
        <w:spacing w:before="100" w:beforeAutospacing="1" w:after="100" w:afterAutospacing="1" w:line="360" w:lineRule="auto"/>
        <w:outlineLvl w:val="2"/>
        <w:rPr>
          <w:rFonts w:ascii="Times New Roman" w:hAnsi="Times New Roman"/>
          <w:b/>
          <w:bCs/>
          <w:lang w:val="en-HK"/>
        </w:rPr>
      </w:pPr>
      <w:r w:rsidRPr="00371E21">
        <w:rPr>
          <w:rFonts w:ascii="Times New Roman" w:hAnsi="Times New Roman"/>
          <w:b/>
          <w:bCs/>
          <w:lang w:val="en-HK"/>
        </w:rPr>
        <w:t>Abstract and Introduction</w:t>
      </w:r>
    </w:p>
    <w:p w14:paraId="539503BB" w14:textId="77777777" w:rsidR="00371E21" w:rsidRPr="00371E21" w:rsidRDefault="00371E21" w:rsidP="00437B41">
      <w:pPr>
        <w:numPr>
          <w:ilvl w:val="0"/>
          <w:numId w:val="1"/>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The document critiques the </w:t>
      </w:r>
      <w:r w:rsidRPr="00371E21">
        <w:rPr>
          <w:rFonts w:ascii="Times New Roman" w:hAnsi="Times New Roman"/>
          <w:b/>
          <w:bCs/>
          <w:lang w:val="en-HK"/>
        </w:rPr>
        <w:t>exceptionalism</w:t>
      </w:r>
      <w:r w:rsidRPr="00371E21">
        <w:rPr>
          <w:rFonts w:ascii="Times New Roman" w:hAnsi="Times New Roman"/>
          <w:lang w:val="en-HK"/>
        </w:rPr>
        <w:t xml:space="preserve"> often attributed to charitable trusts.</w:t>
      </w:r>
    </w:p>
    <w:p w14:paraId="16BCF9FF" w14:textId="77777777" w:rsidR="00371E21" w:rsidRPr="00371E21" w:rsidRDefault="00371E21" w:rsidP="00437B41">
      <w:pPr>
        <w:numPr>
          <w:ilvl w:val="0"/>
          <w:numId w:val="1"/>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It uses the case of </w:t>
      </w:r>
      <w:proofErr w:type="spellStart"/>
      <w:r w:rsidRPr="00371E21">
        <w:rPr>
          <w:rFonts w:ascii="Times New Roman" w:hAnsi="Times New Roman"/>
          <w:b/>
          <w:bCs/>
          <w:lang w:val="en-HK"/>
        </w:rPr>
        <w:t>Lehtimaki</w:t>
      </w:r>
      <w:proofErr w:type="spellEnd"/>
      <w:r w:rsidRPr="00371E21">
        <w:rPr>
          <w:rFonts w:ascii="Times New Roman" w:hAnsi="Times New Roman"/>
          <w:b/>
          <w:bCs/>
          <w:lang w:val="en-HK"/>
        </w:rPr>
        <w:t xml:space="preserve"> v Children’s Investment Fund Foundation (UK) [2018] EWCA </w:t>
      </w:r>
      <w:proofErr w:type="spellStart"/>
      <w:r w:rsidRPr="00371E21">
        <w:rPr>
          <w:rFonts w:ascii="Times New Roman" w:hAnsi="Times New Roman"/>
          <w:b/>
          <w:bCs/>
          <w:lang w:val="en-HK"/>
        </w:rPr>
        <w:t>Civ</w:t>
      </w:r>
      <w:proofErr w:type="spellEnd"/>
      <w:r w:rsidRPr="00371E21">
        <w:rPr>
          <w:rFonts w:ascii="Times New Roman" w:hAnsi="Times New Roman"/>
          <w:b/>
          <w:bCs/>
          <w:lang w:val="en-HK"/>
        </w:rPr>
        <w:t xml:space="preserve"> 1605</w:t>
      </w:r>
      <w:r w:rsidRPr="00371E21">
        <w:rPr>
          <w:rFonts w:ascii="Times New Roman" w:hAnsi="Times New Roman"/>
          <w:lang w:val="en-HK"/>
        </w:rPr>
        <w:t xml:space="preserve"> to argue against undue judicial interference in charitable trusts unless there is evidence of actual or threatened breach of fiduciary duty.</w:t>
      </w:r>
    </w:p>
    <w:p w14:paraId="6ACF760A" w14:textId="77777777" w:rsidR="00371E21" w:rsidRPr="00437B41" w:rsidRDefault="00371E21" w:rsidP="00437B41">
      <w:pPr>
        <w:numPr>
          <w:ilvl w:val="0"/>
          <w:numId w:val="1"/>
        </w:num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Key Argument:</w:t>
      </w:r>
      <w:r w:rsidRPr="00371E21">
        <w:rPr>
          <w:rFonts w:ascii="Times New Roman" w:hAnsi="Times New Roman"/>
          <w:lang w:val="en-HK"/>
        </w:rPr>
        <w:t xml:space="preserve"> Charitable trusts should not be treated as requiring exceptional or extraordinary regulation compared to other trusts.</w:t>
      </w:r>
    </w:p>
    <w:p w14:paraId="5C8661F4" w14:textId="466ADC27" w:rsidR="00371E21" w:rsidRPr="00371E21" w:rsidRDefault="00E64C7D" w:rsidP="00437B41">
      <w:pPr>
        <w:spacing w:before="100" w:beforeAutospacing="1" w:after="100" w:afterAutospacing="1" w:line="360" w:lineRule="auto"/>
        <w:rPr>
          <w:rFonts w:ascii="Times New Roman" w:hAnsi="Times New Roman"/>
          <w:lang w:val="en-HK"/>
        </w:rPr>
      </w:pPr>
      <w:r w:rsidRPr="00E64C7D">
        <w:rPr>
          <w:rFonts w:ascii="Times New Roman" w:hAnsi="Times New Roman"/>
          <w:noProof/>
          <w:lang w:val="en-HK"/>
          <w14:ligatures w14:val="standardContextual"/>
        </w:rPr>
        <w:pict w14:anchorId="0C8C9DA3">
          <v:rect id="_x0000_i1039" alt="" style="width:451.3pt;height:.05pt;mso-width-percent:0;mso-height-percent:0;mso-width-percent:0;mso-height-percent:0" o:hralign="center" o:hrstd="t" o:hr="t" fillcolor="#a0a0a0" stroked="f"/>
        </w:pict>
      </w:r>
    </w:p>
    <w:p w14:paraId="794896F7" w14:textId="77777777" w:rsidR="00371E21" w:rsidRPr="00371E21" w:rsidRDefault="00371E21" w:rsidP="00437B41">
      <w:pPr>
        <w:spacing w:before="100" w:beforeAutospacing="1" w:after="100" w:afterAutospacing="1" w:line="360" w:lineRule="auto"/>
        <w:outlineLvl w:val="2"/>
        <w:rPr>
          <w:rFonts w:ascii="Times New Roman" w:hAnsi="Times New Roman"/>
          <w:b/>
          <w:bCs/>
          <w:u w:val="single"/>
          <w:lang w:val="en-HK"/>
        </w:rPr>
      </w:pPr>
      <w:r w:rsidRPr="00371E21">
        <w:rPr>
          <w:rFonts w:ascii="Times New Roman" w:hAnsi="Times New Roman"/>
          <w:b/>
          <w:bCs/>
          <w:u w:val="single"/>
          <w:lang w:val="en-HK"/>
        </w:rPr>
        <w:t>Exceptionalism and Regulation in Charity Law</w:t>
      </w:r>
    </w:p>
    <w:p w14:paraId="70D47A96"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1. Historical Privileges of Charitable Trusts</w:t>
      </w:r>
    </w:p>
    <w:p w14:paraId="226FCC3F"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 xml:space="preserve">Lord </w:t>
      </w:r>
      <w:proofErr w:type="spellStart"/>
      <w:r w:rsidRPr="00371E21">
        <w:rPr>
          <w:rFonts w:ascii="Times New Roman" w:hAnsi="Times New Roman"/>
          <w:b/>
          <w:bCs/>
          <w:lang w:val="en-HK"/>
        </w:rPr>
        <w:t>Macnaghten</w:t>
      </w:r>
      <w:proofErr w:type="spellEnd"/>
      <w:r w:rsidRPr="00371E21">
        <w:rPr>
          <w:rFonts w:ascii="Times New Roman" w:hAnsi="Times New Roman"/>
          <w:b/>
          <w:bCs/>
          <w:lang w:val="en-HK"/>
        </w:rPr>
        <w:t xml:space="preserve"> in </w:t>
      </w:r>
      <w:r w:rsidRPr="00371E21">
        <w:rPr>
          <w:rFonts w:ascii="Times New Roman" w:hAnsi="Times New Roman"/>
          <w:b/>
          <w:bCs/>
          <w:i/>
          <w:iCs/>
          <w:lang w:val="en-HK"/>
        </w:rPr>
        <w:t xml:space="preserve">Commissioners for Special Purposes of Income Tax v </w:t>
      </w:r>
      <w:proofErr w:type="spellStart"/>
      <w:r w:rsidRPr="00371E21">
        <w:rPr>
          <w:rFonts w:ascii="Times New Roman" w:hAnsi="Times New Roman"/>
          <w:b/>
          <w:bCs/>
          <w:i/>
          <w:iCs/>
          <w:lang w:val="en-HK"/>
        </w:rPr>
        <w:t>Pemsel</w:t>
      </w:r>
      <w:proofErr w:type="spellEnd"/>
      <w:r w:rsidRPr="00371E21">
        <w:rPr>
          <w:rFonts w:ascii="Times New Roman" w:hAnsi="Times New Roman"/>
          <w:b/>
          <w:bCs/>
          <w:i/>
          <w:iCs/>
          <w:lang w:val="en-HK"/>
        </w:rPr>
        <w:t xml:space="preserve"> (1891):</w:t>
      </w:r>
    </w:p>
    <w:p w14:paraId="35FB5B30" w14:textId="4F10834F" w:rsidR="00371E21" w:rsidRPr="00371E21" w:rsidRDefault="00371E21" w:rsidP="00437B41">
      <w:pPr>
        <w:spacing w:line="360" w:lineRule="auto"/>
        <w:rPr>
          <w:rFonts w:ascii="Times New Roman" w:hAnsi="Times New Roman"/>
          <w:lang w:val="en-HK"/>
        </w:rPr>
      </w:pPr>
      <w:r w:rsidRPr="00371E21">
        <w:rPr>
          <w:rFonts w:ascii="Times New Roman" w:hAnsi="Times New Roman"/>
          <w:lang w:val="en-HK"/>
        </w:rPr>
        <w:t xml:space="preserve">Charitable trusts have long been viewed with </w:t>
      </w:r>
      <w:r w:rsidRPr="00371E21">
        <w:rPr>
          <w:rFonts w:ascii="Times New Roman" w:hAnsi="Times New Roman"/>
          <w:b/>
          <w:bCs/>
          <w:lang w:val="en-HK"/>
        </w:rPr>
        <w:t>“peculiar favour”</w:t>
      </w:r>
      <w:r w:rsidRPr="00371E21">
        <w:rPr>
          <w:rFonts w:ascii="Times New Roman" w:hAnsi="Times New Roman"/>
          <w:lang w:val="en-HK"/>
        </w:rPr>
        <w:t xml:space="preserve"> </w:t>
      </w:r>
      <w:r w:rsidR="00C328BA" w:rsidRPr="00437B41">
        <w:rPr>
          <w:rFonts w:ascii="Times New Roman" w:eastAsia="Microsoft JhengHei" w:hAnsi="Times New Roman"/>
          <w:lang w:val="en-HK"/>
        </w:rPr>
        <w:t>奇特的恩</w:t>
      </w:r>
      <w:r w:rsidR="00C328BA" w:rsidRPr="00437B41">
        <w:rPr>
          <w:rFonts w:ascii="Times New Roman" w:eastAsia="PingFang TC" w:hAnsi="Times New Roman"/>
          <w:lang w:val="en-HK"/>
        </w:rPr>
        <w:t>惠</w:t>
      </w:r>
      <w:r w:rsidRPr="00371E21">
        <w:rPr>
          <w:rFonts w:ascii="Times New Roman" w:hAnsi="Times New Roman"/>
          <w:lang w:val="en-HK"/>
        </w:rPr>
        <w:t>by the Court of Chancery due to their public nature.</w:t>
      </w:r>
    </w:p>
    <w:p w14:paraId="06E6132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He observed that </w:t>
      </w:r>
      <w:r w:rsidRPr="00371E21">
        <w:rPr>
          <w:rFonts w:ascii="Times New Roman" w:hAnsi="Times New Roman"/>
          <w:b/>
          <w:bCs/>
          <w:lang w:val="en-HK"/>
        </w:rPr>
        <w:t>“The Court of Chancery has always regarded with peculiar favour those trusts of a public nature which, according to the doctrine of the Court derived from the piety of early times, are considered to be charitable.”</w:t>
      </w:r>
      <w:r w:rsidRPr="00371E21">
        <w:rPr>
          <w:rFonts w:ascii="Times New Roman" w:hAnsi="Times New Roman"/>
          <w:lang w:val="en-HK"/>
        </w:rPr>
        <w:t xml:space="preserve">​L11 The charitable </w:t>
      </w:r>
      <w:proofErr w:type="spellStart"/>
      <w:r w:rsidRPr="00371E21">
        <w:rPr>
          <w:rFonts w:ascii="Times New Roman" w:hAnsi="Times New Roman"/>
          <w:lang w:val="en-HK"/>
        </w:rPr>
        <w:t>trus</w:t>
      </w:r>
      <w:proofErr w:type="spellEnd"/>
      <w:r w:rsidRPr="00371E21">
        <w:rPr>
          <w:rFonts w:ascii="Times New Roman" w:hAnsi="Times New Roman"/>
          <w:lang w:val="en-HK"/>
        </w:rPr>
        <w:t>…</w:t>
      </w:r>
    </w:p>
    <w:p w14:paraId="4379D3C0"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2. Charitable Trusts as Purpose Trusts</w:t>
      </w:r>
    </w:p>
    <w:p w14:paraId="33BD4E02"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Public Nature of Charitable Trusts:</w:t>
      </w:r>
    </w:p>
    <w:p w14:paraId="006673B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Unlike private trusts, charitable trusts are purpose trusts and stand outside the </w:t>
      </w:r>
      <w:r w:rsidRPr="00371E21">
        <w:rPr>
          <w:rFonts w:ascii="Times New Roman" w:hAnsi="Times New Roman"/>
          <w:b/>
          <w:bCs/>
          <w:lang w:val="en-HK"/>
        </w:rPr>
        <w:t>beneficiary principle</w:t>
      </w:r>
      <w:r w:rsidRPr="00371E21">
        <w:rPr>
          <w:rFonts w:ascii="Times New Roman" w:hAnsi="Times New Roman"/>
          <w:lang w:val="en-HK"/>
        </w:rPr>
        <w:t>.</w:t>
      </w:r>
    </w:p>
    <w:p w14:paraId="7572679B"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Leahy v A-G of New South Wales (1959):</w:t>
      </w:r>
    </w:p>
    <w:p w14:paraId="40FD98A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Viscount Simonds emphasized that the lack of identifiable beneficiaries in charitable trusts necessitates public oversight and enforcement by authorities like the Attorney-General.</w:t>
      </w:r>
    </w:p>
    <w:p w14:paraId="5BD508D1"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lastRenderedPageBreak/>
        <w:t>3. Role of the Attorney-General and Charity Commission</w:t>
      </w:r>
    </w:p>
    <w:p w14:paraId="16C019D6"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Attorney-General’s Role:</w:t>
      </w:r>
    </w:p>
    <w:p w14:paraId="62ABED66"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Attorney-General enforces charitable trusts on behalf of the public, stepping into the role of a hypothetical beneficiary.</w:t>
      </w:r>
    </w:p>
    <w:p w14:paraId="78BF46E8"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 xml:space="preserve">Sir Richard Scott V-C in </w:t>
      </w:r>
      <w:r w:rsidRPr="00371E21">
        <w:rPr>
          <w:rFonts w:ascii="Times New Roman" w:hAnsi="Times New Roman"/>
          <w:b/>
          <w:bCs/>
          <w:i/>
          <w:iCs/>
          <w:lang w:val="en-HK"/>
        </w:rPr>
        <w:t>Stanway v Attorney-General (2000):</w:t>
      </w:r>
    </w:p>
    <w:p w14:paraId="5D101ED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Described the framework of public law governing charities:</w:t>
      </w:r>
    </w:p>
    <w:p w14:paraId="4E7C72AD"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 xml:space="preserve">“Charities operate within a </w:t>
      </w:r>
      <w:r w:rsidRPr="00371E21">
        <w:rPr>
          <w:rFonts w:ascii="Times New Roman" w:hAnsi="Times New Roman"/>
          <w:b/>
          <w:bCs/>
          <w:highlight w:val="yellow"/>
          <w:lang w:val="en-HK"/>
        </w:rPr>
        <w:t>framework of public</w:t>
      </w:r>
      <w:r w:rsidRPr="00371E21">
        <w:rPr>
          <w:rFonts w:ascii="Times New Roman" w:hAnsi="Times New Roman"/>
          <w:b/>
          <w:bCs/>
          <w:lang w:val="en-HK"/>
        </w:rPr>
        <w:t xml:space="preserve">, not private law. The Crown is </w:t>
      </w:r>
      <w:proofErr w:type="spellStart"/>
      <w:r w:rsidRPr="00371E21">
        <w:rPr>
          <w:rFonts w:ascii="Times New Roman" w:hAnsi="Times New Roman"/>
          <w:b/>
          <w:bCs/>
          <w:lang w:val="en-HK"/>
        </w:rPr>
        <w:t>parens</w:t>
      </w:r>
      <w:proofErr w:type="spellEnd"/>
      <w:r w:rsidRPr="00371E21">
        <w:rPr>
          <w:rFonts w:ascii="Times New Roman" w:hAnsi="Times New Roman"/>
          <w:b/>
          <w:bCs/>
          <w:lang w:val="en-HK"/>
        </w:rPr>
        <w:t xml:space="preserve"> patriae of the charity, and the judges of the courts represent the Crown in supervising what the charity is doing and in giving directions.”</w:t>
      </w:r>
    </w:p>
    <w:p w14:paraId="17483CC1"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This supervisory role is central to ensuring charities comply with public benefit requirements.</w:t>
      </w:r>
    </w:p>
    <w:p w14:paraId="494F6CC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Charity Commission:</w:t>
      </w:r>
    </w:p>
    <w:p w14:paraId="070D4F76"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Established in the 19th century to address inadequacies in court-based charity regulation.</w:t>
      </w:r>
    </w:p>
    <w:p w14:paraId="24AE1FAF"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Under the </w:t>
      </w:r>
      <w:r w:rsidRPr="00371E21">
        <w:rPr>
          <w:rFonts w:ascii="Times New Roman" w:hAnsi="Times New Roman"/>
          <w:i/>
          <w:iCs/>
          <w:lang w:val="en-HK"/>
        </w:rPr>
        <w:t>Charities Act 2011</w:t>
      </w:r>
      <w:r w:rsidRPr="00371E21">
        <w:rPr>
          <w:rFonts w:ascii="Times New Roman" w:hAnsi="Times New Roman"/>
          <w:lang w:val="en-HK"/>
        </w:rPr>
        <w:t>, the Commission has concurrent jurisdiction with courts in certain areas, such as making schemes or authorizing charity proceedings.</w:t>
      </w:r>
    </w:p>
    <w:p w14:paraId="470250CB"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4. Scholarly Perspectives</w:t>
      </w:r>
    </w:p>
    <w:p w14:paraId="3EE25BE1" w14:textId="77777777" w:rsidR="00371E21" w:rsidRPr="00371E21" w:rsidRDefault="00371E21" w:rsidP="00437B41">
      <w:pPr>
        <w:spacing w:before="100" w:beforeAutospacing="1" w:after="100" w:afterAutospacing="1" w:line="360" w:lineRule="auto"/>
        <w:rPr>
          <w:rFonts w:ascii="Times New Roman" w:hAnsi="Times New Roman"/>
          <w:lang w:val="en-HK"/>
        </w:rPr>
      </w:pPr>
      <w:proofErr w:type="spellStart"/>
      <w:r w:rsidRPr="00371E21">
        <w:rPr>
          <w:rFonts w:ascii="Times New Roman" w:hAnsi="Times New Roman"/>
          <w:b/>
          <w:bCs/>
          <w:lang w:val="en-HK"/>
        </w:rPr>
        <w:t>Dr.</w:t>
      </w:r>
      <w:proofErr w:type="spellEnd"/>
      <w:r w:rsidRPr="00371E21">
        <w:rPr>
          <w:rFonts w:ascii="Times New Roman" w:hAnsi="Times New Roman"/>
          <w:b/>
          <w:bCs/>
          <w:lang w:val="en-HK"/>
        </w:rPr>
        <w:t xml:space="preserve"> Liz Chan (2016):</w:t>
      </w:r>
    </w:p>
    <w:p w14:paraId="0CEBA24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In her work, </w:t>
      </w:r>
      <w:r w:rsidRPr="00371E21">
        <w:rPr>
          <w:rFonts w:ascii="Times New Roman" w:hAnsi="Times New Roman"/>
          <w:i/>
          <w:iCs/>
          <w:lang w:val="en-HK"/>
        </w:rPr>
        <w:t>The Public-Private Nature of Charity Law,</w:t>
      </w:r>
      <w:r w:rsidRPr="00371E21">
        <w:rPr>
          <w:rFonts w:ascii="Times New Roman" w:hAnsi="Times New Roman"/>
          <w:lang w:val="en-HK"/>
        </w:rPr>
        <w:t xml:space="preserve"> Chan described charity law as a </w:t>
      </w:r>
      <w:r w:rsidRPr="00371E21">
        <w:rPr>
          <w:rFonts w:ascii="Times New Roman" w:hAnsi="Times New Roman"/>
          <w:b/>
          <w:bCs/>
          <w:lang w:val="en-HK"/>
        </w:rPr>
        <w:t>“hybrid (public-private) legal tradition.”</w:t>
      </w:r>
    </w:p>
    <w:p w14:paraId="46BE3C76"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She noted that the regulation of charitable trusts and trustees mirrors public law oversight of public authorities.</w:t>
      </w:r>
    </w:p>
    <w:p w14:paraId="0B226891"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Professor Jonathan Garton (2013):</w:t>
      </w:r>
    </w:p>
    <w:p w14:paraId="42123328"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Discussed </w:t>
      </w:r>
      <w:r w:rsidRPr="00371E21">
        <w:rPr>
          <w:rFonts w:ascii="Times New Roman" w:hAnsi="Times New Roman"/>
          <w:b/>
          <w:bCs/>
          <w:lang w:val="en-HK"/>
        </w:rPr>
        <w:t>“information asymmetry”</w:t>
      </w:r>
      <w:r w:rsidRPr="00371E21">
        <w:rPr>
          <w:rFonts w:ascii="Times New Roman" w:hAnsi="Times New Roman"/>
          <w:lang w:val="en-HK"/>
        </w:rPr>
        <w:t xml:space="preserve"> in charitable contexts:</w:t>
      </w:r>
    </w:p>
    <w:p w14:paraId="4F414D03" w14:textId="77777777" w:rsidR="00371E21" w:rsidRPr="00371E21" w:rsidRDefault="00371E21" w:rsidP="00437B41">
      <w:pPr>
        <w:numPr>
          <w:ilvl w:val="2"/>
          <w:numId w:val="5"/>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lastRenderedPageBreak/>
        <w:t>Donors often lack detailed information about how their funds are used, making regulation necessary to ensure accountability.</w:t>
      </w:r>
    </w:p>
    <w:p w14:paraId="173450DF" w14:textId="77777777" w:rsidR="00371E21" w:rsidRPr="00371E21" w:rsidRDefault="00371E21" w:rsidP="00437B41">
      <w:pPr>
        <w:numPr>
          <w:ilvl w:val="2"/>
          <w:numId w:val="5"/>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Garton identified three scenarios where this asymmetry arises:</w:t>
      </w:r>
    </w:p>
    <w:p w14:paraId="4D0F3A40" w14:textId="77777777" w:rsidR="00371E21" w:rsidRPr="00371E21" w:rsidRDefault="00371E21" w:rsidP="00437B41">
      <w:pPr>
        <w:numPr>
          <w:ilvl w:val="3"/>
          <w:numId w:val="5"/>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When the charity creates a public good.</w:t>
      </w:r>
    </w:p>
    <w:p w14:paraId="5C3A8EC7" w14:textId="77777777" w:rsidR="00371E21" w:rsidRPr="00371E21" w:rsidRDefault="00371E21" w:rsidP="00437B41">
      <w:pPr>
        <w:numPr>
          <w:ilvl w:val="3"/>
          <w:numId w:val="5"/>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When it provides complex or intangible public services.</w:t>
      </w:r>
    </w:p>
    <w:p w14:paraId="4D8446DA" w14:textId="77777777" w:rsidR="00371E21" w:rsidRPr="00371E21" w:rsidRDefault="00371E21" w:rsidP="00437B41">
      <w:pPr>
        <w:numPr>
          <w:ilvl w:val="3"/>
          <w:numId w:val="5"/>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When it involves wealth redistribution.</w:t>
      </w:r>
    </w:p>
    <w:p w14:paraId="669EFBE0" w14:textId="77777777" w:rsidR="00371E21" w:rsidRPr="00371E21" w:rsidRDefault="00371E21" w:rsidP="00437B41">
      <w:pPr>
        <w:spacing w:before="100" w:beforeAutospacing="1" w:after="100" w:afterAutospacing="1" w:line="360" w:lineRule="auto"/>
        <w:rPr>
          <w:rFonts w:ascii="Times New Roman" w:hAnsi="Times New Roman"/>
          <w:u w:val="single"/>
          <w:lang w:val="en-HK"/>
        </w:rPr>
      </w:pPr>
      <w:r w:rsidRPr="00371E21">
        <w:rPr>
          <w:rFonts w:ascii="Times New Roman" w:hAnsi="Times New Roman"/>
          <w:b/>
          <w:bCs/>
          <w:u w:val="single"/>
          <w:lang w:val="en-HK"/>
        </w:rPr>
        <w:t>Professor Jean Warburton (1999):</w:t>
      </w:r>
    </w:p>
    <w:p w14:paraId="7C31A2AD"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Critiqued the exceptionalism of charitable trusts, arguing that treating them as sui generis complicates both charity law and general trust law reform:</w:t>
      </w:r>
    </w:p>
    <w:p w14:paraId="173AD30B" w14:textId="77777777" w:rsidR="00371E21" w:rsidRPr="00437B41" w:rsidRDefault="00371E21" w:rsidP="00437B41">
      <w:pPr>
        <w:spacing w:before="100" w:beforeAutospacing="1" w:after="100" w:afterAutospacing="1" w:line="360" w:lineRule="auto"/>
        <w:rPr>
          <w:rFonts w:ascii="Times New Roman" w:hAnsi="Times New Roman"/>
          <w:b/>
          <w:bCs/>
          <w:lang w:val="en-HK"/>
        </w:rPr>
      </w:pPr>
      <w:r w:rsidRPr="00371E21">
        <w:rPr>
          <w:rFonts w:ascii="Times New Roman" w:hAnsi="Times New Roman"/>
          <w:b/>
          <w:bCs/>
          <w:lang w:val="en-HK"/>
        </w:rPr>
        <w:t>“The present insistence on regarding charitable trusts as part of the general law of trusts not only complicates the reform of the general law of trusts… but also inhibits the development of general charity law by failing to consider charitable trusts in the context of charities as a whole.”</w:t>
      </w:r>
    </w:p>
    <w:p w14:paraId="43E43F03" w14:textId="444725E6" w:rsidR="00437B41" w:rsidRPr="00437B41" w:rsidRDefault="00437B41" w:rsidP="00437B41">
      <w:pPr>
        <w:spacing w:before="100" w:beforeAutospacing="1" w:after="100" w:afterAutospacing="1" w:line="360" w:lineRule="auto"/>
        <w:rPr>
          <w:rFonts w:ascii="Times New Roman" w:hAnsi="Times New Roman"/>
          <w:b/>
          <w:bCs/>
          <w:lang w:val="en-HK"/>
        </w:rPr>
      </w:pPr>
      <w:r w:rsidRPr="00437B41">
        <w:rPr>
          <w:rFonts w:ascii="Times New Roman" w:hAnsi="Times New Roman"/>
          <w:b/>
          <w:bCs/>
          <w:lang w:val="en-HK"/>
        </w:rPr>
        <w:t>Explain</w:t>
      </w:r>
    </w:p>
    <w:p w14:paraId="4F4BDE8C" w14:textId="77777777" w:rsidR="00437B41" w:rsidRPr="00437B41" w:rsidRDefault="00437B41" w:rsidP="00437B41">
      <w:pPr>
        <w:spacing w:before="100" w:beforeAutospacing="1" w:after="100" w:afterAutospacing="1" w:line="360" w:lineRule="auto"/>
        <w:outlineLvl w:val="2"/>
        <w:rPr>
          <w:rFonts w:ascii="Times New Roman" w:hAnsi="Times New Roman"/>
          <w:b/>
          <w:bCs/>
          <w:lang w:val="en-HK"/>
        </w:rPr>
      </w:pPr>
      <w:r w:rsidRPr="00437B41">
        <w:rPr>
          <w:rFonts w:ascii="Times New Roman" w:hAnsi="Times New Roman"/>
          <w:b/>
          <w:bCs/>
          <w:lang w:val="en-HK"/>
        </w:rPr>
        <w:t>1. Complicating General Trust Law</w:t>
      </w:r>
    </w:p>
    <w:p w14:paraId="2CA58484" w14:textId="77777777" w:rsidR="00437B41" w:rsidRPr="00437B41" w:rsidRDefault="00437B41" w:rsidP="00437B41">
      <w:pPr>
        <w:numPr>
          <w:ilvl w:val="0"/>
          <w:numId w:val="38"/>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 xml:space="preserve">Charitable trusts have </w:t>
      </w:r>
      <w:r w:rsidRPr="00437B41">
        <w:rPr>
          <w:rFonts w:ascii="Times New Roman" w:hAnsi="Times New Roman"/>
          <w:b/>
          <w:bCs/>
          <w:lang w:val="en-HK"/>
        </w:rPr>
        <w:t>special rules</w:t>
      </w:r>
      <w:r w:rsidRPr="00437B41">
        <w:rPr>
          <w:rFonts w:ascii="Times New Roman" w:hAnsi="Times New Roman"/>
          <w:lang w:val="en-HK"/>
        </w:rPr>
        <w:t xml:space="preserve"> (e.g., exemption from the beneficiary principle, perpetuity rules, and tax privileges) that don’t apply to other private trusts.</w:t>
      </w:r>
    </w:p>
    <w:p w14:paraId="64D985C1" w14:textId="77777777" w:rsidR="00437B41" w:rsidRPr="00437B41" w:rsidRDefault="00437B41" w:rsidP="00437B41">
      <w:pPr>
        <w:numPr>
          <w:ilvl w:val="0"/>
          <w:numId w:val="38"/>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 xml:space="preserve">When reforming general trust law, lawmakers must always create </w:t>
      </w:r>
      <w:r w:rsidRPr="00437B41">
        <w:rPr>
          <w:rFonts w:ascii="Times New Roman" w:hAnsi="Times New Roman"/>
          <w:b/>
          <w:bCs/>
          <w:lang w:val="en-HK"/>
        </w:rPr>
        <w:t>exceptions and variations</w:t>
      </w:r>
      <w:r w:rsidRPr="00437B41">
        <w:rPr>
          <w:rFonts w:ascii="Times New Roman" w:hAnsi="Times New Roman"/>
          <w:lang w:val="en-HK"/>
        </w:rPr>
        <w:t xml:space="preserve"> for charitable trusts, making the process more complicated and less efficient.</w:t>
      </w:r>
    </w:p>
    <w:p w14:paraId="07ED3A19" w14:textId="77777777" w:rsidR="00437B41" w:rsidRPr="00437B41" w:rsidRDefault="00437B41" w:rsidP="00437B41">
      <w:pPr>
        <w:numPr>
          <w:ilvl w:val="0"/>
          <w:numId w:val="38"/>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Example:</w:t>
      </w:r>
    </w:p>
    <w:p w14:paraId="32DA83A9" w14:textId="77777777" w:rsidR="00437B41" w:rsidRPr="00437B41" w:rsidRDefault="00437B41" w:rsidP="00437B41">
      <w:pPr>
        <w:spacing w:before="100" w:beforeAutospacing="1" w:after="100" w:afterAutospacing="1" w:line="360" w:lineRule="auto"/>
        <w:rPr>
          <w:rFonts w:ascii="Times New Roman" w:hAnsi="Times New Roman"/>
          <w:lang w:val="en-HK"/>
        </w:rPr>
      </w:pPr>
      <w:r w:rsidRPr="00437B41">
        <w:rPr>
          <w:rFonts w:ascii="Times New Roman" w:hAnsi="Times New Roman"/>
          <w:lang w:val="en-HK"/>
        </w:rPr>
        <w:t xml:space="preserve">Reforming the </w:t>
      </w:r>
      <w:r w:rsidRPr="00437B41">
        <w:rPr>
          <w:rFonts w:ascii="Times New Roman" w:hAnsi="Times New Roman"/>
          <w:b/>
          <w:bCs/>
          <w:lang w:val="en-HK"/>
        </w:rPr>
        <w:t>rule against inalienability</w:t>
      </w:r>
      <w:r w:rsidRPr="00437B41">
        <w:rPr>
          <w:rFonts w:ascii="Times New Roman" w:hAnsi="Times New Roman"/>
          <w:lang w:val="en-HK"/>
        </w:rPr>
        <w:t xml:space="preserve"> (which limits how long private trusts can last) is tricky because charitable trusts are exempt. Instead of one clear rule for all trusts, exceptions for charities must be accounted for, adding complexity.</w:t>
      </w:r>
    </w:p>
    <w:p w14:paraId="03F9B52D" w14:textId="77777777" w:rsidR="00437B41" w:rsidRPr="00437B4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49113DA5">
          <v:rect id="_x0000_i1038" alt="" style="width:451.3pt;height:.05pt;mso-width-percent:0;mso-height-percent:0;mso-width-percent:0;mso-height-percent:0" o:hralign="center" o:hrstd="t" o:hr="t" fillcolor="#a0a0a0" stroked="f"/>
        </w:pict>
      </w:r>
    </w:p>
    <w:p w14:paraId="1DA83D77" w14:textId="77777777" w:rsidR="00437B41" w:rsidRPr="00437B41" w:rsidRDefault="00437B41" w:rsidP="00437B41">
      <w:pPr>
        <w:spacing w:before="100" w:beforeAutospacing="1" w:after="100" w:afterAutospacing="1" w:line="360" w:lineRule="auto"/>
        <w:outlineLvl w:val="2"/>
        <w:rPr>
          <w:rFonts w:ascii="Times New Roman" w:hAnsi="Times New Roman"/>
          <w:b/>
          <w:bCs/>
          <w:lang w:val="en-HK"/>
        </w:rPr>
      </w:pPr>
      <w:r w:rsidRPr="00437B41">
        <w:rPr>
          <w:rFonts w:ascii="Times New Roman" w:hAnsi="Times New Roman"/>
          <w:b/>
          <w:bCs/>
          <w:lang w:val="en-HK"/>
        </w:rPr>
        <w:t>2. Inhibiting Charity Law Development</w:t>
      </w:r>
    </w:p>
    <w:p w14:paraId="5A4AC7F5" w14:textId="77777777" w:rsidR="00437B41" w:rsidRPr="00437B41" w:rsidRDefault="00437B41" w:rsidP="00437B41">
      <w:pPr>
        <w:numPr>
          <w:ilvl w:val="0"/>
          <w:numId w:val="39"/>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lastRenderedPageBreak/>
        <w:t xml:space="preserve">Charity law deals with </w:t>
      </w:r>
      <w:r w:rsidRPr="00437B41">
        <w:rPr>
          <w:rFonts w:ascii="Times New Roman" w:hAnsi="Times New Roman"/>
          <w:b/>
          <w:bCs/>
          <w:lang w:val="en-HK"/>
        </w:rPr>
        <w:t>charitable purposes</w:t>
      </w:r>
      <w:r w:rsidRPr="00437B41">
        <w:rPr>
          <w:rFonts w:ascii="Times New Roman" w:hAnsi="Times New Roman"/>
          <w:lang w:val="en-HK"/>
        </w:rPr>
        <w:t xml:space="preserve"> (e.g., public benefit, regulation by the Charity Commission) and applies to many legal forms like charitable companies and CIOs, not just charitable trusts.</w:t>
      </w:r>
    </w:p>
    <w:p w14:paraId="01E5F805" w14:textId="77777777" w:rsidR="00437B41" w:rsidRPr="00437B41" w:rsidRDefault="00437B41" w:rsidP="00437B41">
      <w:pPr>
        <w:numPr>
          <w:ilvl w:val="0"/>
          <w:numId w:val="39"/>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 xml:space="preserve">If charitable trusts are treated as </w:t>
      </w:r>
      <w:r w:rsidRPr="00437B41">
        <w:rPr>
          <w:rFonts w:ascii="Times New Roman" w:hAnsi="Times New Roman"/>
          <w:b/>
          <w:bCs/>
          <w:lang w:val="en-HK"/>
        </w:rPr>
        <w:t>special cases within trust law</w:t>
      </w:r>
      <w:r w:rsidRPr="00437B41">
        <w:rPr>
          <w:rFonts w:ascii="Times New Roman" w:hAnsi="Times New Roman"/>
          <w:lang w:val="en-HK"/>
        </w:rPr>
        <w:t>, their role in the broader charity framework is overlooked, slowing the development of cohesive charity law.</w:t>
      </w:r>
    </w:p>
    <w:p w14:paraId="6E688E83" w14:textId="77777777" w:rsidR="00437B41" w:rsidRPr="00437B41" w:rsidRDefault="00437B41" w:rsidP="0041066E">
      <w:pPr>
        <w:spacing w:before="100" w:beforeAutospacing="1" w:after="100" w:afterAutospacing="1" w:line="360" w:lineRule="auto"/>
        <w:rPr>
          <w:rFonts w:ascii="Times New Roman" w:hAnsi="Times New Roman"/>
          <w:lang w:val="en-HK"/>
        </w:rPr>
      </w:pPr>
      <w:r w:rsidRPr="00437B41">
        <w:rPr>
          <w:rFonts w:ascii="Times New Roman" w:hAnsi="Times New Roman"/>
          <w:b/>
          <w:bCs/>
          <w:lang w:val="en-HK"/>
        </w:rPr>
        <w:t>Why is this a problem?</w:t>
      </w:r>
    </w:p>
    <w:p w14:paraId="3C30285C" w14:textId="77777777" w:rsidR="00437B41" w:rsidRPr="0041066E" w:rsidRDefault="00437B41" w:rsidP="00437B41">
      <w:pPr>
        <w:spacing w:before="100" w:beforeAutospacing="1" w:after="100" w:afterAutospacing="1" w:line="360" w:lineRule="auto"/>
        <w:rPr>
          <w:rFonts w:ascii="Times New Roman" w:hAnsi="Times New Roman"/>
          <w:b/>
          <w:bCs/>
          <w:lang w:val="en-HK"/>
        </w:rPr>
      </w:pPr>
      <w:r w:rsidRPr="00437B41">
        <w:rPr>
          <w:rFonts w:ascii="Times New Roman" w:hAnsi="Times New Roman"/>
          <w:lang w:val="en-HK"/>
        </w:rPr>
        <w:t xml:space="preserve">Charity law needs a modern approach to address public benefit, accountability, and regulation. If </w:t>
      </w:r>
      <w:r w:rsidRPr="0041066E">
        <w:rPr>
          <w:rFonts w:ascii="Times New Roman" w:hAnsi="Times New Roman"/>
          <w:b/>
          <w:bCs/>
          <w:lang w:val="en-HK"/>
        </w:rPr>
        <w:t>charitable trusts are only seen as a type of trust, their unique needs as charities might not be fully addressed.</w:t>
      </w:r>
    </w:p>
    <w:p w14:paraId="1E892A10" w14:textId="77777777" w:rsidR="00437B41" w:rsidRPr="00437B4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3576BDE8">
          <v:rect id="_x0000_i1037" alt="" style="width:451.3pt;height:.05pt;mso-width-percent:0;mso-height-percent:0;mso-width-percent:0;mso-height-percent:0" o:hralign="center" o:hrstd="t" o:hr="t" fillcolor="#a0a0a0" stroked="f"/>
        </w:pict>
      </w:r>
    </w:p>
    <w:p w14:paraId="0F1F7D16" w14:textId="77777777" w:rsidR="00437B41" w:rsidRPr="00437B41" w:rsidRDefault="00437B41" w:rsidP="00437B41">
      <w:pPr>
        <w:spacing w:before="100" w:beforeAutospacing="1" w:after="100" w:afterAutospacing="1" w:line="360" w:lineRule="auto"/>
        <w:outlineLvl w:val="2"/>
        <w:rPr>
          <w:rFonts w:ascii="Times New Roman" w:hAnsi="Times New Roman"/>
          <w:b/>
          <w:bCs/>
          <w:lang w:val="en-HK"/>
        </w:rPr>
      </w:pPr>
      <w:r w:rsidRPr="00437B41">
        <w:rPr>
          <w:rFonts w:ascii="Times New Roman" w:hAnsi="Times New Roman"/>
          <w:b/>
          <w:bCs/>
          <w:lang w:val="en-HK"/>
        </w:rPr>
        <w:t>3. The Core Issue</w:t>
      </w:r>
    </w:p>
    <w:p w14:paraId="460E5D3B" w14:textId="77777777" w:rsidR="00437B41" w:rsidRPr="00437B41" w:rsidRDefault="00437B41" w:rsidP="00437B41">
      <w:pPr>
        <w:spacing w:before="100" w:beforeAutospacing="1" w:after="100" w:afterAutospacing="1" w:line="360" w:lineRule="auto"/>
        <w:rPr>
          <w:rFonts w:ascii="Times New Roman" w:hAnsi="Times New Roman"/>
          <w:lang w:val="en-HK"/>
        </w:rPr>
      </w:pPr>
      <w:r w:rsidRPr="00437B41">
        <w:rPr>
          <w:rFonts w:ascii="Times New Roman" w:hAnsi="Times New Roman"/>
          <w:b/>
          <w:bCs/>
          <w:lang w:val="en-HK"/>
        </w:rPr>
        <w:t>Treating charitable trusts as unique forces reformers to deal with two overlapping but different systems:</w:t>
      </w:r>
    </w:p>
    <w:p w14:paraId="301B68AA" w14:textId="77777777" w:rsidR="00437B41" w:rsidRPr="00437B41" w:rsidRDefault="00437B41" w:rsidP="00437B41">
      <w:pPr>
        <w:numPr>
          <w:ilvl w:val="1"/>
          <w:numId w:val="40"/>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Trust law (focused on private trusts and legal structures).</w:t>
      </w:r>
    </w:p>
    <w:p w14:paraId="268B1F7F" w14:textId="77777777" w:rsidR="00437B41" w:rsidRPr="00437B41" w:rsidRDefault="00437B41" w:rsidP="00437B41">
      <w:pPr>
        <w:numPr>
          <w:ilvl w:val="1"/>
          <w:numId w:val="40"/>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Charity law (focused on public purposes and regulatory frameworks).</w:t>
      </w:r>
    </w:p>
    <w:p w14:paraId="42440787" w14:textId="77777777" w:rsidR="00437B41" w:rsidRPr="00437B41" w:rsidRDefault="00437B41" w:rsidP="00437B41">
      <w:pPr>
        <w:spacing w:before="100" w:beforeAutospacing="1" w:after="100" w:afterAutospacing="1" w:line="360" w:lineRule="auto"/>
        <w:rPr>
          <w:rFonts w:ascii="Times New Roman" w:hAnsi="Times New Roman"/>
          <w:lang w:val="en-HK"/>
        </w:rPr>
      </w:pPr>
      <w:r w:rsidRPr="00437B41">
        <w:rPr>
          <w:rFonts w:ascii="Times New Roman" w:hAnsi="Times New Roman"/>
          <w:lang w:val="en-HK"/>
        </w:rPr>
        <w:t xml:space="preserve">This dual focus creates </w:t>
      </w:r>
      <w:r w:rsidRPr="00437B41">
        <w:rPr>
          <w:rFonts w:ascii="Times New Roman" w:hAnsi="Times New Roman"/>
          <w:b/>
          <w:bCs/>
          <w:lang w:val="en-HK"/>
        </w:rPr>
        <w:t>unnecessary confusion</w:t>
      </w:r>
      <w:r w:rsidRPr="00437B41">
        <w:rPr>
          <w:rFonts w:ascii="Times New Roman" w:hAnsi="Times New Roman"/>
          <w:lang w:val="en-HK"/>
        </w:rPr>
        <w:t xml:space="preserve"> instead of treating charitable trusts simply as part of the broader charity system.</w:t>
      </w:r>
    </w:p>
    <w:p w14:paraId="46E1AF51" w14:textId="77777777" w:rsidR="00437B41" w:rsidRPr="00437B4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27603464">
          <v:rect id="_x0000_i1036" alt="" style="width:451.3pt;height:.05pt;mso-width-percent:0;mso-height-percent:0;mso-width-percent:0;mso-height-percent:0" o:hralign="center" o:hrstd="t" o:hr="t" fillcolor="#a0a0a0" stroked="f"/>
        </w:pict>
      </w:r>
    </w:p>
    <w:p w14:paraId="5B0F9822" w14:textId="77777777" w:rsidR="00437B41" w:rsidRPr="00437B41" w:rsidRDefault="00437B41" w:rsidP="00437B41">
      <w:pPr>
        <w:spacing w:before="100" w:beforeAutospacing="1" w:after="100" w:afterAutospacing="1" w:line="360" w:lineRule="auto"/>
        <w:outlineLvl w:val="2"/>
        <w:rPr>
          <w:rFonts w:ascii="Times New Roman" w:hAnsi="Times New Roman"/>
          <w:b/>
          <w:bCs/>
          <w:lang w:val="en-HK"/>
        </w:rPr>
      </w:pPr>
      <w:r w:rsidRPr="00437B41">
        <w:rPr>
          <w:rFonts w:ascii="Times New Roman" w:hAnsi="Times New Roman"/>
          <w:b/>
          <w:bCs/>
          <w:lang w:val="en-HK"/>
        </w:rPr>
        <w:t>Why Does This Matter?</w:t>
      </w:r>
    </w:p>
    <w:p w14:paraId="004C24CD" w14:textId="77777777" w:rsidR="00437B41" w:rsidRPr="00437B41" w:rsidRDefault="00437B41" w:rsidP="00437B41">
      <w:pPr>
        <w:spacing w:before="100" w:beforeAutospacing="1" w:after="100" w:afterAutospacing="1" w:line="360" w:lineRule="auto"/>
        <w:rPr>
          <w:rFonts w:ascii="Times New Roman" w:hAnsi="Times New Roman"/>
          <w:lang w:val="en-HK"/>
        </w:rPr>
      </w:pPr>
      <w:r w:rsidRPr="00437B41">
        <w:rPr>
          <w:rFonts w:ascii="Times New Roman" w:hAnsi="Times New Roman"/>
          <w:lang w:val="en-HK"/>
        </w:rPr>
        <w:t xml:space="preserve">Warburton is saying that reform would be </w:t>
      </w:r>
      <w:r w:rsidRPr="00437B41">
        <w:rPr>
          <w:rFonts w:ascii="Times New Roman" w:hAnsi="Times New Roman"/>
          <w:b/>
          <w:bCs/>
          <w:lang w:val="en-HK"/>
        </w:rPr>
        <w:t>simpler</w:t>
      </w:r>
      <w:r w:rsidRPr="00437B41">
        <w:rPr>
          <w:rFonts w:ascii="Times New Roman" w:hAnsi="Times New Roman"/>
          <w:lang w:val="en-HK"/>
        </w:rPr>
        <w:t xml:space="preserve"> if we:</w:t>
      </w:r>
    </w:p>
    <w:p w14:paraId="042C74CA" w14:textId="77777777" w:rsidR="00437B41" w:rsidRPr="00437B41" w:rsidRDefault="00437B41" w:rsidP="00437B41">
      <w:pPr>
        <w:numPr>
          <w:ilvl w:val="0"/>
          <w:numId w:val="41"/>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Treat charitable trusts as just one of many legal tools for charities (not as a special type of trust).</w:t>
      </w:r>
    </w:p>
    <w:p w14:paraId="38891239" w14:textId="77777777" w:rsidR="00437B41" w:rsidRPr="00437B41" w:rsidRDefault="00437B41" w:rsidP="00437B41">
      <w:pPr>
        <w:numPr>
          <w:ilvl w:val="0"/>
          <w:numId w:val="41"/>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Focus on charity law as a whole, addressing how all types of charities (trusts, companies, CIOs) operate in modern contexts.</w:t>
      </w:r>
    </w:p>
    <w:p w14:paraId="7D8CD654" w14:textId="77777777" w:rsidR="00437B41" w:rsidRPr="00437B4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30C6A244">
          <v:rect id="_x0000_i1035" alt="" style="width:451.3pt;height:.05pt;mso-width-percent:0;mso-height-percent:0;mso-width-percent:0;mso-height-percent:0" o:hralign="center" o:hrstd="t" o:hr="t" fillcolor="#a0a0a0" stroked="f"/>
        </w:pict>
      </w:r>
    </w:p>
    <w:p w14:paraId="1F07425D" w14:textId="77777777" w:rsidR="00437B41" w:rsidRPr="00437B41" w:rsidRDefault="00437B41" w:rsidP="00437B41">
      <w:pPr>
        <w:spacing w:before="100" w:beforeAutospacing="1" w:after="100" w:afterAutospacing="1" w:line="360" w:lineRule="auto"/>
        <w:outlineLvl w:val="2"/>
        <w:rPr>
          <w:rFonts w:ascii="Times New Roman" w:hAnsi="Times New Roman"/>
          <w:b/>
          <w:bCs/>
          <w:lang w:val="en-HK"/>
        </w:rPr>
      </w:pPr>
      <w:r w:rsidRPr="00437B41">
        <w:rPr>
          <w:rFonts w:ascii="Times New Roman" w:hAnsi="Times New Roman"/>
          <w:b/>
          <w:bCs/>
          <w:lang w:val="en-HK"/>
        </w:rPr>
        <w:lastRenderedPageBreak/>
        <w:t>Key Point:</w:t>
      </w:r>
    </w:p>
    <w:p w14:paraId="7489A833" w14:textId="77777777" w:rsidR="00437B41" w:rsidRPr="00437B41" w:rsidRDefault="00437B41" w:rsidP="00437B41">
      <w:pPr>
        <w:spacing w:before="100" w:beforeAutospacing="1" w:after="100" w:afterAutospacing="1" w:line="360" w:lineRule="auto"/>
        <w:rPr>
          <w:rFonts w:ascii="Times New Roman" w:hAnsi="Times New Roman"/>
          <w:lang w:val="en-HK"/>
        </w:rPr>
      </w:pPr>
      <w:r w:rsidRPr="00437B41">
        <w:rPr>
          <w:rFonts w:ascii="Times New Roman" w:hAnsi="Times New Roman"/>
          <w:lang w:val="en-HK"/>
        </w:rPr>
        <w:t xml:space="preserve">By treating charitable trusts as </w:t>
      </w:r>
      <w:r w:rsidRPr="00437B41">
        <w:rPr>
          <w:rFonts w:ascii="Times New Roman" w:hAnsi="Times New Roman"/>
          <w:b/>
          <w:bCs/>
          <w:lang w:val="en-HK"/>
        </w:rPr>
        <w:t>just another part of charity law</w:t>
      </w:r>
      <w:r w:rsidRPr="00437B41">
        <w:rPr>
          <w:rFonts w:ascii="Times New Roman" w:hAnsi="Times New Roman"/>
          <w:lang w:val="en-HK"/>
        </w:rPr>
        <w:t>, reform becomes simpler because:</w:t>
      </w:r>
    </w:p>
    <w:p w14:paraId="60069221" w14:textId="77777777" w:rsidR="00437B41" w:rsidRPr="00437B41" w:rsidRDefault="00437B41" w:rsidP="00437B41">
      <w:pPr>
        <w:numPr>
          <w:ilvl w:val="0"/>
          <w:numId w:val="42"/>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Charity law can evolve as one cohesive framework.</w:t>
      </w:r>
    </w:p>
    <w:p w14:paraId="7720E183" w14:textId="77777777" w:rsidR="00437B41" w:rsidRPr="00437B41" w:rsidRDefault="00437B41" w:rsidP="00437B41">
      <w:pPr>
        <w:numPr>
          <w:ilvl w:val="0"/>
          <w:numId w:val="42"/>
        </w:numPr>
        <w:spacing w:before="100" w:beforeAutospacing="1" w:after="100" w:afterAutospacing="1" w:line="360" w:lineRule="auto"/>
        <w:rPr>
          <w:rFonts w:ascii="Times New Roman" w:hAnsi="Times New Roman"/>
          <w:lang w:val="en-HK"/>
        </w:rPr>
      </w:pPr>
      <w:r w:rsidRPr="00437B41">
        <w:rPr>
          <w:rFonts w:ascii="Times New Roman" w:hAnsi="Times New Roman"/>
          <w:lang w:val="en-HK"/>
        </w:rPr>
        <w:t>Trust law reform doesn’t need to be complicated by special rules for charities.</w:t>
      </w:r>
    </w:p>
    <w:p w14:paraId="3F5704AA" w14:textId="2C876862" w:rsidR="00437B41" w:rsidRPr="00371E21" w:rsidRDefault="00E64C7D" w:rsidP="00437B41">
      <w:pPr>
        <w:spacing w:before="100" w:beforeAutospacing="1" w:after="100" w:afterAutospacing="1" w:line="360" w:lineRule="auto"/>
        <w:rPr>
          <w:rFonts w:ascii="Times New Roman" w:hAnsi="Times New Roman"/>
          <w:lang w:val="en-HK"/>
        </w:rPr>
      </w:pPr>
      <w:r w:rsidRPr="00E64C7D">
        <w:rPr>
          <w:rFonts w:ascii="Times New Roman" w:hAnsi="Times New Roman"/>
          <w:noProof/>
          <w:lang w:val="en-HK"/>
          <w14:ligatures w14:val="standardContextual"/>
        </w:rPr>
        <w:pict w14:anchorId="61BC3BDC">
          <v:rect id="_x0000_i1034" alt="" style="width:451.3pt;height:.05pt;mso-width-percent:0;mso-height-percent:0;mso-width-percent:0;mso-height-percent:0" o:hralign="center" o:hrstd="t" o:hr="t" fillcolor="#a0a0a0" stroked="f"/>
        </w:pict>
      </w:r>
    </w:p>
    <w:p w14:paraId="46BEFAC7"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5. Reluctance to Intervene in Charitable Trusts</w:t>
      </w:r>
    </w:p>
    <w:p w14:paraId="27A77D76"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Courts have traditionally avoided interfering in the administration of charitable trusts unless there is evidence of misconduct or mismanagement.</w:t>
      </w:r>
    </w:p>
    <w:p w14:paraId="5F84D13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Attorney-General v Haberdashers’ Co. (1791):</w:t>
      </w:r>
    </w:p>
    <w:p w14:paraId="0559F68F"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Lord Thurlow LC emphasized that trustees should have autonomy in executing their duties:</w:t>
      </w:r>
    </w:p>
    <w:p w14:paraId="6754707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“As to the execution of the trust, it is not to be kept under the direction of the Court, to be executed by the Court from time to time, but is to be executed under a general direction to the trustees.”</w:t>
      </w:r>
    </w:p>
    <w:p w14:paraId="2D6A6423" w14:textId="77777777" w:rsidR="00371E21" w:rsidRPr="00371E2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57C164AB">
          <v:rect id="_x0000_i1033" alt="" style="width:451.3pt;height:.05pt;mso-width-percent:0;mso-height-percent:0;mso-width-percent:0;mso-height-percent:0" o:hralign="center" o:hrstd="t" o:hr="t" fillcolor="#a0a0a0" stroked="f"/>
        </w:pict>
      </w:r>
    </w:p>
    <w:p w14:paraId="65905852" w14:textId="77777777" w:rsidR="00371E21" w:rsidRPr="00371E21" w:rsidRDefault="00371E21" w:rsidP="00437B41">
      <w:pPr>
        <w:spacing w:before="100" w:beforeAutospacing="1" w:after="100" w:afterAutospacing="1" w:line="360" w:lineRule="auto"/>
        <w:outlineLvl w:val="2"/>
        <w:rPr>
          <w:rFonts w:ascii="Times New Roman" w:hAnsi="Times New Roman"/>
          <w:b/>
          <w:bCs/>
          <w:u w:val="single"/>
          <w:lang w:val="en-HK"/>
        </w:rPr>
      </w:pPr>
      <w:proofErr w:type="spellStart"/>
      <w:r w:rsidRPr="00371E21">
        <w:rPr>
          <w:rFonts w:ascii="Times New Roman" w:hAnsi="Times New Roman"/>
          <w:b/>
          <w:bCs/>
          <w:u w:val="single"/>
          <w:lang w:val="en-HK"/>
        </w:rPr>
        <w:t>Lehtimaki</w:t>
      </w:r>
      <w:proofErr w:type="spellEnd"/>
      <w:r w:rsidRPr="00371E21">
        <w:rPr>
          <w:rFonts w:ascii="Times New Roman" w:hAnsi="Times New Roman"/>
          <w:b/>
          <w:bCs/>
          <w:u w:val="single"/>
          <w:lang w:val="en-HK"/>
        </w:rPr>
        <w:t xml:space="preserve"> v Children’s Investment Fund Foundation (CIFF)</w:t>
      </w:r>
    </w:p>
    <w:p w14:paraId="6D99382C"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1. Background</w:t>
      </w:r>
    </w:p>
    <w:p w14:paraId="2A0CEFE3"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Facts:</w:t>
      </w:r>
    </w:p>
    <w:p w14:paraId="4D5BB3B3"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CIFF, a charitable company limited by guarantee, proposed a $360 million grant to a new foundation established by Ms. Cooper, a departing trustee.</w:t>
      </w:r>
    </w:p>
    <w:p w14:paraId="5209CAD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grant was conditional on court approval and Ms. Cooper’s resignation as a trustee and member of CIFF.</w:t>
      </w:r>
    </w:p>
    <w:p w14:paraId="5CB8959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lastRenderedPageBreak/>
        <w:t xml:space="preserve">The issue arose when the sole voting member, </w:t>
      </w:r>
      <w:proofErr w:type="spellStart"/>
      <w:r w:rsidRPr="00371E21">
        <w:rPr>
          <w:rFonts w:ascii="Times New Roman" w:hAnsi="Times New Roman"/>
          <w:lang w:val="en-HK"/>
        </w:rPr>
        <w:t>Dr.</w:t>
      </w:r>
      <w:proofErr w:type="spellEnd"/>
      <w:r w:rsidRPr="00371E21">
        <w:rPr>
          <w:rFonts w:ascii="Times New Roman" w:hAnsi="Times New Roman"/>
          <w:lang w:val="en-HK"/>
        </w:rPr>
        <w:t xml:space="preserve"> </w:t>
      </w:r>
      <w:proofErr w:type="spellStart"/>
      <w:r w:rsidRPr="00371E21">
        <w:rPr>
          <w:rFonts w:ascii="Times New Roman" w:hAnsi="Times New Roman"/>
          <w:lang w:val="en-HK"/>
        </w:rPr>
        <w:t>Lehtimaki</w:t>
      </w:r>
      <w:proofErr w:type="spellEnd"/>
      <w:r w:rsidRPr="00371E21">
        <w:rPr>
          <w:rFonts w:ascii="Times New Roman" w:hAnsi="Times New Roman"/>
          <w:lang w:val="en-HK"/>
        </w:rPr>
        <w:t>, resisted approving the grant despite prior approval from the trustees and the Charity Commission.</w:t>
      </w:r>
    </w:p>
    <w:p w14:paraId="3050A89D"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2. Court of Appeal’s Decision</w:t>
      </w:r>
    </w:p>
    <w:p w14:paraId="21615D3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Court of Appeal addressed three key questions:</w:t>
      </w:r>
    </w:p>
    <w:p w14:paraId="2F40BF39" w14:textId="77777777" w:rsidR="00371E21" w:rsidRPr="00371E21" w:rsidRDefault="00371E21" w:rsidP="00437B41">
      <w:pPr>
        <w:numPr>
          <w:ilvl w:val="0"/>
          <w:numId w:val="8"/>
        </w:num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 xml:space="preserve">Did </w:t>
      </w:r>
      <w:proofErr w:type="spellStart"/>
      <w:r w:rsidRPr="00371E21">
        <w:rPr>
          <w:rFonts w:ascii="Times New Roman" w:hAnsi="Times New Roman"/>
          <w:b/>
          <w:bCs/>
          <w:lang w:val="en-HK"/>
        </w:rPr>
        <w:t>Dr.</w:t>
      </w:r>
      <w:proofErr w:type="spellEnd"/>
      <w:r w:rsidRPr="00371E21">
        <w:rPr>
          <w:rFonts w:ascii="Times New Roman" w:hAnsi="Times New Roman"/>
          <w:b/>
          <w:bCs/>
          <w:lang w:val="en-HK"/>
        </w:rPr>
        <w:t xml:space="preserve"> </w:t>
      </w:r>
      <w:proofErr w:type="spellStart"/>
      <w:r w:rsidRPr="00371E21">
        <w:rPr>
          <w:rFonts w:ascii="Times New Roman" w:hAnsi="Times New Roman"/>
          <w:b/>
          <w:bCs/>
          <w:lang w:val="en-HK"/>
        </w:rPr>
        <w:t>Lehtimaki</w:t>
      </w:r>
      <w:proofErr w:type="spellEnd"/>
      <w:r w:rsidRPr="00371E21">
        <w:rPr>
          <w:rFonts w:ascii="Times New Roman" w:hAnsi="Times New Roman"/>
          <w:b/>
          <w:bCs/>
          <w:lang w:val="en-HK"/>
        </w:rPr>
        <w:t xml:space="preserve"> owe fiduciary duties?</w:t>
      </w:r>
    </w:p>
    <w:p w14:paraId="61F4BDC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The court held that, as a member of a charitable company, </w:t>
      </w:r>
      <w:proofErr w:type="spellStart"/>
      <w:r w:rsidRPr="00371E21">
        <w:rPr>
          <w:rFonts w:ascii="Times New Roman" w:hAnsi="Times New Roman"/>
          <w:u w:val="single"/>
          <w:lang w:val="en-HK"/>
        </w:rPr>
        <w:t>Dr.</w:t>
      </w:r>
      <w:proofErr w:type="spellEnd"/>
      <w:r w:rsidRPr="00371E21">
        <w:rPr>
          <w:rFonts w:ascii="Times New Roman" w:hAnsi="Times New Roman"/>
          <w:u w:val="single"/>
          <w:lang w:val="en-HK"/>
        </w:rPr>
        <w:t xml:space="preserve"> </w:t>
      </w:r>
      <w:proofErr w:type="spellStart"/>
      <w:r w:rsidRPr="00371E21">
        <w:rPr>
          <w:rFonts w:ascii="Times New Roman" w:hAnsi="Times New Roman"/>
          <w:u w:val="single"/>
          <w:lang w:val="en-HK"/>
        </w:rPr>
        <w:t>Lehtimaki</w:t>
      </w:r>
      <w:proofErr w:type="spellEnd"/>
      <w:r w:rsidRPr="00371E21">
        <w:rPr>
          <w:rFonts w:ascii="Times New Roman" w:hAnsi="Times New Roman"/>
          <w:u w:val="single"/>
          <w:lang w:val="en-HK"/>
        </w:rPr>
        <w:t xml:space="preserve"> owed fiduciary duties to exercise his voting rights in good faith</w:t>
      </w:r>
      <w:r w:rsidRPr="00371E21">
        <w:rPr>
          <w:rFonts w:ascii="Times New Roman" w:hAnsi="Times New Roman"/>
          <w:lang w:val="en-HK"/>
        </w:rPr>
        <w:t xml:space="preserve"> and in furtherance of CIFF’s charitable purposes.</w:t>
      </w:r>
    </w:p>
    <w:p w14:paraId="05226859" w14:textId="77777777" w:rsidR="00371E21" w:rsidRPr="00371E21" w:rsidRDefault="00371E21" w:rsidP="00437B41">
      <w:pPr>
        <w:numPr>
          <w:ilvl w:val="0"/>
          <w:numId w:val="8"/>
        </w:num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Could the court direct a fiduciary on how to vote?</w:t>
      </w:r>
    </w:p>
    <w:p w14:paraId="1409D003"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court ruled that its inherent jurisdiction over charities does not extend to directing fiduciaries on how to exercise their discretion unless there is evidence of breach of duty.</w:t>
      </w:r>
    </w:p>
    <w:p w14:paraId="577DC6F9"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The court emphasized the principle of </w:t>
      </w:r>
      <w:r w:rsidRPr="00371E21">
        <w:rPr>
          <w:rFonts w:ascii="Times New Roman" w:hAnsi="Times New Roman"/>
          <w:b/>
          <w:bCs/>
          <w:color w:val="FF0000"/>
          <w:lang w:val="en-HK"/>
        </w:rPr>
        <w:t>non-intervention</w:t>
      </w:r>
      <w:r w:rsidRPr="00371E21">
        <w:rPr>
          <w:rFonts w:ascii="Times New Roman" w:hAnsi="Times New Roman"/>
          <w:lang w:val="en-HK"/>
        </w:rPr>
        <w:t>, which preserves trustee and member autonomy.</w:t>
      </w:r>
    </w:p>
    <w:p w14:paraId="0F472E07" w14:textId="77777777" w:rsidR="00371E21" w:rsidRPr="00371E21" w:rsidRDefault="00371E21" w:rsidP="00437B41">
      <w:pPr>
        <w:numPr>
          <w:ilvl w:val="0"/>
          <w:numId w:val="8"/>
        </w:num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Was the Chancellor’s directive valid?</w:t>
      </w:r>
    </w:p>
    <w:p w14:paraId="38BD87C7"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The court overturned the Chancellor’s directive that </w:t>
      </w:r>
      <w:proofErr w:type="spellStart"/>
      <w:r w:rsidRPr="00371E21">
        <w:rPr>
          <w:rFonts w:ascii="Times New Roman" w:hAnsi="Times New Roman"/>
          <w:lang w:val="en-HK"/>
        </w:rPr>
        <w:t>Dr.</w:t>
      </w:r>
      <w:proofErr w:type="spellEnd"/>
      <w:r w:rsidRPr="00371E21">
        <w:rPr>
          <w:rFonts w:ascii="Times New Roman" w:hAnsi="Times New Roman"/>
          <w:lang w:val="en-HK"/>
        </w:rPr>
        <w:t xml:space="preserve"> </w:t>
      </w:r>
      <w:proofErr w:type="spellStart"/>
      <w:r w:rsidRPr="00371E21">
        <w:rPr>
          <w:rFonts w:ascii="Times New Roman" w:hAnsi="Times New Roman"/>
          <w:lang w:val="en-HK"/>
        </w:rPr>
        <w:t>Lehtimaki</w:t>
      </w:r>
      <w:proofErr w:type="spellEnd"/>
      <w:r w:rsidRPr="00371E21">
        <w:rPr>
          <w:rFonts w:ascii="Times New Roman" w:hAnsi="Times New Roman"/>
          <w:lang w:val="en-HK"/>
        </w:rPr>
        <w:t xml:space="preserve"> vote for the grant, as there was no evidence of a breach of fiduciary duty.</w:t>
      </w:r>
    </w:p>
    <w:p w14:paraId="5A0EB0D6"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3. Scholarly and Judicial Insights</w:t>
      </w:r>
    </w:p>
    <w:p w14:paraId="00A2EFE4"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w:t>
      </w:r>
      <w:r w:rsidRPr="00371E21">
        <w:rPr>
          <w:rFonts w:ascii="Times New Roman" w:hAnsi="Times New Roman"/>
          <w:i/>
          <w:iCs/>
          <w:lang w:val="en-HK"/>
        </w:rPr>
        <w:t>Lord Truro in Re Beloved Wilkes’ Charity (1851):</w:t>
      </w:r>
    </w:p>
    <w:p w14:paraId="05D9B1C2"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“The duty of supervision on the part of this court will… be confined to the question of the honesty, integrity, and fairness with which the deliberation has been conducted, and will not be extended to the accuracy of the conclusion arrived at.”</w:t>
      </w:r>
    </w:p>
    <w:p w14:paraId="0B850E3D"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This principle was reaffirmed to support non-intervention in CIFF.</w:t>
      </w:r>
    </w:p>
    <w:p w14:paraId="0A7FDFF7"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w:t>
      </w:r>
      <w:r w:rsidRPr="00371E21">
        <w:rPr>
          <w:rFonts w:ascii="Times New Roman" w:hAnsi="Times New Roman"/>
          <w:i/>
          <w:iCs/>
          <w:lang w:val="en-HK"/>
        </w:rPr>
        <w:t>Viscount Simonds in Gilmour v Coats (1949):</w:t>
      </w:r>
    </w:p>
    <w:p w14:paraId="66BFBF7D"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lastRenderedPageBreak/>
        <w:t>Highlighted the empirical nature of charity law:</w:t>
      </w:r>
    </w:p>
    <w:p w14:paraId="6521FBC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“It is a trite saying that the law is life, not logic. But it is, I think, conspicuously true of the law of charity that it has been built up not logically but empirically.”</w:t>
      </w:r>
    </w:p>
    <w:p w14:paraId="63C60AD1"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4. Key Takeaways from CIFF</w:t>
      </w:r>
    </w:p>
    <w:p w14:paraId="3F99CCDE" w14:textId="77777777" w:rsidR="00371E21" w:rsidRPr="00371E21" w:rsidRDefault="00371E21" w:rsidP="00437B41">
      <w:pPr>
        <w:numPr>
          <w:ilvl w:val="0"/>
          <w:numId w:val="10"/>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decision preserved the autonomy of charity fiduciaries, reinforcing that judicial intervention is warranted only in cases of misconduct or breach of duty.</w:t>
      </w:r>
    </w:p>
    <w:p w14:paraId="0A552B6E" w14:textId="77777777" w:rsidR="00371E21" w:rsidRPr="00371E21" w:rsidRDefault="00371E21" w:rsidP="00437B41">
      <w:pPr>
        <w:numPr>
          <w:ilvl w:val="0"/>
          <w:numId w:val="10"/>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The court acknowledged the unique challenges of charity law but avoided creating a </w:t>
      </w:r>
      <w:r w:rsidRPr="00371E21">
        <w:rPr>
          <w:rFonts w:ascii="Times New Roman" w:hAnsi="Times New Roman"/>
          <w:b/>
          <w:bCs/>
          <w:lang w:val="en-HK"/>
        </w:rPr>
        <w:t>“wide supervisory jurisdiction”</w:t>
      </w:r>
      <w:r w:rsidRPr="00371E21">
        <w:rPr>
          <w:rFonts w:ascii="Times New Roman" w:hAnsi="Times New Roman"/>
          <w:lang w:val="en-HK"/>
        </w:rPr>
        <w:t xml:space="preserve"> that could invite litigation and discourage trustees and donors.</w:t>
      </w:r>
    </w:p>
    <w:p w14:paraId="006FD915"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5. Historical Context</w:t>
      </w:r>
    </w:p>
    <w:p w14:paraId="5DE79DF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non-intervention principle aligns with historical respect for trustee autonomy:</w:t>
      </w:r>
    </w:p>
    <w:p w14:paraId="19A50F4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Attorney-General v Haberdashers’ Co. (1791):</w:t>
      </w:r>
    </w:p>
    <w:p w14:paraId="6C484C0B"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Trustees’ discretion was protected, and the court avoided prolonged involvement in charity administration.</w:t>
      </w:r>
    </w:p>
    <w:p w14:paraId="2C9A2ABF"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 xml:space="preserve">Re </w:t>
      </w:r>
      <w:proofErr w:type="spellStart"/>
      <w:r w:rsidRPr="00371E21">
        <w:rPr>
          <w:rFonts w:ascii="Times New Roman" w:hAnsi="Times New Roman"/>
          <w:b/>
          <w:bCs/>
          <w:lang w:val="en-HK"/>
        </w:rPr>
        <w:t>Faraker</w:t>
      </w:r>
      <w:proofErr w:type="spellEnd"/>
      <w:r w:rsidRPr="00371E21">
        <w:rPr>
          <w:rFonts w:ascii="Times New Roman" w:hAnsi="Times New Roman"/>
          <w:b/>
          <w:bCs/>
          <w:lang w:val="en-HK"/>
        </w:rPr>
        <w:t xml:space="preserve"> (1912):</w:t>
      </w:r>
    </w:p>
    <w:p w14:paraId="3166B8A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Confirmed that courts cannot terminate charitable trusts or interfere with trustees’ decisions unless there is evidence of misconduct.</w:t>
      </w:r>
    </w:p>
    <w:p w14:paraId="4CC7B624" w14:textId="77777777" w:rsidR="00371E21" w:rsidRPr="00371E2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313FD7DA">
          <v:rect id="_x0000_i1032" alt="" style="width:451.3pt;height:.05pt;mso-width-percent:0;mso-height-percent:0;mso-width-percent:0;mso-height-percent:0" o:hralign="center" o:hrstd="t" o:hr="t" fillcolor="#a0a0a0" stroked="f"/>
        </w:pict>
      </w:r>
    </w:p>
    <w:p w14:paraId="76118D7A" w14:textId="77777777" w:rsidR="00371E21" w:rsidRPr="00371E21" w:rsidRDefault="00371E21" w:rsidP="00437B41">
      <w:pPr>
        <w:spacing w:before="100" w:beforeAutospacing="1" w:after="100" w:afterAutospacing="1" w:line="360" w:lineRule="auto"/>
        <w:outlineLvl w:val="2"/>
        <w:rPr>
          <w:rFonts w:ascii="Times New Roman" w:hAnsi="Times New Roman"/>
          <w:b/>
          <w:bCs/>
          <w:u w:val="single"/>
          <w:lang w:val="en-HK"/>
        </w:rPr>
      </w:pPr>
      <w:r w:rsidRPr="00371E21">
        <w:rPr>
          <w:rFonts w:ascii="Times New Roman" w:hAnsi="Times New Roman"/>
          <w:b/>
          <w:bCs/>
          <w:u w:val="single"/>
          <w:lang w:val="en-HK"/>
        </w:rPr>
        <w:t>Historic and Contemporary Reluctance to Intervene</w:t>
      </w:r>
    </w:p>
    <w:p w14:paraId="1A6D6B46"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1. Historical Approach to Judicial Intervention</w:t>
      </w:r>
    </w:p>
    <w:p w14:paraId="72B909C2"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Courts have traditionally adopted a </w:t>
      </w:r>
      <w:r w:rsidRPr="00371E21">
        <w:rPr>
          <w:rFonts w:ascii="Times New Roman" w:hAnsi="Times New Roman"/>
          <w:b/>
          <w:bCs/>
          <w:lang w:val="en-HK"/>
        </w:rPr>
        <w:t>hands-off approach</w:t>
      </w:r>
      <w:r w:rsidRPr="00371E21">
        <w:rPr>
          <w:rFonts w:ascii="Times New Roman" w:hAnsi="Times New Roman"/>
          <w:lang w:val="en-HK"/>
        </w:rPr>
        <w:t xml:space="preserve"> to intervening in charitable trusts unless there is evidence of misconduct, mismanagement, or improper use of funds.</w:t>
      </w:r>
    </w:p>
    <w:p w14:paraId="3FB8538F"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Attorney-General v Haberdashers’ Co. (1791):</w:t>
      </w:r>
    </w:p>
    <w:p w14:paraId="1D6A670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lastRenderedPageBreak/>
        <w:t>Lord Thurlow LC:</w:t>
      </w:r>
    </w:p>
    <w:p w14:paraId="15FE1A82"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Stated that trustees’ discretion should be respected, and the court should not continuously supervise the administration of charities:</w:t>
      </w:r>
    </w:p>
    <w:p w14:paraId="504BA6D9"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 xml:space="preserve">“As to the execution of the trust, it is not to be kept under the direction of the Court… but is </w:t>
      </w:r>
      <w:r w:rsidRPr="00371E21">
        <w:rPr>
          <w:rFonts w:ascii="Times New Roman" w:hAnsi="Times New Roman"/>
          <w:b/>
          <w:bCs/>
          <w:highlight w:val="yellow"/>
          <w:lang w:val="en-HK"/>
        </w:rPr>
        <w:t>to be executed under a general direction to the trustees</w:t>
      </w:r>
      <w:r w:rsidRPr="00371E21">
        <w:rPr>
          <w:rFonts w:ascii="Times New Roman" w:hAnsi="Times New Roman"/>
          <w:b/>
          <w:bCs/>
          <w:lang w:val="en-HK"/>
        </w:rPr>
        <w:t>; which is the only way of administering a charity.”</w:t>
      </w:r>
    </w:p>
    <w:p w14:paraId="014CA076"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Highlighted that repeated court involvement would increase costs and deplete charitable funds, which must be preserved for public benefit.</w:t>
      </w:r>
    </w:p>
    <w:p w14:paraId="73B4893C"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 xml:space="preserve">Re </w:t>
      </w:r>
      <w:proofErr w:type="spellStart"/>
      <w:r w:rsidRPr="00371E21">
        <w:rPr>
          <w:rFonts w:ascii="Times New Roman" w:hAnsi="Times New Roman"/>
          <w:b/>
          <w:bCs/>
          <w:lang w:val="en-HK"/>
        </w:rPr>
        <w:t>Faraker</w:t>
      </w:r>
      <w:proofErr w:type="spellEnd"/>
      <w:r w:rsidRPr="00371E21">
        <w:rPr>
          <w:rFonts w:ascii="Times New Roman" w:hAnsi="Times New Roman"/>
          <w:b/>
          <w:bCs/>
          <w:lang w:val="en-HK"/>
        </w:rPr>
        <w:t xml:space="preserve"> (1912):</w:t>
      </w:r>
    </w:p>
    <w:p w14:paraId="7001AFBE"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Farwell LJ:</w:t>
      </w:r>
    </w:p>
    <w:p w14:paraId="0BBFF573"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Clarified that neither the courts nor the Attorney-General could terminate charitable trusts or assume direct administrative control unless misconduct or mismanagement was evident.</w:t>
      </w:r>
    </w:p>
    <w:p w14:paraId="5E380621"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This decision reinforced the autonomy of trustees in the day-to-day execution of charitable purposes.</w:t>
      </w:r>
    </w:p>
    <w:p w14:paraId="26501986"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Attorney-General v Governors of Harrow School (1754):</w:t>
      </w:r>
    </w:p>
    <w:p w14:paraId="69EFF4FB"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Lord Hardwicke LC:</w:t>
      </w:r>
    </w:p>
    <w:p w14:paraId="35963014"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While recognizing the court’s role in overseeing charities, emphasized that it would not interfere with trustees’ decisions unless there was evidence of impropriety:</w:t>
      </w:r>
    </w:p>
    <w:p w14:paraId="5DBF4282"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“Where they act fairly, and not corruptly or partially, a court of justice would do too much to control their acts.”</w:t>
      </w:r>
    </w:p>
    <w:p w14:paraId="0D676DDD"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2. Contemporary Judicial Reluctance</w:t>
      </w:r>
    </w:p>
    <w:p w14:paraId="53EE7BB2"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proofErr w:type="spellStart"/>
      <w:r w:rsidRPr="00371E21">
        <w:rPr>
          <w:rFonts w:ascii="Times New Roman" w:hAnsi="Times New Roman"/>
          <w:b/>
          <w:bCs/>
          <w:highlight w:val="yellow"/>
          <w:lang w:val="en-HK"/>
        </w:rPr>
        <w:t>Lehtimaki</w:t>
      </w:r>
      <w:proofErr w:type="spellEnd"/>
      <w:r w:rsidRPr="00371E21">
        <w:rPr>
          <w:rFonts w:ascii="Times New Roman" w:hAnsi="Times New Roman"/>
          <w:b/>
          <w:bCs/>
          <w:highlight w:val="yellow"/>
          <w:lang w:val="en-HK"/>
        </w:rPr>
        <w:t xml:space="preserve"> v CIFF (2018):</w:t>
      </w:r>
    </w:p>
    <w:p w14:paraId="7F0C2F48"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Court of Appeal upheld the principle of non-intervention, reiterating that courts will not interfere with fiduciary discretion unless there is evidence of:</w:t>
      </w:r>
    </w:p>
    <w:p w14:paraId="117ED246" w14:textId="77777777" w:rsidR="00371E21" w:rsidRPr="00371E21" w:rsidRDefault="00371E21" w:rsidP="00437B41">
      <w:pPr>
        <w:numPr>
          <w:ilvl w:val="1"/>
          <w:numId w:val="16"/>
        </w:numPr>
        <w:spacing w:before="100" w:beforeAutospacing="1" w:after="100" w:afterAutospacing="1" w:line="360" w:lineRule="auto"/>
        <w:rPr>
          <w:rFonts w:ascii="Times New Roman" w:hAnsi="Times New Roman"/>
          <w:color w:val="FF0000"/>
          <w:lang w:val="en-HK"/>
        </w:rPr>
      </w:pPr>
      <w:r w:rsidRPr="00371E21">
        <w:rPr>
          <w:rFonts w:ascii="Times New Roman" w:hAnsi="Times New Roman"/>
          <w:color w:val="FF0000"/>
          <w:lang w:val="en-HK"/>
        </w:rPr>
        <w:lastRenderedPageBreak/>
        <w:t>Dishonesty.</w:t>
      </w:r>
    </w:p>
    <w:p w14:paraId="4955774F" w14:textId="77777777" w:rsidR="00371E21" w:rsidRPr="00371E21" w:rsidRDefault="00371E21" w:rsidP="00437B41">
      <w:pPr>
        <w:numPr>
          <w:ilvl w:val="1"/>
          <w:numId w:val="16"/>
        </w:numPr>
        <w:spacing w:before="100" w:beforeAutospacing="1" w:after="100" w:afterAutospacing="1" w:line="360" w:lineRule="auto"/>
        <w:rPr>
          <w:rFonts w:ascii="Times New Roman" w:hAnsi="Times New Roman"/>
          <w:color w:val="FF0000"/>
          <w:lang w:val="en-HK"/>
        </w:rPr>
      </w:pPr>
      <w:r w:rsidRPr="00371E21">
        <w:rPr>
          <w:rFonts w:ascii="Times New Roman" w:hAnsi="Times New Roman"/>
          <w:color w:val="FF0000"/>
          <w:lang w:val="en-HK"/>
        </w:rPr>
        <w:t>Improper motive.</w:t>
      </w:r>
    </w:p>
    <w:p w14:paraId="6ECEEE28" w14:textId="77777777" w:rsidR="00371E21" w:rsidRPr="00371E21" w:rsidRDefault="00371E21" w:rsidP="00437B41">
      <w:pPr>
        <w:numPr>
          <w:ilvl w:val="1"/>
          <w:numId w:val="16"/>
        </w:numPr>
        <w:spacing w:before="100" w:beforeAutospacing="1" w:after="100" w:afterAutospacing="1" w:line="360" w:lineRule="auto"/>
        <w:rPr>
          <w:rFonts w:ascii="Times New Roman" w:hAnsi="Times New Roman"/>
          <w:color w:val="FF0000"/>
          <w:lang w:val="en-HK"/>
        </w:rPr>
      </w:pPr>
      <w:r w:rsidRPr="00371E21">
        <w:rPr>
          <w:rFonts w:ascii="Times New Roman" w:hAnsi="Times New Roman"/>
          <w:color w:val="FF0000"/>
          <w:lang w:val="en-HK"/>
        </w:rPr>
        <w:t>Failure to act in the best interests of the charity.</w:t>
      </w:r>
    </w:p>
    <w:p w14:paraId="13937A48"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CIFF and Trustee Autonomy:</w:t>
      </w:r>
    </w:p>
    <w:p w14:paraId="1BC6D87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Court rejected the argument that courts should assume a more interventionist role in regulating charitable trustees. It emphasized that trustees are better positioned to make decisions about the administration of their charities due to their familiarity with the charity’s objectives and operations.</w:t>
      </w:r>
    </w:p>
    <w:p w14:paraId="366B7C44"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3. Scholarly Perspectives</w:t>
      </w:r>
    </w:p>
    <w:p w14:paraId="548AFC2B"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Professor Gareth Jones:</w:t>
      </w:r>
    </w:p>
    <w:p w14:paraId="72F8D1B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In </w:t>
      </w:r>
      <w:r w:rsidRPr="00371E21">
        <w:rPr>
          <w:rFonts w:ascii="Times New Roman" w:hAnsi="Times New Roman"/>
          <w:i/>
          <w:iCs/>
          <w:lang w:val="en-HK"/>
        </w:rPr>
        <w:t>History of the Law of Charity</w:t>
      </w:r>
      <w:r w:rsidRPr="00371E21">
        <w:rPr>
          <w:rFonts w:ascii="Times New Roman" w:hAnsi="Times New Roman"/>
          <w:lang w:val="en-HK"/>
        </w:rPr>
        <w:t>, Jones documented how judicial reluctance to intervene has been integral to charity law since the Victorian era:</w:t>
      </w:r>
    </w:p>
    <w:p w14:paraId="4E91457F"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“It has always been a ‘peculiarity of Charitable Trusts’… that the persons beneficially interested under them are seldom in a position to originate measures affecting their government.”</w:t>
      </w:r>
    </w:p>
    <w:p w14:paraId="3623FD04"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Professor Jonathan Garton:</w:t>
      </w:r>
    </w:p>
    <w:p w14:paraId="1DAE612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In </w:t>
      </w:r>
      <w:r w:rsidRPr="00371E21">
        <w:rPr>
          <w:rFonts w:ascii="Times New Roman" w:hAnsi="Times New Roman"/>
          <w:i/>
          <w:iCs/>
          <w:lang w:val="en-HK"/>
        </w:rPr>
        <w:t>Public Benefit in Charity Law</w:t>
      </w:r>
      <w:r w:rsidRPr="00371E21">
        <w:rPr>
          <w:rFonts w:ascii="Times New Roman" w:hAnsi="Times New Roman"/>
          <w:lang w:val="en-HK"/>
        </w:rPr>
        <w:t xml:space="preserve">, Garton argued that the </w:t>
      </w:r>
      <w:r w:rsidRPr="00371E21">
        <w:rPr>
          <w:rFonts w:ascii="Times New Roman" w:hAnsi="Times New Roman"/>
          <w:b/>
          <w:bCs/>
          <w:lang w:val="en-HK"/>
        </w:rPr>
        <w:t>“public nature of charitable trusts”</w:t>
      </w:r>
      <w:r w:rsidRPr="00371E21">
        <w:rPr>
          <w:rFonts w:ascii="Times New Roman" w:hAnsi="Times New Roman"/>
          <w:lang w:val="en-HK"/>
        </w:rPr>
        <w:t xml:space="preserve"> necessitates oversight but cautioned against judicial overreach:</w:t>
      </w:r>
    </w:p>
    <w:p w14:paraId="45D25283"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“Faith in the charity sector depends on charity funds being spent to further charitable objects for the public benefit. A wide supervisory jurisdiction would be an invitation to litigation.”</w:t>
      </w:r>
    </w:p>
    <w:p w14:paraId="30B445A8"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w:t>
      </w:r>
      <w:r w:rsidRPr="00371E21">
        <w:rPr>
          <w:rFonts w:ascii="Times New Roman" w:hAnsi="Times New Roman"/>
          <w:b/>
          <w:bCs/>
          <w:i/>
          <w:iCs/>
          <w:lang w:val="en-HK"/>
        </w:rPr>
        <w:t>Viscount Simonds in Gilmour v Coats (1949):</w:t>
      </w:r>
    </w:p>
    <w:p w14:paraId="0EE0FE4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Warned against expanding judicial intervention based on logic rather than empirical necessity:</w:t>
      </w:r>
    </w:p>
    <w:p w14:paraId="688683E9"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lastRenderedPageBreak/>
        <w:t>“It is a trite saying that the law is life, not logic. But it is, I think, conspicuously true of the law of charity that it has been built up not logically but empirically.”</w:t>
      </w:r>
    </w:p>
    <w:p w14:paraId="0B7F775C" w14:textId="77777777" w:rsidR="00371E21" w:rsidRPr="00371E2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1D11F7A8">
          <v:rect id="_x0000_i1031" alt="" style="width:451.3pt;height:.05pt;mso-width-percent:0;mso-height-percent:0;mso-width-percent:0;mso-height-percent:0" o:hralign="center" o:hrstd="t" o:hr="t" fillcolor="#a0a0a0" stroked="f"/>
        </w:pict>
      </w:r>
    </w:p>
    <w:p w14:paraId="3412C59C" w14:textId="77777777" w:rsidR="00371E21" w:rsidRPr="00371E21" w:rsidRDefault="00371E21" w:rsidP="00437B41">
      <w:pPr>
        <w:spacing w:before="100" w:beforeAutospacing="1" w:after="100" w:afterAutospacing="1" w:line="360" w:lineRule="auto"/>
        <w:outlineLvl w:val="2"/>
        <w:rPr>
          <w:rFonts w:ascii="Times New Roman" w:hAnsi="Times New Roman"/>
          <w:b/>
          <w:bCs/>
          <w:u w:val="single"/>
          <w:lang w:val="en-HK"/>
        </w:rPr>
      </w:pPr>
      <w:r w:rsidRPr="00371E21">
        <w:rPr>
          <w:rFonts w:ascii="Times New Roman" w:hAnsi="Times New Roman"/>
          <w:b/>
          <w:bCs/>
          <w:u w:val="single"/>
          <w:lang w:val="en-HK"/>
        </w:rPr>
        <w:t>Conclusion</w:t>
      </w:r>
    </w:p>
    <w:p w14:paraId="4F33CC8F"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1. Judicial Intervention and Charity Regulation</w:t>
      </w:r>
    </w:p>
    <w:p w14:paraId="113B7074"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Courts have historically deferred to trustees’ discretion in managing charitable trusts unless misconduct or impropriety is evident.</w:t>
      </w:r>
    </w:p>
    <w:p w14:paraId="3055D833"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CIFF’s Outcome:</w:t>
      </w:r>
    </w:p>
    <w:p w14:paraId="6853EFFF"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Court of Appeal’s decision reinforced this principle by ruling that:</w:t>
      </w:r>
    </w:p>
    <w:p w14:paraId="772AF0CF" w14:textId="77777777" w:rsidR="00371E21" w:rsidRPr="00371E21" w:rsidRDefault="00371E21" w:rsidP="00437B41">
      <w:pPr>
        <w:numPr>
          <w:ilvl w:val="2"/>
          <w:numId w:val="21"/>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Trustees and fiduciaries have autonomy in decision-making.</w:t>
      </w:r>
    </w:p>
    <w:p w14:paraId="456539F9" w14:textId="77777777" w:rsidR="00371E21" w:rsidRPr="00371E21" w:rsidRDefault="00371E21" w:rsidP="00437B41">
      <w:pPr>
        <w:numPr>
          <w:ilvl w:val="2"/>
          <w:numId w:val="21"/>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Judicial intervention is only warranted to prevent harm or address breaches of fiduciary duty.</w:t>
      </w:r>
    </w:p>
    <w:p w14:paraId="576DDA33"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2. Risks of Judicial Overreach</w:t>
      </w:r>
    </w:p>
    <w:p w14:paraId="2C58C114"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Professor Jonathan Fowles’ View:</w:t>
      </w:r>
    </w:p>
    <w:p w14:paraId="63F3DAFB"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Fowles warned against expanding the courts’ supervisory jurisdiction over charities:</w:t>
      </w:r>
    </w:p>
    <w:p w14:paraId="1D24AA4D"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“A wide supervisory jurisdiction would be an invitation to litigation, and given the breadth of a hypothetical jurisdiction based on expediency, the Charity Commission may find it difficult to keep the number of such cases within reasonable limits.”</w:t>
      </w:r>
    </w:p>
    <w:p w14:paraId="22A5FAA8"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Impact on Donors and Trustees:</w:t>
      </w:r>
    </w:p>
    <w:p w14:paraId="548DB8BA"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Excessive judicial interference could discourage individuals from serving as trustees and deter donors from contributing to charities due to fears of costly litigation and administrative delays.</w:t>
      </w:r>
    </w:p>
    <w:p w14:paraId="5BF48C2A" w14:textId="77777777" w:rsidR="00371E21" w:rsidRPr="00371E21" w:rsidRDefault="00371E21" w:rsidP="00437B41">
      <w:pPr>
        <w:spacing w:before="100" w:beforeAutospacing="1" w:after="100" w:afterAutospacing="1" w:line="360" w:lineRule="auto"/>
        <w:outlineLvl w:val="3"/>
        <w:rPr>
          <w:rFonts w:ascii="Times New Roman" w:hAnsi="Times New Roman"/>
          <w:b/>
          <w:bCs/>
          <w:lang w:val="en-HK"/>
        </w:rPr>
      </w:pPr>
      <w:r w:rsidRPr="00371E21">
        <w:rPr>
          <w:rFonts w:ascii="Times New Roman" w:hAnsi="Times New Roman"/>
          <w:b/>
          <w:bCs/>
          <w:lang w:val="en-HK"/>
        </w:rPr>
        <w:t>3. Practical Considerations for Charity Regulation</w:t>
      </w:r>
    </w:p>
    <w:p w14:paraId="4FB203DE"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lastRenderedPageBreak/>
        <w:t>Charity Commission’s Role:</w:t>
      </w:r>
    </w:p>
    <w:p w14:paraId="7B4B48F7"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Under the </w:t>
      </w:r>
      <w:r w:rsidRPr="00371E21">
        <w:rPr>
          <w:rFonts w:ascii="Times New Roman" w:hAnsi="Times New Roman"/>
          <w:i/>
          <w:iCs/>
          <w:lang w:val="en-HK"/>
        </w:rPr>
        <w:t>Charities Act 2011</w:t>
      </w:r>
      <w:r w:rsidRPr="00371E21">
        <w:rPr>
          <w:rFonts w:ascii="Times New Roman" w:hAnsi="Times New Roman"/>
          <w:lang w:val="en-HK"/>
        </w:rPr>
        <w:t>, the Charity Commission has significant powers to:</w:t>
      </w:r>
    </w:p>
    <w:p w14:paraId="123B2C76" w14:textId="77777777" w:rsidR="00371E21" w:rsidRPr="00371E21" w:rsidRDefault="00371E21" w:rsidP="00437B41">
      <w:pPr>
        <w:numPr>
          <w:ilvl w:val="1"/>
          <w:numId w:val="24"/>
        </w:numPr>
        <w:spacing w:before="100" w:beforeAutospacing="1" w:after="100" w:afterAutospacing="1" w:line="360" w:lineRule="auto"/>
        <w:rPr>
          <w:rFonts w:ascii="Times New Roman" w:hAnsi="Times New Roman"/>
          <w:color w:val="000000" w:themeColor="text1"/>
          <w:lang w:val="en-HK"/>
        </w:rPr>
      </w:pPr>
      <w:r w:rsidRPr="00371E21">
        <w:rPr>
          <w:rFonts w:ascii="Times New Roman" w:hAnsi="Times New Roman"/>
          <w:color w:val="000000" w:themeColor="text1"/>
          <w:lang w:val="en-HK"/>
        </w:rPr>
        <w:t>Investigate misconduct.</w:t>
      </w:r>
    </w:p>
    <w:p w14:paraId="03256098" w14:textId="77777777" w:rsidR="00371E21" w:rsidRPr="00371E21" w:rsidRDefault="00371E21" w:rsidP="00437B41">
      <w:pPr>
        <w:numPr>
          <w:ilvl w:val="1"/>
          <w:numId w:val="24"/>
        </w:numPr>
        <w:spacing w:before="100" w:beforeAutospacing="1" w:after="100" w:afterAutospacing="1" w:line="360" w:lineRule="auto"/>
        <w:rPr>
          <w:rFonts w:ascii="Times New Roman" w:hAnsi="Times New Roman"/>
          <w:color w:val="000000" w:themeColor="text1"/>
          <w:lang w:val="en-HK"/>
        </w:rPr>
      </w:pPr>
      <w:r w:rsidRPr="00371E21">
        <w:rPr>
          <w:rFonts w:ascii="Times New Roman" w:hAnsi="Times New Roman"/>
          <w:color w:val="000000" w:themeColor="text1"/>
          <w:lang w:val="en-HK"/>
        </w:rPr>
        <w:t>Issue directions to trustees.</w:t>
      </w:r>
    </w:p>
    <w:p w14:paraId="4BF763C3" w14:textId="77777777" w:rsidR="00371E21" w:rsidRPr="00371E21" w:rsidRDefault="00371E21" w:rsidP="00437B41">
      <w:pPr>
        <w:numPr>
          <w:ilvl w:val="1"/>
          <w:numId w:val="24"/>
        </w:numPr>
        <w:spacing w:before="100" w:beforeAutospacing="1" w:after="100" w:afterAutospacing="1" w:line="360" w:lineRule="auto"/>
        <w:rPr>
          <w:rFonts w:ascii="Times New Roman" w:hAnsi="Times New Roman"/>
          <w:color w:val="000000" w:themeColor="text1"/>
          <w:lang w:val="en-HK"/>
        </w:rPr>
      </w:pPr>
      <w:r w:rsidRPr="00371E21">
        <w:rPr>
          <w:rFonts w:ascii="Times New Roman" w:hAnsi="Times New Roman"/>
          <w:color w:val="000000" w:themeColor="text1"/>
          <w:lang w:val="en-HK"/>
        </w:rPr>
        <w:t>Authorize schemes for charity administration.</w:t>
      </w:r>
    </w:p>
    <w:p w14:paraId="6CBB00B0"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However, its limited resources mean it often relies on trustees and the courts to address disputes or complex decisions.</w:t>
      </w:r>
    </w:p>
    <w:p w14:paraId="5D165067" w14:textId="77777777" w:rsidR="00371E21" w:rsidRPr="00371E21" w:rsidRDefault="00371E21" w:rsidP="00437B41">
      <w:pPr>
        <w:spacing w:before="100" w:beforeAutospacing="1" w:after="100" w:afterAutospacing="1" w:line="360" w:lineRule="auto"/>
        <w:outlineLvl w:val="4"/>
        <w:rPr>
          <w:rFonts w:ascii="Times New Roman" w:hAnsi="Times New Roman"/>
          <w:b/>
          <w:bCs/>
          <w:lang w:val="en-HK"/>
        </w:rPr>
      </w:pPr>
      <w:r w:rsidRPr="00371E21">
        <w:rPr>
          <w:rFonts w:ascii="Times New Roman" w:hAnsi="Times New Roman"/>
          <w:b/>
          <w:bCs/>
          <w:lang w:val="en-HK"/>
        </w:rPr>
        <w:t>Non-Intervention and Trustee Autonomy:</w:t>
      </w:r>
    </w:p>
    <w:p w14:paraId="3C1771FC"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lang w:val="en-HK"/>
        </w:rPr>
        <w:t>Fowles emphasized the importance of preserving trustees’ independence:</w:t>
      </w:r>
    </w:p>
    <w:p w14:paraId="6A7C9FF8" w14:textId="77777777" w:rsidR="00371E21" w:rsidRPr="00371E21" w:rsidRDefault="00371E21" w:rsidP="00437B41">
      <w:pPr>
        <w:spacing w:before="100" w:beforeAutospacing="1" w:after="100" w:afterAutospacing="1" w:line="360" w:lineRule="auto"/>
        <w:rPr>
          <w:rFonts w:ascii="Times New Roman" w:hAnsi="Times New Roman"/>
          <w:lang w:val="en-HK"/>
        </w:rPr>
      </w:pPr>
      <w:r w:rsidRPr="00371E21">
        <w:rPr>
          <w:rFonts w:ascii="Times New Roman" w:hAnsi="Times New Roman"/>
          <w:b/>
          <w:bCs/>
          <w:lang w:val="en-HK"/>
        </w:rPr>
        <w:t>“The historic respect accorded to trustee autonomy in the regulation of charitable trusts has gone hand-in-hand with the special favour shown to them by the Crown.”</w:t>
      </w:r>
    </w:p>
    <w:p w14:paraId="4A11DB9D" w14:textId="77777777" w:rsidR="00371E21" w:rsidRPr="00371E21"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555697FC">
          <v:rect id="_x0000_i1030" alt="" style="width:451.3pt;height:.05pt;mso-width-percent:0;mso-height-percent:0;mso-width-percent:0;mso-height-percent:0" o:hralign="center" o:hrstd="t" o:hr="t" fillcolor="#a0a0a0" stroked="f"/>
        </w:pict>
      </w:r>
    </w:p>
    <w:p w14:paraId="2A22ECCE" w14:textId="77777777" w:rsidR="00371E21" w:rsidRPr="00371E21" w:rsidRDefault="00371E21" w:rsidP="00437B41">
      <w:pPr>
        <w:spacing w:before="100" w:beforeAutospacing="1" w:after="100" w:afterAutospacing="1" w:line="360" w:lineRule="auto"/>
        <w:outlineLvl w:val="2"/>
        <w:rPr>
          <w:rFonts w:ascii="Times New Roman" w:hAnsi="Times New Roman"/>
          <w:b/>
          <w:bCs/>
          <w:lang w:val="en-HK"/>
        </w:rPr>
      </w:pPr>
      <w:r w:rsidRPr="00371E21">
        <w:rPr>
          <w:rFonts w:ascii="Times New Roman" w:hAnsi="Times New Roman"/>
          <w:b/>
          <w:bCs/>
          <w:lang w:val="en-HK"/>
        </w:rPr>
        <w:t>Key Takeaways</w:t>
      </w:r>
    </w:p>
    <w:p w14:paraId="18E35B5A" w14:textId="77777777" w:rsidR="00371E21" w:rsidRPr="00371E21" w:rsidRDefault="00371E21" w:rsidP="00437B41">
      <w:pPr>
        <w:numPr>
          <w:ilvl w:val="0"/>
          <w:numId w:val="26"/>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 xml:space="preserve">Courts are reluctant to interfere in the administration of charitable trusts, adhering to the principle of </w:t>
      </w:r>
      <w:r w:rsidRPr="00371E21">
        <w:rPr>
          <w:rFonts w:ascii="Times New Roman" w:hAnsi="Times New Roman"/>
          <w:b/>
          <w:bCs/>
          <w:lang w:val="en-HK"/>
        </w:rPr>
        <w:t>non-intervention</w:t>
      </w:r>
      <w:r w:rsidRPr="00371E21">
        <w:rPr>
          <w:rFonts w:ascii="Times New Roman" w:hAnsi="Times New Roman"/>
          <w:lang w:val="en-HK"/>
        </w:rPr>
        <w:t xml:space="preserve"> unless there is evidence of wrongdoing.</w:t>
      </w:r>
    </w:p>
    <w:p w14:paraId="65344E3B" w14:textId="77777777" w:rsidR="00371E21" w:rsidRPr="00371E21" w:rsidRDefault="00371E21" w:rsidP="00437B41">
      <w:pPr>
        <w:numPr>
          <w:ilvl w:val="0"/>
          <w:numId w:val="26"/>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Scholars like Gareth Jones and Jonathan Garton emphasize the need for balanced regulation that preserves trustee autonomy while ensuring accountability.</w:t>
      </w:r>
    </w:p>
    <w:p w14:paraId="22AA12AA" w14:textId="77777777" w:rsidR="00371E21" w:rsidRPr="00437B41" w:rsidRDefault="00371E21" w:rsidP="00437B41">
      <w:pPr>
        <w:numPr>
          <w:ilvl w:val="0"/>
          <w:numId w:val="26"/>
        </w:numPr>
        <w:spacing w:before="100" w:beforeAutospacing="1" w:after="100" w:afterAutospacing="1" w:line="360" w:lineRule="auto"/>
        <w:rPr>
          <w:rFonts w:ascii="Times New Roman" w:hAnsi="Times New Roman"/>
          <w:lang w:val="en-HK"/>
        </w:rPr>
      </w:pPr>
      <w:r w:rsidRPr="00371E21">
        <w:rPr>
          <w:rFonts w:ascii="Times New Roman" w:hAnsi="Times New Roman"/>
          <w:lang w:val="en-HK"/>
        </w:rPr>
        <w:t>The Charity Commission’s limited resources reinforce the reliance on trustees and courts to address charity administration issues without overstepping into day-to-day management.</w:t>
      </w:r>
    </w:p>
    <w:p w14:paraId="3811CCC7" w14:textId="1DE9C151" w:rsidR="00C328BA" w:rsidRPr="00437B41" w:rsidRDefault="00E64C7D" w:rsidP="00437B41">
      <w:pPr>
        <w:spacing w:before="100" w:beforeAutospacing="1" w:after="100" w:afterAutospacing="1" w:line="360" w:lineRule="auto"/>
        <w:outlineLvl w:val="2"/>
        <w:rPr>
          <w:rFonts w:ascii="Times New Roman" w:hAnsi="Times New Roman"/>
          <w:b/>
          <w:bCs/>
          <w:lang w:val="en-HK"/>
        </w:rPr>
      </w:pPr>
      <w:r w:rsidRPr="00E64C7D">
        <w:rPr>
          <w:rFonts w:ascii="Times New Roman" w:hAnsi="Times New Roman"/>
          <w:noProof/>
          <w:lang w:val="en-HK"/>
          <w14:ligatures w14:val="standardContextual"/>
        </w:rPr>
        <w:pict w14:anchorId="2BA9FDCB">
          <v:rect id="_x0000_i1029" alt="" style="width:451.3pt;height:.05pt;mso-width-percent:0;mso-height-percent:0;mso-width-percent:0;mso-height-percent:0" o:hralign="center" o:hrstd="t" o:hr="t" fillcolor="#a0a0a0" stroked="f"/>
        </w:pict>
      </w:r>
    </w:p>
    <w:p w14:paraId="0552E68A" w14:textId="3A8A1856" w:rsidR="00C328BA" w:rsidRPr="00C328BA" w:rsidRDefault="00C328BA" w:rsidP="00437B41">
      <w:pPr>
        <w:spacing w:before="100" w:beforeAutospacing="1" w:after="100" w:afterAutospacing="1" w:line="360" w:lineRule="auto"/>
        <w:outlineLvl w:val="2"/>
        <w:rPr>
          <w:rFonts w:ascii="Times New Roman" w:hAnsi="Times New Roman"/>
          <w:b/>
          <w:bCs/>
          <w:u w:val="single"/>
          <w:lang w:val="en-HK"/>
        </w:rPr>
      </w:pPr>
      <w:r w:rsidRPr="00C328BA">
        <w:rPr>
          <w:rFonts w:ascii="Times New Roman" w:hAnsi="Times New Roman"/>
          <w:b/>
          <w:bCs/>
          <w:u w:val="single"/>
          <w:lang w:val="en-HK"/>
        </w:rPr>
        <w:t>The Power of Trustees in Charitable Trusts Regarding Distribution</w:t>
      </w:r>
    </w:p>
    <w:p w14:paraId="5862E32B" w14:textId="77777777" w:rsidR="00C328BA" w:rsidRPr="00C328BA" w:rsidRDefault="00C328BA" w:rsidP="00437B41">
      <w:pPr>
        <w:spacing w:before="100" w:beforeAutospacing="1" w:after="100" w:afterAutospacing="1" w:line="360" w:lineRule="auto"/>
        <w:outlineLvl w:val="3"/>
        <w:rPr>
          <w:rFonts w:ascii="Times New Roman" w:hAnsi="Times New Roman"/>
          <w:b/>
          <w:bCs/>
          <w:lang w:val="en-HK"/>
        </w:rPr>
      </w:pPr>
      <w:r w:rsidRPr="00C328BA">
        <w:rPr>
          <w:rFonts w:ascii="Times New Roman" w:hAnsi="Times New Roman"/>
          <w:b/>
          <w:bCs/>
          <w:lang w:val="en-HK"/>
        </w:rPr>
        <w:t>1. General Powers of Trustees</w:t>
      </w:r>
    </w:p>
    <w:p w14:paraId="64B1DACF" w14:textId="77777777" w:rsidR="00C328BA" w:rsidRPr="00C328BA" w:rsidRDefault="00C328BA" w:rsidP="00437B41">
      <w:pPr>
        <w:numPr>
          <w:ilvl w:val="0"/>
          <w:numId w:val="27"/>
        </w:numPr>
        <w:spacing w:before="100" w:beforeAutospacing="1" w:after="100" w:afterAutospacing="1" w:line="360" w:lineRule="auto"/>
        <w:rPr>
          <w:rFonts w:ascii="Times New Roman" w:hAnsi="Times New Roman"/>
          <w:highlight w:val="yellow"/>
          <w:lang w:val="en-HK"/>
        </w:rPr>
      </w:pPr>
      <w:r w:rsidRPr="00C328BA">
        <w:rPr>
          <w:rFonts w:ascii="Times New Roman" w:hAnsi="Times New Roman"/>
          <w:lang w:val="en-HK"/>
        </w:rPr>
        <w:t xml:space="preserve">Trustees of charitable trusts are responsible for </w:t>
      </w:r>
      <w:r w:rsidRPr="00C328BA">
        <w:rPr>
          <w:rFonts w:ascii="Times New Roman" w:hAnsi="Times New Roman"/>
          <w:highlight w:val="yellow"/>
          <w:lang w:val="en-HK"/>
        </w:rPr>
        <w:t>distributing trust assets in a manner consistent with the charitable purposes of the trust.</w:t>
      </w:r>
    </w:p>
    <w:p w14:paraId="16243083" w14:textId="77777777" w:rsidR="00C328BA" w:rsidRPr="00C328BA" w:rsidRDefault="00C328BA" w:rsidP="00437B41">
      <w:pPr>
        <w:numPr>
          <w:ilvl w:val="0"/>
          <w:numId w:val="27"/>
        </w:numPr>
        <w:spacing w:before="100" w:beforeAutospacing="1" w:after="100" w:afterAutospacing="1" w:line="360" w:lineRule="auto"/>
        <w:rPr>
          <w:rFonts w:ascii="Times New Roman" w:hAnsi="Times New Roman"/>
          <w:lang w:val="en-HK"/>
        </w:rPr>
      </w:pPr>
      <w:r w:rsidRPr="00C328BA">
        <w:rPr>
          <w:rFonts w:ascii="Times New Roman" w:hAnsi="Times New Roman"/>
          <w:lang w:val="en-HK"/>
        </w:rPr>
        <w:lastRenderedPageBreak/>
        <w:t>Their powers are generally broad, allowing them to exercise discretion over how funds are allocated to achieve the trust’s objectives. This discretion is integral to their role but is subject to oversight to prevent misuse.</w:t>
      </w:r>
    </w:p>
    <w:p w14:paraId="0565C7FE" w14:textId="77777777" w:rsidR="00C328BA" w:rsidRPr="00C328BA"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65FFE9D8">
          <v:rect id="_x0000_i1028" alt="" style="width:451.3pt;height:.05pt;mso-width-percent:0;mso-height-percent:0;mso-width-percent:0;mso-height-percent:0" o:hralign="center" o:hrstd="t" o:hr="t" fillcolor="#a0a0a0" stroked="f"/>
        </w:pict>
      </w:r>
    </w:p>
    <w:p w14:paraId="2CB609CE" w14:textId="77777777" w:rsidR="00C328BA" w:rsidRPr="00C328BA" w:rsidRDefault="00C328BA" w:rsidP="00437B41">
      <w:pPr>
        <w:spacing w:before="100" w:beforeAutospacing="1" w:after="100" w:afterAutospacing="1" w:line="360" w:lineRule="auto"/>
        <w:outlineLvl w:val="3"/>
        <w:rPr>
          <w:rFonts w:ascii="Times New Roman" w:hAnsi="Times New Roman"/>
          <w:b/>
          <w:bCs/>
          <w:lang w:val="en-HK"/>
        </w:rPr>
      </w:pPr>
      <w:r w:rsidRPr="00C328BA">
        <w:rPr>
          <w:rFonts w:ascii="Times New Roman" w:hAnsi="Times New Roman"/>
          <w:b/>
          <w:bCs/>
          <w:lang w:val="en-HK"/>
        </w:rPr>
        <w:t>2. Judicial Oversight of Trustee Powers</w:t>
      </w:r>
    </w:p>
    <w:p w14:paraId="5EA2F5F5" w14:textId="77777777" w:rsidR="00C328BA" w:rsidRPr="00C328BA" w:rsidRDefault="00C328BA" w:rsidP="00437B41">
      <w:pPr>
        <w:spacing w:before="100" w:beforeAutospacing="1" w:after="100" w:afterAutospacing="1" w:line="360" w:lineRule="auto"/>
        <w:outlineLvl w:val="4"/>
        <w:rPr>
          <w:rFonts w:ascii="Times New Roman" w:hAnsi="Times New Roman"/>
          <w:b/>
          <w:bCs/>
          <w:lang w:val="en-HK"/>
        </w:rPr>
      </w:pPr>
      <w:r w:rsidRPr="00C328BA">
        <w:rPr>
          <w:rFonts w:ascii="Times New Roman" w:hAnsi="Times New Roman"/>
          <w:b/>
          <w:bCs/>
          <w:lang w:val="en-HK"/>
        </w:rPr>
        <w:t>Inherent Discretion</w:t>
      </w:r>
    </w:p>
    <w:p w14:paraId="2CC294D7"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 xml:space="preserve">Trustees are entrusted with the </w:t>
      </w:r>
      <w:r w:rsidRPr="00C328BA">
        <w:rPr>
          <w:rFonts w:ascii="Times New Roman" w:hAnsi="Times New Roman"/>
          <w:b/>
          <w:bCs/>
          <w:lang w:val="en-HK"/>
        </w:rPr>
        <w:t>discretionary power</w:t>
      </w:r>
      <w:r w:rsidRPr="00C328BA">
        <w:rPr>
          <w:rFonts w:ascii="Times New Roman" w:hAnsi="Times New Roman"/>
          <w:lang w:val="en-HK"/>
        </w:rPr>
        <w:t xml:space="preserve"> to determine how best to distribute funds, as long as their decisions align with the charitable purpose of the trust.</w:t>
      </w:r>
    </w:p>
    <w:p w14:paraId="3FD4D7F8"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w:t>
      </w:r>
      <w:r w:rsidRPr="00C328BA">
        <w:rPr>
          <w:rFonts w:ascii="Times New Roman" w:hAnsi="Times New Roman"/>
          <w:i/>
          <w:iCs/>
          <w:lang w:val="en-HK"/>
        </w:rPr>
        <w:t>Lord Truro in Re Beloved Wilkes’ Charity (1851):</w:t>
      </w:r>
    </w:p>
    <w:p w14:paraId="636E1318"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 xml:space="preserve">“It is to the </w:t>
      </w:r>
      <w:r w:rsidRPr="00C328BA">
        <w:rPr>
          <w:rFonts w:ascii="Times New Roman" w:hAnsi="Times New Roman"/>
          <w:b/>
          <w:bCs/>
          <w:highlight w:val="yellow"/>
          <w:lang w:val="en-HK"/>
        </w:rPr>
        <w:t>discretion of the trustees that the execution of the trust is confided</w:t>
      </w:r>
      <w:r w:rsidRPr="00C328BA">
        <w:rPr>
          <w:rFonts w:ascii="Times New Roman" w:hAnsi="Times New Roman"/>
          <w:b/>
          <w:bCs/>
          <w:lang w:val="en-HK"/>
        </w:rPr>
        <w:t>… The duty of supervision on the part of this court will thus be confined to the question of the honesty, integrity, and fairness with which the deliberation has been conducted, and will not be extended to the accuracy of the conclusion arrived at.”</w:t>
      </w:r>
    </w:p>
    <w:p w14:paraId="10DF5CEF" w14:textId="77777777" w:rsidR="00C328BA" w:rsidRPr="00C328BA" w:rsidRDefault="00C328BA" w:rsidP="00437B41">
      <w:pPr>
        <w:spacing w:before="100" w:beforeAutospacing="1" w:after="100" w:afterAutospacing="1" w:line="360" w:lineRule="auto"/>
        <w:outlineLvl w:val="4"/>
        <w:rPr>
          <w:rFonts w:ascii="Times New Roman" w:hAnsi="Times New Roman"/>
          <w:b/>
          <w:bCs/>
          <w:lang w:val="en-HK"/>
        </w:rPr>
      </w:pPr>
      <w:r w:rsidRPr="00C328BA">
        <w:rPr>
          <w:rFonts w:ascii="Times New Roman" w:hAnsi="Times New Roman"/>
          <w:b/>
          <w:bCs/>
          <w:lang w:val="en-HK"/>
        </w:rPr>
        <w:t>Non-Intervention by Courts</w:t>
      </w:r>
    </w:p>
    <w:p w14:paraId="63FCEECD"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Courts are reluctant to interfere with trustees’ distribution decisions unless there is evidence of:</w:t>
      </w:r>
    </w:p>
    <w:p w14:paraId="79620E3A" w14:textId="77777777" w:rsidR="00C328BA" w:rsidRPr="00C328BA" w:rsidRDefault="00C328BA" w:rsidP="00437B41">
      <w:pPr>
        <w:numPr>
          <w:ilvl w:val="1"/>
          <w:numId w:val="29"/>
        </w:num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Breach of fiduciary duty</w:t>
      </w:r>
      <w:r w:rsidRPr="00C328BA">
        <w:rPr>
          <w:rFonts w:ascii="Times New Roman" w:hAnsi="Times New Roman"/>
          <w:lang w:val="en-HK"/>
        </w:rPr>
        <w:t xml:space="preserve"> (e.g., acting dishonestly or improperly).</w:t>
      </w:r>
    </w:p>
    <w:p w14:paraId="41C8CC85" w14:textId="77777777" w:rsidR="00C328BA" w:rsidRPr="00C328BA" w:rsidRDefault="00C328BA" w:rsidP="00437B41">
      <w:pPr>
        <w:numPr>
          <w:ilvl w:val="1"/>
          <w:numId w:val="29"/>
        </w:num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Mismanagement or misconduct</w:t>
      </w:r>
      <w:r w:rsidRPr="00C328BA">
        <w:rPr>
          <w:rFonts w:ascii="Times New Roman" w:hAnsi="Times New Roman"/>
          <w:lang w:val="en-HK"/>
        </w:rPr>
        <w:t xml:space="preserve"> in the administration of the trust.</w:t>
      </w:r>
    </w:p>
    <w:p w14:paraId="4F5AD11F"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Attorney-General v Haberdashers’ Co. (1791):</w:t>
      </w:r>
    </w:p>
    <w:p w14:paraId="6A15850D"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Lord Thurlow LC emphasized that once trustees’ powers have been lawfully exercised, the court should not interfere further:</w:t>
      </w:r>
    </w:p>
    <w:p w14:paraId="569E280D"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“The execution of the trust is not to be kept under the direction of the Court but under a general direction to the trustees.”</w:t>
      </w:r>
    </w:p>
    <w:p w14:paraId="0C735CE2" w14:textId="77777777" w:rsidR="00C328BA" w:rsidRPr="00C328BA" w:rsidRDefault="00C328BA" w:rsidP="00437B41">
      <w:pPr>
        <w:spacing w:before="100" w:beforeAutospacing="1" w:after="100" w:afterAutospacing="1" w:line="360" w:lineRule="auto"/>
        <w:rPr>
          <w:rFonts w:ascii="Times New Roman" w:hAnsi="Times New Roman"/>
          <w:lang w:val="en-HK"/>
        </w:rPr>
      </w:pPr>
      <w:proofErr w:type="spellStart"/>
      <w:r w:rsidRPr="00C328BA">
        <w:rPr>
          <w:rFonts w:ascii="Times New Roman" w:hAnsi="Times New Roman"/>
          <w:b/>
          <w:bCs/>
          <w:lang w:val="en-HK"/>
        </w:rPr>
        <w:t>Lehtimaki</w:t>
      </w:r>
      <w:proofErr w:type="spellEnd"/>
      <w:r w:rsidRPr="00C328BA">
        <w:rPr>
          <w:rFonts w:ascii="Times New Roman" w:hAnsi="Times New Roman"/>
          <w:b/>
          <w:bCs/>
          <w:lang w:val="en-HK"/>
        </w:rPr>
        <w:t xml:space="preserve"> v CIFF (2018):</w:t>
      </w:r>
    </w:p>
    <w:p w14:paraId="40BEFBA1"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lastRenderedPageBreak/>
        <w:t>The Court of Appeal reiterated that courts cannot compel trustees or fiduciaries to distribute funds in a particular manner unless a breach of duty is proven.</w:t>
      </w:r>
    </w:p>
    <w:p w14:paraId="79C82BCC" w14:textId="77777777" w:rsidR="00C328BA" w:rsidRPr="00C328BA"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25BAE434">
          <v:rect id="_x0000_i1027" alt="" style="width:451.3pt;height:.05pt;mso-width-percent:0;mso-height-percent:0;mso-width-percent:0;mso-height-percent:0" o:hralign="center" o:hrstd="t" o:hr="t" fillcolor="#a0a0a0" stroked="f"/>
        </w:pict>
      </w:r>
    </w:p>
    <w:p w14:paraId="0F4528EC" w14:textId="77777777" w:rsidR="00C328BA" w:rsidRPr="00C328BA" w:rsidRDefault="00C328BA" w:rsidP="00437B41">
      <w:pPr>
        <w:spacing w:before="100" w:beforeAutospacing="1" w:after="100" w:afterAutospacing="1" w:line="360" w:lineRule="auto"/>
        <w:outlineLvl w:val="3"/>
        <w:rPr>
          <w:rFonts w:ascii="Times New Roman" w:hAnsi="Times New Roman"/>
          <w:b/>
          <w:bCs/>
          <w:lang w:val="en-HK"/>
        </w:rPr>
      </w:pPr>
      <w:r w:rsidRPr="00C328BA">
        <w:rPr>
          <w:rFonts w:ascii="Times New Roman" w:hAnsi="Times New Roman"/>
          <w:b/>
          <w:bCs/>
          <w:lang w:val="en-HK"/>
        </w:rPr>
        <w:t>3. Specific Powers Related to Distribution</w:t>
      </w:r>
    </w:p>
    <w:p w14:paraId="6B3FAA4B" w14:textId="77777777" w:rsidR="00C328BA" w:rsidRPr="00C328BA" w:rsidRDefault="00C328BA" w:rsidP="00437B41">
      <w:pPr>
        <w:spacing w:before="100" w:beforeAutospacing="1" w:after="100" w:afterAutospacing="1" w:line="360" w:lineRule="auto"/>
        <w:outlineLvl w:val="4"/>
        <w:rPr>
          <w:rFonts w:ascii="Times New Roman" w:hAnsi="Times New Roman"/>
          <w:b/>
          <w:bCs/>
          <w:lang w:val="en-HK"/>
        </w:rPr>
      </w:pPr>
      <w:r w:rsidRPr="00C328BA">
        <w:rPr>
          <w:rFonts w:ascii="Times New Roman" w:hAnsi="Times New Roman"/>
          <w:b/>
          <w:bCs/>
          <w:lang w:val="en-HK"/>
        </w:rPr>
        <w:t>1. Discretionary Allocation</w:t>
      </w:r>
    </w:p>
    <w:p w14:paraId="0474E0CF"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Trustees can decide which beneficiaries or projects receive funds, provided the recipients fall within the charitable objects of the trust. Courts will only question this discretion in cases of dishonesty or improper motive.</w:t>
      </w:r>
    </w:p>
    <w:p w14:paraId="12E10559" w14:textId="77777777" w:rsidR="00C328BA" w:rsidRPr="00C328BA" w:rsidRDefault="00C328BA" w:rsidP="00437B41">
      <w:pPr>
        <w:spacing w:before="100" w:beforeAutospacing="1" w:after="100" w:afterAutospacing="1" w:line="360" w:lineRule="auto"/>
        <w:outlineLvl w:val="4"/>
        <w:rPr>
          <w:rFonts w:ascii="Times New Roman" w:hAnsi="Times New Roman"/>
          <w:b/>
          <w:bCs/>
          <w:lang w:val="en-HK"/>
        </w:rPr>
      </w:pPr>
      <w:r w:rsidRPr="00C328BA">
        <w:rPr>
          <w:rFonts w:ascii="Times New Roman" w:hAnsi="Times New Roman"/>
          <w:b/>
          <w:bCs/>
          <w:lang w:val="en-HK"/>
        </w:rPr>
        <w:t>2. Surrendering Discretion</w:t>
      </w:r>
    </w:p>
    <w:p w14:paraId="5D96D7E2"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Trustees can seek guidance from the court or regulatory bodies (e.g., the Charity Commission) if uncertain about how to distribute assets:</w:t>
      </w:r>
    </w:p>
    <w:p w14:paraId="7EE4EDE9"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CIFF Case:</w:t>
      </w:r>
      <w:r w:rsidRPr="00C328BA">
        <w:rPr>
          <w:rFonts w:ascii="Times New Roman" w:hAnsi="Times New Roman"/>
          <w:lang w:val="en-HK"/>
        </w:rPr>
        <w:t xml:space="preserve"> Trustees of the Children’s Investment Fund Foundation sought court approval for a $360 million grant to a new foundation. The court held that this did not mean trustees had surrendered their discretion, as their actions aligned with the charitable purposes.</w:t>
      </w:r>
    </w:p>
    <w:p w14:paraId="2F880AAB" w14:textId="77777777" w:rsidR="00C328BA" w:rsidRPr="00C328BA" w:rsidRDefault="00C328BA" w:rsidP="00437B41">
      <w:pPr>
        <w:spacing w:before="100" w:beforeAutospacing="1" w:after="100" w:afterAutospacing="1" w:line="360" w:lineRule="auto"/>
        <w:outlineLvl w:val="4"/>
        <w:rPr>
          <w:rFonts w:ascii="Times New Roman" w:hAnsi="Times New Roman"/>
          <w:b/>
          <w:bCs/>
          <w:lang w:val="en-HK"/>
        </w:rPr>
      </w:pPr>
      <w:r w:rsidRPr="00C328BA">
        <w:rPr>
          <w:rFonts w:ascii="Times New Roman" w:hAnsi="Times New Roman"/>
          <w:b/>
          <w:bCs/>
          <w:lang w:val="en-HK"/>
        </w:rPr>
        <w:t>3. Public Oversight</w:t>
      </w:r>
    </w:p>
    <w:p w14:paraId="110E01BD"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 xml:space="preserve">In charitable trusts, the </w:t>
      </w:r>
      <w:r w:rsidRPr="00C328BA">
        <w:rPr>
          <w:rFonts w:ascii="Times New Roman" w:hAnsi="Times New Roman"/>
          <w:b/>
          <w:bCs/>
          <w:lang w:val="en-HK"/>
        </w:rPr>
        <w:t>Attorney-General</w:t>
      </w:r>
      <w:r w:rsidRPr="00C328BA">
        <w:rPr>
          <w:rFonts w:ascii="Times New Roman" w:hAnsi="Times New Roman"/>
          <w:lang w:val="en-HK"/>
        </w:rPr>
        <w:t xml:space="preserve"> and the </w:t>
      </w:r>
      <w:r w:rsidRPr="00C328BA">
        <w:rPr>
          <w:rFonts w:ascii="Times New Roman" w:hAnsi="Times New Roman"/>
          <w:b/>
          <w:bCs/>
          <w:lang w:val="en-HK"/>
        </w:rPr>
        <w:t>Charity Commission</w:t>
      </w:r>
      <w:r w:rsidRPr="00C328BA">
        <w:rPr>
          <w:rFonts w:ascii="Times New Roman" w:hAnsi="Times New Roman"/>
          <w:lang w:val="en-HK"/>
        </w:rPr>
        <w:t xml:space="preserve"> ensure that distributions serve public benefit and comply with the trust’s objectives. The absence of direct beneficiaries in charitable trusts necessitates this oversight.</w:t>
      </w:r>
    </w:p>
    <w:p w14:paraId="61656B4D" w14:textId="77777777" w:rsidR="00C328BA" w:rsidRPr="00C328BA"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0DD1657A">
          <v:rect id="_x0000_i1026" alt="" style="width:451.3pt;height:.05pt;mso-width-percent:0;mso-height-percent:0;mso-width-percent:0;mso-height-percent:0" o:hralign="center" o:hrstd="t" o:hr="t" fillcolor="#a0a0a0" stroked="f"/>
        </w:pict>
      </w:r>
    </w:p>
    <w:p w14:paraId="0AD2594B" w14:textId="77777777" w:rsidR="00C328BA" w:rsidRPr="00C328BA" w:rsidRDefault="00C328BA" w:rsidP="00437B41">
      <w:pPr>
        <w:spacing w:before="100" w:beforeAutospacing="1" w:after="100" w:afterAutospacing="1" w:line="360" w:lineRule="auto"/>
        <w:outlineLvl w:val="3"/>
        <w:rPr>
          <w:rFonts w:ascii="Times New Roman" w:hAnsi="Times New Roman"/>
          <w:b/>
          <w:bCs/>
          <w:lang w:val="en-HK"/>
        </w:rPr>
      </w:pPr>
      <w:r w:rsidRPr="00C328BA">
        <w:rPr>
          <w:rFonts w:ascii="Times New Roman" w:hAnsi="Times New Roman"/>
          <w:b/>
          <w:bCs/>
          <w:lang w:val="en-HK"/>
        </w:rPr>
        <w:t>4. Scholarly Perspectives</w:t>
      </w:r>
    </w:p>
    <w:p w14:paraId="42B85070"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Professor Jonathan Garton:</w:t>
      </w:r>
    </w:p>
    <w:p w14:paraId="33F2A963"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Emphasized that trustees’ discretion must balance accountability and autonomy. Overregulation can discourage trustees from exercising their powers effectively.</w:t>
      </w:r>
    </w:p>
    <w:p w14:paraId="7F59067D"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Professor Gareth Jones:</w:t>
      </w:r>
    </w:p>
    <w:p w14:paraId="155AED36"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lastRenderedPageBreak/>
        <w:t>Highlighted the historical autonomy of trustees in deciding distributions, noting that trustees often have better insights into the needs of their charities than courts or regulators.</w:t>
      </w:r>
    </w:p>
    <w:p w14:paraId="5C4AF793" w14:textId="77777777" w:rsidR="00C328BA" w:rsidRPr="00C328BA" w:rsidRDefault="00E64C7D" w:rsidP="00437B41">
      <w:pPr>
        <w:spacing w:line="360" w:lineRule="auto"/>
        <w:rPr>
          <w:rFonts w:ascii="Times New Roman" w:hAnsi="Times New Roman"/>
          <w:lang w:val="en-HK"/>
        </w:rPr>
      </w:pPr>
      <w:r w:rsidRPr="00E64C7D">
        <w:rPr>
          <w:rFonts w:ascii="Times New Roman" w:hAnsi="Times New Roman"/>
          <w:noProof/>
          <w:lang w:val="en-HK"/>
          <w14:ligatures w14:val="standardContextual"/>
        </w:rPr>
        <w:pict w14:anchorId="352EB0D8">
          <v:rect id="_x0000_i1025" alt="" style="width:451.3pt;height:.05pt;mso-width-percent:0;mso-height-percent:0;mso-width-percent:0;mso-height-percent:0" o:hralign="center" o:hrstd="t" o:hr="t" fillcolor="#a0a0a0" stroked="f"/>
        </w:pict>
      </w:r>
    </w:p>
    <w:p w14:paraId="43089CC4" w14:textId="77777777" w:rsidR="00C328BA" w:rsidRPr="00C328BA" w:rsidRDefault="00C328BA" w:rsidP="00437B41">
      <w:pPr>
        <w:spacing w:before="100" w:beforeAutospacing="1" w:after="100" w:afterAutospacing="1" w:line="360" w:lineRule="auto"/>
        <w:outlineLvl w:val="3"/>
        <w:rPr>
          <w:rFonts w:ascii="Times New Roman" w:hAnsi="Times New Roman"/>
          <w:b/>
          <w:bCs/>
          <w:lang w:val="en-HK"/>
        </w:rPr>
      </w:pPr>
      <w:r w:rsidRPr="00C328BA">
        <w:rPr>
          <w:rFonts w:ascii="Times New Roman" w:hAnsi="Times New Roman"/>
          <w:b/>
          <w:bCs/>
          <w:lang w:val="en-HK"/>
        </w:rPr>
        <w:t>5. Limitations on Trustee Powers</w:t>
      </w:r>
    </w:p>
    <w:p w14:paraId="3C72E74A"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Trustees must act in good faith, with integrity, and for the exclusive benefit of the trust’s charitable purposes.</w:t>
      </w:r>
    </w:p>
    <w:p w14:paraId="1F1FE4CA" w14:textId="77777777"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Distribution decisions that are:</w:t>
      </w:r>
    </w:p>
    <w:p w14:paraId="2598EA3B" w14:textId="77777777" w:rsidR="00C328BA" w:rsidRPr="00C328BA" w:rsidRDefault="00C328BA" w:rsidP="00437B41">
      <w:pPr>
        <w:numPr>
          <w:ilvl w:val="1"/>
          <w:numId w:val="37"/>
        </w:num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Arbitrary,</w:t>
      </w:r>
    </w:p>
    <w:p w14:paraId="765EB2E5" w14:textId="77777777" w:rsidR="00C328BA" w:rsidRPr="00C328BA" w:rsidRDefault="00C328BA" w:rsidP="00437B41">
      <w:pPr>
        <w:numPr>
          <w:ilvl w:val="1"/>
          <w:numId w:val="37"/>
        </w:num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Favor private interests,</w:t>
      </w:r>
      <w:r w:rsidRPr="00C328BA">
        <w:rPr>
          <w:rFonts w:ascii="Times New Roman" w:hAnsi="Times New Roman"/>
          <w:lang w:val="en-HK"/>
        </w:rPr>
        <w:t xml:space="preserve"> or</w:t>
      </w:r>
    </w:p>
    <w:p w14:paraId="46B1B4C4" w14:textId="77777777" w:rsidR="00C328BA" w:rsidRPr="00437B41" w:rsidRDefault="00C328BA" w:rsidP="00437B41">
      <w:pPr>
        <w:numPr>
          <w:ilvl w:val="1"/>
          <w:numId w:val="37"/>
        </w:numPr>
        <w:spacing w:before="100" w:beforeAutospacing="1" w:after="100" w:afterAutospacing="1" w:line="360" w:lineRule="auto"/>
        <w:rPr>
          <w:rFonts w:ascii="Times New Roman" w:hAnsi="Times New Roman"/>
          <w:lang w:val="en-HK"/>
        </w:rPr>
      </w:pPr>
      <w:r w:rsidRPr="00C328BA">
        <w:rPr>
          <w:rFonts w:ascii="Times New Roman" w:hAnsi="Times New Roman"/>
          <w:b/>
          <w:bCs/>
          <w:lang w:val="en-HK"/>
        </w:rPr>
        <w:t>Conflict with the charitable objects</w:t>
      </w:r>
      <w:r w:rsidRPr="00C328BA">
        <w:rPr>
          <w:rFonts w:ascii="Times New Roman" w:hAnsi="Times New Roman"/>
          <w:lang w:val="en-HK"/>
        </w:rPr>
        <w:t xml:space="preserve"> </w:t>
      </w:r>
    </w:p>
    <w:p w14:paraId="2A01F6C0" w14:textId="1AAF0078" w:rsidR="00C328BA" w:rsidRPr="00C328BA" w:rsidRDefault="00C328BA" w:rsidP="00437B41">
      <w:pPr>
        <w:spacing w:before="100" w:beforeAutospacing="1" w:after="100" w:afterAutospacing="1" w:line="360" w:lineRule="auto"/>
        <w:rPr>
          <w:rFonts w:ascii="Times New Roman" w:hAnsi="Times New Roman"/>
          <w:lang w:val="en-HK"/>
        </w:rPr>
      </w:pPr>
      <w:r w:rsidRPr="00C328BA">
        <w:rPr>
          <w:rFonts w:ascii="Times New Roman" w:hAnsi="Times New Roman"/>
          <w:lang w:val="en-HK"/>
        </w:rPr>
        <w:t>are liable to judicial review and potential invalidation.</w:t>
      </w:r>
    </w:p>
    <w:p w14:paraId="00316D74" w14:textId="77777777" w:rsidR="00C328BA" w:rsidRPr="00371E21" w:rsidRDefault="00C328BA" w:rsidP="00437B41">
      <w:pPr>
        <w:spacing w:before="100" w:beforeAutospacing="1" w:after="100" w:afterAutospacing="1" w:line="360" w:lineRule="auto"/>
        <w:rPr>
          <w:rFonts w:ascii="Times New Roman" w:hAnsi="Times New Roman"/>
          <w:lang w:val="en-HK"/>
        </w:rPr>
      </w:pPr>
    </w:p>
    <w:p w14:paraId="02F61952" w14:textId="77777777" w:rsidR="00CD39F1" w:rsidRPr="00437B41" w:rsidRDefault="00CD39F1" w:rsidP="00437B41">
      <w:pPr>
        <w:spacing w:line="360" w:lineRule="auto"/>
      </w:pPr>
    </w:p>
    <w:sectPr w:rsidR="00CD39F1" w:rsidRPr="00437B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3FCAE9" w14:textId="77777777" w:rsidR="00E64C7D" w:rsidRDefault="00E64C7D" w:rsidP="00371E21">
      <w:r>
        <w:separator/>
      </w:r>
    </w:p>
  </w:endnote>
  <w:endnote w:type="continuationSeparator" w:id="0">
    <w:p w14:paraId="4E94F484" w14:textId="77777777" w:rsidR="00E64C7D" w:rsidRDefault="00E64C7D" w:rsidP="00371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DAC29" w14:textId="77777777" w:rsidR="00E64C7D" w:rsidRDefault="00E64C7D" w:rsidP="00371E21">
      <w:r>
        <w:separator/>
      </w:r>
    </w:p>
  </w:footnote>
  <w:footnote w:type="continuationSeparator" w:id="0">
    <w:p w14:paraId="1BE5DCD9" w14:textId="77777777" w:rsidR="00E64C7D" w:rsidRDefault="00E64C7D" w:rsidP="00371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E6DD0"/>
    <w:multiLevelType w:val="multilevel"/>
    <w:tmpl w:val="10586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1ED"/>
    <w:multiLevelType w:val="multilevel"/>
    <w:tmpl w:val="7BDC21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910282"/>
    <w:multiLevelType w:val="multilevel"/>
    <w:tmpl w:val="D92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76944"/>
    <w:multiLevelType w:val="multilevel"/>
    <w:tmpl w:val="24C63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017FF"/>
    <w:multiLevelType w:val="multilevel"/>
    <w:tmpl w:val="93A811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5A27F1"/>
    <w:multiLevelType w:val="multilevel"/>
    <w:tmpl w:val="18A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074F8"/>
    <w:multiLevelType w:val="multilevel"/>
    <w:tmpl w:val="30F8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60889"/>
    <w:multiLevelType w:val="multilevel"/>
    <w:tmpl w:val="5EA8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71361"/>
    <w:multiLevelType w:val="multilevel"/>
    <w:tmpl w:val="3D5E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C106E"/>
    <w:multiLevelType w:val="multilevel"/>
    <w:tmpl w:val="1C928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334C4"/>
    <w:multiLevelType w:val="multilevel"/>
    <w:tmpl w:val="E326B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32ADA"/>
    <w:multiLevelType w:val="multilevel"/>
    <w:tmpl w:val="5E0452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EDE32A3"/>
    <w:multiLevelType w:val="multilevel"/>
    <w:tmpl w:val="EA044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B69A6"/>
    <w:multiLevelType w:val="multilevel"/>
    <w:tmpl w:val="926CE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E743D"/>
    <w:multiLevelType w:val="multilevel"/>
    <w:tmpl w:val="B5B2D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E50F1"/>
    <w:multiLevelType w:val="multilevel"/>
    <w:tmpl w:val="E668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E734F"/>
    <w:multiLevelType w:val="multilevel"/>
    <w:tmpl w:val="FD8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24C7F"/>
    <w:multiLevelType w:val="multilevel"/>
    <w:tmpl w:val="B03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F5800"/>
    <w:multiLevelType w:val="multilevel"/>
    <w:tmpl w:val="90D4B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C20C9"/>
    <w:multiLevelType w:val="multilevel"/>
    <w:tmpl w:val="EDFA2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A016B"/>
    <w:multiLevelType w:val="multilevel"/>
    <w:tmpl w:val="2AE4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B45D4"/>
    <w:multiLevelType w:val="multilevel"/>
    <w:tmpl w:val="1EF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83B76"/>
    <w:multiLevelType w:val="multilevel"/>
    <w:tmpl w:val="AE3E0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42A38"/>
    <w:multiLevelType w:val="multilevel"/>
    <w:tmpl w:val="CC7E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45344"/>
    <w:multiLevelType w:val="multilevel"/>
    <w:tmpl w:val="253A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1494"/>
        </w:tabs>
        <w:ind w:left="1494"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52A09"/>
    <w:multiLevelType w:val="multilevel"/>
    <w:tmpl w:val="C636B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60456"/>
    <w:multiLevelType w:val="multilevel"/>
    <w:tmpl w:val="F37EEE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5DE72EF7"/>
    <w:multiLevelType w:val="multilevel"/>
    <w:tmpl w:val="DFC04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A267B"/>
    <w:multiLevelType w:val="multilevel"/>
    <w:tmpl w:val="049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A2B50"/>
    <w:multiLevelType w:val="multilevel"/>
    <w:tmpl w:val="AEE4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67A96"/>
    <w:multiLevelType w:val="multilevel"/>
    <w:tmpl w:val="2F0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84931"/>
    <w:multiLevelType w:val="multilevel"/>
    <w:tmpl w:val="30766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D1874"/>
    <w:multiLevelType w:val="multilevel"/>
    <w:tmpl w:val="8B862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54C37"/>
    <w:multiLevelType w:val="multilevel"/>
    <w:tmpl w:val="3516D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B5756"/>
    <w:multiLevelType w:val="multilevel"/>
    <w:tmpl w:val="7C544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45F58"/>
    <w:multiLevelType w:val="multilevel"/>
    <w:tmpl w:val="D1460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F7EE2"/>
    <w:multiLevelType w:val="multilevel"/>
    <w:tmpl w:val="E9947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43D16"/>
    <w:multiLevelType w:val="multilevel"/>
    <w:tmpl w:val="44B65B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217B4"/>
    <w:multiLevelType w:val="multilevel"/>
    <w:tmpl w:val="ED5E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31A91"/>
    <w:multiLevelType w:val="multilevel"/>
    <w:tmpl w:val="C512C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95997">
    <w:abstractNumId w:val="2"/>
  </w:num>
  <w:num w:numId="2" w16cid:durableId="386926517">
    <w:abstractNumId w:val="39"/>
  </w:num>
  <w:num w:numId="3" w16cid:durableId="258761895">
    <w:abstractNumId w:val="20"/>
  </w:num>
  <w:num w:numId="4" w16cid:durableId="714349554">
    <w:abstractNumId w:val="13"/>
  </w:num>
  <w:num w:numId="5" w16cid:durableId="1399092919">
    <w:abstractNumId w:val="24"/>
  </w:num>
  <w:num w:numId="6" w16cid:durableId="1928030167">
    <w:abstractNumId w:val="3"/>
  </w:num>
  <w:num w:numId="7" w16cid:durableId="221405642">
    <w:abstractNumId w:val="33"/>
  </w:num>
  <w:num w:numId="8" w16cid:durableId="1973317534">
    <w:abstractNumId w:val="26"/>
  </w:num>
  <w:num w:numId="9" w16cid:durableId="504247273">
    <w:abstractNumId w:val="27"/>
  </w:num>
  <w:num w:numId="10" w16cid:durableId="906182806">
    <w:abstractNumId w:val="16"/>
  </w:num>
  <w:num w:numId="11" w16cid:durableId="89667289">
    <w:abstractNumId w:val="32"/>
  </w:num>
  <w:num w:numId="12" w16cid:durableId="1825314896">
    <w:abstractNumId w:val="38"/>
  </w:num>
  <w:num w:numId="13" w16cid:durableId="2133938820">
    <w:abstractNumId w:val="36"/>
  </w:num>
  <w:num w:numId="14" w16cid:durableId="2013952388">
    <w:abstractNumId w:val="29"/>
  </w:num>
  <w:num w:numId="15" w16cid:durableId="906377452">
    <w:abstractNumId w:val="4"/>
  </w:num>
  <w:num w:numId="16" w16cid:durableId="1749839995">
    <w:abstractNumId w:val="34"/>
  </w:num>
  <w:num w:numId="17" w16cid:durableId="537157300">
    <w:abstractNumId w:val="30"/>
  </w:num>
  <w:num w:numId="18" w16cid:durableId="214781326">
    <w:abstractNumId w:val="31"/>
  </w:num>
  <w:num w:numId="19" w16cid:durableId="1431312609">
    <w:abstractNumId w:val="0"/>
  </w:num>
  <w:num w:numId="20" w16cid:durableId="912399615">
    <w:abstractNumId w:val="9"/>
  </w:num>
  <w:num w:numId="21" w16cid:durableId="2023584702">
    <w:abstractNumId w:val="10"/>
  </w:num>
  <w:num w:numId="22" w16cid:durableId="1786847269">
    <w:abstractNumId w:val="7"/>
  </w:num>
  <w:num w:numId="23" w16cid:durableId="1955402353">
    <w:abstractNumId w:val="23"/>
  </w:num>
  <w:num w:numId="24" w16cid:durableId="675305135">
    <w:abstractNumId w:val="14"/>
  </w:num>
  <w:num w:numId="25" w16cid:durableId="254440351">
    <w:abstractNumId w:val="15"/>
  </w:num>
  <w:num w:numId="26" w16cid:durableId="384107919">
    <w:abstractNumId w:val="28"/>
  </w:num>
  <w:num w:numId="27" w16cid:durableId="1674335235">
    <w:abstractNumId w:val="5"/>
  </w:num>
  <w:num w:numId="28" w16cid:durableId="1424179820">
    <w:abstractNumId w:val="19"/>
  </w:num>
  <w:num w:numId="29" w16cid:durableId="851187007">
    <w:abstractNumId w:val="22"/>
  </w:num>
  <w:num w:numId="30" w16cid:durableId="2093576353">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36206034">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800269879">
    <w:abstractNumId w:val="17"/>
  </w:num>
  <w:num w:numId="33" w16cid:durableId="1722754859">
    <w:abstractNumId w:val="18"/>
  </w:num>
  <w:num w:numId="34" w16cid:durableId="509300174">
    <w:abstractNumId w:val="21"/>
  </w:num>
  <w:num w:numId="35" w16cid:durableId="1352880202">
    <w:abstractNumId w:val="8"/>
  </w:num>
  <w:num w:numId="36" w16cid:durableId="755438477">
    <w:abstractNumId w:val="25"/>
  </w:num>
  <w:num w:numId="37" w16cid:durableId="1220090650">
    <w:abstractNumId w:val="12"/>
  </w:num>
  <w:num w:numId="38" w16cid:durableId="77095525">
    <w:abstractNumId w:val="11"/>
  </w:num>
  <w:num w:numId="39" w16cid:durableId="1268927005">
    <w:abstractNumId w:val="37"/>
  </w:num>
  <w:num w:numId="40" w16cid:durableId="577592432">
    <w:abstractNumId w:val="35"/>
  </w:num>
  <w:num w:numId="41" w16cid:durableId="879440265">
    <w:abstractNumId w:val="1"/>
  </w:num>
  <w:num w:numId="42" w16cid:durableId="1296990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D34"/>
    <w:rsid w:val="00012117"/>
    <w:rsid w:val="000147A9"/>
    <w:rsid w:val="00042755"/>
    <w:rsid w:val="0004497D"/>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1E21"/>
    <w:rsid w:val="00376E23"/>
    <w:rsid w:val="0037796A"/>
    <w:rsid w:val="0039416B"/>
    <w:rsid w:val="003A1271"/>
    <w:rsid w:val="003A5DF7"/>
    <w:rsid w:val="003B3510"/>
    <w:rsid w:val="003C116C"/>
    <w:rsid w:val="003D0CDD"/>
    <w:rsid w:val="003E1CAA"/>
    <w:rsid w:val="0040210F"/>
    <w:rsid w:val="0041066E"/>
    <w:rsid w:val="004222FD"/>
    <w:rsid w:val="004319FA"/>
    <w:rsid w:val="00437B41"/>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55D54"/>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3D34"/>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328BA"/>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4EF0"/>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C7D"/>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7F90"/>
  <w15:chartTrackingRefBased/>
  <w15:docId w15:val="{9A318147-A913-2648-A99A-0348FFA6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A43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D3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3D3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43D3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3D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3D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3D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3D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D3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A43D3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43D3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43D3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A43D3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43D3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43D3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43D3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43D3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43D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D3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43D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D3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43D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3D3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43D34"/>
    <w:pPr>
      <w:ind w:left="720"/>
      <w:contextualSpacing/>
    </w:pPr>
  </w:style>
  <w:style w:type="character" w:styleId="IntenseEmphasis">
    <w:name w:val="Intense Emphasis"/>
    <w:basedOn w:val="DefaultParagraphFont"/>
    <w:uiPriority w:val="21"/>
    <w:qFormat/>
    <w:rsid w:val="00A43D34"/>
    <w:rPr>
      <w:i/>
      <w:iCs/>
      <w:color w:val="2F5496" w:themeColor="accent1" w:themeShade="BF"/>
    </w:rPr>
  </w:style>
  <w:style w:type="paragraph" w:styleId="IntenseQuote">
    <w:name w:val="Intense Quote"/>
    <w:basedOn w:val="Normal"/>
    <w:next w:val="Normal"/>
    <w:link w:val="IntenseQuoteChar"/>
    <w:uiPriority w:val="30"/>
    <w:qFormat/>
    <w:rsid w:val="00A43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D3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43D34"/>
    <w:rPr>
      <w:b/>
      <w:bCs/>
      <w:smallCaps/>
      <w:color w:val="2F5496" w:themeColor="accent1" w:themeShade="BF"/>
      <w:spacing w:val="5"/>
    </w:rPr>
  </w:style>
  <w:style w:type="character" w:styleId="Strong">
    <w:name w:val="Strong"/>
    <w:basedOn w:val="DefaultParagraphFont"/>
    <w:uiPriority w:val="22"/>
    <w:qFormat/>
    <w:rsid w:val="00371E21"/>
    <w:rPr>
      <w:b/>
      <w:bCs/>
    </w:rPr>
  </w:style>
  <w:style w:type="character" w:styleId="Emphasis">
    <w:name w:val="Emphasis"/>
    <w:basedOn w:val="DefaultParagraphFont"/>
    <w:uiPriority w:val="20"/>
    <w:qFormat/>
    <w:rsid w:val="00371E21"/>
    <w:rPr>
      <w:i/>
      <w:iCs/>
    </w:rPr>
  </w:style>
  <w:style w:type="character" w:customStyle="1" w:styleId="ml-1">
    <w:name w:val="ml-1"/>
    <w:basedOn w:val="DefaultParagraphFont"/>
    <w:rsid w:val="00371E21"/>
  </w:style>
  <w:style w:type="paragraph" w:styleId="NormalWeb">
    <w:name w:val="Normal (Web)"/>
    <w:basedOn w:val="Normal"/>
    <w:uiPriority w:val="99"/>
    <w:semiHidden/>
    <w:unhideWhenUsed/>
    <w:rsid w:val="00371E21"/>
    <w:pPr>
      <w:spacing w:before="100" w:beforeAutospacing="1" w:after="100" w:afterAutospacing="1"/>
    </w:pPr>
    <w:rPr>
      <w:rFonts w:ascii="Times New Roman" w:hAnsi="Times New Roman"/>
      <w:lang w:val="en-HK"/>
    </w:rPr>
  </w:style>
  <w:style w:type="paragraph" w:styleId="Header">
    <w:name w:val="header"/>
    <w:basedOn w:val="Normal"/>
    <w:link w:val="HeaderChar"/>
    <w:uiPriority w:val="99"/>
    <w:unhideWhenUsed/>
    <w:rsid w:val="00371E21"/>
    <w:pPr>
      <w:tabs>
        <w:tab w:val="center" w:pos="4513"/>
        <w:tab w:val="right" w:pos="9026"/>
      </w:tabs>
    </w:pPr>
  </w:style>
  <w:style w:type="character" w:customStyle="1" w:styleId="HeaderChar">
    <w:name w:val="Header Char"/>
    <w:basedOn w:val="DefaultParagraphFont"/>
    <w:link w:val="Header"/>
    <w:uiPriority w:val="99"/>
    <w:rsid w:val="00371E21"/>
    <w:rPr>
      <w:rFonts w:ascii="Arial" w:eastAsia="Times New Roman" w:hAnsi="Arial" w:cs="Times New Roman"/>
      <w:kern w:val="0"/>
      <w:lang w:val="en-GB"/>
      <w14:ligatures w14:val="none"/>
    </w:rPr>
  </w:style>
  <w:style w:type="paragraph" w:styleId="Footer">
    <w:name w:val="footer"/>
    <w:basedOn w:val="Normal"/>
    <w:link w:val="FooterChar"/>
    <w:uiPriority w:val="99"/>
    <w:unhideWhenUsed/>
    <w:rsid w:val="00371E21"/>
    <w:pPr>
      <w:tabs>
        <w:tab w:val="center" w:pos="4513"/>
        <w:tab w:val="right" w:pos="9026"/>
      </w:tabs>
    </w:pPr>
  </w:style>
  <w:style w:type="character" w:customStyle="1" w:styleId="FooterChar">
    <w:name w:val="Footer Char"/>
    <w:basedOn w:val="DefaultParagraphFont"/>
    <w:link w:val="Footer"/>
    <w:uiPriority w:val="99"/>
    <w:rsid w:val="00371E21"/>
    <w:rPr>
      <w:rFonts w:ascii="Arial" w:eastAsia="Times New Roman" w:hAnsi="Arial"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9490">
      <w:bodyDiv w:val="1"/>
      <w:marLeft w:val="0"/>
      <w:marRight w:val="0"/>
      <w:marTop w:val="0"/>
      <w:marBottom w:val="0"/>
      <w:divBdr>
        <w:top w:val="none" w:sz="0" w:space="0" w:color="auto"/>
        <w:left w:val="none" w:sz="0" w:space="0" w:color="auto"/>
        <w:bottom w:val="none" w:sz="0" w:space="0" w:color="auto"/>
        <w:right w:val="none" w:sz="0" w:space="0" w:color="auto"/>
      </w:divBdr>
    </w:div>
    <w:div w:id="772438980">
      <w:bodyDiv w:val="1"/>
      <w:marLeft w:val="0"/>
      <w:marRight w:val="0"/>
      <w:marTop w:val="0"/>
      <w:marBottom w:val="0"/>
      <w:divBdr>
        <w:top w:val="none" w:sz="0" w:space="0" w:color="auto"/>
        <w:left w:val="none" w:sz="0" w:space="0" w:color="auto"/>
        <w:bottom w:val="none" w:sz="0" w:space="0" w:color="auto"/>
        <w:right w:val="none" w:sz="0" w:space="0" w:color="auto"/>
      </w:divBdr>
    </w:div>
    <w:div w:id="816993953">
      <w:bodyDiv w:val="1"/>
      <w:marLeft w:val="0"/>
      <w:marRight w:val="0"/>
      <w:marTop w:val="0"/>
      <w:marBottom w:val="0"/>
      <w:divBdr>
        <w:top w:val="none" w:sz="0" w:space="0" w:color="auto"/>
        <w:left w:val="none" w:sz="0" w:space="0" w:color="auto"/>
        <w:bottom w:val="none" w:sz="0" w:space="0" w:color="auto"/>
        <w:right w:val="none" w:sz="0" w:space="0" w:color="auto"/>
      </w:divBdr>
    </w:div>
    <w:div w:id="1126240467">
      <w:bodyDiv w:val="1"/>
      <w:marLeft w:val="0"/>
      <w:marRight w:val="0"/>
      <w:marTop w:val="0"/>
      <w:marBottom w:val="0"/>
      <w:divBdr>
        <w:top w:val="none" w:sz="0" w:space="0" w:color="auto"/>
        <w:left w:val="none" w:sz="0" w:space="0" w:color="auto"/>
        <w:bottom w:val="none" w:sz="0" w:space="0" w:color="auto"/>
        <w:right w:val="none" w:sz="0" w:space="0" w:color="auto"/>
      </w:divBdr>
    </w:div>
    <w:div w:id="1758597585">
      <w:bodyDiv w:val="1"/>
      <w:marLeft w:val="0"/>
      <w:marRight w:val="0"/>
      <w:marTop w:val="0"/>
      <w:marBottom w:val="0"/>
      <w:divBdr>
        <w:top w:val="none" w:sz="0" w:space="0" w:color="auto"/>
        <w:left w:val="none" w:sz="0" w:space="0" w:color="auto"/>
        <w:bottom w:val="none" w:sz="0" w:space="0" w:color="auto"/>
        <w:right w:val="none" w:sz="0" w:space="0" w:color="auto"/>
      </w:divBdr>
    </w:div>
    <w:div w:id="198450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2690</Words>
  <Characters>15339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2025-01-12T17:37:00Z</dcterms:created>
  <dcterms:modified xsi:type="dcterms:W3CDTF">2025-01-20T16:44:00Z</dcterms:modified>
</cp:coreProperties>
</file>