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B06174" w14:textId="77777777" w:rsidR="00DA6ED6" w:rsidRPr="00DA6ED6" w:rsidRDefault="00DA6ED6" w:rsidP="00DA6ED6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Similarities Between Charitable Trusts and Discretionary Trusts</w:t>
      </w:r>
    </w:p>
    <w:p w14:paraId="7D97578F" w14:textId="77777777" w:rsidR="00DA6ED6" w:rsidRPr="00DA6ED6" w:rsidRDefault="00DA6ED6" w:rsidP="00DA6E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Trustee Discretion:</w:t>
      </w:r>
    </w:p>
    <w:p w14:paraId="32070089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In both charitable trusts and discretionary trusts, trustees often have broad discretion over the allocation of trust property.</w:t>
      </w:r>
    </w:p>
    <w:p w14:paraId="51AC5DB6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Charitable Trusts:</w:t>
      </w:r>
      <w:r w:rsidRPr="00DA6ED6">
        <w:rPr>
          <w:rFonts w:ascii="Times New Roman" w:hAnsi="Times New Roman"/>
          <w:lang w:val="en-HK"/>
        </w:rPr>
        <w:t xml:space="preserve"> Trustees have the power to decide how to distribute funds to advance the charitable purposes.</w:t>
      </w:r>
    </w:p>
    <w:p w14:paraId="5C93F611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Discretionary Trusts:</w:t>
      </w:r>
      <w:r w:rsidRPr="00DA6ED6">
        <w:rPr>
          <w:rFonts w:ascii="Times New Roman" w:hAnsi="Times New Roman"/>
          <w:lang w:val="en-HK"/>
        </w:rPr>
        <w:t xml:space="preserve"> Trustees have discretion over which beneficiaries, from a defined class, receive benefits and to what extent.</w:t>
      </w:r>
    </w:p>
    <w:p w14:paraId="3353DA0B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*</w:t>
      </w:r>
      <w:r w:rsidRPr="00DA6ED6">
        <w:rPr>
          <w:rFonts w:ascii="Times New Roman" w:hAnsi="Times New Roman"/>
          <w:i/>
          <w:iCs/>
          <w:lang w:val="en-HK"/>
        </w:rPr>
        <w:t>Lord Truro in Re Beloved Wilkes’ Charity (1851):</w:t>
      </w:r>
    </w:p>
    <w:p w14:paraId="32E0B91B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“It is to the discretion of the trustees that the execution of the trust is confided… The court’s duty will be confined to honesty, integrity, and fairness.”</w:t>
      </w:r>
    </w:p>
    <w:p w14:paraId="722A03DE" w14:textId="77777777" w:rsidR="00DA6ED6" w:rsidRPr="00DA6ED6" w:rsidRDefault="00DA6ED6" w:rsidP="00DA6E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Lack of Fixed Beneficiaries:</w:t>
      </w:r>
    </w:p>
    <w:p w14:paraId="50E34B4A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Both types of trusts lack fixed entitlements:</w:t>
      </w:r>
    </w:p>
    <w:p w14:paraId="3ACC4873" w14:textId="77777777" w:rsidR="00DA6ED6" w:rsidRPr="00DA6ED6" w:rsidRDefault="00DA6ED6" w:rsidP="00DA6ED6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Charitable Trusts:</w:t>
      </w:r>
      <w:r w:rsidRPr="00DA6ED6">
        <w:rPr>
          <w:rFonts w:ascii="Times New Roman" w:hAnsi="Times New Roman"/>
          <w:lang w:val="en-HK"/>
        </w:rPr>
        <w:t xml:space="preserve"> There are no direct beneficiaries; the public or a section of it benefits.</w:t>
      </w:r>
    </w:p>
    <w:p w14:paraId="4A043333" w14:textId="77777777" w:rsidR="00DA6ED6" w:rsidRPr="00DA6ED6" w:rsidRDefault="00DA6ED6" w:rsidP="00DA6ED6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Discretionary Trusts:</w:t>
      </w:r>
      <w:r w:rsidRPr="00DA6ED6">
        <w:rPr>
          <w:rFonts w:ascii="Times New Roman" w:hAnsi="Times New Roman"/>
          <w:lang w:val="en-HK"/>
        </w:rPr>
        <w:t xml:space="preserve"> Beneficiaries have no fixed interest, only a right to be considered by the trustees.</w:t>
      </w:r>
    </w:p>
    <w:p w14:paraId="1E2D1A0D" w14:textId="77777777" w:rsidR="00DA6ED6" w:rsidRPr="00DA6ED6" w:rsidRDefault="00DA6ED6" w:rsidP="00DA6ED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Judicial Oversight:</w:t>
      </w:r>
    </w:p>
    <w:p w14:paraId="434D1520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Courts generally avoid interfering in the discretionary powers of trustees in both trust types, unless there is evidence of:</w:t>
      </w:r>
    </w:p>
    <w:p w14:paraId="7F30537F" w14:textId="77777777" w:rsidR="00DA6ED6" w:rsidRPr="00DA6ED6" w:rsidRDefault="00DA6ED6" w:rsidP="00DA6ED6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Breach of fiduciary duty.</w:t>
      </w:r>
    </w:p>
    <w:p w14:paraId="7C003E65" w14:textId="77777777" w:rsidR="00DA6ED6" w:rsidRPr="00DA6ED6" w:rsidRDefault="00DA6ED6" w:rsidP="00DA6ED6">
      <w:pPr>
        <w:numPr>
          <w:ilvl w:val="2"/>
          <w:numId w:val="1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Improper exercise of discretion.</w:t>
      </w:r>
    </w:p>
    <w:p w14:paraId="3066B449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highlight w:val="yellow"/>
          <w:lang w:val="en-HK"/>
        </w:rPr>
        <w:t>CIFF Case (2018):</w:t>
      </w:r>
    </w:p>
    <w:p w14:paraId="6F1F1747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Reaffirmed that courts will not direct how trustees or fiduciaries exercise discretion unless a breach of duty is evident.</w:t>
      </w:r>
    </w:p>
    <w:p w14:paraId="16CCF8EE" w14:textId="77777777" w:rsidR="00DA6ED6" w:rsidRPr="00DA6ED6" w:rsidRDefault="00CB11CC" w:rsidP="00DA6ED6">
      <w:pPr>
        <w:spacing w:line="360" w:lineRule="auto"/>
        <w:rPr>
          <w:rFonts w:ascii="Times New Roman" w:hAnsi="Times New Roman"/>
          <w:lang w:val="en-HK"/>
        </w:rPr>
      </w:pPr>
      <w:r w:rsidRPr="00CB11CC">
        <w:rPr>
          <w:rFonts w:ascii="Times New Roman" w:hAnsi="Times New Roman"/>
          <w:noProof/>
          <w:lang w:val="en-HK"/>
          <w14:ligatures w14:val="standardContextual"/>
        </w:rPr>
        <w:lastRenderedPageBreak/>
        <w:pict w14:anchorId="7C309E2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07678C9" w14:textId="77777777" w:rsidR="00DA6ED6" w:rsidRPr="00DA6ED6" w:rsidRDefault="00DA6ED6" w:rsidP="00DA6ED6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Differences Between Charitable Trusts and Discretionary Trusts</w:t>
      </w:r>
    </w:p>
    <w:p w14:paraId="6C0484F1" w14:textId="77777777" w:rsidR="00DA6ED6" w:rsidRPr="00DA6ED6" w:rsidRDefault="00DA6ED6" w:rsidP="00DA6ED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Purpose vs. Beneficiaries:</w:t>
      </w:r>
    </w:p>
    <w:p w14:paraId="046D0E29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Charitable Trusts:</w:t>
      </w:r>
    </w:p>
    <w:p w14:paraId="66C4F111" w14:textId="77777777" w:rsidR="00DA6ED6" w:rsidRPr="00DA6ED6" w:rsidRDefault="00DA6ED6" w:rsidP="00DA6ED6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Purpose trusts with no defined beneficiaries.</w:t>
      </w:r>
    </w:p>
    <w:p w14:paraId="2C60FF88" w14:textId="77777777" w:rsidR="00DA6ED6" w:rsidRPr="00DA6ED6" w:rsidRDefault="00DA6ED6" w:rsidP="00DA6ED6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Enforced by public authorities like the Attorney-General or Charity Commission to ensure alignment with public benefit.</w:t>
      </w:r>
    </w:p>
    <w:p w14:paraId="2037BC88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Discretionary Trusts:</w:t>
      </w:r>
    </w:p>
    <w:p w14:paraId="154862C2" w14:textId="77777777" w:rsidR="00DA6ED6" w:rsidRPr="00DA6ED6" w:rsidRDefault="00DA6ED6" w:rsidP="00DA6ED6">
      <w:pPr>
        <w:numPr>
          <w:ilvl w:val="2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Beneficiaries are a defined class with potential claims.</w:t>
      </w:r>
    </w:p>
    <w:p w14:paraId="15016C8B" w14:textId="77777777" w:rsidR="00DA6ED6" w:rsidRPr="00DA6ED6" w:rsidRDefault="00DA6ED6" w:rsidP="00DA6ED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Legal Enforcement:</w:t>
      </w:r>
    </w:p>
    <w:p w14:paraId="72ADCF95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Charitable Trusts:</w:t>
      </w:r>
      <w:r w:rsidRPr="00DA6ED6">
        <w:rPr>
          <w:rFonts w:ascii="Times New Roman" w:hAnsi="Times New Roman"/>
          <w:lang w:val="en-HK"/>
        </w:rPr>
        <w:t xml:space="preserve"> Enforced through public mechanisms, as seen in </w:t>
      </w:r>
      <w:r w:rsidRPr="00DA6ED6">
        <w:rPr>
          <w:rFonts w:ascii="Times New Roman" w:hAnsi="Times New Roman"/>
          <w:b/>
          <w:bCs/>
          <w:lang w:val="en-HK"/>
        </w:rPr>
        <w:t>Leahy v A-G for New South Wales (1959)</w:t>
      </w:r>
      <w:r w:rsidRPr="00DA6ED6">
        <w:rPr>
          <w:rFonts w:ascii="Times New Roman" w:hAnsi="Times New Roman"/>
          <w:lang w:val="en-HK"/>
        </w:rPr>
        <w:t xml:space="preserve"> and </w:t>
      </w:r>
      <w:r w:rsidRPr="00DA6ED6">
        <w:rPr>
          <w:rFonts w:ascii="Times New Roman" w:hAnsi="Times New Roman"/>
          <w:b/>
          <w:bCs/>
          <w:lang w:val="en-HK"/>
        </w:rPr>
        <w:t>Stanway v Attorney-General (2000)</w:t>
      </w:r>
      <w:r w:rsidRPr="00DA6ED6">
        <w:rPr>
          <w:rFonts w:ascii="Times New Roman" w:hAnsi="Times New Roman"/>
          <w:lang w:val="en-HK"/>
        </w:rPr>
        <w:t>.</w:t>
      </w:r>
    </w:p>
    <w:p w14:paraId="11018516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Discretionary Trusts:</w:t>
      </w:r>
      <w:r w:rsidRPr="00DA6ED6">
        <w:rPr>
          <w:rFonts w:ascii="Times New Roman" w:hAnsi="Times New Roman"/>
          <w:lang w:val="en-HK"/>
        </w:rPr>
        <w:t xml:space="preserve"> Beneficiaries can enforce their rights to be considered by the trustees.</w:t>
      </w:r>
    </w:p>
    <w:p w14:paraId="025B5D82" w14:textId="77777777" w:rsidR="00DA6ED6" w:rsidRPr="00DA6ED6" w:rsidRDefault="00DA6ED6" w:rsidP="00DA6ED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Tax and Regulatory Treatment:</w:t>
      </w:r>
    </w:p>
    <w:p w14:paraId="061F06C4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 xml:space="preserve">Charitable trusts enjoy privileges like tax exemptions and are subject to distinct regulatory frameworks under the </w:t>
      </w:r>
      <w:r w:rsidRPr="00DA6ED6">
        <w:rPr>
          <w:rFonts w:ascii="Times New Roman" w:hAnsi="Times New Roman"/>
          <w:i/>
          <w:iCs/>
          <w:lang w:val="en-HK"/>
        </w:rPr>
        <w:t>Charities Act 2011</w:t>
      </w:r>
      <w:r w:rsidRPr="00DA6ED6">
        <w:rPr>
          <w:rFonts w:ascii="Times New Roman" w:hAnsi="Times New Roman"/>
          <w:lang w:val="en-HK"/>
        </w:rPr>
        <w:t>.</w:t>
      </w:r>
    </w:p>
    <w:p w14:paraId="6F534C11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Discretionary trusts do not share these privileges and are regulated as private trusts.</w:t>
      </w:r>
    </w:p>
    <w:p w14:paraId="699A2839" w14:textId="77777777" w:rsidR="00DA6ED6" w:rsidRPr="00DA6ED6" w:rsidRDefault="00DA6ED6" w:rsidP="00DA6ED6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Scope of Benefit:</w:t>
      </w:r>
    </w:p>
    <w:p w14:paraId="5A05F53D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Charitable Trusts:</w:t>
      </w:r>
      <w:r w:rsidRPr="00DA6ED6">
        <w:rPr>
          <w:rFonts w:ascii="Times New Roman" w:hAnsi="Times New Roman"/>
          <w:lang w:val="en-HK"/>
        </w:rPr>
        <w:t xml:space="preserve"> Must provide a </w:t>
      </w:r>
      <w:r w:rsidRPr="00DA6ED6">
        <w:rPr>
          <w:rFonts w:ascii="Times New Roman" w:hAnsi="Times New Roman"/>
          <w:highlight w:val="yellow"/>
          <w:lang w:val="en-HK"/>
        </w:rPr>
        <w:t xml:space="preserve">clear </w:t>
      </w:r>
      <w:r w:rsidRPr="00DA6ED6">
        <w:rPr>
          <w:rFonts w:ascii="Times New Roman" w:hAnsi="Times New Roman"/>
          <w:b/>
          <w:bCs/>
          <w:highlight w:val="yellow"/>
          <w:lang w:val="en-HK"/>
        </w:rPr>
        <w:t>public benefit</w:t>
      </w:r>
      <w:r w:rsidRPr="00DA6ED6">
        <w:rPr>
          <w:rFonts w:ascii="Times New Roman" w:hAnsi="Times New Roman"/>
          <w:lang w:val="en-HK"/>
        </w:rPr>
        <w:t xml:space="preserve"> (e.g., advancing education or religion).</w:t>
      </w:r>
    </w:p>
    <w:p w14:paraId="319DF988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Discretionary Trusts:</w:t>
      </w:r>
      <w:r w:rsidRPr="00DA6ED6">
        <w:rPr>
          <w:rFonts w:ascii="Times New Roman" w:hAnsi="Times New Roman"/>
          <w:lang w:val="en-HK"/>
        </w:rPr>
        <w:t xml:space="preserve"> Benefit is confined to the defined class of beneficiaries.</w:t>
      </w:r>
    </w:p>
    <w:p w14:paraId="147A9E1E" w14:textId="77777777" w:rsidR="00DA6ED6" w:rsidRPr="00DA6ED6" w:rsidRDefault="00CB11CC" w:rsidP="00DA6ED6">
      <w:pPr>
        <w:spacing w:line="360" w:lineRule="auto"/>
        <w:rPr>
          <w:rFonts w:ascii="Times New Roman" w:hAnsi="Times New Roman"/>
          <w:lang w:val="en-HK"/>
        </w:rPr>
      </w:pPr>
      <w:r w:rsidRPr="00CB11CC">
        <w:rPr>
          <w:rFonts w:ascii="Times New Roman" w:hAnsi="Times New Roman"/>
          <w:noProof/>
          <w:lang w:val="en-HK"/>
          <w14:ligatures w14:val="standardContextual"/>
        </w:rPr>
        <w:pict w14:anchorId="703036B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F1091DB" w14:textId="77777777" w:rsidR="00DA6ED6" w:rsidRPr="00DA6ED6" w:rsidRDefault="00DA6ED6" w:rsidP="00DA6ED6">
      <w:pPr>
        <w:spacing w:before="100" w:beforeAutospacing="1" w:after="100" w:afterAutospacing="1" w:line="360" w:lineRule="auto"/>
        <w:outlineLvl w:val="2"/>
        <w:rPr>
          <w:rFonts w:ascii="Times New Roman" w:hAnsi="Times New Roman"/>
          <w:b/>
          <w:bCs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t>Key Takeaways</w:t>
      </w:r>
    </w:p>
    <w:p w14:paraId="79B857CC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b/>
          <w:bCs/>
          <w:lang w:val="en-HK"/>
        </w:rPr>
        <w:lastRenderedPageBreak/>
        <w:t>Charitable Trusts Are Not Discretionary Trusts,</w:t>
      </w:r>
      <w:r w:rsidRPr="00DA6ED6">
        <w:rPr>
          <w:rFonts w:ascii="Times New Roman" w:hAnsi="Times New Roman"/>
          <w:lang w:val="en-HK"/>
        </w:rPr>
        <w:t xml:space="preserve"> but they operate with similar discretionary elements:</w:t>
      </w:r>
    </w:p>
    <w:p w14:paraId="300D13C3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>Trustees in charitable trusts exercise discretion in achieving the trust’s purposes, akin to the discretion trustees hold in discretionary trusts.</w:t>
      </w:r>
    </w:p>
    <w:p w14:paraId="00BBF3D7" w14:textId="77777777" w:rsidR="00DA6ED6" w:rsidRPr="00DA6ED6" w:rsidRDefault="00DA6ED6" w:rsidP="00DA6ED6">
      <w:pPr>
        <w:spacing w:before="100" w:beforeAutospacing="1" w:after="100" w:afterAutospacing="1" w:line="360" w:lineRule="auto"/>
        <w:rPr>
          <w:rFonts w:ascii="Times New Roman" w:hAnsi="Times New Roman"/>
          <w:lang w:val="en-HK"/>
        </w:rPr>
      </w:pPr>
      <w:r w:rsidRPr="00DA6ED6">
        <w:rPr>
          <w:rFonts w:ascii="Times New Roman" w:hAnsi="Times New Roman"/>
          <w:lang w:val="en-HK"/>
        </w:rPr>
        <w:t xml:space="preserve">However, charitable trusts are </w:t>
      </w:r>
      <w:r w:rsidRPr="00DA6ED6">
        <w:rPr>
          <w:rFonts w:ascii="Times New Roman" w:hAnsi="Times New Roman"/>
          <w:b/>
          <w:bCs/>
          <w:lang w:val="en-HK"/>
        </w:rPr>
        <w:t>purpose trusts</w:t>
      </w:r>
      <w:r w:rsidRPr="00DA6ED6">
        <w:rPr>
          <w:rFonts w:ascii="Times New Roman" w:hAnsi="Times New Roman"/>
          <w:lang w:val="en-HK"/>
        </w:rPr>
        <w:t xml:space="preserve"> with a broader societal focus, enforced through public mechanisms, distinguishing them from private discretionary trusts.</w:t>
      </w:r>
    </w:p>
    <w:p w14:paraId="20501046" w14:textId="77777777" w:rsidR="00CD39F1" w:rsidRPr="00DA6ED6" w:rsidRDefault="00CD39F1" w:rsidP="00DA6ED6">
      <w:pPr>
        <w:spacing w:line="360" w:lineRule="auto"/>
      </w:pPr>
    </w:p>
    <w:sectPr w:rsidR="00CD39F1" w:rsidRPr="00DA6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CF1E07"/>
    <w:multiLevelType w:val="multilevel"/>
    <w:tmpl w:val="2F0C67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922A5"/>
    <w:multiLevelType w:val="multilevel"/>
    <w:tmpl w:val="9B082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6925776C"/>
    <w:multiLevelType w:val="multilevel"/>
    <w:tmpl w:val="9ABED6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68579247">
    <w:abstractNumId w:val="1"/>
  </w:num>
  <w:num w:numId="2" w16cid:durableId="1256211304">
    <w:abstractNumId w:val="2"/>
  </w:num>
  <w:num w:numId="3" w16cid:durableId="210263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A2"/>
    <w:rsid w:val="00012117"/>
    <w:rsid w:val="000147A9"/>
    <w:rsid w:val="00042755"/>
    <w:rsid w:val="0006107D"/>
    <w:rsid w:val="000623A3"/>
    <w:rsid w:val="000719DA"/>
    <w:rsid w:val="00094D65"/>
    <w:rsid w:val="000A2074"/>
    <w:rsid w:val="000A3F4D"/>
    <w:rsid w:val="000A64DA"/>
    <w:rsid w:val="000C4ABC"/>
    <w:rsid w:val="000C58D7"/>
    <w:rsid w:val="000E15ED"/>
    <w:rsid w:val="00101CCF"/>
    <w:rsid w:val="001372F7"/>
    <w:rsid w:val="00175AB8"/>
    <w:rsid w:val="0019260C"/>
    <w:rsid w:val="001A41D2"/>
    <w:rsid w:val="001B0E31"/>
    <w:rsid w:val="001D360C"/>
    <w:rsid w:val="001E2584"/>
    <w:rsid w:val="002033A2"/>
    <w:rsid w:val="00223837"/>
    <w:rsid w:val="00243CED"/>
    <w:rsid w:val="00247BCC"/>
    <w:rsid w:val="00257540"/>
    <w:rsid w:val="0026510F"/>
    <w:rsid w:val="00291F37"/>
    <w:rsid w:val="00297C6E"/>
    <w:rsid w:val="002D715D"/>
    <w:rsid w:val="002E46F2"/>
    <w:rsid w:val="002F1DB1"/>
    <w:rsid w:val="002F20B2"/>
    <w:rsid w:val="002F53C9"/>
    <w:rsid w:val="003048A0"/>
    <w:rsid w:val="0031138E"/>
    <w:rsid w:val="0031474F"/>
    <w:rsid w:val="00315815"/>
    <w:rsid w:val="003278F5"/>
    <w:rsid w:val="00330665"/>
    <w:rsid w:val="00342A18"/>
    <w:rsid w:val="00361975"/>
    <w:rsid w:val="00376E23"/>
    <w:rsid w:val="0039416B"/>
    <w:rsid w:val="003A1271"/>
    <w:rsid w:val="003A5DF7"/>
    <w:rsid w:val="003B3510"/>
    <w:rsid w:val="003C116C"/>
    <w:rsid w:val="003D0CDD"/>
    <w:rsid w:val="003E1CAA"/>
    <w:rsid w:val="0040210F"/>
    <w:rsid w:val="004222FD"/>
    <w:rsid w:val="004319FA"/>
    <w:rsid w:val="00474DD1"/>
    <w:rsid w:val="004751B5"/>
    <w:rsid w:val="0048097D"/>
    <w:rsid w:val="0048175B"/>
    <w:rsid w:val="004845CE"/>
    <w:rsid w:val="004A553E"/>
    <w:rsid w:val="004B1048"/>
    <w:rsid w:val="004D01FE"/>
    <w:rsid w:val="004D582C"/>
    <w:rsid w:val="004D5B1A"/>
    <w:rsid w:val="004E458E"/>
    <w:rsid w:val="004F0E12"/>
    <w:rsid w:val="004F5A36"/>
    <w:rsid w:val="00505437"/>
    <w:rsid w:val="005120A1"/>
    <w:rsid w:val="00542B57"/>
    <w:rsid w:val="00557B52"/>
    <w:rsid w:val="005743EA"/>
    <w:rsid w:val="005770A9"/>
    <w:rsid w:val="0058416B"/>
    <w:rsid w:val="00595357"/>
    <w:rsid w:val="005A1930"/>
    <w:rsid w:val="005A6EEA"/>
    <w:rsid w:val="005B34ED"/>
    <w:rsid w:val="005B61CD"/>
    <w:rsid w:val="005C4FF3"/>
    <w:rsid w:val="005C50B3"/>
    <w:rsid w:val="005C6B83"/>
    <w:rsid w:val="005D57DA"/>
    <w:rsid w:val="005E7702"/>
    <w:rsid w:val="005F33FC"/>
    <w:rsid w:val="00605F8E"/>
    <w:rsid w:val="00613954"/>
    <w:rsid w:val="00650543"/>
    <w:rsid w:val="00654D8B"/>
    <w:rsid w:val="00661136"/>
    <w:rsid w:val="0068027B"/>
    <w:rsid w:val="006C42B8"/>
    <w:rsid w:val="006C50C7"/>
    <w:rsid w:val="006D1612"/>
    <w:rsid w:val="00713CA9"/>
    <w:rsid w:val="007455C6"/>
    <w:rsid w:val="007475C7"/>
    <w:rsid w:val="0075265A"/>
    <w:rsid w:val="0075498E"/>
    <w:rsid w:val="00757BE5"/>
    <w:rsid w:val="00760E46"/>
    <w:rsid w:val="007643D2"/>
    <w:rsid w:val="00766D82"/>
    <w:rsid w:val="007678B2"/>
    <w:rsid w:val="0078776B"/>
    <w:rsid w:val="00796A93"/>
    <w:rsid w:val="007B48C2"/>
    <w:rsid w:val="007D68F0"/>
    <w:rsid w:val="007E1559"/>
    <w:rsid w:val="007F776E"/>
    <w:rsid w:val="00816563"/>
    <w:rsid w:val="00830C88"/>
    <w:rsid w:val="00861B11"/>
    <w:rsid w:val="008829C2"/>
    <w:rsid w:val="008A54BE"/>
    <w:rsid w:val="008C7B0A"/>
    <w:rsid w:val="008D0642"/>
    <w:rsid w:val="008E43C2"/>
    <w:rsid w:val="008E745B"/>
    <w:rsid w:val="008F4EA7"/>
    <w:rsid w:val="008F5A10"/>
    <w:rsid w:val="00905ED0"/>
    <w:rsid w:val="0093405B"/>
    <w:rsid w:val="0094782D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21254"/>
    <w:rsid w:val="00A220B7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00EB"/>
    <w:rsid w:val="00B23297"/>
    <w:rsid w:val="00B360EE"/>
    <w:rsid w:val="00B53B6F"/>
    <w:rsid w:val="00B651D9"/>
    <w:rsid w:val="00B67231"/>
    <w:rsid w:val="00B73742"/>
    <w:rsid w:val="00B914E6"/>
    <w:rsid w:val="00B95747"/>
    <w:rsid w:val="00BC4186"/>
    <w:rsid w:val="00BC5F25"/>
    <w:rsid w:val="00BD7714"/>
    <w:rsid w:val="00BD7C9B"/>
    <w:rsid w:val="00C072F8"/>
    <w:rsid w:val="00C163D7"/>
    <w:rsid w:val="00C17D79"/>
    <w:rsid w:val="00C24A8A"/>
    <w:rsid w:val="00C27321"/>
    <w:rsid w:val="00C44474"/>
    <w:rsid w:val="00C44EB3"/>
    <w:rsid w:val="00C54722"/>
    <w:rsid w:val="00C616D7"/>
    <w:rsid w:val="00C65F70"/>
    <w:rsid w:val="00C941C4"/>
    <w:rsid w:val="00C96A36"/>
    <w:rsid w:val="00CA350B"/>
    <w:rsid w:val="00CA3F60"/>
    <w:rsid w:val="00CB11CC"/>
    <w:rsid w:val="00CC2EFF"/>
    <w:rsid w:val="00CC4FEF"/>
    <w:rsid w:val="00CD39F1"/>
    <w:rsid w:val="00CE1439"/>
    <w:rsid w:val="00CF74EF"/>
    <w:rsid w:val="00D02AC8"/>
    <w:rsid w:val="00D0623C"/>
    <w:rsid w:val="00D07271"/>
    <w:rsid w:val="00D16917"/>
    <w:rsid w:val="00D316A2"/>
    <w:rsid w:val="00D65735"/>
    <w:rsid w:val="00D76D14"/>
    <w:rsid w:val="00DA31CB"/>
    <w:rsid w:val="00DA3D31"/>
    <w:rsid w:val="00DA4488"/>
    <w:rsid w:val="00DA6ED6"/>
    <w:rsid w:val="00DB2E35"/>
    <w:rsid w:val="00DC0040"/>
    <w:rsid w:val="00DC0B7B"/>
    <w:rsid w:val="00DC228E"/>
    <w:rsid w:val="00DC495B"/>
    <w:rsid w:val="00DC7181"/>
    <w:rsid w:val="00DD6F5C"/>
    <w:rsid w:val="00DE6C87"/>
    <w:rsid w:val="00E14A1A"/>
    <w:rsid w:val="00E14E1F"/>
    <w:rsid w:val="00E2730E"/>
    <w:rsid w:val="00E438AC"/>
    <w:rsid w:val="00E5689E"/>
    <w:rsid w:val="00E60DF5"/>
    <w:rsid w:val="00E64DD3"/>
    <w:rsid w:val="00E80D33"/>
    <w:rsid w:val="00E95D8D"/>
    <w:rsid w:val="00EA6ED5"/>
    <w:rsid w:val="00EB7051"/>
    <w:rsid w:val="00EC68EB"/>
    <w:rsid w:val="00EC7C43"/>
    <w:rsid w:val="00EE4F6A"/>
    <w:rsid w:val="00EF3EF4"/>
    <w:rsid w:val="00F012E4"/>
    <w:rsid w:val="00F248D2"/>
    <w:rsid w:val="00F27F00"/>
    <w:rsid w:val="00F655F4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9D8C"/>
  <w15:chartTrackingRefBased/>
  <w15:docId w15:val="{0586EDC2-08A9-7942-8E91-65F89BE76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6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A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A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316A2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A2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A2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A2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A2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A2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A2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316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A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A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A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316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A2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D31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A2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316A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A6E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6ED6"/>
    <w:pPr>
      <w:spacing w:before="100" w:beforeAutospacing="1" w:after="100" w:afterAutospacing="1"/>
    </w:pPr>
    <w:rPr>
      <w:rFonts w:ascii="Times New Roman" w:hAnsi="Times New Roman"/>
      <w:lang w:val="en-HK"/>
    </w:rPr>
  </w:style>
  <w:style w:type="character" w:styleId="Emphasis">
    <w:name w:val="Emphasis"/>
    <w:basedOn w:val="DefaultParagraphFont"/>
    <w:uiPriority w:val="20"/>
    <w:qFormat/>
    <w:rsid w:val="00DA6ED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2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2</cp:revision>
  <dcterms:created xsi:type="dcterms:W3CDTF">2025-01-13T16:25:00Z</dcterms:created>
  <dcterms:modified xsi:type="dcterms:W3CDTF">2025-01-13T16:27:00Z</dcterms:modified>
</cp:coreProperties>
</file>