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DB1A66" w14:textId="77777777" w:rsidR="0059691A" w:rsidRPr="0059691A" w:rsidRDefault="0059691A" w:rsidP="003F53BF">
      <w:pPr>
        <w:spacing w:before="100" w:beforeAutospacing="1" w:after="100" w:afterAutospacing="1" w:line="360" w:lineRule="auto"/>
        <w:outlineLvl w:val="2"/>
        <w:rPr>
          <w:rFonts w:ascii="Times New Roman" w:hAnsi="Times New Roman"/>
          <w:b/>
          <w:bCs/>
          <w:lang w:val="en-HK"/>
        </w:rPr>
      </w:pPr>
      <w:r w:rsidRPr="0059691A">
        <w:rPr>
          <w:rFonts w:ascii="Times New Roman" w:hAnsi="Times New Roman"/>
          <w:b/>
          <w:bCs/>
          <w:lang w:val="en-HK"/>
        </w:rPr>
        <w:t>Introduction</w:t>
      </w:r>
    </w:p>
    <w:p w14:paraId="6D9071C0"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Purpose of the Study:</w:t>
      </w:r>
    </w:p>
    <w:p w14:paraId="5968C384" w14:textId="77777777" w:rsidR="0059691A" w:rsidRPr="0059691A" w:rsidRDefault="0059691A" w:rsidP="008A69F3">
      <w:pPr>
        <w:spacing w:before="100" w:beforeAutospacing="1" w:after="100" w:afterAutospacing="1" w:line="360" w:lineRule="auto"/>
        <w:rPr>
          <w:rFonts w:ascii="Times New Roman" w:hAnsi="Times New Roman"/>
          <w:lang w:val="en-HK"/>
        </w:rPr>
      </w:pPr>
      <w:r w:rsidRPr="0059691A">
        <w:rPr>
          <w:rFonts w:ascii="Times New Roman" w:hAnsi="Times New Roman"/>
          <w:lang w:val="en-HK"/>
        </w:rPr>
        <w:t>Examines the "necessary interest rule" under Section 115 of the Charities Act 2011, which allows persons with a sufficient interest in a charitable trust to initiate proceedings against defaulting trustees.</w:t>
      </w:r>
    </w:p>
    <w:p w14:paraId="23218708" w14:textId="77777777" w:rsidR="0059691A" w:rsidRPr="0059691A" w:rsidRDefault="0059691A" w:rsidP="008A69F3">
      <w:pPr>
        <w:spacing w:before="100" w:beforeAutospacing="1" w:after="100" w:afterAutospacing="1" w:line="360" w:lineRule="auto"/>
        <w:rPr>
          <w:rFonts w:ascii="Times New Roman" w:hAnsi="Times New Roman"/>
          <w:lang w:val="en-HK"/>
        </w:rPr>
      </w:pPr>
      <w:r w:rsidRPr="0059691A">
        <w:rPr>
          <w:rFonts w:ascii="Times New Roman" w:hAnsi="Times New Roman"/>
          <w:lang w:val="en-HK"/>
        </w:rPr>
        <w:t>Explores the judicial interpretation of this rule, its operation, and theoretical implications, particularly concerning the beneficiary-enforcer debate.</w:t>
      </w:r>
    </w:p>
    <w:p w14:paraId="5845FCD8"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Historical Background:</w:t>
      </w:r>
    </w:p>
    <w:p w14:paraId="1001DA7D" w14:textId="77777777" w:rsidR="0059691A" w:rsidRPr="0059691A" w:rsidRDefault="0059691A" w:rsidP="008A69F3">
      <w:pPr>
        <w:spacing w:before="100" w:beforeAutospacing="1" w:after="100" w:afterAutospacing="1" w:line="360" w:lineRule="auto"/>
        <w:rPr>
          <w:rFonts w:ascii="Times New Roman" w:hAnsi="Times New Roman"/>
          <w:lang w:val="en-HK"/>
        </w:rPr>
      </w:pPr>
      <w:r w:rsidRPr="0059691A">
        <w:rPr>
          <w:rFonts w:ascii="Times New Roman" w:hAnsi="Times New Roman"/>
          <w:lang w:val="en-HK"/>
        </w:rPr>
        <w:t>The rule originated in the Charitable Trusts Act 1853 and has persisted through subsequent statutes, including the Charities Act 2011.</w:t>
      </w:r>
    </w:p>
    <w:p w14:paraId="3227B617" w14:textId="77777777" w:rsidR="0059691A" w:rsidRPr="0059691A" w:rsidRDefault="0059691A" w:rsidP="008A69F3">
      <w:pPr>
        <w:spacing w:before="100" w:beforeAutospacing="1" w:after="100" w:afterAutospacing="1" w:line="360" w:lineRule="auto"/>
        <w:rPr>
          <w:rFonts w:ascii="Times New Roman" w:hAnsi="Times New Roman"/>
          <w:lang w:val="en-HK"/>
        </w:rPr>
      </w:pPr>
      <w:r w:rsidRPr="0059691A">
        <w:rPr>
          <w:rFonts w:ascii="Times New Roman" w:hAnsi="Times New Roman"/>
          <w:lang w:val="en-HK"/>
        </w:rPr>
        <w:t xml:space="preserve">The conceptual foundation of charitable trusts was established in </w:t>
      </w:r>
      <w:proofErr w:type="spellStart"/>
      <w:r w:rsidRPr="008A69F3">
        <w:rPr>
          <w:rFonts w:ascii="Times New Roman" w:hAnsi="Times New Roman"/>
          <w:b/>
          <w:bCs/>
          <w:i/>
          <w:iCs/>
          <w:lang w:val="en-HK"/>
        </w:rPr>
        <w:t>Morice</w:t>
      </w:r>
      <w:proofErr w:type="spellEnd"/>
      <w:r w:rsidRPr="008A69F3">
        <w:rPr>
          <w:rFonts w:ascii="Times New Roman" w:hAnsi="Times New Roman"/>
          <w:b/>
          <w:bCs/>
          <w:i/>
          <w:iCs/>
          <w:lang w:val="en-HK"/>
        </w:rPr>
        <w:t xml:space="preserve"> v Bishop of Durham (1804)</w:t>
      </w:r>
      <w:r w:rsidRPr="008A69F3">
        <w:rPr>
          <w:rFonts w:ascii="Times New Roman" w:hAnsi="Times New Roman"/>
          <w:b/>
          <w:bCs/>
          <w:lang w:val="en-HK"/>
        </w:rPr>
        <w:t>,</w:t>
      </w:r>
      <w:r w:rsidRPr="0059691A">
        <w:rPr>
          <w:rFonts w:ascii="Times New Roman" w:hAnsi="Times New Roman"/>
          <w:lang w:val="en-HK"/>
        </w:rPr>
        <w:t xml:space="preserve"> which held that </w:t>
      </w:r>
      <w:r w:rsidRPr="008A69F3">
        <w:rPr>
          <w:rFonts w:ascii="Times New Roman" w:hAnsi="Times New Roman"/>
          <w:b/>
          <w:bCs/>
          <w:lang w:val="en-HK"/>
        </w:rPr>
        <w:t>private trusts must benefit identifiable individuals</w:t>
      </w:r>
      <w:r w:rsidRPr="0059691A">
        <w:rPr>
          <w:rFonts w:ascii="Times New Roman" w:hAnsi="Times New Roman"/>
          <w:lang w:val="en-HK"/>
        </w:rPr>
        <w:t>. Charitable trusts are an exception, as they are enforced by the Attorney General on behalf of the public.</w:t>
      </w:r>
    </w:p>
    <w:p w14:paraId="3881718A"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Key Principle:</w:t>
      </w:r>
    </w:p>
    <w:p w14:paraId="58ED8529"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lang w:val="en-HK"/>
        </w:rPr>
        <w:t>Charitable trusts do not have direct beneficiaries in the private trust sense. Instead, they serve public purposes. The Attorney General historically enforced these trusts but was later supplemented by the Charity Commission (introduced under the Charities Act 1960).</w:t>
      </w:r>
    </w:p>
    <w:p w14:paraId="2B1A616B"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Scholarly Contributions:</w:t>
      </w:r>
    </w:p>
    <w:p w14:paraId="2E181273"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Professor Gareth Jones</w:t>
      </w:r>
      <w:r w:rsidRPr="0059691A">
        <w:rPr>
          <w:rFonts w:ascii="Times New Roman" w:hAnsi="Times New Roman"/>
          <w:lang w:val="en-HK"/>
        </w:rPr>
        <w:t xml:space="preserve"> highlighted the distinctiveness of charitable trusts, noting that "a charitable purpose, however general, shall not fail on account of uncertainty."</w:t>
      </w:r>
    </w:p>
    <w:p w14:paraId="6C8891AD"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Chan</w:t>
      </w:r>
      <w:r w:rsidRPr="0059691A">
        <w:rPr>
          <w:rFonts w:ascii="Times New Roman" w:hAnsi="Times New Roman"/>
          <w:lang w:val="en-HK"/>
        </w:rPr>
        <w:t xml:space="preserve"> emphasized the public-private duality of charity law, arguing for oversight mechanisms beyond the Attorney General to address issues such as resource limitations and misuse of charitable trusts for illegal activities.</w:t>
      </w:r>
    </w:p>
    <w:p w14:paraId="4E499A20"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Judicial Context:</w:t>
      </w:r>
    </w:p>
    <w:p w14:paraId="78AA9643" w14:textId="37A3641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lang w:val="en-HK"/>
        </w:rPr>
        <w:lastRenderedPageBreak/>
        <w:t>The study explores how courts balance flexibility and control when determining who qualifies as an "interested person" under the rule.</w:t>
      </w:r>
    </w:p>
    <w:p w14:paraId="435383F9" w14:textId="77777777" w:rsidR="0059691A" w:rsidRPr="0059691A" w:rsidRDefault="00E94EDA" w:rsidP="003F53BF">
      <w:pPr>
        <w:spacing w:line="360" w:lineRule="auto"/>
        <w:rPr>
          <w:rFonts w:ascii="Times New Roman" w:hAnsi="Times New Roman"/>
          <w:lang w:val="en-HK"/>
        </w:rPr>
      </w:pPr>
      <w:r w:rsidRPr="00E94EDA">
        <w:rPr>
          <w:rFonts w:ascii="Times New Roman" w:hAnsi="Times New Roman"/>
          <w:noProof/>
          <w:lang w:val="en-HK"/>
          <w14:ligatures w14:val="standardContextual"/>
        </w:rPr>
        <w:pict w14:anchorId="603980D9">
          <v:rect id="_x0000_i1041" alt="" style="width:451.3pt;height:.05pt;mso-width-percent:0;mso-height-percent:0;mso-width-percent:0;mso-height-percent:0" o:hralign="center" o:hrstd="t" o:hr="t" fillcolor="#a0a0a0" stroked="f"/>
        </w:pict>
      </w:r>
    </w:p>
    <w:p w14:paraId="75FAB60E" w14:textId="77777777" w:rsidR="0059691A" w:rsidRPr="0059691A" w:rsidRDefault="0059691A" w:rsidP="003F53BF">
      <w:pPr>
        <w:spacing w:before="100" w:beforeAutospacing="1" w:after="100" w:afterAutospacing="1" w:line="360" w:lineRule="auto"/>
        <w:outlineLvl w:val="2"/>
        <w:rPr>
          <w:rFonts w:ascii="Times New Roman" w:hAnsi="Times New Roman"/>
          <w:b/>
          <w:bCs/>
          <w:lang w:val="en-HK"/>
        </w:rPr>
      </w:pPr>
      <w:r w:rsidRPr="0059691A">
        <w:rPr>
          <w:rFonts w:ascii="Times New Roman" w:hAnsi="Times New Roman"/>
          <w:b/>
          <w:bCs/>
          <w:lang w:val="en-HK"/>
        </w:rPr>
        <w:t>Part 1: The Necessary Interest Rule</w:t>
      </w:r>
    </w:p>
    <w:p w14:paraId="2E2725AE"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lang w:val="en-HK"/>
        </w:rPr>
        <w:t xml:space="preserve">This section dissects the two core components of the rule: the </w:t>
      </w:r>
      <w:r w:rsidRPr="0059691A">
        <w:rPr>
          <w:rFonts w:ascii="Times New Roman" w:hAnsi="Times New Roman"/>
          <w:b/>
          <w:bCs/>
          <w:lang w:val="en-HK"/>
        </w:rPr>
        <w:t>necessary interest requirement</w:t>
      </w:r>
      <w:r w:rsidRPr="0059691A">
        <w:rPr>
          <w:rFonts w:ascii="Times New Roman" w:hAnsi="Times New Roman"/>
          <w:lang w:val="en-HK"/>
        </w:rPr>
        <w:t xml:space="preserve"> and the </w:t>
      </w:r>
      <w:r w:rsidRPr="0059691A">
        <w:rPr>
          <w:rFonts w:ascii="Times New Roman" w:hAnsi="Times New Roman"/>
          <w:b/>
          <w:bCs/>
          <w:lang w:val="en-HK"/>
        </w:rPr>
        <w:t>protective filter</w:t>
      </w:r>
      <w:r w:rsidRPr="0059691A">
        <w:rPr>
          <w:rFonts w:ascii="Times New Roman" w:hAnsi="Times New Roman"/>
          <w:lang w:val="en-HK"/>
        </w:rPr>
        <w:t>.</w:t>
      </w:r>
    </w:p>
    <w:p w14:paraId="2EDD61F3" w14:textId="77777777" w:rsidR="0059691A" w:rsidRPr="0059691A" w:rsidRDefault="0059691A" w:rsidP="003F53BF">
      <w:pPr>
        <w:spacing w:before="100" w:beforeAutospacing="1" w:after="100" w:afterAutospacing="1" w:line="360" w:lineRule="auto"/>
        <w:outlineLvl w:val="3"/>
        <w:rPr>
          <w:rFonts w:ascii="Times New Roman" w:hAnsi="Times New Roman"/>
          <w:b/>
          <w:bCs/>
          <w:lang w:val="en-HK"/>
        </w:rPr>
      </w:pPr>
      <w:r w:rsidRPr="0059691A">
        <w:rPr>
          <w:rFonts w:ascii="Times New Roman" w:hAnsi="Times New Roman"/>
          <w:b/>
          <w:bCs/>
          <w:lang w:val="en-HK"/>
        </w:rPr>
        <w:t>a. The Requirement of Necessary Interest</w:t>
      </w:r>
    </w:p>
    <w:p w14:paraId="7E0363AB" w14:textId="77777777" w:rsidR="0059691A" w:rsidRPr="0059691A" w:rsidRDefault="0059691A" w:rsidP="003F53BF">
      <w:pPr>
        <w:spacing w:before="100" w:beforeAutospacing="1" w:after="100" w:afterAutospacing="1" w:line="360" w:lineRule="auto"/>
        <w:outlineLvl w:val="4"/>
        <w:rPr>
          <w:rFonts w:ascii="Times New Roman" w:hAnsi="Times New Roman"/>
          <w:b/>
          <w:bCs/>
          <w:lang w:val="en-HK"/>
        </w:rPr>
      </w:pPr>
      <w:r w:rsidRPr="0059691A">
        <w:rPr>
          <w:rFonts w:ascii="Times New Roman" w:hAnsi="Times New Roman"/>
          <w:b/>
          <w:bCs/>
          <w:lang w:val="en-HK"/>
        </w:rPr>
        <w:t>Statutory Basis</w:t>
      </w:r>
    </w:p>
    <w:p w14:paraId="63138065"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highlight w:val="yellow"/>
          <w:lang w:val="en-HK"/>
        </w:rPr>
        <w:t>Section 115 of the Charities Act 2011:</w:t>
      </w:r>
    </w:p>
    <w:p w14:paraId="7E318478"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lang w:val="en-HK"/>
        </w:rPr>
        <w:t>Allows "</w:t>
      </w:r>
      <w:r w:rsidRPr="0059691A">
        <w:rPr>
          <w:rFonts w:ascii="Times New Roman" w:hAnsi="Times New Roman"/>
          <w:highlight w:val="yellow"/>
          <w:lang w:val="en-HK"/>
        </w:rPr>
        <w:t>any person interested in the charity" to initiate proceedings</w:t>
      </w:r>
      <w:r w:rsidRPr="0059691A">
        <w:rPr>
          <w:rFonts w:ascii="Times New Roman" w:hAnsi="Times New Roman"/>
          <w:lang w:val="en-HK"/>
        </w:rPr>
        <w:t xml:space="preserve"> related to the administration of a charitable trust.</w:t>
      </w:r>
    </w:p>
    <w:p w14:paraId="4CB3F15E"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lang w:val="en-HK"/>
        </w:rPr>
        <w:t>However, the phrase "person interested" is not explicitly defined, leaving its interpretation to judicial discretion.</w:t>
      </w:r>
    </w:p>
    <w:p w14:paraId="2E3F9411" w14:textId="77777777" w:rsidR="0059691A" w:rsidRPr="0059691A" w:rsidRDefault="0059691A" w:rsidP="003F53BF">
      <w:pPr>
        <w:spacing w:before="100" w:beforeAutospacing="1" w:after="100" w:afterAutospacing="1" w:line="360" w:lineRule="auto"/>
        <w:outlineLvl w:val="4"/>
        <w:rPr>
          <w:rFonts w:ascii="Times New Roman" w:hAnsi="Times New Roman"/>
          <w:b/>
          <w:bCs/>
          <w:lang w:val="en-HK"/>
        </w:rPr>
      </w:pPr>
      <w:r w:rsidRPr="0059691A">
        <w:rPr>
          <w:rFonts w:ascii="Times New Roman" w:hAnsi="Times New Roman"/>
          <w:b/>
          <w:bCs/>
          <w:lang w:val="en-HK"/>
        </w:rPr>
        <w:t>Judicial Interpretation</w:t>
      </w:r>
    </w:p>
    <w:p w14:paraId="58201FC0" w14:textId="77777777" w:rsidR="0059691A" w:rsidRPr="0059691A" w:rsidRDefault="0059691A" w:rsidP="003F53BF">
      <w:pPr>
        <w:numPr>
          <w:ilvl w:val="0"/>
          <w:numId w:val="3"/>
        </w:num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Interest in the Due Administration of Charities</w:t>
      </w:r>
    </w:p>
    <w:p w14:paraId="636EDED7" w14:textId="77777777" w:rsidR="0059691A" w:rsidRPr="0059691A" w:rsidRDefault="0059691A" w:rsidP="003F53BF">
      <w:pPr>
        <w:spacing w:before="100" w:beforeAutospacing="1" w:after="100" w:afterAutospacing="1" w:line="360" w:lineRule="auto"/>
        <w:rPr>
          <w:rFonts w:ascii="Times New Roman" w:hAnsi="Times New Roman"/>
          <w:lang w:val="en-HK"/>
        </w:rPr>
      </w:pPr>
      <w:proofErr w:type="spellStart"/>
      <w:r w:rsidRPr="0059691A">
        <w:rPr>
          <w:rFonts w:ascii="Times New Roman" w:hAnsi="Times New Roman"/>
          <w:b/>
          <w:bCs/>
          <w:lang w:val="en-HK"/>
        </w:rPr>
        <w:t>Haslemere</w:t>
      </w:r>
      <w:proofErr w:type="spellEnd"/>
      <w:r w:rsidRPr="0059691A">
        <w:rPr>
          <w:rFonts w:ascii="Times New Roman" w:hAnsi="Times New Roman"/>
          <w:b/>
          <w:bCs/>
          <w:lang w:val="en-HK"/>
        </w:rPr>
        <w:t xml:space="preserve"> Estates v Baker (1982):</w:t>
      </w:r>
    </w:p>
    <w:p w14:paraId="2F67D2FF" w14:textId="77777777" w:rsidR="0059691A" w:rsidRPr="0059691A" w:rsidRDefault="0059691A" w:rsidP="003F53BF">
      <w:pPr>
        <w:numPr>
          <w:ilvl w:val="2"/>
          <w:numId w:val="3"/>
        </w:num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 xml:space="preserve">Sir Robert </w:t>
      </w:r>
      <w:proofErr w:type="spellStart"/>
      <w:r w:rsidRPr="0059691A">
        <w:rPr>
          <w:rFonts w:ascii="Times New Roman" w:hAnsi="Times New Roman"/>
          <w:b/>
          <w:bCs/>
          <w:lang w:val="en-HK"/>
        </w:rPr>
        <w:t>Megarry</w:t>
      </w:r>
      <w:proofErr w:type="spellEnd"/>
      <w:r w:rsidRPr="0059691A">
        <w:rPr>
          <w:rFonts w:ascii="Times New Roman" w:hAnsi="Times New Roman"/>
          <w:lang w:val="en-HK"/>
        </w:rPr>
        <w:t xml:space="preserve"> distinguished between persons with legitimate interests in the charity's administration and those pursuing personal gain.</w:t>
      </w:r>
    </w:p>
    <w:p w14:paraId="3D1641E6" w14:textId="612AB7AB" w:rsidR="0059691A" w:rsidRPr="0059691A" w:rsidRDefault="0059691A" w:rsidP="003F53BF">
      <w:pPr>
        <w:numPr>
          <w:ilvl w:val="2"/>
          <w:numId w:val="3"/>
        </w:numPr>
        <w:spacing w:before="100" w:beforeAutospacing="1" w:after="100" w:afterAutospacing="1" w:line="360" w:lineRule="auto"/>
        <w:rPr>
          <w:rFonts w:ascii="Times New Roman" w:hAnsi="Times New Roman"/>
          <w:lang w:val="en-HK"/>
        </w:rPr>
      </w:pPr>
      <w:r w:rsidRPr="0059691A">
        <w:rPr>
          <w:rFonts w:ascii="Times New Roman" w:hAnsi="Times New Roman"/>
          <w:lang w:val="en-HK"/>
        </w:rPr>
        <w:t>A claimant must demonstrate "good reason" for seeking the charity's proper administration.</w:t>
      </w:r>
    </w:p>
    <w:p w14:paraId="19EAF66A"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Re Hampton Fuel Allotment Charity (1989):</w:t>
      </w:r>
    </w:p>
    <w:p w14:paraId="65FBFC86" w14:textId="77777777" w:rsidR="0059691A" w:rsidRPr="0059691A" w:rsidRDefault="0059691A" w:rsidP="003F53BF">
      <w:pPr>
        <w:numPr>
          <w:ilvl w:val="2"/>
          <w:numId w:val="3"/>
        </w:numPr>
        <w:spacing w:before="100" w:beforeAutospacing="1" w:after="100" w:afterAutospacing="1" w:line="360" w:lineRule="auto"/>
        <w:rPr>
          <w:rFonts w:ascii="Times New Roman" w:hAnsi="Times New Roman"/>
          <w:lang w:val="en-HK"/>
        </w:rPr>
      </w:pPr>
      <w:r w:rsidRPr="0059691A">
        <w:rPr>
          <w:rFonts w:ascii="Times New Roman" w:hAnsi="Times New Roman"/>
          <w:lang w:val="en-HK"/>
        </w:rPr>
        <w:t>Nicholls LJ emphasized that the claimant's interest must be "materially greater than or different from that possessed by ordinary members of the public."</w:t>
      </w:r>
    </w:p>
    <w:p w14:paraId="0F138D7B" w14:textId="77777777" w:rsidR="0059691A" w:rsidRPr="0059691A" w:rsidRDefault="0059691A" w:rsidP="003F53BF">
      <w:pPr>
        <w:numPr>
          <w:ilvl w:val="2"/>
          <w:numId w:val="3"/>
        </w:numPr>
        <w:spacing w:before="100" w:beforeAutospacing="1" w:after="100" w:afterAutospacing="1" w:line="360" w:lineRule="auto"/>
        <w:rPr>
          <w:rFonts w:ascii="Times New Roman" w:hAnsi="Times New Roman"/>
          <w:lang w:val="en-HK"/>
        </w:rPr>
      </w:pPr>
      <w:r w:rsidRPr="0059691A">
        <w:rPr>
          <w:rFonts w:ascii="Times New Roman" w:hAnsi="Times New Roman"/>
          <w:lang w:val="en-HK"/>
        </w:rPr>
        <w:t>Established a two-stage test:</w:t>
      </w:r>
    </w:p>
    <w:p w14:paraId="7C275144" w14:textId="4D6F2B76" w:rsidR="0059691A" w:rsidRPr="0059691A" w:rsidRDefault="0059691A" w:rsidP="003F53BF">
      <w:pPr>
        <w:numPr>
          <w:ilvl w:val="3"/>
          <w:numId w:val="3"/>
        </w:numPr>
        <w:spacing w:before="100" w:beforeAutospacing="1" w:after="100" w:afterAutospacing="1" w:line="360" w:lineRule="auto"/>
        <w:rPr>
          <w:rFonts w:ascii="Times New Roman" w:hAnsi="Times New Roman"/>
          <w:lang w:val="en-HK"/>
        </w:rPr>
      </w:pPr>
      <w:r w:rsidRPr="0059691A">
        <w:rPr>
          <w:rFonts w:ascii="Times New Roman" w:hAnsi="Times New Roman"/>
          <w:lang w:val="en-HK"/>
        </w:rPr>
        <w:lastRenderedPageBreak/>
        <w:t>Does the person have a necessary interest?</w:t>
      </w:r>
      <w:r w:rsidR="00033BFB" w:rsidRPr="003F53BF">
        <w:rPr>
          <w:rFonts w:ascii="Times New Roman" w:hAnsi="Times New Roman"/>
          <w:lang w:val="en-HK"/>
        </w:rPr>
        <w:t xml:space="preserve"> (proximity) </w:t>
      </w:r>
    </w:p>
    <w:p w14:paraId="0B6596A4" w14:textId="77777777" w:rsidR="0059691A" w:rsidRPr="003F53BF" w:rsidRDefault="0059691A" w:rsidP="003F53BF">
      <w:pPr>
        <w:numPr>
          <w:ilvl w:val="3"/>
          <w:numId w:val="3"/>
        </w:numPr>
        <w:spacing w:before="100" w:beforeAutospacing="1" w:after="100" w:afterAutospacing="1" w:line="360" w:lineRule="auto"/>
        <w:rPr>
          <w:rFonts w:ascii="Times New Roman" w:hAnsi="Times New Roman"/>
          <w:lang w:val="en-HK"/>
        </w:rPr>
      </w:pPr>
      <w:r w:rsidRPr="0059691A">
        <w:rPr>
          <w:rFonts w:ascii="Times New Roman" w:hAnsi="Times New Roman"/>
          <w:lang w:val="en-HK"/>
        </w:rPr>
        <w:t>Is the interest sufficiently grave to warrant proceedings?</w:t>
      </w:r>
    </w:p>
    <w:p w14:paraId="668503D6" w14:textId="77777777" w:rsidR="00033BFB" w:rsidRPr="00033BFB" w:rsidRDefault="00033BFB" w:rsidP="003F53BF">
      <w:p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Gravity = Importance:</w:t>
      </w:r>
      <w:r w:rsidRPr="00033BFB">
        <w:rPr>
          <w:rFonts w:ascii="Times New Roman" w:hAnsi="Times New Roman"/>
          <w:lang w:val="en-HK"/>
        </w:rPr>
        <w:t xml:space="preserve"> Refers to the </w:t>
      </w:r>
      <w:r w:rsidRPr="00033BFB">
        <w:rPr>
          <w:rFonts w:ascii="Times New Roman" w:hAnsi="Times New Roman"/>
          <w:b/>
          <w:bCs/>
          <w:lang w:val="en-HK"/>
        </w:rPr>
        <w:t>significance or weight</w:t>
      </w:r>
      <w:r w:rsidRPr="00033BFB">
        <w:rPr>
          <w:rFonts w:ascii="Times New Roman" w:hAnsi="Times New Roman"/>
          <w:lang w:val="en-HK"/>
        </w:rPr>
        <w:t xml:space="preserve"> of the claimant's interest. It assesses whether the interest is </w:t>
      </w:r>
      <w:r w:rsidRPr="00033BFB">
        <w:rPr>
          <w:rFonts w:ascii="Times New Roman" w:hAnsi="Times New Roman"/>
          <w:b/>
          <w:bCs/>
          <w:lang w:val="en-HK"/>
        </w:rPr>
        <w:t>substantial enough</w:t>
      </w:r>
      <w:r w:rsidRPr="00033BFB">
        <w:rPr>
          <w:rFonts w:ascii="Times New Roman" w:hAnsi="Times New Roman"/>
          <w:lang w:val="en-HK"/>
        </w:rPr>
        <w:t xml:space="preserve"> to warrant the court's intervention. A strong interest that materially impacts the administration or objectives of the charity meets the gravity requirement.</w:t>
      </w:r>
    </w:p>
    <w:p w14:paraId="17F10B47" w14:textId="77777777" w:rsidR="00033BFB" w:rsidRPr="00033BFB" w:rsidRDefault="00033BFB" w:rsidP="003F53BF">
      <w:p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Proximity = Relevance:</w:t>
      </w:r>
      <w:r w:rsidRPr="00033BFB">
        <w:rPr>
          <w:rFonts w:ascii="Times New Roman" w:hAnsi="Times New Roman"/>
          <w:lang w:val="en-HK"/>
        </w:rPr>
        <w:t xml:space="preserve"> Refers to the </w:t>
      </w:r>
      <w:r w:rsidRPr="00033BFB">
        <w:rPr>
          <w:rFonts w:ascii="Times New Roman" w:hAnsi="Times New Roman"/>
          <w:b/>
          <w:bCs/>
          <w:lang w:val="en-HK"/>
        </w:rPr>
        <w:t>closeness or directness</w:t>
      </w:r>
      <w:r w:rsidRPr="00033BFB">
        <w:rPr>
          <w:rFonts w:ascii="Times New Roman" w:hAnsi="Times New Roman"/>
          <w:lang w:val="en-HK"/>
        </w:rPr>
        <w:t xml:space="preserve"> of the relationship between the claimant and the charity or its administration. It evaluates whether the claimant's interest is </w:t>
      </w:r>
      <w:r w:rsidRPr="00033BFB">
        <w:rPr>
          <w:rFonts w:ascii="Times New Roman" w:hAnsi="Times New Roman"/>
          <w:b/>
          <w:bCs/>
          <w:lang w:val="en-HK"/>
        </w:rPr>
        <w:t>connected to the specific charitable purposes or operations</w:t>
      </w:r>
      <w:r w:rsidRPr="00033BFB">
        <w:rPr>
          <w:rFonts w:ascii="Times New Roman" w:hAnsi="Times New Roman"/>
          <w:lang w:val="en-HK"/>
        </w:rPr>
        <w:t xml:space="preserve"> in question.</w:t>
      </w:r>
    </w:p>
    <w:p w14:paraId="154A50CD" w14:textId="77777777" w:rsidR="00033BFB" w:rsidRPr="00033BFB" w:rsidRDefault="00E94EDA" w:rsidP="003F53BF">
      <w:pPr>
        <w:spacing w:line="360" w:lineRule="auto"/>
        <w:rPr>
          <w:rFonts w:ascii="Times New Roman" w:hAnsi="Times New Roman"/>
          <w:lang w:val="en-HK"/>
        </w:rPr>
      </w:pPr>
      <w:r w:rsidRPr="00E94EDA">
        <w:rPr>
          <w:rFonts w:ascii="Times New Roman" w:hAnsi="Times New Roman"/>
          <w:noProof/>
          <w:lang w:val="en-HK"/>
          <w14:ligatures w14:val="standardContextual"/>
        </w:rPr>
        <w:pict w14:anchorId="2E2431EE">
          <v:rect id="_x0000_i1040" alt="" style="width:451.3pt;height:.05pt;mso-width-percent:0;mso-height-percent:0;mso-width-percent:0;mso-height-percent:0" o:hralign="center" o:hrstd="t" o:hr="t" fillcolor="#a0a0a0" stroked="f"/>
        </w:pict>
      </w:r>
    </w:p>
    <w:p w14:paraId="5F0A902D" w14:textId="77777777" w:rsidR="00033BFB" w:rsidRPr="00033BFB" w:rsidRDefault="00033BFB" w:rsidP="003F53BF">
      <w:pPr>
        <w:spacing w:before="100" w:beforeAutospacing="1" w:after="100" w:afterAutospacing="1" w:line="360" w:lineRule="auto"/>
        <w:outlineLvl w:val="2"/>
        <w:rPr>
          <w:rFonts w:ascii="Times New Roman" w:hAnsi="Times New Roman"/>
          <w:b/>
          <w:bCs/>
          <w:lang w:val="en-HK"/>
        </w:rPr>
      </w:pPr>
      <w:r w:rsidRPr="00033BFB">
        <w:rPr>
          <w:rFonts w:ascii="Times New Roman" w:hAnsi="Times New Roman"/>
          <w:b/>
          <w:bCs/>
          <w:lang w:val="en-HK"/>
        </w:rPr>
        <w:t>Key Differences</w:t>
      </w:r>
    </w:p>
    <w:p w14:paraId="334A0808" w14:textId="77777777" w:rsidR="00033BFB" w:rsidRPr="00033BFB" w:rsidRDefault="00033BFB" w:rsidP="003F53BF">
      <w:pPr>
        <w:numPr>
          <w:ilvl w:val="0"/>
          <w:numId w:val="29"/>
        </w:num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Gravity (Importance):</w:t>
      </w:r>
    </w:p>
    <w:p w14:paraId="3A22F426" w14:textId="77777777" w:rsidR="00033BFB" w:rsidRPr="00033BFB" w:rsidRDefault="00033BFB" w:rsidP="003F53BF">
      <w:p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Focus:</w:t>
      </w:r>
      <w:r w:rsidRPr="00033BFB">
        <w:rPr>
          <w:rFonts w:ascii="Times New Roman" w:hAnsi="Times New Roman"/>
          <w:lang w:val="en-HK"/>
        </w:rPr>
        <w:t xml:space="preserve"> The </w:t>
      </w:r>
      <w:r w:rsidRPr="00033BFB">
        <w:rPr>
          <w:rFonts w:ascii="Times New Roman" w:hAnsi="Times New Roman"/>
          <w:b/>
          <w:bCs/>
          <w:lang w:val="en-HK"/>
        </w:rPr>
        <w:t>substantiality</w:t>
      </w:r>
      <w:r w:rsidRPr="00033BFB">
        <w:rPr>
          <w:rFonts w:ascii="Times New Roman" w:hAnsi="Times New Roman"/>
          <w:lang w:val="en-HK"/>
        </w:rPr>
        <w:t xml:space="preserve"> of the interest.</w:t>
      </w:r>
    </w:p>
    <w:p w14:paraId="69FD1617" w14:textId="77777777" w:rsidR="00033BFB" w:rsidRPr="00033BFB" w:rsidRDefault="00033BFB" w:rsidP="003F53BF">
      <w:p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Example:</w:t>
      </w:r>
      <w:r w:rsidRPr="00033BFB">
        <w:rPr>
          <w:rFonts w:ascii="Times New Roman" w:hAnsi="Times New Roman"/>
          <w:lang w:val="en-HK"/>
        </w:rPr>
        <w:t xml:space="preserve"> A significant financial stake, direct contractual relationship, or vital role in the charity’s purposes shows gravity.</w:t>
      </w:r>
    </w:p>
    <w:p w14:paraId="2D456AB7" w14:textId="77777777" w:rsidR="00033BFB" w:rsidRPr="00033BFB" w:rsidRDefault="00033BFB" w:rsidP="003F53BF">
      <w:p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Threshold:</w:t>
      </w:r>
      <w:r w:rsidRPr="00033BFB">
        <w:rPr>
          <w:rFonts w:ascii="Times New Roman" w:hAnsi="Times New Roman"/>
          <w:lang w:val="en-HK"/>
        </w:rPr>
        <w:t xml:space="preserve"> The claimant’s interest must be materially greater than that of ordinary members of the public (</w:t>
      </w:r>
      <w:r w:rsidRPr="00033BFB">
        <w:rPr>
          <w:rFonts w:ascii="Times New Roman" w:hAnsi="Times New Roman"/>
          <w:i/>
          <w:iCs/>
          <w:lang w:val="en-HK"/>
        </w:rPr>
        <w:t>Re Hampton Fuel Allotment Charity</w:t>
      </w:r>
      <w:r w:rsidRPr="00033BFB">
        <w:rPr>
          <w:rFonts w:ascii="Times New Roman" w:hAnsi="Times New Roman"/>
          <w:lang w:val="en-HK"/>
        </w:rPr>
        <w:t>).</w:t>
      </w:r>
    </w:p>
    <w:p w14:paraId="5B1BB9B5" w14:textId="77777777" w:rsidR="00033BFB" w:rsidRPr="00033BFB" w:rsidRDefault="00033BFB" w:rsidP="003F53BF">
      <w:pPr>
        <w:numPr>
          <w:ilvl w:val="0"/>
          <w:numId w:val="29"/>
        </w:num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Proximity (Relevance):</w:t>
      </w:r>
    </w:p>
    <w:p w14:paraId="51B03CAE" w14:textId="77777777" w:rsidR="00033BFB" w:rsidRPr="00033BFB" w:rsidRDefault="00033BFB" w:rsidP="003F53BF">
      <w:p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Focus:</w:t>
      </w:r>
      <w:r w:rsidRPr="00033BFB">
        <w:rPr>
          <w:rFonts w:ascii="Times New Roman" w:hAnsi="Times New Roman"/>
          <w:lang w:val="en-HK"/>
        </w:rPr>
        <w:t xml:space="preserve"> The </w:t>
      </w:r>
      <w:r w:rsidRPr="00033BFB">
        <w:rPr>
          <w:rFonts w:ascii="Times New Roman" w:hAnsi="Times New Roman"/>
          <w:b/>
          <w:bCs/>
          <w:lang w:val="en-HK"/>
        </w:rPr>
        <w:t>connection</w:t>
      </w:r>
      <w:r w:rsidRPr="00033BFB">
        <w:rPr>
          <w:rFonts w:ascii="Times New Roman" w:hAnsi="Times New Roman"/>
          <w:lang w:val="en-HK"/>
        </w:rPr>
        <w:t xml:space="preserve"> between the claimant and the charity.</w:t>
      </w:r>
    </w:p>
    <w:p w14:paraId="7114B693" w14:textId="77777777" w:rsidR="00033BFB" w:rsidRPr="00033BFB" w:rsidRDefault="00033BFB" w:rsidP="003F53BF">
      <w:p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Example:</w:t>
      </w:r>
      <w:r w:rsidRPr="00033BFB">
        <w:rPr>
          <w:rFonts w:ascii="Times New Roman" w:hAnsi="Times New Roman"/>
          <w:lang w:val="en-HK"/>
        </w:rPr>
        <w:t xml:space="preserve"> Claimants directly impacted by the charity’s actions or closely involved in its administration demonstrate proximity.</w:t>
      </w:r>
    </w:p>
    <w:p w14:paraId="42AD1DAA" w14:textId="77777777" w:rsidR="00033BFB" w:rsidRPr="00033BFB" w:rsidRDefault="00033BFB" w:rsidP="003F53BF">
      <w:p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Context:</w:t>
      </w:r>
      <w:r w:rsidRPr="00033BFB">
        <w:rPr>
          <w:rFonts w:ascii="Times New Roman" w:hAnsi="Times New Roman"/>
          <w:lang w:val="en-HK"/>
        </w:rPr>
        <w:t xml:space="preserve"> The proximity helps establish that the claimant’s interest is not just abstract or sentimental.</w:t>
      </w:r>
    </w:p>
    <w:p w14:paraId="0657CAC5" w14:textId="77777777" w:rsidR="00033BFB" w:rsidRPr="00033BFB" w:rsidRDefault="00E94EDA" w:rsidP="003F53BF">
      <w:pPr>
        <w:spacing w:line="360" w:lineRule="auto"/>
        <w:rPr>
          <w:rFonts w:ascii="Times New Roman" w:hAnsi="Times New Roman"/>
          <w:lang w:val="en-HK"/>
        </w:rPr>
      </w:pPr>
      <w:r w:rsidRPr="00E94EDA">
        <w:rPr>
          <w:rFonts w:ascii="Times New Roman" w:hAnsi="Times New Roman"/>
          <w:noProof/>
          <w:lang w:val="en-HK"/>
          <w14:ligatures w14:val="standardContextual"/>
        </w:rPr>
        <w:pict w14:anchorId="3D9C54E6">
          <v:rect id="_x0000_i1039" alt="" style="width:451.3pt;height:.05pt;mso-width-percent:0;mso-height-percent:0;mso-width-percent:0;mso-height-percent:0" o:hralign="center" o:hrstd="t" o:hr="t" fillcolor="#a0a0a0" stroked="f"/>
        </w:pict>
      </w:r>
    </w:p>
    <w:p w14:paraId="710A8A08" w14:textId="77777777" w:rsidR="00033BFB" w:rsidRPr="00033BFB" w:rsidRDefault="00033BFB" w:rsidP="003F53BF">
      <w:pPr>
        <w:spacing w:before="100" w:beforeAutospacing="1" w:after="100" w:afterAutospacing="1" w:line="360" w:lineRule="auto"/>
        <w:outlineLvl w:val="2"/>
        <w:rPr>
          <w:rFonts w:ascii="Times New Roman" w:hAnsi="Times New Roman"/>
          <w:b/>
          <w:bCs/>
          <w:lang w:val="en-HK"/>
        </w:rPr>
      </w:pPr>
      <w:r w:rsidRPr="00033BFB">
        <w:rPr>
          <w:rFonts w:ascii="Times New Roman" w:hAnsi="Times New Roman"/>
          <w:b/>
          <w:bCs/>
          <w:lang w:val="en-HK"/>
        </w:rPr>
        <w:lastRenderedPageBreak/>
        <w:t>Interplay Between the Two</w:t>
      </w:r>
    </w:p>
    <w:p w14:paraId="3C5E4407" w14:textId="77777777" w:rsidR="00033BFB" w:rsidRPr="00033BFB" w:rsidRDefault="00033BFB" w:rsidP="003F53BF">
      <w:p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Proximity supports gravity:</w:t>
      </w:r>
      <w:r w:rsidRPr="00033BFB">
        <w:rPr>
          <w:rFonts w:ascii="Times New Roman" w:hAnsi="Times New Roman"/>
          <w:lang w:val="en-HK"/>
        </w:rPr>
        <w:t xml:space="preserve"> A closer and more direct relationship often indicates a significant (important) interest.</w:t>
      </w:r>
    </w:p>
    <w:p w14:paraId="07648269" w14:textId="77777777" w:rsidR="00033BFB" w:rsidRPr="00033BFB" w:rsidRDefault="00033BFB" w:rsidP="003F53BF">
      <w:p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Gravity validates proximity:</w:t>
      </w:r>
      <w:r w:rsidRPr="00033BFB">
        <w:rPr>
          <w:rFonts w:ascii="Times New Roman" w:hAnsi="Times New Roman"/>
          <w:lang w:val="en-HK"/>
        </w:rPr>
        <w:t xml:space="preserve"> Even if there is proximity, the court still examines whether the interest is </w:t>
      </w:r>
      <w:r w:rsidRPr="00033BFB">
        <w:rPr>
          <w:rFonts w:ascii="Times New Roman" w:hAnsi="Times New Roman"/>
          <w:b/>
          <w:bCs/>
          <w:lang w:val="en-HK"/>
        </w:rPr>
        <w:t>substantial</w:t>
      </w:r>
      <w:r w:rsidRPr="00033BFB">
        <w:rPr>
          <w:rFonts w:ascii="Times New Roman" w:hAnsi="Times New Roman"/>
          <w:lang w:val="en-HK"/>
        </w:rPr>
        <w:t xml:space="preserve"> enough to justify standing.</w:t>
      </w:r>
    </w:p>
    <w:p w14:paraId="35EB9CA9" w14:textId="77777777" w:rsidR="00033BFB" w:rsidRPr="00033BFB" w:rsidRDefault="00E94EDA" w:rsidP="003F53BF">
      <w:pPr>
        <w:spacing w:line="360" w:lineRule="auto"/>
        <w:rPr>
          <w:rFonts w:ascii="Times New Roman" w:hAnsi="Times New Roman"/>
          <w:lang w:val="en-HK"/>
        </w:rPr>
      </w:pPr>
      <w:r w:rsidRPr="00E94EDA">
        <w:rPr>
          <w:rFonts w:ascii="Times New Roman" w:hAnsi="Times New Roman"/>
          <w:noProof/>
          <w:lang w:val="en-HK"/>
          <w14:ligatures w14:val="standardContextual"/>
        </w:rPr>
        <w:pict w14:anchorId="3171C270">
          <v:rect id="_x0000_i1038" alt="" style="width:451.3pt;height:.05pt;mso-width-percent:0;mso-height-percent:0;mso-width-percent:0;mso-height-percent:0" o:hralign="center" o:hrstd="t" o:hr="t" fillcolor="#a0a0a0" stroked="f"/>
        </w:pict>
      </w:r>
    </w:p>
    <w:p w14:paraId="2AE5C0CF" w14:textId="77777777" w:rsidR="00033BFB" w:rsidRPr="00033BFB" w:rsidRDefault="00033BFB" w:rsidP="003F53BF">
      <w:pPr>
        <w:spacing w:before="100" w:beforeAutospacing="1" w:after="100" w:afterAutospacing="1" w:line="360" w:lineRule="auto"/>
        <w:outlineLvl w:val="2"/>
        <w:rPr>
          <w:rFonts w:ascii="Times New Roman" w:hAnsi="Times New Roman"/>
          <w:b/>
          <w:bCs/>
          <w:lang w:val="en-HK"/>
        </w:rPr>
      </w:pPr>
      <w:r w:rsidRPr="00033BFB">
        <w:rPr>
          <w:rFonts w:ascii="Times New Roman" w:hAnsi="Times New Roman"/>
          <w:b/>
          <w:bCs/>
          <w:lang w:val="en-HK"/>
        </w:rPr>
        <w:t>Illustration from Case Law</w:t>
      </w:r>
    </w:p>
    <w:p w14:paraId="4B228EA1" w14:textId="77777777" w:rsidR="00033BFB" w:rsidRPr="00033BFB" w:rsidRDefault="00033BFB" w:rsidP="003F53BF">
      <w:pPr>
        <w:numPr>
          <w:ilvl w:val="0"/>
          <w:numId w:val="31"/>
        </w:num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Scott v National Trust (1998):</w:t>
      </w:r>
    </w:p>
    <w:p w14:paraId="07C690A1" w14:textId="77777777" w:rsidR="00033BFB" w:rsidRPr="00033BFB" w:rsidRDefault="00033BFB" w:rsidP="003F53BF">
      <w:p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Proximity:</w:t>
      </w:r>
      <w:r w:rsidRPr="00033BFB">
        <w:rPr>
          <w:rFonts w:ascii="Times New Roman" w:hAnsi="Times New Roman"/>
          <w:lang w:val="en-HK"/>
        </w:rPr>
        <w:t xml:space="preserve"> Tenant farmers were directly involved in preserving deer populations, aligning closely with the National Trust's objectives.</w:t>
      </w:r>
    </w:p>
    <w:p w14:paraId="67A737AB" w14:textId="77777777" w:rsidR="00033BFB" w:rsidRPr="00033BFB" w:rsidRDefault="00033BFB" w:rsidP="003F53BF">
      <w:p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Gravity:</w:t>
      </w:r>
      <w:r w:rsidRPr="00033BFB">
        <w:rPr>
          <w:rFonts w:ascii="Times New Roman" w:hAnsi="Times New Roman"/>
          <w:lang w:val="en-HK"/>
        </w:rPr>
        <w:t xml:space="preserve"> Their interest in the charity's administration was materially greater than that of the general public because it directly affected their livelihood and the local economy.</w:t>
      </w:r>
    </w:p>
    <w:p w14:paraId="150F8A64" w14:textId="77777777" w:rsidR="00033BFB" w:rsidRPr="00033BFB" w:rsidRDefault="00033BFB" w:rsidP="003F53BF">
      <w:pPr>
        <w:numPr>
          <w:ilvl w:val="0"/>
          <w:numId w:val="31"/>
        </w:num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Gunning v Buckfast Abbey Trustees (1994):</w:t>
      </w:r>
    </w:p>
    <w:p w14:paraId="103CEE0E" w14:textId="77777777" w:rsidR="00033BFB" w:rsidRPr="00033BFB" w:rsidRDefault="00033BFB" w:rsidP="003F53BF">
      <w:p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Proximity:</w:t>
      </w:r>
      <w:r w:rsidRPr="00033BFB">
        <w:rPr>
          <w:rFonts w:ascii="Times New Roman" w:hAnsi="Times New Roman"/>
          <w:lang w:val="en-HK"/>
        </w:rPr>
        <w:t xml:space="preserve"> Parents had a contractual relationship with the school run by the charity.</w:t>
      </w:r>
    </w:p>
    <w:p w14:paraId="0C854CC1" w14:textId="77777777" w:rsidR="00033BFB" w:rsidRPr="00033BFB" w:rsidRDefault="00033BFB" w:rsidP="003F53BF">
      <w:p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Gravity:</w:t>
      </w:r>
      <w:r w:rsidRPr="00033BFB">
        <w:rPr>
          <w:rFonts w:ascii="Times New Roman" w:hAnsi="Times New Roman"/>
          <w:lang w:val="en-HK"/>
        </w:rPr>
        <w:t xml:space="preserve"> The closure of the school significantly impacted their children's education, making their interest both relevant and important.</w:t>
      </w:r>
    </w:p>
    <w:p w14:paraId="70DE4E65" w14:textId="77777777" w:rsidR="00033BFB" w:rsidRPr="00033BFB" w:rsidRDefault="00E94EDA" w:rsidP="003F53BF">
      <w:pPr>
        <w:spacing w:line="360" w:lineRule="auto"/>
        <w:rPr>
          <w:rFonts w:ascii="Times New Roman" w:hAnsi="Times New Roman"/>
          <w:lang w:val="en-HK"/>
        </w:rPr>
      </w:pPr>
      <w:r w:rsidRPr="00E94EDA">
        <w:rPr>
          <w:rFonts w:ascii="Times New Roman" w:hAnsi="Times New Roman"/>
          <w:noProof/>
          <w:lang w:val="en-HK"/>
          <w14:ligatures w14:val="standardContextual"/>
        </w:rPr>
        <w:pict w14:anchorId="743D1614">
          <v:rect id="_x0000_i1037" alt="" style="width:451.3pt;height:.05pt;mso-width-percent:0;mso-height-percent:0;mso-width-percent:0;mso-height-percent:0" o:hralign="center" o:hrstd="t" o:hr="t" fillcolor="#a0a0a0" stroked="f"/>
        </w:pict>
      </w:r>
    </w:p>
    <w:p w14:paraId="1B726112" w14:textId="77777777" w:rsidR="00033BFB" w:rsidRPr="00033BFB" w:rsidRDefault="00033BFB" w:rsidP="003F53BF">
      <w:pPr>
        <w:spacing w:before="100" w:beforeAutospacing="1" w:after="100" w:afterAutospacing="1" w:line="360" w:lineRule="auto"/>
        <w:outlineLvl w:val="2"/>
        <w:rPr>
          <w:rFonts w:ascii="Times New Roman" w:hAnsi="Times New Roman"/>
          <w:b/>
          <w:bCs/>
          <w:lang w:val="en-HK"/>
        </w:rPr>
      </w:pPr>
      <w:r w:rsidRPr="00033BFB">
        <w:rPr>
          <w:rFonts w:ascii="Times New Roman" w:hAnsi="Times New Roman"/>
          <w:b/>
          <w:bCs/>
          <w:lang w:val="en-HK"/>
        </w:rPr>
        <w:t>Simplified Summary</w:t>
      </w:r>
    </w:p>
    <w:p w14:paraId="0E02A411" w14:textId="77777777" w:rsidR="00033BFB" w:rsidRPr="00033BFB" w:rsidRDefault="00033BFB" w:rsidP="003F53BF">
      <w:p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Gravity = Importance (substantial interest).</w:t>
      </w:r>
    </w:p>
    <w:p w14:paraId="534F0B36" w14:textId="432FE489" w:rsidR="00033BFB" w:rsidRPr="0059691A" w:rsidRDefault="00033BFB" w:rsidP="003F53BF">
      <w:pPr>
        <w:spacing w:before="100" w:beforeAutospacing="1" w:after="100" w:afterAutospacing="1" w:line="360" w:lineRule="auto"/>
        <w:rPr>
          <w:rFonts w:ascii="Times New Roman" w:hAnsi="Times New Roman"/>
          <w:lang w:val="en-HK"/>
        </w:rPr>
      </w:pPr>
      <w:r w:rsidRPr="00033BFB">
        <w:rPr>
          <w:rFonts w:ascii="Times New Roman" w:hAnsi="Times New Roman"/>
          <w:b/>
          <w:bCs/>
          <w:lang w:val="en-HK"/>
        </w:rPr>
        <w:t>Proximity = Relevance (direct connection).</w:t>
      </w:r>
    </w:p>
    <w:p w14:paraId="5350CB7F"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Examples of Application:</w:t>
      </w:r>
    </w:p>
    <w:p w14:paraId="5D9BB0A2"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Gunning v Buckfast Abbey Trustees (1994):</w:t>
      </w:r>
      <w:r w:rsidRPr="0059691A">
        <w:rPr>
          <w:rFonts w:ascii="Times New Roman" w:hAnsi="Times New Roman"/>
          <w:lang w:val="en-HK"/>
        </w:rPr>
        <w:t xml:space="preserve"> Parents of students at a charity-run school had a materially greater interest due to their contractual relationship with the school.</w:t>
      </w:r>
    </w:p>
    <w:p w14:paraId="38D42D77"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lastRenderedPageBreak/>
        <w:t>Scott v National Trust (1998):</w:t>
      </w:r>
      <w:r w:rsidRPr="0059691A">
        <w:rPr>
          <w:rFonts w:ascii="Times New Roman" w:hAnsi="Times New Roman"/>
          <w:lang w:val="en-HK"/>
        </w:rPr>
        <w:t xml:space="preserve"> Tenant farmers, integral to the preservation of deer populations on National Trust land, were considered "interested persons."</w:t>
      </w:r>
    </w:p>
    <w:p w14:paraId="3EE0F650" w14:textId="77777777" w:rsidR="0059691A" w:rsidRPr="0059691A" w:rsidRDefault="0059691A" w:rsidP="003F53BF">
      <w:pPr>
        <w:numPr>
          <w:ilvl w:val="0"/>
          <w:numId w:val="3"/>
        </w:num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Beneficial Interest in Charity Assets</w:t>
      </w:r>
    </w:p>
    <w:p w14:paraId="57562ADC"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Bradshaw v University College of Wales (1988):</w:t>
      </w:r>
    </w:p>
    <w:p w14:paraId="1FB724EC"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lang w:val="en-HK"/>
        </w:rPr>
        <w:t>Hoffmann J proposed that "interested persons" should hold or have an analogous beneficial interest in trust assets.</w:t>
      </w:r>
    </w:p>
    <w:p w14:paraId="501033E5"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lang w:val="en-HK"/>
        </w:rPr>
        <w:t>Example: Executors of a deceased settlor were denied standing as they lacked a direct beneficial interest.</w:t>
      </w:r>
    </w:p>
    <w:p w14:paraId="18A3C0F2"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lang w:val="en-HK"/>
        </w:rPr>
        <w:t xml:space="preserve">This narrower interpretation was criticized in </w:t>
      </w:r>
      <w:r w:rsidRPr="0059691A">
        <w:rPr>
          <w:rFonts w:ascii="Times New Roman" w:hAnsi="Times New Roman"/>
          <w:i/>
          <w:iCs/>
          <w:lang w:val="en-HK"/>
        </w:rPr>
        <w:t>Re Hampton</w:t>
      </w:r>
      <w:r w:rsidRPr="0059691A">
        <w:rPr>
          <w:rFonts w:ascii="Times New Roman" w:hAnsi="Times New Roman"/>
          <w:lang w:val="en-HK"/>
        </w:rPr>
        <w:t>, where Nicholls LJ argued that Hoffmann J's approach was overly restrictive and unsuitable for many charitable contexts.</w:t>
      </w:r>
    </w:p>
    <w:p w14:paraId="5D2DB4D7" w14:textId="77777777" w:rsidR="0059691A" w:rsidRPr="0059691A" w:rsidRDefault="0059691A" w:rsidP="003F53BF">
      <w:pPr>
        <w:spacing w:before="100" w:beforeAutospacing="1" w:after="100" w:afterAutospacing="1" w:line="360" w:lineRule="auto"/>
        <w:outlineLvl w:val="4"/>
        <w:rPr>
          <w:rFonts w:ascii="Times New Roman" w:hAnsi="Times New Roman"/>
          <w:b/>
          <w:bCs/>
          <w:lang w:val="en-HK"/>
        </w:rPr>
      </w:pPr>
      <w:r w:rsidRPr="0059691A">
        <w:rPr>
          <w:rFonts w:ascii="Times New Roman" w:hAnsi="Times New Roman"/>
          <w:b/>
          <w:bCs/>
          <w:lang w:val="en-HK"/>
        </w:rPr>
        <w:t>Scholarly Opinions</w:t>
      </w:r>
    </w:p>
    <w:p w14:paraId="3D7F8D66"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McFarlane and Mitchell:</w:t>
      </w:r>
      <w:r w:rsidRPr="0059691A">
        <w:rPr>
          <w:rFonts w:ascii="Times New Roman" w:hAnsi="Times New Roman"/>
          <w:lang w:val="en-HK"/>
        </w:rPr>
        <w:t xml:space="preserve"> Suggested that the rule reflects a move from the strict beneficiary principle towards trustee accountability and the enforcer principle.</w:t>
      </w:r>
    </w:p>
    <w:p w14:paraId="61604E1B"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Chan:</w:t>
      </w:r>
      <w:r w:rsidRPr="0059691A">
        <w:rPr>
          <w:rFonts w:ascii="Times New Roman" w:hAnsi="Times New Roman"/>
          <w:lang w:val="en-HK"/>
        </w:rPr>
        <w:t xml:space="preserve"> Critiqued the limitations of reliance on settlors or the Attorney General, advocating for broader mechanisms of oversight.</w:t>
      </w:r>
    </w:p>
    <w:p w14:paraId="46A149A9"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Decker and Harding:</w:t>
      </w:r>
      <w:r w:rsidRPr="0059691A">
        <w:rPr>
          <w:rFonts w:ascii="Times New Roman" w:hAnsi="Times New Roman"/>
          <w:lang w:val="en-HK"/>
        </w:rPr>
        <w:t xml:space="preserve"> Highlighted the practical difficulties faced by the Charity Commission in effectively monitoring all charitable trusts.</w:t>
      </w:r>
    </w:p>
    <w:p w14:paraId="3493A8CB" w14:textId="77777777" w:rsidR="0059691A" w:rsidRPr="0059691A" w:rsidRDefault="00E94EDA" w:rsidP="003F53BF">
      <w:pPr>
        <w:spacing w:line="360" w:lineRule="auto"/>
        <w:rPr>
          <w:rFonts w:ascii="Times New Roman" w:hAnsi="Times New Roman"/>
          <w:lang w:val="en-HK"/>
        </w:rPr>
      </w:pPr>
      <w:r w:rsidRPr="00E94EDA">
        <w:rPr>
          <w:rFonts w:ascii="Times New Roman" w:hAnsi="Times New Roman"/>
          <w:noProof/>
          <w:lang w:val="en-HK"/>
          <w14:ligatures w14:val="standardContextual"/>
        </w:rPr>
        <w:pict w14:anchorId="1910E950">
          <v:rect id="_x0000_i1036" alt="" style="width:451.3pt;height:.05pt;mso-width-percent:0;mso-height-percent:0;mso-width-percent:0;mso-height-percent:0" o:hralign="center" o:hrstd="t" o:hr="t" fillcolor="#a0a0a0" stroked="f"/>
        </w:pict>
      </w:r>
    </w:p>
    <w:p w14:paraId="1FBF49C4" w14:textId="77777777" w:rsidR="0059691A" w:rsidRPr="0059691A" w:rsidRDefault="0059691A" w:rsidP="003F53BF">
      <w:pPr>
        <w:spacing w:before="100" w:beforeAutospacing="1" w:after="100" w:afterAutospacing="1" w:line="360" w:lineRule="auto"/>
        <w:outlineLvl w:val="3"/>
        <w:rPr>
          <w:rFonts w:ascii="Times New Roman" w:hAnsi="Times New Roman"/>
          <w:b/>
          <w:bCs/>
          <w:lang w:val="en-HK"/>
        </w:rPr>
      </w:pPr>
      <w:r w:rsidRPr="0059691A">
        <w:rPr>
          <w:rFonts w:ascii="Times New Roman" w:hAnsi="Times New Roman"/>
          <w:b/>
          <w:bCs/>
          <w:lang w:val="en-HK"/>
        </w:rPr>
        <w:t>b. The Protective Filter Arrangement</w:t>
      </w:r>
    </w:p>
    <w:p w14:paraId="087DABC3"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Purpose:</w:t>
      </w:r>
    </w:p>
    <w:p w14:paraId="58331D39" w14:textId="77777777" w:rsidR="0059691A" w:rsidRPr="0059691A" w:rsidRDefault="0059691A" w:rsidP="003F53BF">
      <w:pPr>
        <w:numPr>
          <w:ilvl w:val="1"/>
          <w:numId w:val="6"/>
        </w:numPr>
        <w:spacing w:before="100" w:beforeAutospacing="1" w:after="100" w:afterAutospacing="1" w:line="360" w:lineRule="auto"/>
        <w:rPr>
          <w:rFonts w:ascii="Times New Roman" w:hAnsi="Times New Roman"/>
          <w:lang w:val="en-HK"/>
        </w:rPr>
      </w:pPr>
      <w:r w:rsidRPr="0059691A">
        <w:rPr>
          <w:rFonts w:ascii="Times New Roman" w:hAnsi="Times New Roman"/>
          <w:lang w:val="en-HK"/>
        </w:rPr>
        <w:t>Introduced to prevent frivolous or vexatious claims that could deplete charitable resources.</w:t>
      </w:r>
    </w:p>
    <w:p w14:paraId="3BF4F530" w14:textId="77777777" w:rsidR="0059691A" w:rsidRPr="0059691A" w:rsidRDefault="0059691A" w:rsidP="003F53BF">
      <w:pPr>
        <w:numPr>
          <w:ilvl w:val="1"/>
          <w:numId w:val="6"/>
        </w:numPr>
        <w:spacing w:before="100" w:beforeAutospacing="1" w:after="100" w:afterAutospacing="1" w:line="360" w:lineRule="auto"/>
        <w:rPr>
          <w:rFonts w:ascii="Times New Roman" w:hAnsi="Times New Roman"/>
          <w:lang w:val="en-HK"/>
        </w:rPr>
      </w:pPr>
      <w:r w:rsidRPr="0059691A">
        <w:rPr>
          <w:rFonts w:ascii="Times New Roman" w:hAnsi="Times New Roman"/>
          <w:lang w:val="en-HK"/>
        </w:rPr>
        <w:t>Requires authorization from the Charity Commission or the High Court to proceed with charity litigation.</w:t>
      </w:r>
    </w:p>
    <w:p w14:paraId="3F6F1857"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lastRenderedPageBreak/>
        <w:t>Judicial Perspectives:</w:t>
      </w:r>
    </w:p>
    <w:p w14:paraId="24059CA5"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Rosenzweig v NMC Recordings Ltd (2013):</w:t>
      </w:r>
    </w:p>
    <w:p w14:paraId="06573405"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lang w:val="en-HK"/>
        </w:rPr>
        <w:t>Norris J emphasized the importance of protecting charitable assets, striking out a claim that would lead to financial harm to the charity.</w:t>
      </w:r>
    </w:p>
    <w:p w14:paraId="5A7361A2"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Scott v National Trust (1998):</w:t>
      </w:r>
    </w:p>
    <w:p w14:paraId="17755813"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lang w:val="en-HK"/>
        </w:rPr>
        <w:t>Robert Walker J explained that the protective filter prevents trustees from being harassed by meritless challenges.</w:t>
      </w:r>
    </w:p>
    <w:p w14:paraId="0BC08AAD"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Public Law Influence:</w:t>
      </w:r>
    </w:p>
    <w:p w14:paraId="7494C40B"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lang w:val="en-HK"/>
        </w:rPr>
        <w:t>Unlike private law, public law grants standing at the court's discretion, based on the broader impact on the charity's public benefit.</w:t>
      </w:r>
    </w:p>
    <w:p w14:paraId="0A31D8DA" w14:textId="77777777" w:rsidR="0059691A" w:rsidRPr="0059691A" w:rsidRDefault="0059691A" w:rsidP="003F53BF">
      <w:pPr>
        <w:spacing w:before="100" w:beforeAutospacing="1" w:after="100" w:afterAutospacing="1" w:line="360" w:lineRule="auto"/>
        <w:outlineLvl w:val="4"/>
        <w:rPr>
          <w:rFonts w:ascii="Times New Roman" w:hAnsi="Times New Roman"/>
          <w:b/>
          <w:bCs/>
          <w:lang w:val="en-HK"/>
        </w:rPr>
      </w:pPr>
      <w:r w:rsidRPr="0059691A">
        <w:rPr>
          <w:rFonts w:ascii="Times New Roman" w:hAnsi="Times New Roman"/>
          <w:b/>
          <w:bCs/>
          <w:lang w:val="en-HK"/>
        </w:rPr>
        <w:t>Key Cases:</w:t>
      </w:r>
    </w:p>
    <w:p w14:paraId="3558EA9A"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Royal Society for the Prevention of Cruelty to Animals v Attorney General (2002):</w:t>
      </w:r>
    </w:p>
    <w:p w14:paraId="2F2CF3C2"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lang w:val="en-HK"/>
        </w:rPr>
        <w:t>Lightman J recognized the public value of the charity and adopted a broad approach to standing, balancing public interest and effective administration.</w:t>
      </w:r>
    </w:p>
    <w:p w14:paraId="6A901CD6"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Bisrat v Kebede (2015):</w:t>
      </w:r>
    </w:p>
    <w:p w14:paraId="35AF22E5" w14:textId="5849CD49" w:rsidR="0059691A" w:rsidRPr="0059691A" w:rsidRDefault="00625556" w:rsidP="003F53BF">
      <w:pPr>
        <w:spacing w:before="100" w:beforeAutospacing="1" w:after="100" w:afterAutospacing="1" w:line="360" w:lineRule="auto"/>
        <w:rPr>
          <w:rFonts w:ascii="Times New Roman" w:hAnsi="Times New Roman"/>
          <w:lang w:val="en-HK"/>
        </w:rPr>
      </w:pPr>
      <w:r w:rsidRPr="003F53BF">
        <w:rPr>
          <w:rFonts w:ascii="Times New Roman" w:hAnsi="Times New Roman"/>
          <w:lang w:val="en-HK"/>
        </w:rPr>
        <w:t>J</w:t>
      </w:r>
      <w:r w:rsidR="0059691A" w:rsidRPr="0059691A">
        <w:rPr>
          <w:rFonts w:ascii="Times New Roman" w:hAnsi="Times New Roman"/>
          <w:lang w:val="en-HK"/>
        </w:rPr>
        <w:t xml:space="preserve">udge </w:t>
      </w:r>
      <w:proofErr w:type="spellStart"/>
      <w:r w:rsidR="0059691A" w:rsidRPr="0059691A">
        <w:rPr>
          <w:rFonts w:ascii="Times New Roman" w:hAnsi="Times New Roman"/>
          <w:lang w:val="en-HK"/>
        </w:rPr>
        <w:t>Purle</w:t>
      </w:r>
      <w:proofErr w:type="spellEnd"/>
      <w:r w:rsidR="0059691A" w:rsidRPr="0059691A">
        <w:rPr>
          <w:rFonts w:ascii="Times New Roman" w:hAnsi="Times New Roman"/>
          <w:lang w:val="en-HK"/>
        </w:rPr>
        <w:t xml:space="preserve"> QC emphasized the importance of protecting public trust in charities, granting standing to regular contributors and worshippers of a church.</w:t>
      </w:r>
    </w:p>
    <w:p w14:paraId="1ADA8D46" w14:textId="77777777" w:rsidR="0059691A" w:rsidRPr="0059691A" w:rsidRDefault="0059691A" w:rsidP="003F53BF">
      <w:pPr>
        <w:spacing w:before="100" w:beforeAutospacing="1" w:after="100" w:afterAutospacing="1" w:line="360" w:lineRule="auto"/>
        <w:outlineLvl w:val="4"/>
        <w:rPr>
          <w:rFonts w:ascii="Times New Roman" w:hAnsi="Times New Roman"/>
          <w:b/>
          <w:bCs/>
          <w:lang w:val="en-HK"/>
        </w:rPr>
      </w:pPr>
      <w:r w:rsidRPr="0059691A">
        <w:rPr>
          <w:rFonts w:ascii="Times New Roman" w:hAnsi="Times New Roman"/>
          <w:b/>
          <w:bCs/>
          <w:lang w:val="en-HK"/>
        </w:rPr>
        <w:t>Scholarly Insights:</w:t>
      </w:r>
    </w:p>
    <w:p w14:paraId="4D6A875A"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Nolan:</w:t>
      </w:r>
      <w:r w:rsidRPr="0059691A">
        <w:rPr>
          <w:rFonts w:ascii="Times New Roman" w:hAnsi="Times New Roman"/>
          <w:lang w:val="en-HK"/>
        </w:rPr>
        <w:t xml:space="preserve"> Argued that the protective filter reflects the courts' inherent jurisdiction to supervise trusts, ensuring that only claims aligned with charitable purposes proceed.</w:t>
      </w:r>
    </w:p>
    <w:p w14:paraId="0AD76822" w14:textId="77777777" w:rsidR="0059691A" w:rsidRPr="0059691A" w:rsidRDefault="0059691A" w:rsidP="003F53BF">
      <w:pPr>
        <w:spacing w:before="100" w:beforeAutospacing="1" w:after="100" w:afterAutospacing="1" w:line="360" w:lineRule="auto"/>
        <w:rPr>
          <w:rFonts w:ascii="Times New Roman" w:hAnsi="Times New Roman"/>
          <w:lang w:val="en-HK"/>
        </w:rPr>
      </w:pPr>
      <w:r w:rsidRPr="0059691A">
        <w:rPr>
          <w:rFonts w:ascii="Times New Roman" w:hAnsi="Times New Roman"/>
          <w:b/>
          <w:bCs/>
          <w:lang w:val="en-HK"/>
        </w:rPr>
        <w:t>Virgo:</w:t>
      </w:r>
      <w:r w:rsidRPr="0059691A">
        <w:rPr>
          <w:rFonts w:ascii="Times New Roman" w:hAnsi="Times New Roman"/>
          <w:lang w:val="en-HK"/>
        </w:rPr>
        <w:t xml:space="preserve"> Noted the alignment of the rule with broader public law principles, distinguishing charitable trusts from private trusts.</w:t>
      </w:r>
    </w:p>
    <w:p w14:paraId="04C28B11" w14:textId="77777777" w:rsidR="0059691A" w:rsidRPr="0059691A" w:rsidRDefault="00E94EDA" w:rsidP="003F53BF">
      <w:pPr>
        <w:spacing w:line="360" w:lineRule="auto"/>
        <w:rPr>
          <w:rFonts w:ascii="Times New Roman" w:hAnsi="Times New Roman"/>
          <w:lang w:val="en-HK"/>
        </w:rPr>
      </w:pPr>
      <w:r w:rsidRPr="00E94EDA">
        <w:rPr>
          <w:rFonts w:ascii="Times New Roman" w:hAnsi="Times New Roman"/>
          <w:noProof/>
          <w:lang w:val="en-HK"/>
          <w14:ligatures w14:val="standardContextual"/>
        </w:rPr>
        <w:pict w14:anchorId="38D36BCB">
          <v:rect id="_x0000_i1035" alt="" style="width:451.3pt;height:.05pt;mso-width-percent:0;mso-height-percent:0;mso-width-percent:0;mso-height-percent:0" o:hralign="center" o:hrstd="t" o:hr="t" fillcolor="#a0a0a0" stroked="f"/>
        </w:pict>
      </w:r>
    </w:p>
    <w:p w14:paraId="365DACD2" w14:textId="77777777" w:rsidR="0059691A" w:rsidRPr="0059691A" w:rsidRDefault="0059691A" w:rsidP="003F53BF">
      <w:pPr>
        <w:spacing w:before="100" w:beforeAutospacing="1" w:after="100" w:afterAutospacing="1" w:line="360" w:lineRule="auto"/>
        <w:outlineLvl w:val="3"/>
        <w:rPr>
          <w:rFonts w:ascii="Times New Roman" w:hAnsi="Times New Roman"/>
          <w:b/>
          <w:bCs/>
          <w:lang w:val="en-HK"/>
        </w:rPr>
      </w:pPr>
      <w:r w:rsidRPr="0059691A">
        <w:rPr>
          <w:rFonts w:ascii="Times New Roman" w:hAnsi="Times New Roman"/>
          <w:b/>
          <w:bCs/>
          <w:lang w:val="en-HK"/>
        </w:rPr>
        <w:lastRenderedPageBreak/>
        <w:t>c. Summary of Observations</w:t>
      </w:r>
    </w:p>
    <w:p w14:paraId="42BBBD1F" w14:textId="77777777" w:rsidR="0059691A" w:rsidRPr="0059691A" w:rsidRDefault="0059691A" w:rsidP="003F53BF">
      <w:pPr>
        <w:numPr>
          <w:ilvl w:val="0"/>
          <w:numId w:val="9"/>
        </w:numPr>
        <w:spacing w:before="100" w:beforeAutospacing="1" w:after="100" w:afterAutospacing="1" w:line="360" w:lineRule="auto"/>
        <w:rPr>
          <w:rFonts w:ascii="Times New Roman" w:hAnsi="Times New Roman"/>
          <w:lang w:val="en-HK"/>
        </w:rPr>
      </w:pPr>
      <w:r w:rsidRPr="0059691A">
        <w:rPr>
          <w:rFonts w:ascii="Times New Roman" w:hAnsi="Times New Roman"/>
          <w:lang w:val="en-HK"/>
        </w:rPr>
        <w:t>The necessary interest requirement emphasizes flexibility and judicial discretion, enabling courts to assess claims on a case-by-case basis.</w:t>
      </w:r>
    </w:p>
    <w:p w14:paraId="37531705" w14:textId="77777777" w:rsidR="0059691A" w:rsidRPr="003F53BF" w:rsidRDefault="0059691A" w:rsidP="003F53BF">
      <w:pPr>
        <w:numPr>
          <w:ilvl w:val="0"/>
          <w:numId w:val="9"/>
        </w:numPr>
        <w:spacing w:before="100" w:beforeAutospacing="1" w:after="100" w:afterAutospacing="1" w:line="360" w:lineRule="auto"/>
        <w:rPr>
          <w:rFonts w:ascii="Times New Roman" w:hAnsi="Times New Roman"/>
          <w:lang w:val="en-HK"/>
        </w:rPr>
      </w:pPr>
      <w:r w:rsidRPr="0059691A">
        <w:rPr>
          <w:rFonts w:ascii="Times New Roman" w:hAnsi="Times New Roman"/>
          <w:lang w:val="en-HK"/>
        </w:rPr>
        <w:t>The protective filter arrangement reinforces the balance between oversight and the prevention of resource exhaustion due to meritless claims.</w:t>
      </w:r>
    </w:p>
    <w:p w14:paraId="564A0059" w14:textId="5132B53F" w:rsidR="00294D52" w:rsidRPr="0059691A" w:rsidRDefault="00E94EDA" w:rsidP="003F53BF">
      <w:pPr>
        <w:spacing w:before="100" w:beforeAutospacing="1" w:after="100" w:afterAutospacing="1" w:line="360" w:lineRule="auto"/>
        <w:rPr>
          <w:rFonts w:ascii="Times New Roman" w:hAnsi="Times New Roman"/>
          <w:lang w:val="en-HK"/>
        </w:rPr>
      </w:pPr>
      <w:r w:rsidRPr="00E94EDA">
        <w:rPr>
          <w:rFonts w:ascii="Times New Roman" w:hAnsi="Times New Roman"/>
          <w:noProof/>
          <w:lang w:val="en-HK"/>
          <w14:ligatures w14:val="standardContextual"/>
        </w:rPr>
        <w:pict w14:anchorId="216014B8">
          <v:rect id="_x0000_i1034" alt="" style="width:451.3pt;height:.05pt;mso-width-percent:0;mso-height-percent:0;mso-width-percent:0;mso-height-percent:0" o:hralign="center" o:hrstd="t" o:hr="t" fillcolor="#a0a0a0" stroked="f"/>
        </w:pict>
      </w:r>
    </w:p>
    <w:p w14:paraId="7AB09E25" w14:textId="12A600F5" w:rsidR="00294D52" w:rsidRPr="00294D52" w:rsidRDefault="00294D52" w:rsidP="003F53BF">
      <w:pPr>
        <w:spacing w:before="100" w:beforeAutospacing="1" w:after="100" w:afterAutospacing="1" w:line="360" w:lineRule="auto"/>
        <w:outlineLvl w:val="2"/>
        <w:rPr>
          <w:rFonts w:ascii="Times New Roman" w:hAnsi="Times New Roman"/>
          <w:b/>
          <w:bCs/>
          <w:lang w:val="en-HK"/>
        </w:rPr>
      </w:pPr>
      <w:r w:rsidRPr="003F53BF">
        <w:rPr>
          <w:rFonts w:ascii="Times New Roman" w:hAnsi="Times New Roman"/>
          <w:b/>
          <w:bCs/>
          <w:lang w:val="en-HK"/>
        </w:rPr>
        <w:t xml:space="preserve">Part </w:t>
      </w:r>
      <w:r w:rsidRPr="00294D52">
        <w:rPr>
          <w:rFonts w:ascii="Times New Roman" w:hAnsi="Times New Roman"/>
          <w:b/>
          <w:bCs/>
          <w:lang w:val="en-HK"/>
        </w:rPr>
        <w:t>2</w:t>
      </w:r>
      <w:r w:rsidRPr="003F53BF">
        <w:rPr>
          <w:rFonts w:ascii="Times New Roman" w:hAnsi="Times New Roman"/>
          <w:b/>
          <w:bCs/>
          <w:lang w:val="en-HK"/>
        </w:rPr>
        <w:t xml:space="preserve">: </w:t>
      </w:r>
      <w:r w:rsidRPr="00294D52">
        <w:rPr>
          <w:rFonts w:ascii="Times New Roman" w:hAnsi="Times New Roman"/>
          <w:b/>
          <w:bCs/>
          <w:lang w:val="en-HK"/>
        </w:rPr>
        <w:t>Theoretical Implications</w:t>
      </w:r>
    </w:p>
    <w:p w14:paraId="64AFF04B" w14:textId="77777777" w:rsidR="00294D52" w:rsidRPr="00294D52" w:rsidRDefault="00294D52" w:rsidP="003F53BF">
      <w:pPr>
        <w:spacing w:before="100" w:beforeAutospacing="1" w:after="100" w:afterAutospacing="1" w:line="360" w:lineRule="auto"/>
        <w:outlineLvl w:val="3"/>
        <w:rPr>
          <w:rFonts w:ascii="Times New Roman" w:hAnsi="Times New Roman"/>
          <w:b/>
          <w:bCs/>
          <w:lang w:val="en-HK"/>
        </w:rPr>
      </w:pPr>
      <w:r w:rsidRPr="00294D52">
        <w:rPr>
          <w:rFonts w:ascii="Times New Roman" w:hAnsi="Times New Roman"/>
          <w:b/>
          <w:bCs/>
          <w:lang w:val="en-HK"/>
        </w:rPr>
        <w:t>a. The Beneficiary and Enforcer Principles</w:t>
      </w:r>
    </w:p>
    <w:p w14:paraId="4CA25B04"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Beneficiary Principle:</w:t>
      </w:r>
    </w:p>
    <w:p w14:paraId="0B8A8644" w14:textId="77777777" w:rsidR="00294D52" w:rsidRPr="00294D52" w:rsidRDefault="00294D52" w:rsidP="003F53BF">
      <w:pPr>
        <w:numPr>
          <w:ilvl w:val="1"/>
          <w:numId w:val="10"/>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The core tenet of the beneficiary principle is that the essence of an express trust lies in the "equitable proprietary rights of the beneficiaries."</w:t>
      </w:r>
    </w:p>
    <w:p w14:paraId="5C4DA210" w14:textId="77777777" w:rsidR="00294D52" w:rsidRPr="00294D52" w:rsidRDefault="00294D52" w:rsidP="003F53BF">
      <w:pPr>
        <w:numPr>
          <w:ilvl w:val="1"/>
          <w:numId w:val="10"/>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 xml:space="preserve">Supported by </w:t>
      </w:r>
      <w:proofErr w:type="spellStart"/>
      <w:r w:rsidRPr="00294D52">
        <w:rPr>
          <w:rFonts w:ascii="Times New Roman" w:hAnsi="Times New Roman"/>
          <w:i/>
          <w:iCs/>
          <w:lang w:val="en-HK"/>
        </w:rPr>
        <w:t>Morice</w:t>
      </w:r>
      <w:proofErr w:type="spellEnd"/>
      <w:r w:rsidRPr="00294D52">
        <w:rPr>
          <w:rFonts w:ascii="Times New Roman" w:hAnsi="Times New Roman"/>
          <w:i/>
          <w:iCs/>
          <w:lang w:val="en-HK"/>
        </w:rPr>
        <w:t xml:space="preserve"> v Bishop of Durham (1804)</w:t>
      </w:r>
      <w:r w:rsidRPr="00294D52">
        <w:rPr>
          <w:rFonts w:ascii="Times New Roman" w:hAnsi="Times New Roman"/>
          <w:lang w:val="en-HK"/>
        </w:rPr>
        <w:t>, which held that private express trusts must have identifiable beneficiaries who can enforce the trust.</w:t>
      </w:r>
    </w:p>
    <w:p w14:paraId="294F24F8" w14:textId="77777777" w:rsidR="00294D52" w:rsidRPr="00294D52" w:rsidRDefault="00294D52" w:rsidP="003F53BF">
      <w:pPr>
        <w:numPr>
          <w:ilvl w:val="1"/>
          <w:numId w:val="10"/>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This principle sees beneficiaries’ standing to sue as tied to their proprietary entitlement to the trust assets.</w:t>
      </w:r>
    </w:p>
    <w:p w14:paraId="5C49F9CF"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Enforcer Principle:</w:t>
      </w:r>
    </w:p>
    <w:p w14:paraId="1D01717D" w14:textId="77777777" w:rsidR="00294D52" w:rsidRPr="00294D52" w:rsidRDefault="00294D52" w:rsidP="003F53BF">
      <w:pPr>
        <w:numPr>
          <w:ilvl w:val="1"/>
          <w:numId w:val="10"/>
        </w:numPr>
        <w:spacing w:before="100" w:beforeAutospacing="1" w:after="100" w:afterAutospacing="1" w:line="360" w:lineRule="auto"/>
        <w:rPr>
          <w:rFonts w:ascii="Times New Roman" w:hAnsi="Times New Roman"/>
          <w:color w:val="FF0000"/>
          <w:lang w:val="en-HK"/>
        </w:rPr>
      </w:pPr>
      <w:r w:rsidRPr="00294D52">
        <w:rPr>
          <w:rFonts w:ascii="Times New Roman" w:hAnsi="Times New Roman"/>
          <w:b/>
          <w:bCs/>
          <w:lang w:val="en-HK"/>
        </w:rPr>
        <w:t>Contrasts with the beneficiary principle</w:t>
      </w:r>
      <w:r w:rsidRPr="00294D52">
        <w:rPr>
          <w:rFonts w:ascii="Times New Roman" w:hAnsi="Times New Roman"/>
          <w:lang w:val="en-HK"/>
        </w:rPr>
        <w:t xml:space="preserve"> by focusing on </w:t>
      </w:r>
      <w:r w:rsidRPr="00294D52">
        <w:rPr>
          <w:rFonts w:ascii="Times New Roman" w:hAnsi="Times New Roman"/>
          <w:color w:val="FF0000"/>
          <w:lang w:val="en-HK"/>
        </w:rPr>
        <w:t>trustees' accountability.</w:t>
      </w:r>
    </w:p>
    <w:p w14:paraId="5B6B827A" w14:textId="77777777" w:rsidR="00294D52" w:rsidRPr="00294D52" w:rsidRDefault="00294D52" w:rsidP="003F53BF">
      <w:pPr>
        <w:numPr>
          <w:ilvl w:val="1"/>
          <w:numId w:val="10"/>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Proposes that trusts can be validly enforced by an appointed enforcer, regardless of proprietary interests.</w:t>
      </w:r>
    </w:p>
    <w:p w14:paraId="467979C2" w14:textId="77777777" w:rsidR="00294D52" w:rsidRPr="00294D52" w:rsidRDefault="00294D52" w:rsidP="003F53BF">
      <w:pPr>
        <w:numPr>
          <w:ilvl w:val="1"/>
          <w:numId w:val="10"/>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Scholars like McFarlane and Mitchell argue that the trustee's equitable duties are central to the trust's operation and need not necessarily be owed to those who directly benefit from the trust.</w:t>
      </w:r>
    </w:p>
    <w:p w14:paraId="3D40CF7C"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Key Case Law:</w:t>
      </w:r>
    </w:p>
    <w:p w14:paraId="7A6490E0"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i/>
          <w:iCs/>
          <w:lang w:val="en-HK"/>
        </w:rPr>
        <w:t xml:space="preserve">Re </w:t>
      </w:r>
      <w:proofErr w:type="spellStart"/>
      <w:r w:rsidRPr="00294D52">
        <w:rPr>
          <w:rFonts w:ascii="Times New Roman" w:hAnsi="Times New Roman"/>
          <w:i/>
          <w:iCs/>
          <w:lang w:val="en-HK"/>
        </w:rPr>
        <w:t>Denley’s</w:t>
      </w:r>
      <w:proofErr w:type="spellEnd"/>
      <w:r w:rsidRPr="00294D52">
        <w:rPr>
          <w:rFonts w:ascii="Times New Roman" w:hAnsi="Times New Roman"/>
          <w:i/>
          <w:iCs/>
          <w:lang w:val="en-HK"/>
        </w:rPr>
        <w:t xml:space="preserve"> Trust Deed (1969):</w:t>
      </w:r>
      <w:r w:rsidRPr="00294D52">
        <w:rPr>
          <w:rFonts w:ascii="Times New Roman" w:hAnsi="Times New Roman"/>
          <w:lang w:val="en-HK"/>
        </w:rPr>
        <w:t xml:space="preserve"> Goff J recognized the right of discretionary objects to enforce non-charitable purpose trusts, demonstrating a relaxation of the beneficiary principle.</w:t>
      </w:r>
    </w:p>
    <w:p w14:paraId="7F16D07D"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i/>
          <w:iCs/>
          <w:lang w:val="en-HK"/>
        </w:rPr>
        <w:lastRenderedPageBreak/>
        <w:t>McPhail v Doulton (1971)</w:t>
      </w:r>
      <w:r w:rsidRPr="00294D52">
        <w:rPr>
          <w:rFonts w:ascii="Times New Roman" w:hAnsi="Times New Roman"/>
          <w:lang w:val="en-HK"/>
        </w:rPr>
        <w:t xml:space="preserve"> and </w:t>
      </w:r>
      <w:r w:rsidRPr="00294D52">
        <w:rPr>
          <w:rFonts w:ascii="Times New Roman" w:hAnsi="Times New Roman"/>
          <w:i/>
          <w:iCs/>
          <w:lang w:val="en-HK"/>
        </w:rPr>
        <w:t xml:space="preserve">Re </w:t>
      </w:r>
      <w:proofErr w:type="spellStart"/>
      <w:r w:rsidRPr="00294D52">
        <w:rPr>
          <w:rFonts w:ascii="Times New Roman" w:hAnsi="Times New Roman"/>
          <w:i/>
          <w:iCs/>
          <w:lang w:val="en-HK"/>
        </w:rPr>
        <w:t>Gulbenkian’s</w:t>
      </w:r>
      <w:proofErr w:type="spellEnd"/>
      <w:r w:rsidRPr="00294D52">
        <w:rPr>
          <w:rFonts w:ascii="Times New Roman" w:hAnsi="Times New Roman"/>
          <w:i/>
          <w:iCs/>
          <w:lang w:val="en-HK"/>
        </w:rPr>
        <w:t xml:space="preserve"> Settlement (1970):</w:t>
      </w:r>
      <w:r w:rsidRPr="00294D52">
        <w:rPr>
          <w:rFonts w:ascii="Times New Roman" w:hAnsi="Times New Roman"/>
          <w:lang w:val="en-HK"/>
        </w:rPr>
        <w:t xml:space="preserve"> Expanded the standing of discretionary objects to ensure proper trust administration.</w:t>
      </w:r>
    </w:p>
    <w:p w14:paraId="29495A00"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i/>
          <w:iCs/>
          <w:lang w:val="en-HK"/>
        </w:rPr>
        <w:t>Gartside v Inland Revenue Commissioners (1968):</w:t>
      </w:r>
      <w:r w:rsidRPr="00294D52">
        <w:rPr>
          <w:rFonts w:ascii="Times New Roman" w:hAnsi="Times New Roman"/>
          <w:lang w:val="en-HK"/>
        </w:rPr>
        <w:t xml:space="preserve"> Lord Wilberforce acknowledged the rights of discretionary beneficiaries to ensure trustees' accountability, even without direct proprietary interests.</w:t>
      </w:r>
    </w:p>
    <w:p w14:paraId="7E0E7EF3"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i/>
          <w:iCs/>
          <w:lang w:val="en-HK"/>
        </w:rPr>
        <w:t>Johns v Johns (2004, NZ):</w:t>
      </w:r>
      <w:r w:rsidRPr="00294D52">
        <w:rPr>
          <w:rFonts w:ascii="Times New Roman" w:hAnsi="Times New Roman"/>
          <w:lang w:val="en-HK"/>
        </w:rPr>
        <w:t xml:space="preserve"> Tipping J held that discretionary beneficiaries have sufficient standing to enforce trust administration despite having no proprietary entitlement.</w:t>
      </w:r>
    </w:p>
    <w:p w14:paraId="0D291F06"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 xml:space="preserve">Judicial Ambiguity in </w:t>
      </w:r>
      <w:proofErr w:type="spellStart"/>
      <w:r w:rsidRPr="00294D52">
        <w:rPr>
          <w:rFonts w:ascii="Times New Roman" w:hAnsi="Times New Roman"/>
          <w:b/>
          <w:bCs/>
          <w:i/>
          <w:iCs/>
          <w:lang w:val="en-HK"/>
        </w:rPr>
        <w:t>Morice</w:t>
      </w:r>
      <w:proofErr w:type="spellEnd"/>
      <w:r w:rsidRPr="00294D52">
        <w:rPr>
          <w:rFonts w:ascii="Times New Roman" w:hAnsi="Times New Roman"/>
          <w:b/>
          <w:bCs/>
          <w:lang w:val="en-HK"/>
        </w:rPr>
        <w:t>:</w:t>
      </w:r>
    </w:p>
    <w:p w14:paraId="7D97EE7C"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 xml:space="preserve">Lord Eldon’s statement in </w:t>
      </w:r>
      <w:proofErr w:type="spellStart"/>
      <w:r w:rsidRPr="00294D52">
        <w:rPr>
          <w:rFonts w:ascii="Times New Roman" w:hAnsi="Times New Roman"/>
          <w:i/>
          <w:iCs/>
          <w:lang w:val="en-HK"/>
        </w:rPr>
        <w:t>Morice</w:t>
      </w:r>
      <w:proofErr w:type="spellEnd"/>
      <w:r w:rsidRPr="00294D52">
        <w:rPr>
          <w:rFonts w:ascii="Times New Roman" w:hAnsi="Times New Roman"/>
          <w:lang w:val="en-HK"/>
        </w:rPr>
        <w:t xml:space="preserve"> emphasized the court's control over trust execution but left room for alternative interpretations. The focus on execution and supervision supports the enforcer principle by implying that a valid trust requires mechanisms for judicial oversight rather than strictly defined beneficiaries.</w:t>
      </w:r>
    </w:p>
    <w:p w14:paraId="48A50BEC"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Scholarly Perspectives:</w:t>
      </w:r>
    </w:p>
    <w:p w14:paraId="7EC746C1"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 xml:space="preserve">Joshua </w:t>
      </w:r>
      <w:proofErr w:type="spellStart"/>
      <w:r w:rsidRPr="00294D52">
        <w:rPr>
          <w:rFonts w:ascii="Times New Roman" w:hAnsi="Times New Roman"/>
          <w:lang w:val="en-HK"/>
        </w:rPr>
        <w:t>Getzler</w:t>
      </w:r>
      <w:proofErr w:type="spellEnd"/>
      <w:r w:rsidRPr="00294D52">
        <w:rPr>
          <w:rFonts w:ascii="Times New Roman" w:hAnsi="Times New Roman"/>
          <w:lang w:val="en-HK"/>
        </w:rPr>
        <w:t xml:space="preserve">: </w:t>
      </w:r>
      <w:proofErr w:type="spellStart"/>
      <w:r w:rsidRPr="00294D52">
        <w:rPr>
          <w:rFonts w:ascii="Times New Roman" w:hAnsi="Times New Roman"/>
          <w:lang w:val="en-HK"/>
        </w:rPr>
        <w:t>Analyzed</w:t>
      </w:r>
      <w:proofErr w:type="spellEnd"/>
      <w:r w:rsidRPr="00294D52">
        <w:rPr>
          <w:rFonts w:ascii="Times New Roman" w:hAnsi="Times New Roman"/>
          <w:lang w:val="en-HK"/>
        </w:rPr>
        <w:t xml:space="preserve"> </w:t>
      </w:r>
      <w:proofErr w:type="spellStart"/>
      <w:r w:rsidRPr="00294D52">
        <w:rPr>
          <w:rFonts w:ascii="Times New Roman" w:hAnsi="Times New Roman"/>
          <w:i/>
          <w:iCs/>
          <w:lang w:val="en-HK"/>
        </w:rPr>
        <w:t>Morice</w:t>
      </w:r>
      <w:proofErr w:type="spellEnd"/>
      <w:r w:rsidRPr="00294D52">
        <w:rPr>
          <w:rFonts w:ascii="Times New Roman" w:hAnsi="Times New Roman"/>
          <w:lang w:val="en-HK"/>
        </w:rPr>
        <w:t xml:space="preserve"> as reflecting broader concerns about trust administration and reducing undue clerical influence, emphasizing judicial control over trust execution.</w:t>
      </w:r>
    </w:p>
    <w:p w14:paraId="3DF25B24"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Nolan: Highlighted the court’s inherent jurisdiction to enforce trust obligations, irrespective of the presence of proprietary interests.</w:t>
      </w:r>
    </w:p>
    <w:p w14:paraId="159F45AE" w14:textId="77777777" w:rsidR="00294D52" w:rsidRPr="00294D52" w:rsidRDefault="00E94EDA" w:rsidP="003F53BF">
      <w:pPr>
        <w:spacing w:line="360" w:lineRule="auto"/>
        <w:rPr>
          <w:rFonts w:ascii="Times New Roman" w:hAnsi="Times New Roman"/>
          <w:lang w:val="en-HK"/>
        </w:rPr>
      </w:pPr>
      <w:r w:rsidRPr="00E94EDA">
        <w:rPr>
          <w:rFonts w:ascii="Times New Roman" w:hAnsi="Times New Roman"/>
          <w:noProof/>
          <w:lang w:val="en-HK"/>
          <w14:ligatures w14:val="standardContextual"/>
        </w:rPr>
        <w:pict w14:anchorId="0453665D">
          <v:rect id="_x0000_i1033" alt="" style="width:451.3pt;height:.05pt;mso-width-percent:0;mso-height-percent:0;mso-width-percent:0;mso-height-percent:0" o:hralign="center" o:hrstd="t" o:hr="t" fillcolor="#a0a0a0" stroked="f"/>
        </w:pict>
      </w:r>
    </w:p>
    <w:p w14:paraId="1A40D045" w14:textId="77777777" w:rsidR="00294D52" w:rsidRPr="00294D52" w:rsidRDefault="00294D52" w:rsidP="003F53BF">
      <w:pPr>
        <w:spacing w:before="100" w:beforeAutospacing="1" w:after="100" w:afterAutospacing="1" w:line="360" w:lineRule="auto"/>
        <w:outlineLvl w:val="3"/>
        <w:rPr>
          <w:rFonts w:ascii="Times New Roman" w:hAnsi="Times New Roman"/>
          <w:b/>
          <w:bCs/>
          <w:lang w:val="en-HK"/>
        </w:rPr>
      </w:pPr>
      <w:r w:rsidRPr="00294D52">
        <w:rPr>
          <w:rFonts w:ascii="Times New Roman" w:hAnsi="Times New Roman"/>
          <w:b/>
          <w:bCs/>
          <w:lang w:val="en-HK"/>
        </w:rPr>
        <w:t>b. The Necessary Interest Rule and Its Theoretical Alignment</w:t>
      </w:r>
    </w:p>
    <w:p w14:paraId="4382B96A"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The necessary interest rule aligns closely with the enforcer principle:</w:t>
      </w:r>
    </w:p>
    <w:p w14:paraId="090FE2E4" w14:textId="77777777" w:rsidR="00294D52" w:rsidRPr="00294D52" w:rsidRDefault="00294D52" w:rsidP="003F53BF">
      <w:pPr>
        <w:numPr>
          <w:ilvl w:val="1"/>
          <w:numId w:val="11"/>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It focuses on invoking the court's supervisory jurisdiction to ensure proper trust administration.</w:t>
      </w:r>
    </w:p>
    <w:p w14:paraId="417FEDF7" w14:textId="77777777" w:rsidR="00294D52" w:rsidRPr="00294D52" w:rsidRDefault="00294D52" w:rsidP="003F53BF">
      <w:pPr>
        <w:numPr>
          <w:ilvl w:val="1"/>
          <w:numId w:val="11"/>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Individuals can bring claims not because of their proprietary rights but due to their role in exposing risks to charitable purposes.</w:t>
      </w:r>
    </w:p>
    <w:p w14:paraId="63D8EBDA"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Comparisons with Fixed Trusts:</w:t>
      </w:r>
    </w:p>
    <w:p w14:paraId="13DD0335" w14:textId="77777777" w:rsidR="00294D52" w:rsidRPr="00294D52" w:rsidRDefault="00294D52" w:rsidP="003F53BF">
      <w:pPr>
        <w:numPr>
          <w:ilvl w:val="1"/>
          <w:numId w:val="11"/>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lastRenderedPageBreak/>
        <w:t>Beneficiaries of fixed trusts hold defined proprietary interests before distribution.</w:t>
      </w:r>
    </w:p>
    <w:p w14:paraId="20D0C925" w14:textId="77777777" w:rsidR="00294D52" w:rsidRPr="00294D52" w:rsidRDefault="00294D52" w:rsidP="003F53BF">
      <w:pPr>
        <w:numPr>
          <w:ilvl w:val="1"/>
          <w:numId w:val="11"/>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Recipients of charitable trusts merely act as channels for achieving the trust’s public purpose, with no inherent rights to trust assets.</w:t>
      </w:r>
    </w:p>
    <w:p w14:paraId="16F253D3" w14:textId="77777777" w:rsidR="00625556" w:rsidRPr="003F53BF"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Judicial Applications:</w:t>
      </w:r>
    </w:p>
    <w:p w14:paraId="07120C21" w14:textId="4EA47A3D"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i/>
          <w:iCs/>
          <w:lang w:val="en-HK"/>
        </w:rPr>
        <w:t>Scott v National Trust (1998):</w:t>
      </w:r>
      <w:r w:rsidRPr="00294D52">
        <w:rPr>
          <w:rFonts w:ascii="Times New Roman" w:hAnsi="Times New Roman"/>
          <w:lang w:val="en-HK"/>
        </w:rPr>
        <w:t xml:space="preserve"> Tenant farmers’ claims were upheld because they revealed risks to the National Trust’s charitable purposes, not because of their personal rights.</w:t>
      </w:r>
    </w:p>
    <w:p w14:paraId="5A68128C"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i/>
          <w:iCs/>
          <w:lang w:val="en-HK"/>
        </w:rPr>
        <w:t>Royal Society for the Prevention of Cruelty to Animals v Attorney General (2002):</w:t>
      </w:r>
      <w:r w:rsidRPr="00294D52">
        <w:rPr>
          <w:rFonts w:ascii="Times New Roman" w:hAnsi="Times New Roman"/>
          <w:lang w:val="en-HK"/>
        </w:rPr>
        <w:t xml:space="preserve"> Members’ claims were accepted due to their relevance to the charity’s administration.</w:t>
      </w:r>
    </w:p>
    <w:p w14:paraId="659C666A"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i/>
          <w:iCs/>
          <w:lang w:val="en-HK"/>
        </w:rPr>
        <w:t>Bisrat v Kebede (2015):</w:t>
      </w:r>
      <w:r w:rsidRPr="00294D52">
        <w:rPr>
          <w:rFonts w:ascii="Times New Roman" w:hAnsi="Times New Roman"/>
          <w:lang w:val="en-HK"/>
        </w:rPr>
        <w:t xml:space="preserve"> Regular worshippers were granted standing due to their contributions to the church and its charitable purposes, not because of any proprietary claim.</w:t>
      </w:r>
    </w:p>
    <w:p w14:paraId="3C11DD61" w14:textId="77777777" w:rsidR="00294D52" w:rsidRPr="003F53BF" w:rsidRDefault="00294D52" w:rsidP="003F53BF">
      <w:pPr>
        <w:spacing w:before="100" w:beforeAutospacing="1" w:after="100" w:afterAutospacing="1" w:line="360" w:lineRule="auto"/>
        <w:rPr>
          <w:rFonts w:ascii="Times New Roman" w:hAnsi="Times New Roman"/>
          <w:lang w:val="en-HK"/>
        </w:rPr>
      </w:pPr>
      <w:r w:rsidRPr="003F53BF">
        <w:rPr>
          <w:rFonts w:ascii="Times New Roman" w:hAnsi="Times New Roman"/>
          <w:b/>
          <w:bCs/>
          <w:lang w:val="en-HK"/>
        </w:rPr>
        <w:t>Scholarly Contributions:</w:t>
      </w:r>
    </w:p>
    <w:p w14:paraId="1466A928"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Virgo: Suggested that the court’s jurisdiction over trust administration is fundamental to understanding the necessary interest rule.</w:t>
      </w:r>
    </w:p>
    <w:p w14:paraId="417431FB"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Nolan: Argued that public law principles underpin the rule, distinguishing charitable trusts from private trusts.</w:t>
      </w:r>
    </w:p>
    <w:p w14:paraId="21AE4AD8"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Judicial Discretion:</w:t>
      </w:r>
    </w:p>
    <w:p w14:paraId="367A0015"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Courts have avoided rigid definitions of "interest in the charity" to maintain flexibility, enabling them to respond effectively to diverse claims.</w:t>
      </w:r>
    </w:p>
    <w:p w14:paraId="016207A4" w14:textId="77777777" w:rsidR="00294D52" w:rsidRPr="00294D52" w:rsidRDefault="00E94EDA" w:rsidP="003F53BF">
      <w:pPr>
        <w:spacing w:line="360" w:lineRule="auto"/>
        <w:rPr>
          <w:rFonts w:ascii="Times New Roman" w:hAnsi="Times New Roman"/>
          <w:lang w:val="en-HK"/>
        </w:rPr>
      </w:pPr>
      <w:r w:rsidRPr="00E94EDA">
        <w:rPr>
          <w:rFonts w:ascii="Times New Roman" w:hAnsi="Times New Roman"/>
          <w:noProof/>
          <w:lang w:val="en-HK"/>
          <w14:ligatures w14:val="standardContextual"/>
        </w:rPr>
        <w:pict w14:anchorId="0E8AB78F">
          <v:rect id="_x0000_i1032" alt="" style="width:451.3pt;height:.05pt;mso-width-percent:0;mso-height-percent:0;mso-width-percent:0;mso-height-percent:0" o:hralign="center" o:hrstd="t" o:hr="t" fillcolor="#a0a0a0" stroked="f"/>
        </w:pict>
      </w:r>
    </w:p>
    <w:p w14:paraId="4508E950" w14:textId="4262A3EE" w:rsidR="00294D52" w:rsidRPr="00294D52" w:rsidRDefault="00294D52" w:rsidP="003F53BF">
      <w:pPr>
        <w:spacing w:before="100" w:beforeAutospacing="1" w:after="100" w:afterAutospacing="1" w:line="360" w:lineRule="auto"/>
        <w:outlineLvl w:val="2"/>
        <w:rPr>
          <w:rFonts w:ascii="Times New Roman" w:hAnsi="Times New Roman"/>
          <w:b/>
          <w:bCs/>
          <w:lang w:val="en-HK"/>
        </w:rPr>
      </w:pPr>
      <w:r w:rsidRPr="003F53BF">
        <w:rPr>
          <w:rFonts w:ascii="Times New Roman" w:hAnsi="Times New Roman"/>
          <w:b/>
          <w:bCs/>
          <w:lang w:val="en-HK"/>
        </w:rPr>
        <w:t xml:space="preserve">Part 3: </w:t>
      </w:r>
      <w:r w:rsidRPr="00294D52">
        <w:rPr>
          <w:rFonts w:ascii="Times New Roman" w:hAnsi="Times New Roman"/>
          <w:b/>
          <w:bCs/>
          <w:lang w:val="en-HK"/>
        </w:rPr>
        <w:t>Key Judicial Observations</w:t>
      </w:r>
    </w:p>
    <w:p w14:paraId="01EB6BCC" w14:textId="77777777" w:rsidR="00294D52" w:rsidRPr="00294D52" w:rsidRDefault="00294D52" w:rsidP="003F53BF">
      <w:pPr>
        <w:spacing w:before="100" w:beforeAutospacing="1" w:after="100" w:afterAutospacing="1" w:line="360" w:lineRule="auto"/>
        <w:outlineLvl w:val="3"/>
        <w:rPr>
          <w:rFonts w:ascii="Times New Roman" w:hAnsi="Times New Roman"/>
          <w:b/>
          <w:bCs/>
          <w:lang w:val="en-HK"/>
        </w:rPr>
      </w:pPr>
      <w:r w:rsidRPr="00294D52">
        <w:rPr>
          <w:rFonts w:ascii="Times New Roman" w:hAnsi="Times New Roman"/>
          <w:b/>
          <w:bCs/>
          <w:lang w:val="en-HK"/>
        </w:rPr>
        <w:t xml:space="preserve">1. Lord Wilberforce in </w:t>
      </w:r>
      <w:r w:rsidRPr="00294D52">
        <w:rPr>
          <w:rFonts w:ascii="Times New Roman" w:hAnsi="Times New Roman"/>
          <w:b/>
          <w:bCs/>
          <w:i/>
          <w:iCs/>
          <w:lang w:val="en-HK"/>
        </w:rPr>
        <w:t>Gartside v IRC (1968)</w:t>
      </w:r>
    </w:p>
    <w:p w14:paraId="3F931A65"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Case Context:</w:t>
      </w:r>
    </w:p>
    <w:p w14:paraId="096871C2"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lastRenderedPageBreak/>
        <w:t xml:space="preserve">In </w:t>
      </w:r>
      <w:r w:rsidRPr="00294D52">
        <w:rPr>
          <w:rFonts w:ascii="Times New Roman" w:hAnsi="Times New Roman"/>
          <w:i/>
          <w:iCs/>
          <w:lang w:val="en-HK"/>
        </w:rPr>
        <w:t>Gartside v IRC (1968)</w:t>
      </w:r>
      <w:r w:rsidRPr="00294D52">
        <w:rPr>
          <w:rFonts w:ascii="Times New Roman" w:hAnsi="Times New Roman"/>
          <w:lang w:val="en-HK"/>
        </w:rPr>
        <w:t>, the House of Lords examined the nature of discretionary beneficiaries' rights under a discretionary trust. The focus was on whether beneficiaries had a sufficient proprietary interest to be taxed on their potential benefits.</w:t>
      </w:r>
    </w:p>
    <w:p w14:paraId="06E0DA86"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Judicial Reasoning:</w:t>
      </w:r>
    </w:p>
    <w:p w14:paraId="7B2BFF3F"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Lord Wilberforce clarified that while discretionary beneficiaries lack a specific proprietary entitlement to the trust assets, they hold enforceable rights to ensure proper trust administration.</w:t>
      </w:r>
    </w:p>
    <w:p w14:paraId="61EC1968"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His Lordship stated:</w:t>
      </w:r>
    </w:p>
    <w:p w14:paraId="39979ED9" w14:textId="77777777" w:rsidR="00294D52" w:rsidRPr="00294D52" w:rsidRDefault="00294D52" w:rsidP="003F53BF">
      <w:pPr>
        <w:numPr>
          <w:ilvl w:val="2"/>
          <w:numId w:val="13"/>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 xml:space="preserve">Discretionary beneficiaries have the </w:t>
      </w:r>
      <w:r w:rsidRPr="00294D52">
        <w:rPr>
          <w:rFonts w:ascii="Times New Roman" w:hAnsi="Times New Roman"/>
          <w:b/>
          <w:bCs/>
          <w:lang w:val="en-HK"/>
        </w:rPr>
        <w:t>"right to be considered as a potential recipient of benefit by the trustees"</w:t>
      </w:r>
      <w:r w:rsidRPr="00294D52">
        <w:rPr>
          <w:rFonts w:ascii="Times New Roman" w:hAnsi="Times New Roman"/>
          <w:lang w:val="en-HK"/>
        </w:rPr>
        <w:t xml:space="preserve"> and the </w:t>
      </w:r>
      <w:r w:rsidRPr="00294D52">
        <w:rPr>
          <w:rFonts w:ascii="Times New Roman" w:hAnsi="Times New Roman"/>
          <w:b/>
          <w:bCs/>
          <w:lang w:val="en-HK"/>
        </w:rPr>
        <w:t>"right to have their interest protected by a court of equity."</w:t>
      </w:r>
    </w:p>
    <w:p w14:paraId="08B5AC2C" w14:textId="77777777" w:rsidR="00294D52" w:rsidRPr="00294D52" w:rsidRDefault="00294D52" w:rsidP="003F53BF">
      <w:pPr>
        <w:numPr>
          <w:ilvl w:val="2"/>
          <w:numId w:val="13"/>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These rights derive not from ownership of the trust property but from the trustees' fiduciary obligations and the court's supervisory role over trust administration.</w:t>
      </w:r>
    </w:p>
    <w:p w14:paraId="3C9AD672"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Implications for the Necessary Interest Rule:</w:t>
      </w:r>
    </w:p>
    <w:p w14:paraId="1B21B1AD"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Lord Wilberforce’s reasoning underscores that standing to sue in the context of trusts need not depend on direct proprietary rights. Instead, the emphasis is on the relationship between the trustees' duties and the beneficiaries' entitlements to proper administration.</w:t>
      </w:r>
    </w:p>
    <w:p w14:paraId="76AA00A7"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 xml:space="preserve">This principle resonates with the enforcer principle, which </w:t>
      </w:r>
      <w:proofErr w:type="spellStart"/>
      <w:r w:rsidRPr="00294D52">
        <w:rPr>
          <w:rFonts w:ascii="Times New Roman" w:hAnsi="Times New Roman"/>
          <w:lang w:val="en-HK"/>
        </w:rPr>
        <w:t>centers</w:t>
      </w:r>
      <w:proofErr w:type="spellEnd"/>
      <w:r w:rsidRPr="00294D52">
        <w:rPr>
          <w:rFonts w:ascii="Times New Roman" w:hAnsi="Times New Roman"/>
          <w:lang w:val="en-HK"/>
        </w:rPr>
        <w:t xml:space="preserve"> on the trustee's accountability rather than the beneficiary’s ownership rights.</w:t>
      </w:r>
    </w:p>
    <w:p w14:paraId="72E7F975" w14:textId="77777777" w:rsidR="00294D52" w:rsidRPr="00294D52" w:rsidRDefault="00E94EDA" w:rsidP="003F53BF">
      <w:pPr>
        <w:spacing w:line="360" w:lineRule="auto"/>
        <w:rPr>
          <w:rFonts w:ascii="Times New Roman" w:hAnsi="Times New Roman"/>
          <w:lang w:val="en-HK"/>
        </w:rPr>
      </w:pPr>
      <w:r w:rsidRPr="00E94EDA">
        <w:rPr>
          <w:rFonts w:ascii="Times New Roman" w:hAnsi="Times New Roman"/>
          <w:noProof/>
          <w:lang w:val="en-HK"/>
          <w14:ligatures w14:val="standardContextual"/>
        </w:rPr>
        <w:pict w14:anchorId="1101C93A">
          <v:rect id="_x0000_i1031" alt="" style="width:451.3pt;height:.05pt;mso-width-percent:0;mso-height-percent:0;mso-width-percent:0;mso-height-percent:0" o:hralign="center" o:hrstd="t" o:hr="t" fillcolor="#a0a0a0" stroked="f"/>
        </w:pict>
      </w:r>
    </w:p>
    <w:p w14:paraId="4859E1D5" w14:textId="77777777" w:rsidR="00294D52" w:rsidRPr="00294D52" w:rsidRDefault="00294D52" w:rsidP="003F53BF">
      <w:pPr>
        <w:spacing w:before="100" w:beforeAutospacing="1" w:after="100" w:afterAutospacing="1" w:line="360" w:lineRule="auto"/>
        <w:outlineLvl w:val="3"/>
        <w:rPr>
          <w:rFonts w:ascii="Times New Roman" w:hAnsi="Times New Roman"/>
          <w:b/>
          <w:bCs/>
          <w:lang w:val="en-HK"/>
        </w:rPr>
      </w:pPr>
      <w:r w:rsidRPr="00294D52">
        <w:rPr>
          <w:rFonts w:ascii="Times New Roman" w:hAnsi="Times New Roman"/>
          <w:b/>
          <w:bCs/>
          <w:lang w:val="en-HK"/>
        </w:rPr>
        <w:t xml:space="preserve">2. Lord Eldon in </w:t>
      </w:r>
      <w:proofErr w:type="spellStart"/>
      <w:r w:rsidRPr="00294D52">
        <w:rPr>
          <w:rFonts w:ascii="Times New Roman" w:hAnsi="Times New Roman"/>
          <w:b/>
          <w:bCs/>
          <w:i/>
          <w:iCs/>
          <w:lang w:val="en-HK"/>
        </w:rPr>
        <w:t>Morice</w:t>
      </w:r>
      <w:proofErr w:type="spellEnd"/>
      <w:r w:rsidRPr="00294D52">
        <w:rPr>
          <w:rFonts w:ascii="Times New Roman" w:hAnsi="Times New Roman"/>
          <w:b/>
          <w:bCs/>
          <w:i/>
          <w:iCs/>
          <w:lang w:val="en-HK"/>
        </w:rPr>
        <w:t xml:space="preserve"> v Bishop of Durham (1804)</w:t>
      </w:r>
    </w:p>
    <w:p w14:paraId="3B398A9C"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Case Context:</w:t>
      </w:r>
    </w:p>
    <w:p w14:paraId="29876188" w14:textId="77777777" w:rsidR="00294D52" w:rsidRPr="00294D52" w:rsidRDefault="00294D52" w:rsidP="003F53BF">
      <w:pPr>
        <w:spacing w:before="100" w:beforeAutospacing="1" w:after="100" w:afterAutospacing="1" w:line="360" w:lineRule="auto"/>
        <w:rPr>
          <w:rFonts w:ascii="Times New Roman" w:hAnsi="Times New Roman"/>
          <w:lang w:val="en-HK"/>
        </w:rPr>
      </w:pPr>
      <w:proofErr w:type="spellStart"/>
      <w:r w:rsidRPr="00294D52">
        <w:rPr>
          <w:rFonts w:ascii="Times New Roman" w:hAnsi="Times New Roman"/>
          <w:i/>
          <w:iCs/>
          <w:lang w:val="en-HK"/>
        </w:rPr>
        <w:t>Morice</w:t>
      </w:r>
      <w:proofErr w:type="spellEnd"/>
      <w:r w:rsidRPr="00294D52">
        <w:rPr>
          <w:rFonts w:ascii="Times New Roman" w:hAnsi="Times New Roman"/>
          <w:i/>
          <w:iCs/>
          <w:lang w:val="en-HK"/>
        </w:rPr>
        <w:t xml:space="preserve"> v Bishop of Durham</w:t>
      </w:r>
      <w:r w:rsidRPr="00294D52">
        <w:rPr>
          <w:rFonts w:ascii="Times New Roman" w:hAnsi="Times New Roman"/>
          <w:lang w:val="en-HK"/>
        </w:rPr>
        <w:t xml:space="preserve"> is a foundational case in trust law, particularly in establishing the beneficiary principle. The issue was whether a trust for purposes rather than individuals could be valid.</w:t>
      </w:r>
    </w:p>
    <w:p w14:paraId="49B57699"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lastRenderedPageBreak/>
        <w:t>Judicial Reasoning:</w:t>
      </w:r>
    </w:p>
    <w:p w14:paraId="51939D67"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Lord Eldon emphasized the necessity of court supervision over trust execution. His Lordship stated:</w:t>
      </w:r>
    </w:p>
    <w:p w14:paraId="270A5FBF" w14:textId="77777777" w:rsidR="00294D52" w:rsidRPr="00294D52" w:rsidRDefault="00294D52" w:rsidP="003F53BF">
      <w:pPr>
        <w:numPr>
          <w:ilvl w:val="2"/>
          <w:numId w:val="14"/>
        </w:num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“As it is a maxim, that the execution of a trust shall be under the control of the Court, it must be of such a nature, that it can be under that control.”</w:t>
      </w:r>
    </w:p>
    <w:p w14:paraId="5407E85E" w14:textId="77777777" w:rsidR="00294D52" w:rsidRPr="00294D52" w:rsidRDefault="00294D52" w:rsidP="003F53BF">
      <w:pPr>
        <w:numPr>
          <w:ilvl w:val="2"/>
          <w:numId w:val="14"/>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A valid trust must have identifiable objects or individuals to allow the court to oversee its administration effectively. Without ascertainable beneficiaries, the court cannot ensure proper trust execution or correct maladministration.</w:t>
      </w:r>
    </w:p>
    <w:p w14:paraId="4E6A5103"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Implications for Charitable Trusts and the Necessary Interest Rule:</w:t>
      </w:r>
    </w:p>
    <w:p w14:paraId="5FB2CB63"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While Lord Eldon’s reasoning was foundational for the beneficiary principle, his emphasis on judicial control also aligns with the enforcer principle:</w:t>
      </w:r>
    </w:p>
    <w:p w14:paraId="693172FF" w14:textId="77777777" w:rsidR="00294D52" w:rsidRPr="00294D52" w:rsidRDefault="00294D52" w:rsidP="003F53BF">
      <w:pPr>
        <w:numPr>
          <w:ilvl w:val="2"/>
          <w:numId w:val="14"/>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The court’s ability to supervise and enforce the trustee's obligations is paramount, regardless of whether the trust benefits identifiable individuals.</w:t>
      </w:r>
    </w:p>
    <w:p w14:paraId="29159F44" w14:textId="77777777" w:rsidR="00294D52" w:rsidRPr="00294D52" w:rsidRDefault="00294D52" w:rsidP="003F53BF">
      <w:pPr>
        <w:numPr>
          <w:ilvl w:val="2"/>
          <w:numId w:val="14"/>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This interpretation supports the flexibility of the necessary interest rule, which enables courts to recognize claimants whose actions align with ensuring proper trust execution, even in the absence of direct proprietary interests.</w:t>
      </w:r>
    </w:p>
    <w:p w14:paraId="3D8BCC7E"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Scholarly Insight:</w:t>
      </w:r>
    </w:p>
    <w:p w14:paraId="3730E0FB"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 xml:space="preserve">Scholars like Joshua </w:t>
      </w:r>
      <w:proofErr w:type="spellStart"/>
      <w:r w:rsidRPr="00294D52">
        <w:rPr>
          <w:rFonts w:ascii="Times New Roman" w:hAnsi="Times New Roman"/>
          <w:lang w:val="en-HK"/>
        </w:rPr>
        <w:t>Getzler</w:t>
      </w:r>
      <w:proofErr w:type="spellEnd"/>
      <w:r w:rsidRPr="00294D52">
        <w:rPr>
          <w:rFonts w:ascii="Times New Roman" w:hAnsi="Times New Roman"/>
          <w:lang w:val="en-HK"/>
        </w:rPr>
        <w:t xml:space="preserve"> have argued that </w:t>
      </w:r>
      <w:proofErr w:type="spellStart"/>
      <w:r w:rsidRPr="00294D52">
        <w:rPr>
          <w:rFonts w:ascii="Times New Roman" w:hAnsi="Times New Roman"/>
          <w:i/>
          <w:iCs/>
          <w:lang w:val="en-HK"/>
        </w:rPr>
        <w:t>Morice</w:t>
      </w:r>
      <w:proofErr w:type="spellEnd"/>
      <w:r w:rsidRPr="00294D52">
        <w:rPr>
          <w:rFonts w:ascii="Times New Roman" w:hAnsi="Times New Roman"/>
          <w:lang w:val="en-HK"/>
        </w:rPr>
        <w:t xml:space="preserve"> also reflects the court's broader concern for ensuring the integrity of trust administration, especially in cases involving public or charitable purposes. This perspective bridges the beneficiary and enforcer principles.</w:t>
      </w:r>
    </w:p>
    <w:p w14:paraId="6933C38A" w14:textId="77777777" w:rsidR="00294D52" w:rsidRPr="00294D52" w:rsidRDefault="00E94EDA" w:rsidP="003F53BF">
      <w:pPr>
        <w:spacing w:line="360" w:lineRule="auto"/>
        <w:rPr>
          <w:rFonts w:ascii="Times New Roman" w:hAnsi="Times New Roman"/>
          <w:lang w:val="en-HK"/>
        </w:rPr>
      </w:pPr>
      <w:r w:rsidRPr="00E94EDA">
        <w:rPr>
          <w:rFonts w:ascii="Times New Roman" w:hAnsi="Times New Roman"/>
          <w:noProof/>
          <w:lang w:val="en-HK"/>
          <w14:ligatures w14:val="standardContextual"/>
        </w:rPr>
        <w:pict w14:anchorId="0C9180DA">
          <v:rect id="_x0000_i1030" alt="" style="width:451.3pt;height:.05pt;mso-width-percent:0;mso-height-percent:0;mso-width-percent:0;mso-height-percent:0" o:hralign="center" o:hrstd="t" o:hr="t" fillcolor="#a0a0a0" stroked="f"/>
        </w:pict>
      </w:r>
    </w:p>
    <w:p w14:paraId="01E1747B" w14:textId="77777777" w:rsidR="00294D52" w:rsidRPr="00294D52" w:rsidRDefault="00294D52" w:rsidP="003F53BF">
      <w:pPr>
        <w:spacing w:before="100" w:beforeAutospacing="1" w:after="100" w:afterAutospacing="1" w:line="360" w:lineRule="auto"/>
        <w:outlineLvl w:val="2"/>
        <w:rPr>
          <w:rFonts w:ascii="Times New Roman" w:hAnsi="Times New Roman"/>
          <w:b/>
          <w:bCs/>
          <w:lang w:val="en-HK"/>
        </w:rPr>
      </w:pPr>
      <w:r w:rsidRPr="00294D52">
        <w:rPr>
          <w:rFonts w:ascii="Times New Roman" w:hAnsi="Times New Roman"/>
          <w:b/>
          <w:bCs/>
          <w:lang w:val="en-HK"/>
        </w:rPr>
        <w:t>Key Takeaways from the Judicial Observations</w:t>
      </w:r>
    </w:p>
    <w:p w14:paraId="413E4303" w14:textId="77777777" w:rsidR="00294D52" w:rsidRPr="00294D52" w:rsidRDefault="00294D52" w:rsidP="003F53BF">
      <w:pPr>
        <w:numPr>
          <w:ilvl w:val="0"/>
          <w:numId w:val="15"/>
        </w:num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 xml:space="preserve">Lord Wilberforce in </w:t>
      </w:r>
      <w:r w:rsidRPr="00294D52">
        <w:rPr>
          <w:rFonts w:ascii="Times New Roman" w:hAnsi="Times New Roman"/>
          <w:b/>
          <w:bCs/>
          <w:i/>
          <w:iCs/>
          <w:lang w:val="en-HK"/>
        </w:rPr>
        <w:t>Gartside</w:t>
      </w:r>
      <w:r w:rsidRPr="00294D52">
        <w:rPr>
          <w:rFonts w:ascii="Times New Roman" w:hAnsi="Times New Roman"/>
          <w:b/>
          <w:bCs/>
          <w:lang w:val="en-HK"/>
        </w:rPr>
        <w:t xml:space="preserve"> and the Enforcer Principle:</w:t>
      </w:r>
    </w:p>
    <w:p w14:paraId="0C9DAA01" w14:textId="77777777" w:rsidR="00294D52" w:rsidRPr="00294D52" w:rsidRDefault="00294D52" w:rsidP="003F53BF">
      <w:pPr>
        <w:numPr>
          <w:ilvl w:val="1"/>
          <w:numId w:val="15"/>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Discretionary beneficiaries’ rights exemplify how courts prioritize accountability and due administration over proprietary interests, aligning with the enforcer principle.</w:t>
      </w:r>
    </w:p>
    <w:p w14:paraId="178F9FAA" w14:textId="77777777" w:rsidR="00294D52" w:rsidRPr="00294D52" w:rsidRDefault="00294D52" w:rsidP="003F53BF">
      <w:pPr>
        <w:numPr>
          <w:ilvl w:val="1"/>
          <w:numId w:val="15"/>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lastRenderedPageBreak/>
        <w:t>This approach has influenced broader interpretations of standing in trust law, including under the necessary interest rule.</w:t>
      </w:r>
    </w:p>
    <w:p w14:paraId="7BECF22E" w14:textId="77777777" w:rsidR="00294D52" w:rsidRPr="00294D52" w:rsidRDefault="00294D52" w:rsidP="003F53BF">
      <w:pPr>
        <w:numPr>
          <w:ilvl w:val="0"/>
          <w:numId w:val="15"/>
        </w:num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 xml:space="preserve">Lord Eldon in </w:t>
      </w:r>
      <w:proofErr w:type="spellStart"/>
      <w:r w:rsidRPr="00294D52">
        <w:rPr>
          <w:rFonts w:ascii="Times New Roman" w:hAnsi="Times New Roman"/>
          <w:b/>
          <w:bCs/>
          <w:i/>
          <w:iCs/>
          <w:lang w:val="en-HK"/>
        </w:rPr>
        <w:t>Morice</w:t>
      </w:r>
      <w:proofErr w:type="spellEnd"/>
      <w:r w:rsidRPr="00294D52">
        <w:rPr>
          <w:rFonts w:ascii="Times New Roman" w:hAnsi="Times New Roman"/>
          <w:b/>
          <w:bCs/>
          <w:lang w:val="en-HK"/>
        </w:rPr>
        <w:t xml:space="preserve"> and Judicial Supervision:</w:t>
      </w:r>
    </w:p>
    <w:p w14:paraId="4C13BC1B" w14:textId="77777777" w:rsidR="00294D52" w:rsidRPr="00294D52" w:rsidRDefault="00294D52" w:rsidP="003F53BF">
      <w:pPr>
        <w:numPr>
          <w:ilvl w:val="1"/>
          <w:numId w:val="15"/>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His insistence on court control over trust execution laid the groundwork for the beneficiary principle but also supports the enforcer principle’s emphasis on trustee accountability.</w:t>
      </w:r>
    </w:p>
    <w:p w14:paraId="2C243924" w14:textId="77777777" w:rsidR="00294D52" w:rsidRPr="003F53BF" w:rsidRDefault="00294D52" w:rsidP="003F53BF">
      <w:pPr>
        <w:numPr>
          <w:ilvl w:val="1"/>
          <w:numId w:val="15"/>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 xml:space="preserve">The court’s supervisory role, central to </w:t>
      </w:r>
      <w:proofErr w:type="spellStart"/>
      <w:r w:rsidRPr="00294D52">
        <w:rPr>
          <w:rFonts w:ascii="Times New Roman" w:hAnsi="Times New Roman"/>
          <w:i/>
          <w:iCs/>
          <w:lang w:val="en-HK"/>
        </w:rPr>
        <w:t>Morice</w:t>
      </w:r>
      <w:proofErr w:type="spellEnd"/>
      <w:r w:rsidRPr="00294D52">
        <w:rPr>
          <w:rFonts w:ascii="Times New Roman" w:hAnsi="Times New Roman"/>
          <w:lang w:val="en-HK"/>
        </w:rPr>
        <w:t>, informs the flexible application of the necessary interest rule to protect charitable purposes.</w:t>
      </w:r>
    </w:p>
    <w:p w14:paraId="3C7E3D23" w14:textId="51FC4EF7" w:rsidR="00294D52" w:rsidRPr="00294D52" w:rsidRDefault="00E94EDA" w:rsidP="003F53BF">
      <w:pPr>
        <w:spacing w:before="100" w:beforeAutospacing="1" w:after="100" w:afterAutospacing="1" w:line="360" w:lineRule="auto"/>
        <w:rPr>
          <w:rFonts w:ascii="Times New Roman" w:hAnsi="Times New Roman"/>
          <w:lang w:val="en-HK"/>
        </w:rPr>
      </w:pPr>
      <w:r w:rsidRPr="00E94EDA">
        <w:rPr>
          <w:rFonts w:ascii="Times New Roman" w:hAnsi="Times New Roman"/>
          <w:noProof/>
          <w:lang w:val="en-HK"/>
          <w14:ligatures w14:val="standardContextual"/>
        </w:rPr>
        <w:pict w14:anchorId="576E3F1B">
          <v:rect id="_x0000_i1029" alt="" style="width:451.3pt;height:.05pt;mso-width-percent:0;mso-height-percent:0;mso-width-percent:0;mso-height-percent:0" o:hralign="center" o:hrstd="t" o:hr="t" fillcolor="#a0a0a0" stroked="f"/>
        </w:pict>
      </w:r>
    </w:p>
    <w:p w14:paraId="6A194D13" w14:textId="77777777" w:rsidR="00294D52" w:rsidRPr="00294D52" w:rsidRDefault="00294D52" w:rsidP="003F53BF">
      <w:pPr>
        <w:spacing w:before="100" w:beforeAutospacing="1" w:after="100" w:afterAutospacing="1" w:line="360" w:lineRule="auto"/>
        <w:outlineLvl w:val="2"/>
        <w:rPr>
          <w:rFonts w:ascii="Times New Roman" w:hAnsi="Times New Roman"/>
          <w:b/>
          <w:bCs/>
          <w:lang w:val="en-HK"/>
        </w:rPr>
      </w:pPr>
      <w:r w:rsidRPr="00294D52">
        <w:rPr>
          <w:rFonts w:ascii="Times New Roman" w:hAnsi="Times New Roman"/>
          <w:b/>
          <w:bCs/>
          <w:lang w:val="en-HK"/>
        </w:rPr>
        <w:t>Conclusion</w:t>
      </w:r>
    </w:p>
    <w:p w14:paraId="67AED04E" w14:textId="77777777" w:rsidR="00294D52" w:rsidRPr="00294D52" w:rsidRDefault="00294D52" w:rsidP="003F53BF">
      <w:pPr>
        <w:spacing w:before="100" w:beforeAutospacing="1" w:after="100" w:afterAutospacing="1" w:line="360" w:lineRule="auto"/>
        <w:outlineLvl w:val="3"/>
        <w:rPr>
          <w:rFonts w:ascii="Times New Roman" w:hAnsi="Times New Roman"/>
          <w:b/>
          <w:bCs/>
          <w:lang w:val="en-HK"/>
        </w:rPr>
      </w:pPr>
      <w:r w:rsidRPr="00294D52">
        <w:rPr>
          <w:rFonts w:ascii="Times New Roman" w:hAnsi="Times New Roman"/>
          <w:b/>
          <w:bCs/>
          <w:lang w:val="en-HK"/>
        </w:rPr>
        <w:t>Core Findings</w:t>
      </w:r>
    </w:p>
    <w:p w14:paraId="387A2A96" w14:textId="77777777" w:rsidR="00294D52" w:rsidRPr="00294D52" w:rsidRDefault="00294D52" w:rsidP="003F53BF">
      <w:pPr>
        <w:numPr>
          <w:ilvl w:val="0"/>
          <w:numId w:val="16"/>
        </w:num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Significance of the Necessary Interest Rule:</w:t>
      </w:r>
    </w:p>
    <w:p w14:paraId="41C085B3" w14:textId="77777777" w:rsidR="00294D52" w:rsidRPr="00294D52" w:rsidRDefault="00294D52" w:rsidP="003F53BF">
      <w:pPr>
        <w:numPr>
          <w:ilvl w:val="1"/>
          <w:numId w:val="23"/>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The rule plays a crucial role in enforcing charitable trusts by allowing individuals with a sufficient connection to a charity to bring proceedings against trustees for misconduct.</w:t>
      </w:r>
    </w:p>
    <w:p w14:paraId="11D5E944" w14:textId="77777777" w:rsidR="00294D52" w:rsidRPr="00294D52" w:rsidRDefault="00294D52" w:rsidP="003F53BF">
      <w:pPr>
        <w:numPr>
          <w:ilvl w:val="1"/>
          <w:numId w:val="23"/>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 xml:space="preserve">Its operation underscores the </w:t>
      </w:r>
      <w:r w:rsidRPr="00294D52">
        <w:rPr>
          <w:rFonts w:ascii="Times New Roman" w:hAnsi="Times New Roman"/>
          <w:b/>
          <w:bCs/>
          <w:lang w:val="en-HK"/>
        </w:rPr>
        <w:t>administrative jurisdiction of the court</w:t>
      </w:r>
      <w:r w:rsidRPr="00294D52">
        <w:rPr>
          <w:rFonts w:ascii="Times New Roman" w:hAnsi="Times New Roman"/>
          <w:lang w:val="en-HK"/>
        </w:rPr>
        <w:t xml:space="preserve"> to secure the proper execution of trusts, which is fundamental to trust law.</w:t>
      </w:r>
    </w:p>
    <w:p w14:paraId="566282E2" w14:textId="77777777" w:rsidR="00294D52" w:rsidRPr="00294D52" w:rsidRDefault="00294D52" w:rsidP="003F53BF">
      <w:pPr>
        <w:numPr>
          <w:ilvl w:val="0"/>
          <w:numId w:val="16"/>
        </w:num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Judicial Flexibility:</w:t>
      </w:r>
    </w:p>
    <w:p w14:paraId="1C440640" w14:textId="77777777" w:rsidR="00294D52" w:rsidRPr="00294D52" w:rsidRDefault="00294D52" w:rsidP="003F53BF">
      <w:pPr>
        <w:numPr>
          <w:ilvl w:val="1"/>
          <w:numId w:val="16"/>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The courts have refrained from providing a rigid definition of "necessary interest" to maintain flexibility.</w:t>
      </w:r>
    </w:p>
    <w:p w14:paraId="78B0792C" w14:textId="77777777" w:rsidR="00294D52" w:rsidRPr="00294D52" w:rsidRDefault="00294D52" w:rsidP="003F53BF">
      <w:pPr>
        <w:numPr>
          <w:ilvl w:val="1"/>
          <w:numId w:val="16"/>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Instead, they assess the claimant’s interest on a case-by-case basis, considering:</w:t>
      </w:r>
    </w:p>
    <w:p w14:paraId="25258878" w14:textId="77777777" w:rsidR="00294D52" w:rsidRPr="00294D52" w:rsidRDefault="00294D52" w:rsidP="003F53BF">
      <w:pPr>
        <w:numPr>
          <w:ilvl w:val="2"/>
          <w:numId w:val="16"/>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The substance of the interest.</w:t>
      </w:r>
    </w:p>
    <w:p w14:paraId="2BF12442" w14:textId="77777777" w:rsidR="00294D52" w:rsidRPr="00294D52" w:rsidRDefault="00294D52" w:rsidP="003F53BF">
      <w:pPr>
        <w:numPr>
          <w:ilvl w:val="2"/>
          <w:numId w:val="16"/>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Its relevance to the furtherance of charitable purposes.</w:t>
      </w:r>
    </w:p>
    <w:p w14:paraId="5D08C873" w14:textId="77777777" w:rsidR="00294D52" w:rsidRPr="00294D52" w:rsidRDefault="00294D52" w:rsidP="003F53BF">
      <w:pPr>
        <w:numPr>
          <w:ilvl w:val="2"/>
          <w:numId w:val="16"/>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The context from which the interest arises.</w:t>
      </w:r>
    </w:p>
    <w:p w14:paraId="34FEC0C4" w14:textId="77777777" w:rsidR="00294D52" w:rsidRPr="00294D52" w:rsidRDefault="00294D52" w:rsidP="003F53BF">
      <w:pPr>
        <w:spacing w:before="100" w:beforeAutospacing="1" w:after="100" w:afterAutospacing="1" w:line="360" w:lineRule="auto"/>
        <w:outlineLvl w:val="3"/>
        <w:rPr>
          <w:rFonts w:ascii="Times New Roman" w:hAnsi="Times New Roman"/>
          <w:b/>
          <w:bCs/>
          <w:lang w:val="en-HK"/>
        </w:rPr>
      </w:pPr>
      <w:r w:rsidRPr="00294D52">
        <w:rPr>
          <w:rFonts w:ascii="Times New Roman" w:hAnsi="Times New Roman"/>
          <w:b/>
          <w:bCs/>
          <w:lang w:val="en-HK"/>
        </w:rPr>
        <w:t>Protective Filter</w:t>
      </w:r>
    </w:p>
    <w:p w14:paraId="2C35E2A4"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Purpose:</w:t>
      </w:r>
    </w:p>
    <w:p w14:paraId="2A447357" w14:textId="77777777" w:rsidR="00294D52" w:rsidRPr="00294D52" w:rsidRDefault="00294D52" w:rsidP="003F53BF">
      <w:pPr>
        <w:numPr>
          <w:ilvl w:val="1"/>
          <w:numId w:val="24"/>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lastRenderedPageBreak/>
        <w:t>Prevents frivolous litigation and protects charitable assets from unnecessary depletion.</w:t>
      </w:r>
    </w:p>
    <w:p w14:paraId="1F098834" w14:textId="77777777" w:rsidR="00294D52" w:rsidRPr="00294D52" w:rsidRDefault="00294D52" w:rsidP="003F53BF">
      <w:pPr>
        <w:numPr>
          <w:ilvl w:val="1"/>
          <w:numId w:val="24"/>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Balances the interests of claimants seeking accountability with the protection of trustees from unmeritorious challenges.</w:t>
      </w:r>
    </w:p>
    <w:p w14:paraId="4BBB0430"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Judicial Observations:</w:t>
      </w:r>
    </w:p>
    <w:p w14:paraId="609C8259"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i/>
          <w:iCs/>
          <w:lang w:val="en-HK"/>
        </w:rPr>
        <w:t>Rosenzweig v NMC Recordings Ltd (2013)</w:t>
      </w:r>
      <w:r w:rsidRPr="00294D52">
        <w:rPr>
          <w:rFonts w:ascii="Times New Roman" w:hAnsi="Times New Roman"/>
          <w:lang w:val="en-HK"/>
        </w:rPr>
        <w:t>: Norris J emphasized that the filter ensures claims align with the charity's objectives and do not exhaust resources.</w:t>
      </w:r>
    </w:p>
    <w:p w14:paraId="6F417329"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i/>
          <w:iCs/>
          <w:lang w:val="en-HK"/>
        </w:rPr>
        <w:t>Scott v National Trust (1998)</w:t>
      </w:r>
      <w:r w:rsidRPr="00294D52">
        <w:rPr>
          <w:rFonts w:ascii="Times New Roman" w:hAnsi="Times New Roman"/>
          <w:lang w:val="en-HK"/>
        </w:rPr>
        <w:t>: Robert Walker J highlighted that the filter safeguards trustees from being "harassed by a multiplicity of hopeless challenges."</w:t>
      </w:r>
    </w:p>
    <w:p w14:paraId="3CEBDC23" w14:textId="77777777" w:rsidR="00294D52" w:rsidRPr="00294D52" w:rsidRDefault="00E94EDA" w:rsidP="003F53BF">
      <w:pPr>
        <w:spacing w:line="360" w:lineRule="auto"/>
        <w:rPr>
          <w:rFonts w:ascii="Times New Roman" w:hAnsi="Times New Roman"/>
          <w:lang w:val="en-HK"/>
        </w:rPr>
      </w:pPr>
      <w:r w:rsidRPr="00E94EDA">
        <w:rPr>
          <w:rFonts w:ascii="Times New Roman" w:hAnsi="Times New Roman"/>
          <w:noProof/>
          <w:lang w:val="en-HK"/>
          <w14:ligatures w14:val="standardContextual"/>
        </w:rPr>
        <w:pict w14:anchorId="1FA56AF1">
          <v:rect id="_x0000_i1028" alt="" style="width:451.3pt;height:.05pt;mso-width-percent:0;mso-height-percent:0;mso-width-percent:0;mso-height-percent:0" o:hralign="center" o:hrstd="t" o:hr="t" fillcolor="#a0a0a0" stroked="f"/>
        </w:pict>
      </w:r>
    </w:p>
    <w:p w14:paraId="3F69084D" w14:textId="77777777" w:rsidR="00294D52" w:rsidRPr="00294D52" w:rsidRDefault="00294D52" w:rsidP="003F53BF">
      <w:pPr>
        <w:spacing w:before="100" w:beforeAutospacing="1" w:after="100" w:afterAutospacing="1" w:line="360" w:lineRule="auto"/>
        <w:outlineLvl w:val="3"/>
        <w:rPr>
          <w:rFonts w:ascii="Times New Roman" w:hAnsi="Times New Roman"/>
          <w:b/>
          <w:bCs/>
          <w:lang w:val="en-HK"/>
        </w:rPr>
      </w:pPr>
      <w:r w:rsidRPr="00294D52">
        <w:rPr>
          <w:rFonts w:ascii="Times New Roman" w:hAnsi="Times New Roman"/>
          <w:b/>
          <w:bCs/>
          <w:lang w:val="en-HK"/>
        </w:rPr>
        <w:t>Theoretical Implications</w:t>
      </w:r>
    </w:p>
    <w:p w14:paraId="3B7046CB" w14:textId="77777777" w:rsidR="00294D52" w:rsidRPr="00294D52" w:rsidRDefault="00294D52" w:rsidP="003F53BF">
      <w:pPr>
        <w:numPr>
          <w:ilvl w:val="0"/>
          <w:numId w:val="18"/>
        </w:num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Beneficiary-Enforcer Debate:</w:t>
      </w:r>
    </w:p>
    <w:p w14:paraId="5D58A4E6"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 xml:space="preserve">The necessary interest rule aligns more closely with the </w:t>
      </w:r>
      <w:r w:rsidRPr="00294D52">
        <w:rPr>
          <w:rFonts w:ascii="Times New Roman" w:hAnsi="Times New Roman"/>
          <w:b/>
          <w:bCs/>
          <w:lang w:val="en-HK"/>
        </w:rPr>
        <w:t>enforcer principle</w:t>
      </w:r>
      <w:r w:rsidRPr="00294D52">
        <w:rPr>
          <w:rFonts w:ascii="Times New Roman" w:hAnsi="Times New Roman"/>
          <w:lang w:val="en-HK"/>
        </w:rPr>
        <w:t xml:space="preserve"> than the </w:t>
      </w:r>
      <w:r w:rsidRPr="00294D52">
        <w:rPr>
          <w:rFonts w:ascii="Times New Roman" w:hAnsi="Times New Roman"/>
          <w:b/>
          <w:bCs/>
          <w:lang w:val="en-HK"/>
        </w:rPr>
        <w:t>beneficiary principle</w:t>
      </w:r>
      <w:r w:rsidRPr="00294D52">
        <w:rPr>
          <w:rFonts w:ascii="Times New Roman" w:hAnsi="Times New Roman"/>
          <w:lang w:val="en-HK"/>
        </w:rPr>
        <w:t>:</w:t>
      </w:r>
    </w:p>
    <w:p w14:paraId="2CBAEC83" w14:textId="77777777" w:rsidR="00294D52" w:rsidRPr="00294D52" w:rsidRDefault="00294D52" w:rsidP="003F53BF">
      <w:pPr>
        <w:numPr>
          <w:ilvl w:val="2"/>
          <w:numId w:val="18"/>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It prioritizes trustee accountability and trust execution rather than requiring proprietary rights for standing.</w:t>
      </w:r>
    </w:p>
    <w:p w14:paraId="1A103914"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This flexibility allows for effective supervision of charitable trusts without being constrained by rigid beneficiary-based notions.</w:t>
      </w:r>
    </w:p>
    <w:p w14:paraId="7B6A85C9" w14:textId="77777777" w:rsidR="00294D52" w:rsidRPr="00294D52" w:rsidRDefault="00294D52" w:rsidP="003F53BF">
      <w:pPr>
        <w:numPr>
          <w:ilvl w:val="0"/>
          <w:numId w:val="18"/>
        </w:num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Judicial Foundations:</w:t>
      </w:r>
    </w:p>
    <w:p w14:paraId="409B61D6" w14:textId="240883D3"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i/>
          <w:iCs/>
          <w:lang w:val="en-HK"/>
        </w:rPr>
        <w:t>Lord Wilberforce in Gartside v IRC (1968):</w:t>
      </w:r>
    </w:p>
    <w:p w14:paraId="24052549"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Affirmed that standing to sue need not rely on proprietary rights, as discretionary beneficiaries have enforceable rights to proper trust administration.</w:t>
      </w:r>
    </w:p>
    <w:p w14:paraId="7474337D" w14:textId="7C09EE51"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i/>
          <w:iCs/>
          <w:lang w:val="en-HK"/>
        </w:rPr>
        <w:t xml:space="preserve">Lord Eldon in </w:t>
      </w:r>
      <w:proofErr w:type="spellStart"/>
      <w:r w:rsidRPr="00294D52">
        <w:rPr>
          <w:rFonts w:ascii="Times New Roman" w:hAnsi="Times New Roman"/>
          <w:i/>
          <w:iCs/>
          <w:lang w:val="en-HK"/>
        </w:rPr>
        <w:t>Morice</w:t>
      </w:r>
      <w:proofErr w:type="spellEnd"/>
      <w:r w:rsidRPr="00294D52">
        <w:rPr>
          <w:rFonts w:ascii="Times New Roman" w:hAnsi="Times New Roman"/>
          <w:i/>
          <w:iCs/>
          <w:lang w:val="en-HK"/>
        </w:rPr>
        <w:t xml:space="preserve"> v Bishop of Durham (1804):</w:t>
      </w:r>
    </w:p>
    <w:p w14:paraId="28E837AD"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lastRenderedPageBreak/>
        <w:t>Emphasized the court’s jurisdiction over trust execution, laying the foundation for the supervisory role critical to the necessary interest rule.</w:t>
      </w:r>
    </w:p>
    <w:p w14:paraId="6FACA5A9" w14:textId="77777777" w:rsidR="00294D52" w:rsidRPr="00294D52" w:rsidRDefault="00E94EDA" w:rsidP="003F53BF">
      <w:pPr>
        <w:spacing w:line="360" w:lineRule="auto"/>
        <w:rPr>
          <w:rFonts w:ascii="Times New Roman" w:hAnsi="Times New Roman"/>
          <w:lang w:val="en-HK"/>
        </w:rPr>
      </w:pPr>
      <w:r w:rsidRPr="00E94EDA">
        <w:rPr>
          <w:rFonts w:ascii="Times New Roman" w:hAnsi="Times New Roman"/>
          <w:noProof/>
          <w:lang w:val="en-HK"/>
          <w14:ligatures w14:val="standardContextual"/>
        </w:rPr>
        <w:pict w14:anchorId="280456DA">
          <v:rect id="_x0000_i1027" alt="" style="width:451.3pt;height:.05pt;mso-width-percent:0;mso-height-percent:0;mso-width-percent:0;mso-height-percent:0" o:hralign="center" o:hrstd="t" o:hr="t" fillcolor="#a0a0a0" stroked="f"/>
        </w:pict>
      </w:r>
    </w:p>
    <w:p w14:paraId="4D5C3EFA" w14:textId="77777777" w:rsidR="00294D52" w:rsidRPr="00294D52" w:rsidRDefault="00294D52" w:rsidP="003F53BF">
      <w:pPr>
        <w:spacing w:before="100" w:beforeAutospacing="1" w:after="100" w:afterAutospacing="1" w:line="360" w:lineRule="auto"/>
        <w:outlineLvl w:val="3"/>
        <w:rPr>
          <w:rFonts w:ascii="Times New Roman" w:hAnsi="Times New Roman"/>
          <w:b/>
          <w:bCs/>
          <w:lang w:val="en-HK"/>
        </w:rPr>
      </w:pPr>
      <w:r w:rsidRPr="00294D52">
        <w:rPr>
          <w:rFonts w:ascii="Times New Roman" w:hAnsi="Times New Roman"/>
          <w:b/>
          <w:bCs/>
          <w:lang w:val="en-HK"/>
        </w:rPr>
        <w:t>Scholarly Perspectives</w:t>
      </w:r>
    </w:p>
    <w:p w14:paraId="66E8DCF4" w14:textId="77777777" w:rsidR="00294D52" w:rsidRPr="00294D52" w:rsidRDefault="00294D52" w:rsidP="003F53BF">
      <w:pPr>
        <w:numPr>
          <w:ilvl w:val="0"/>
          <w:numId w:val="19"/>
        </w:num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McFarlane and Mitchell:</w:t>
      </w:r>
    </w:p>
    <w:p w14:paraId="0E715835" w14:textId="77777777" w:rsidR="00294D52" w:rsidRPr="00294D52" w:rsidRDefault="00294D52" w:rsidP="003F53BF">
      <w:pPr>
        <w:numPr>
          <w:ilvl w:val="1"/>
          <w:numId w:val="25"/>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Highlight the conceptual shift in trust law towards prioritizing trustee accountability.</w:t>
      </w:r>
    </w:p>
    <w:p w14:paraId="2D519B62" w14:textId="77777777" w:rsidR="00294D52" w:rsidRPr="00294D52" w:rsidRDefault="00294D52" w:rsidP="003F53BF">
      <w:pPr>
        <w:numPr>
          <w:ilvl w:val="1"/>
          <w:numId w:val="25"/>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Emphasize that the necessary interest rule reflects the court’s inherent jurisdiction to supervise trusts, aligning with the enforcer principle.</w:t>
      </w:r>
    </w:p>
    <w:p w14:paraId="2EC2C5EF" w14:textId="77777777" w:rsidR="00294D52" w:rsidRPr="00294D52" w:rsidRDefault="00294D52" w:rsidP="003F53BF">
      <w:pPr>
        <w:numPr>
          <w:ilvl w:val="0"/>
          <w:numId w:val="19"/>
        </w:num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Virgo:</w:t>
      </w:r>
    </w:p>
    <w:p w14:paraId="013038AC" w14:textId="77777777" w:rsidR="00294D52" w:rsidRPr="00294D52" w:rsidRDefault="00294D52" w:rsidP="003F53BF">
      <w:pPr>
        <w:numPr>
          <w:ilvl w:val="1"/>
          <w:numId w:val="26"/>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Argues that the rule’s application demonstrates the doctrinal coherence of charitable trust law when viewed through the lens of the enforcer principle.</w:t>
      </w:r>
    </w:p>
    <w:p w14:paraId="31FABF9B" w14:textId="77777777" w:rsidR="00294D52" w:rsidRPr="00294D52" w:rsidRDefault="00294D52" w:rsidP="003F53BF">
      <w:pPr>
        <w:numPr>
          <w:ilvl w:val="1"/>
          <w:numId w:val="26"/>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 xml:space="preserve">Suggests that standing should be </w:t>
      </w:r>
      <w:proofErr w:type="spellStart"/>
      <w:r w:rsidRPr="00294D52">
        <w:rPr>
          <w:rFonts w:ascii="Times New Roman" w:hAnsi="Times New Roman"/>
          <w:lang w:val="en-HK"/>
        </w:rPr>
        <w:t>analyzed</w:t>
      </w:r>
      <w:proofErr w:type="spellEnd"/>
      <w:r w:rsidRPr="00294D52">
        <w:rPr>
          <w:rFonts w:ascii="Times New Roman" w:hAnsi="Times New Roman"/>
          <w:lang w:val="en-HK"/>
        </w:rPr>
        <w:t xml:space="preserve"> based on promoting proper administration rather than proprietary entitlements.</w:t>
      </w:r>
    </w:p>
    <w:p w14:paraId="7B955BB9" w14:textId="77777777" w:rsidR="00294D52" w:rsidRPr="00294D52" w:rsidRDefault="00294D52" w:rsidP="003F53BF">
      <w:pPr>
        <w:numPr>
          <w:ilvl w:val="0"/>
          <w:numId w:val="19"/>
        </w:num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Chan:</w:t>
      </w:r>
    </w:p>
    <w:p w14:paraId="2BECB950" w14:textId="77777777" w:rsidR="00294D52" w:rsidRPr="00294D52" w:rsidRDefault="00294D52" w:rsidP="003F53BF">
      <w:pPr>
        <w:numPr>
          <w:ilvl w:val="1"/>
          <w:numId w:val="27"/>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Critiques over-reliance on traditional mechanisms, such as the Attorney General or settlors, for enforcing charitable trusts.</w:t>
      </w:r>
    </w:p>
    <w:p w14:paraId="338DFFEA" w14:textId="77777777" w:rsidR="00294D52" w:rsidRPr="00294D52" w:rsidRDefault="00294D52" w:rsidP="003F53BF">
      <w:pPr>
        <w:numPr>
          <w:ilvl w:val="1"/>
          <w:numId w:val="27"/>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Advocates for a broader interpretation of standing to ensure effective oversight.</w:t>
      </w:r>
    </w:p>
    <w:p w14:paraId="699F8348" w14:textId="77777777" w:rsidR="00294D52" w:rsidRPr="00294D52" w:rsidRDefault="00294D52" w:rsidP="003F53BF">
      <w:pPr>
        <w:numPr>
          <w:ilvl w:val="0"/>
          <w:numId w:val="19"/>
        </w:num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Nolan:</w:t>
      </w:r>
    </w:p>
    <w:p w14:paraId="277C41BE"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Stresses that the court’s administrative jurisdiction is central to trust law, allowing it to address trust breaches effectively without requiring direct proprietary interests.</w:t>
      </w:r>
    </w:p>
    <w:p w14:paraId="64F2CEAB" w14:textId="77777777" w:rsidR="00294D52" w:rsidRPr="00294D52" w:rsidRDefault="00E94EDA" w:rsidP="003F53BF">
      <w:pPr>
        <w:spacing w:line="360" w:lineRule="auto"/>
        <w:rPr>
          <w:rFonts w:ascii="Times New Roman" w:hAnsi="Times New Roman"/>
          <w:lang w:val="en-HK"/>
        </w:rPr>
      </w:pPr>
      <w:r w:rsidRPr="00E94EDA">
        <w:rPr>
          <w:rFonts w:ascii="Times New Roman" w:hAnsi="Times New Roman"/>
          <w:noProof/>
          <w:lang w:val="en-HK"/>
          <w14:ligatures w14:val="standardContextual"/>
        </w:rPr>
        <w:pict w14:anchorId="49849E9E">
          <v:rect id="_x0000_i1026" alt="" style="width:451.3pt;height:.05pt;mso-width-percent:0;mso-height-percent:0;mso-width-percent:0;mso-height-percent:0" o:hralign="center" o:hrstd="t" o:hr="t" fillcolor="#a0a0a0" stroked="f"/>
        </w:pict>
      </w:r>
    </w:p>
    <w:p w14:paraId="51EF5C3F" w14:textId="77777777" w:rsidR="00294D52" w:rsidRPr="00294D52" w:rsidRDefault="00294D52" w:rsidP="003F53BF">
      <w:pPr>
        <w:spacing w:before="100" w:beforeAutospacing="1" w:after="100" w:afterAutospacing="1" w:line="360" w:lineRule="auto"/>
        <w:outlineLvl w:val="3"/>
        <w:rPr>
          <w:rFonts w:ascii="Times New Roman" w:hAnsi="Times New Roman"/>
          <w:b/>
          <w:bCs/>
          <w:lang w:val="en-HK"/>
        </w:rPr>
      </w:pPr>
      <w:r w:rsidRPr="00294D52">
        <w:rPr>
          <w:rFonts w:ascii="Times New Roman" w:hAnsi="Times New Roman"/>
          <w:b/>
          <w:bCs/>
          <w:lang w:val="en-HK"/>
        </w:rPr>
        <w:t>Practical Applications</w:t>
      </w:r>
    </w:p>
    <w:p w14:paraId="66B2CCD4"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Standing to Sue:</w:t>
      </w:r>
    </w:p>
    <w:p w14:paraId="7468C917"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lastRenderedPageBreak/>
        <w:t>The rule permits standing for claimants who demonstrate a connection to the trust’s administration, even without a proprietary interest.</w:t>
      </w:r>
    </w:p>
    <w:p w14:paraId="72F75CA8"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Examples include:</w:t>
      </w:r>
    </w:p>
    <w:p w14:paraId="16AA890D" w14:textId="77777777" w:rsidR="00294D52" w:rsidRPr="00294D52" w:rsidRDefault="00294D52" w:rsidP="003F53BF">
      <w:pPr>
        <w:numPr>
          <w:ilvl w:val="2"/>
          <w:numId w:val="20"/>
        </w:numPr>
        <w:spacing w:before="100" w:beforeAutospacing="1" w:after="100" w:afterAutospacing="1" w:line="360" w:lineRule="auto"/>
        <w:rPr>
          <w:rFonts w:ascii="Times New Roman" w:hAnsi="Times New Roman"/>
          <w:lang w:val="en-HK"/>
        </w:rPr>
      </w:pPr>
      <w:r w:rsidRPr="00294D52">
        <w:rPr>
          <w:rFonts w:ascii="Times New Roman" w:hAnsi="Times New Roman"/>
          <w:i/>
          <w:iCs/>
          <w:lang w:val="en-HK"/>
        </w:rPr>
        <w:t>Scott v National Trust (1998):</w:t>
      </w:r>
      <w:r w:rsidRPr="00294D52">
        <w:rPr>
          <w:rFonts w:ascii="Times New Roman" w:hAnsi="Times New Roman"/>
          <w:lang w:val="en-HK"/>
        </w:rPr>
        <w:t xml:space="preserve"> Tenant farmers were granted standing based on their role in preserving deer populations, crucial to the trust’s purpose.</w:t>
      </w:r>
    </w:p>
    <w:p w14:paraId="2758807B" w14:textId="77777777" w:rsidR="00294D52" w:rsidRPr="00294D52" w:rsidRDefault="00294D52" w:rsidP="003F53BF">
      <w:pPr>
        <w:numPr>
          <w:ilvl w:val="2"/>
          <w:numId w:val="20"/>
        </w:numPr>
        <w:spacing w:before="100" w:beforeAutospacing="1" w:after="100" w:afterAutospacing="1" w:line="360" w:lineRule="auto"/>
        <w:rPr>
          <w:rFonts w:ascii="Times New Roman" w:hAnsi="Times New Roman"/>
          <w:lang w:val="en-HK"/>
        </w:rPr>
      </w:pPr>
      <w:r w:rsidRPr="00294D52">
        <w:rPr>
          <w:rFonts w:ascii="Times New Roman" w:hAnsi="Times New Roman"/>
          <w:i/>
          <w:iCs/>
          <w:lang w:val="en-HK"/>
        </w:rPr>
        <w:t>Bisrat v Kebede (2015):</w:t>
      </w:r>
      <w:r w:rsidRPr="00294D52">
        <w:rPr>
          <w:rFonts w:ascii="Times New Roman" w:hAnsi="Times New Roman"/>
          <w:lang w:val="en-HK"/>
        </w:rPr>
        <w:t xml:space="preserve"> Regular contributors to a church were allowed to sue to address trustee misconduct affecting the community.</w:t>
      </w:r>
    </w:p>
    <w:p w14:paraId="0945B079"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b/>
          <w:bCs/>
          <w:lang w:val="en-HK"/>
        </w:rPr>
        <w:t>Balancing Accountability and Protection:</w:t>
      </w:r>
    </w:p>
    <w:p w14:paraId="518FD7DD" w14:textId="77777777" w:rsidR="00294D52" w:rsidRPr="00294D52" w:rsidRDefault="00294D52" w:rsidP="003F53BF">
      <w:pPr>
        <w:spacing w:before="100" w:beforeAutospacing="1" w:after="100" w:afterAutospacing="1" w:line="360" w:lineRule="auto"/>
        <w:rPr>
          <w:rFonts w:ascii="Times New Roman" w:hAnsi="Times New Roman"/>
          <w:lang w:val="en-HK"/>
        </w:rPr>
      </w:pPr>
      <w:r w:rsidRPr="00294D52">
        <w:rPr>
          <w:rFonts w:ascii="Times New Roman" w:hAnsi="Times New Roman"/>
          <w:lang w:val="en-HK"/>
        </w:rPr>
        <w:t>The protective filter ensures that claims genuinely aimed at enhancing trust administration proceed, while frivolous or resource-depleting litigation is prevented.</w:t>
      </w:r>
    </w:p>
    <w:p w14:paraId="1659252F" w14:textId="77777777" w:rsidR="00294D52" w:rsidRPr="00294D52" w:rsidRDefault="00E94EDA" w:rsidP="003F53BF">
      <w:pPr>
        <w:spacing w:line="360" w:lineRule="auto"/>
        <w:rPr>
          <w:rFonts w:ascii="Times New Roman" w:hAnsi="Times New Roman"/>
          <w:lang w:val="en-HK"/>
        </w:rPr>
      </w:pPr>
      <w:r w:rsidRPr="00E94EDA">
        <w:rPr>
          <w:rFonts w:ascii="Times New Roman" w:hAnsi="Times New Roman"/>
          <w:noProof/>
          <w:lang w:val="en-HK"/>
          <w14:ligatures w14:val="standardContextual"/>
        </w:rPr>
        <w:pict w14:anchorId="7FC600CA">
          <v:rect id="_x0000_i1025" alt="" style="width:451.3pt;height:.05pt;mso-width-percent:0;mso-height-percent:0;mso-width-percent:0;mso-height-percent:0" o:hralign="center" o:hrstd="t" o:hr="t" fillcolor="#a0a0a0" stroked="f"/>
        </w:pict>
      </w:r>
    </w:p>
    <w:p w14:paraId="74F44520" w14:textId="77777777" w:rsidR="00294D52" w:rsidRPr="00294D52" w:rsidRDefault="00294D52" w:rsidP="003F53BF">
      <w:pPr>
        <w:spacing w:before="100" w:beforeAutospacing="1" w:after="100" w:afterAutospacing="1" w:line="360" w:lineRule="auto"/>
        <w:outlineLvl w:val="3"/>
        <w:rPr>
          <w:rFonts w:ascii="Times New Roman" w:hAnsi="Times New Roman"/>
          <w:b/>
          <w:bCs/>
          <w:lang w:val="en-HK"/>
        </w:rPr>
      </w:pPr>
      <w:r w:rsidRPr="00294D52">
        <w:rPr>
          <w:rFonts w:ascii="Times New Roman" w:hAnsi="Times New Roman"/>
          <w:b/>
          <w:bCs/>
          <w:lang w:val="en-HK"/>
        </w:rPr>
        <w:t>Final Remarks</w:t>
      </w:r>
    </w:p>
    <w:p w14:paraId="5A0CE0A6" w14:textId="77777777" w:rsidR="00294D52" w:rsidRPr="00294D52" w:rsidRDefault="00294D52" w:rsidP="003F53BF">
      <w:pPr>
        <w:numPr>
          <w:ilvl w:val="0"/>
          <w:numId w:val="21"/>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 xml:space="preserve">The necessary interest rule demonstrates the </w:t>
      </w:r>
      <w:r w:rsidRPr="00294D52">
        <w:rPr>
          <w:rFonts w:ascii="Times New Roman" w:hAnsi="Times New Roman"/>
          <w:b/>
          <w:bCs/>
          <w:lang w:val="en-HK"/>
        </w:rPr>
        <w:t>adaptability of trust law</w:t>
      </w:r>
      <w:r w:rsidRPr="00294D52">
        <w:rPr>
          <w:rFonts w:ascii="Times New Roman" w:hAnsi="Times New Roman"/>
          <w:lang w:val="en-HK"/>
        </w:rPr>
        <w:t xml:space="preserve"> to the unique challenges of charitable trusts, where public benefit takes precedence over private rights.</w:t>
      </w:r>
    </w:p>
    <w:p w14:paraId="3B131C18" w14:textId="77777777" w:rsidR="00294D52" w:rsidRPr="00294D52" w:rsidRDefault="00294D52" w:rsidP="003F53BF">
      <w:pPr>
        <w:numPr>
          <w:ilvl w:val="0"/>
          <w:numId w:val="21"/>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 xml:space="preserve">By emphasizing trustee accountability and the proper execution of trusts, the rule aligns with the </w:t>
      </w:r>
      <w:r w:rsidRPr="00294D52">
        <w:rPr>
          <w:rFonts w:ascii="Times New Roman" w:hAnsi="Times New Roman"/>
          <w:b/>
          <w:bCs/>
          <w:lang w:val="en-HK"/>
        </w:rPr>
        <w:t>enforcer principle</w:t>
      </w:r>
      <w:r w:rsidRPr="00294D52">
        <w:rPr>
          <w:rFonts w:ascii="Times New Roman" w:hAnsi="Times New Roman"/>
          <w:lang w:val="en-HK"/>
        </w:rPr>
        <w:t xml:space="preserve"> and supports a broader understanding of trust law as a mechanism for promoting public benefit.</w:t>
      </w:r>
    </w:p>
    <w:p w14:paraId="67298BC0" w14:textId="77777777" w:rsidR="00294D52" w:rsidRPr="00294D52" w:rsidRDefault="00294D52" w:rsidP="003F53BF">
      <w:pPr>
        <w:numPr>
          <w:ilvl w:val="0"/>
          <w:numId w:val="21"/>
        </w:numPr>
        <w:spacing w:before="100" w:beforeAutospacing="1" w:after="100" w:afterAutospacing="1" w:line="360" w:lineRule="auto"/>
        <w:rPr>
          <w:rFonts w:ascii="Times New Roman" w:hAnsi="Times New Roman"/>
          <w:lang w:val="en-HK"/>
        </w:rPr>
      </w:pPr>
      <w:r w:rsidRPr="00294D52">
        <w:rPr>
          <w:rFonts w:ascii="Times New Roman" w:hAnsi="Times New Roman"/>
          <w:lang w:val="en-HK"/>
        </w:rPr>
        <w:t xml:space="preserve">Future debates on the conceptual nature of trusts can draw from the necessary interest rule’s operation, which balances </w:t>
      </w:r>
      <w:r w:rsidRPr="00294D52">
        <w:rPr>
          <w:rFonts w:ascii="Times New Roman" w:hAnsi="Times New Roman"/>
          <w:b/>
          <w:bCs/>
          <w:lang w:val="en-HK"/>
        </w:rPr>
        <w:t>pragmatic policy considerations</w:t>
      </w:r>
      <w:r w:rsidRPr="00294D52">
        <w:rPr>
          <w:rFonts w:ascii="Times New Roman" w:hAnsi="Times New Roman"/>
          <w:lang w:val="en-HK"/>
        </w:rPr>
        <w:t xml:space="preserve"> with </w:t>
      </w:r>
      <w:r w:rsidRPr="00294D52">
        <w:rPr>
          <w:rFonts w:ascii="Times New Roman" w:hAnsi="Times New Roman"/>
          <w:b/>
          <w:bCs/>
          <w:lang w:val="en-HK"/>
        </w:rPr>
        <w:t>doctrinal coherence</w:t>
      </w:r>
      <w:r w:rsidRPr="00294D52">
        <w:rPr>
          <w:rFonts w:ascii="Times New Roman" w:hAnsi="Times New Roman"/>
          <w:lang w:val="en-HK"/>
        </w:rPr>
        <w:t>.</w:t>
      </w:r>
    </w:p>
    <w:p w14:paraId="03068B91" w14:textId="77777777" w:rsidR="00CD39F1" w:rsidRPr="003F53BF" w:rsidRDefault="00CD39F1" w:rsidP="003F53BF">
      <w:pPr>
        <w:spacing w:line="360" w:lineRule="auto"/>
        <w:rPr>
          <w:rFonts w:ascii="Times New Roman" w:hAnsi="Times New Roman"/>
          <w:lang w:val="en-US"/>
        </w:rPr>
      </w:pPr>
    </w:p>
    <w:sectPr w:rsidR="00CD39F1" w:rsidRPr="003F5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86B0D"/>
    <w:multiLevelType w:val="multilevel"/>
    <w:tmpl w:val="4F76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A288F"/>
    <w:multiLevelType w:val="multilevel"/>
    <w:tmpl w:val="6274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B46DA"/>
    <w:multiLevelType w:val="multilevel"/>
    <w:tmpl w:val="B33C8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A22AF"/>
    <w:multiLevelType w:val="multilevel"/>
    <w:tmpl w:val="936ACFE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1D71D72"/>
    <w:multiLevelType w:val="multilevel"/>
    <w:tmpl w:val="19BCBD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8067E"/>
    <w:multiLevelType w:val="multilevel"/>
    <w:tmpl w:val="964EAC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65F64A4"/>
    <w:multiLevelType w:val="multilevel"/>
    <w:tmpl w:val="792E460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BF712BE"/>
    <w:multiLevelType w:val="multilevel"/>
    <w:tmpl w:val="54A0E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473DD"/>
    <w:multiLevelType w:val="multilevel"/>
    <w:tmpl w:val="879E38D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BF63149"/>
    <w:multiLevelType w:val="multilevel"/>
    <w:tmpl w:val="F982BB7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decimal"/>
      <w:lvlText w:val="%4."/>
      <w:lvlJc w:val="left"/>
      <w:pPr>
        <w:tabs>
          <w:tab w:val="num" w:pos="786"/>
        </w:tabs>
        <w:ind w:left="786"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ECD2129"/>
    <w:multiLevelType w:val="multilevel"/>
    <w:tmpl w:val="A880D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179F7"/>
    <w:multiLevelType w:val="multilevel"/>
    <w:tmpl w:val="18EECE7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3C13B53"/>
    <w:multiLevelType w:val="multilevel"/>
    <w:tmpl w:val="2AAC4DA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76979B5"/>
    <w:multiLevelType w:val="hybridMultilevel"/>
    <w:tmpl w:val="CD5A7E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A95D12"/>
    <w:multiLevelType w:val="multilevel"/>
    <w:tmpl w:val="A766A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615D2"/>
    <w:multiLevelType w:val="multilevel"/>
    <w:tmpl w:val="C00E4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203C9"/>
    <w:multiLevelType w:val="multilevel"/>
    <w:tmpl w:val="D3527EB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A170D1A"/>
    <w:multiLevelType w:val="multilevel"/>
    <w:tmpl w:val="4C50210A"/>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F7B7178"/>
    <w:multiLevelType w:val="multilevel"/>
    <w:tmpl w:val="A1EA2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CD19B1"/>
    <w:multiLevelType w:val="multilevel"/>
    <w:tmpl w:val="C4E05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52429"/>
    <w:multiLevelType w:val="multilevel"/>
    <w:tmpl w:val="07245304"/>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5201397A"/>
    <w:multiLevelType w:val="multilevel"/>
    <w:tmpl w:val="7702250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502"/>
        </w:tabs>
        <w:ind w:left="502"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35C418B"/>
    <w:multiLevelType w:val="multilevel"/>
    <w:tmpl w:val="0BC84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8427C6"/>
    <w:multiLevelType w:val="multilevel"/>
    <w:tmpl w:val="0610F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2416E"/>
    <w:multiLevelType w:val="multilevel"/>
    <w:tmpl w:val="B7BE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04191"/>
    <w:multiLevelType w:val="multilevel"/>
    <w:tmpl w:val="3176C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E60B61"/>
    <w:multiLevelType w:val="multilevel"/>
    <w:tmpl w:val="6D42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927C20"/>
    <w:multiLevelType w:val="multilevel"/>
    <w:tmpl w:val="00EE1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9275A5"/>
    <w:multiLevelType w:val="multilevel"/>
    <w:tmpl w:val="068E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9D35E6"/>
    <w:multiLevelType w:val="multilevel"/>
    <w:tmpl w:val="F3B4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D47834"/>
    <w:multiLevelType w:val="multilevel"/>
    <w:tmpl w:val="5E8E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453510">
    <w:abstractNumId w:val="23"/>
  </w:num>
  <w:num w:numId="2" w16cid:durableId="1335301755">
    <w:abstractNumId w:val="14"/>
  </w:num>
  <w:num w:numId="3" w16cid:durableId="1448890707">
    <w:abstractNumId w:val="9"/>
  </w:num>
  <w:num w:numId="4" w16cid:durableId="1036350786">
    <w:abstractNumId w:val="9"/>
    <w:lvlOverride w:ilvl="3">
      <w:lvl w:ilvl="3">
        <w:numFmt w:val="bullet"/>
        <w:lvlText w:val=""/>
        <w:lvlJc w:val="left"/>
        <w:pPr>
          <w:tabs>
            <w:tab w:val="num" w:pos="2880"/>
          </w:tabs>
          <w:ind w:left="2880" w:hanging="360"/>
        </w:pPr>
        <w:rPr>
          <w:rFonts w:ascii="Wingdings" w:hAnsi="Wingdings" w:hint="default"/>
          <w:sz w:val="20"/>
        </w:rPr>
      </w:lvl>
    </w:lvlOverride>
  </w:num>
  <w:num w:numId="5" w16cid:durableId="167714329">
    <w:abstractNumId w:val="28"/>
  </w:num>
  <w:num w:numId="6" w16cid:durableId="1997604375">
    <w:abstractNumId w:val="22"/>
  </w:num>
  <w:num w:numId="7" w16cid:durableId="1131828152">
    <w:abstractNumId w:val="19"/>
  </w:num>
  <w:num w:numId="8" w16cid:durableId="158734427">
    <w:abstractNumId w:val="1"/>
  </w:num>
  <w:num w:numId="9" w16cid:durableId="1031105299">
    <w:abstractNumId w:val="0"/>
  </w:num>
  <w:num w:numId="10" w16cid:durableId="145629105">
    <w:abstractNumId w:val="15"/>
  </w:num>
  <w:num w:numId="11" w16cid:durableId="815996350">
    <w:abstractNumId w:val="4"/>
  </w:num>
  <w:num w:numId="12" w16cid:durableId="1380547384">
    <w:abstractNumId w:val="10"/>
  </w:num>
  <w:num w:numId="13" w16cid:durableId="1199858404">
    <w:abstractNumId w:val="25"/>
  </w:num>
  <w:num w:numId="14" w16cid:durableId="1158307739">
    <w:abstractNumId w:val="2"/>
  </w:num>
  <w:num w:numId="15" w16cid:durableId="407000760">
    <w:abstractNumId w:val="6"/>
  </w:num>
  <w:num w:numId="16" w16cid:durableId="1665744510">
    <w:abstractNumId w:val="17"/>
  </w:num>
  <w:num w:numId="17" w16cid:durableId="1043290850">
    <w:abstractNumId w:val="7"/>
  </w:num>
  <w:num w:numId="18" w16cid:durableId="688021640">
    <w:abstractNumId w:val="21"/>
  </w:num>
  <w:num w:numId="19" w16cid:durableId="127168788">
    <w:abstractNumId w:val="3"/>
  </w:num>
  <w:num w:numId="20" w16cid:durableId="1968194089">
    <w:abstractNumId w:val="18"/>
  </w:num>
  <w:num w:numId="21" w16cid:durableId="107700486">
    <w:abstractNumId w:val="29"/>
  </w:num>
  <w:num w:numId="22" w16cid:durableId="1099253442">
    <w:abstractNumId w:val="13"/>
  </w:num>
  <w:num w:numId="23" w16cid:durableId="1209613816">
    <w:abstractNumId w:val="11"/>
  </w:num>
  <w:num w:numId="24" w16cid:durableId="980429602">
    <w:abstractNumId w:val="27"/>
  </w:num>
  <w:num w:numId="25" w16cid:durableId="1095129685">
    <w:abstractNumId w:val="8"/>
  </w:num>
  <w:num w:numId="26" w16cid:durableId="444472325">
    <w:abstractNumId w:val="12"/>
  </w:num>
  <w:num w:numId="27" w16cid:durableId="2097167006">
    <w:abstractNumId w:val="20"/>
  </w:num>
  <w:num w:numId="28" w16cid:durableId="640229703">
    <w:abstractNumId w:val="24"/>
  </w:num>
  <w:num w:numId="29" w16cid:durableId="14766948">
    <w:abstractNumId w:val="16"/>
  </w:num>
  <w:num w:numId="30" w16cid:durableId="2077967694">
    <w:abstractNumId w:val="26"/>
  </w:num>
  <w:num w:numId="31" w16cid:durableId="1493566313">
    <w:abstractNumId w:val="5"/>
  </w:num>
  <w:num w:numId="32" w16cid:durableId="35180447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719"/>
    <w:rsid w:val="00012117"/>
    <w:rsid w:val="000147A9"/>
    <w:rsid w:val="00033BFB"/>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4D52"/>
    <w:rsid w:val="00297C6E"/>
    <w:rsid w:val="002D715D"/>
    <w:rsid w:val="002E46F2"/>
    <w:rsid w:val="002F1DB1"/>
    <w:rsid w:val="002F20B2"/>
    <w:rsid w:val="002F53C9"/>
    <w:rsid w:val="003048A0"/>
    <w:rsid w:val="0031138E"/>
    <w:rsid w:val="0031474F"/>
    <w:rsid w:val="00315815"/>
    <w:rsid w:val="003278F5"/>
    <w:rsid w:val="00330665"/>
    <w:rsid w:val="00342A18"/>
    <w:rsid w:val="00350719"/>
    <w:rsid w:val="00361975"/>
    <w:rsid w:val="00376E23"/>
    <w:rsid w:val="0037796A"/>
    <w:rsid w:val="0039416B"/>
    <w:rsid w:val="003A1271"/>
    <w:rsid w:val="003A5DF7"/>
    <w:rsid w:val="003B3510"/>
    <w:rsid w:val="003C116C"/>
    <w:rsid w:val="003D0CDD"/>
    <w:rsid w:val="003E1CAA"/>
    <w:rsid w:val="003F53BF"/>
    <w:rsid w:val="0040210F"/>
    <w:rsid w:val="004222FD"/>
    <w:rsid w:val="004319FA"/>
    <w:rsid w:val="004558F5"/>
    <w:rsid w:val="00474DD1"/>
    <w:rsid w:val="004751B5"/>
    <w:rsid w:val="0048097D"/>
    <w:rsid w:val="0048175B"/>
    <w:rsid w:val="004845CE"/>
    <w:rsid w:val="004A553E"/>
    <w:rsid w:val="004B1048"/>
    <w:rsid w:val="004D01FE"/>
    <w:rsid w:val="004D582C"/>
    <w:rsid w:val="004D5B1A"/>
    <w:rsid w:val="004E458E"/>
    <w:rsid w:val="004F0E12"/>
    <w:rsid w:val="004F5A36"/>
    <w:rsid w:val="00505437"/>
    <w:rsid w:val="005120A1"/>
    <w:rsid w:val="00542B57"/>
    <w:rsid w:val="00557B52"/>
    <w:rsid w:val="005743EA"/>
    <w:rsid w:val="005770A9"/>
    <w:rsid w:val="0058416B"/>
    <w:rsid w:val="00595357"/>
    <w:rsid w:val="0059691A"/>
    <w:rsid w:val="005A1930"/>
    <w:rsid w:val="005A6EEA"/>
    <w:rsid w:val="005B34ED"/>
    <w:rsid w:val="005B61CD"/>
    <w:rsid w:val="005C4FF3"/>
    <w:rsid w:val="005C50B3"/>
    <w:rsid w:val="005C6B83"/>
    <w:rsid w:val="005D57DA"/>
    <w:rsid w:val="005E7702"/>
    <w:rsid w:val="005F33FC"/>
    <w:rsid w:val="00605F8E"/>
    <w:rsid w:val="00613954"/>
    <w:rsid w:val="00625556"/>
    <w:rsid w:val="00650543"/>
    <w:rsid w:val="00654D8B"/>
    <w:rsid w:val="00661136"/>
    <w:rsid w:val="0068027B"/>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068FD"/>
    <w:rsid w:val="00816563"/>
    <w:rsid w:val="00830C88"/>
    <w:rsid w:val="00861B11"/>
    <w:rsid w:val="008829C2"/>
    <w:rsid w:val="008A54BE"/>
    <w:rsid w:val="008A69F3"/>
    <w:rsid w:val="008C7B0A"/>
    <w:rsid w:val="008D0642"/>
    <w:rsid w:val="008E43C2"/>
    <w:rsid w:val="008E745B"/>
    <w:rsid w:val="008F4EA7"/>
    <w:rsid w:val="008F5A10"/>
    <w:rsid w:val="00905ED0"/>
    <w:rsid w:val="0093405B"/>
    <w:rsid w:val="0094782D"/>
    <w:rsid w:val="00966189"/>
    <w:rsid w:val="00974434"/>
    <w:rsid w:val="00977514"/>
    <w:rsid w:val="009A48B0"/>
    <w:rsid w:val="009B24D6"/>
    <w:rsid w:val="009B2F21"/>
    <w:rsid w:val="009C6498"/>
    <w:rsid w:val="009E62AF"/>
    <w:rsid w:val="00A03BBD"/>
    <w:rsid w:val="00A11A49"/>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7714"/>
    <w:rsid w:val="00BD7C9B"/>
    <w:rsid w:val="00C072F8"/>
    <w:rsid w:val="00C163D7"/>
    <w:rsid w:val="00C17D79"/>
    <w:rsid w:val="00C24A8A"/>
    <w:rsid w:val="00C27321"/>
    <w:rsid w:val="00C44474"/>
    <w:rsid w:val="00C44EB3"/>
    <w:rsid w:val="00C54722"/>
    <w:rsid w:val="00C616D7"/>
    <w:rsid w:val="00C65F70"/>
    <w:rsid w:val="00C82CBA"/>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4EDA"/>
    <w:rsid w:val="00E95D8D"/>
    <w:rsid w:val="00EA6ED5"/>
    <w:rsid w:val="00EB7051"/>
    <w:rsid w:val="00EC68EB"/>
    <w:rsid w:val="00EC7C43"/>
    <w:rsid w:val="00EE4F6A"/>
    <w:rsid w:val="00EF3EF4"/>
    <w:rsid w:val="00F012E4"/>
    <w:rsid w:val="00F248D2"/>
    <w:rsid w:val="00F27F00"/>
    <w:rsid w:val="00F364C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A9B86"/>
  <w15:chartTrackingRefBased/>
  <w15:docId w15:val="{DC289EF1-42E0-7B46-8C0B-3BC0A54F3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3507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07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071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5071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35071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5071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071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071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071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719"/>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350719"/>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350719"/>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350719"/>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350719"/>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350719"/>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350719"/>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350719"/>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350719"/>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3507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719"/>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35071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719"/>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3507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0719"/>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350719"/>
    <w:pPr>
      <w:ind w:left="720"/>
      <w:contextualSpacing/>
    </w:pPr>
  </w:style>
  <w:style w:type="character" w:styleId="IntenseEmphasis">
    <w:name w:val="Intense Emphasis"/>
    <w:basedOn w:val="DefaultParagraphFont"/>
    <w:uiPriority w:val="21"/>
    <w:qFormat/>
    <w:rsid w:val="00350719"/>
    <w:rPr>
      <w:i/>
      <w:iCs/>
      <w:color w:val="2F5496" w:themeColor="accent1" w:themeShade="BF"/>
    </w:rPr>
  </w:style>
  <w:style w:type="paragraph" w:styleId="IntenseQuote">
    <w:name w:val="Intense Quote"/>
    <w:basedOn w:val="Normal"/>
    <w:next w:val="Normal"/>
    <w:link w:val="IntenseQuoteChar"/>
    <w:uiPriority w:val="30"/>
    <w:qFormat/>
    <w:rsid w:val="003507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719"/>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350719"/>
    <w:rPr>
      <w:b/>
      <w:bCs/>
      <w:smallCaps/>
      <w:color w:val="2F5496" w:themeColor="accent1" w:themeShade="BF"/>
      <w:spacing w:val="5"/>
    </w:rPr>
  </w:style>
  <w:style w:type="character" w:styleId="Strong">
    <w:name w:val="Strong"/>
    <w:basedOn w:val="DefaultParagraphFont"/>
    <w:uiPriority w:val="22"/>
    <w:qFormat/>
    <w:rsid w:val="0059691A"/>
    <w:rPr>
      <w:b/>
      <w:bCs/>
    </w:rPr>
  </w:style>
  <w:style w:type="paragraph" w:styleId="NormalWeb">
    <w:name w:val="Normal (Web)"/>
    <w:basedOn w:val="Normal"/>
    <w:uiPriority w:val="99"/>
    <w:semiHidden/>
    <w:unhideWhenUsed/>
    <w:rsid w:val="0059691A"/>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5969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27064">
      <w:bodyDiv w:val="1"/>
      <w:marLeft w:val="0"/>
      <w:marRight w:val="0"/>
      <w:marTop w:val="0"/>
      <w:marBottom w:val="0"/>
      <w:divBdr>
        <w:top w:val="none" w:sz="0" w:space="0" w:color="auto"/>
        <w:left w:val="none" w:sz="0" w:space="0" w:color="auto"/>
        <w:bottom w:val="none" w:sz="0" w:space="0" w:color="auto"/>
        <w:right w:val="none" w:sz="0" w:space="0" w:color="auto"/>
      </w:divBdr>
    </w:div>
    <w:div w:id="144585513">
      <w:bodyDiv w:val="1"/>
      <w:marLeft w:val="0"/>
      <w:marRight w:val="0"/>
      <w:marTop w:val="0"/>
      <w:marBottom w:val="0"/>
      <w:divBdr>
        <w:top w:val="none" w:sz="0" w:space="0" w:color="auto"/>
        <w:left w:val="none" w:sz="0" w:space="0" w:color="auto"/>
        <w:bottom w:val="none" w:sz="0" w:space="0" w:color="auto"/>
        <w:right w:val="none" w:sz="0" w:space="0" w:color="auto"/>
      </w:divBdr>
    </w:div>
    <w:div w:id="852568555">
      <w:bodyDiv w:val="1"/>
      <w:marLeft w:val="0"/>
      <w:marRight w:val="0"/>
      <w:marTop w:val="0"/>
      <w:marBottom w:val="0"/>
      <w:divBdr>
        <w:top w:val="none" w:sz="0" w:space="0" w:color="auto"/>
        <w:left w:val="none" w:sz="0" w:space="0" w:color="auto"/>
        <w:bottom w:val="none" w:sz="0" w:space="0" w:color="auto"/>
        <w:right w:val="none" w:sz="0" w:space="0" w:color="auto"/>
      </w:divBdr>
    </w:div>
    <w:div w:id="1624966200">
      <w:bodyDiv w:val="1"/>
      <w:marLeft w:val="0"/>
      <w:marRight w:val="0"/>
      <w:marTop w:val="0"/>
      <w:marBottom w:val="0"/>
      <w:divBdr>
        <w:top w:val="none" w:sz="0" w:space="0" w:color="auto"/>
        <w:left w:val="none" w:sz="0" w:space="0" w:color="auto"/>
        <w:bottom w:val="none" w:sz="0" w:space="0" w:color="auto"/>
        <w:right w:val="none" w:sz="0" w:space="0" w:color="auto"/>
      </w:divBdr>
    </w:div>
    <w:div w:id="1769546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3044</Words>
  <Characters>17352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2025-01-13T11:40:00Z</dcterms:created>
  <dcterms:modified xsi:type="dcterms:W3CDTF">2025-01-20T16:47:00Z</dcterms:modified>
</cp:coreProperties>
</file>