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A9EC9" w14:textId="0CE238E4" w:rsidR="00577633" w:rsidRPr="00577633" w:rsidRDefault="00577633" w:rsidP="00E613BF">
      <w:pPr>
        <w:spacing w:before="100" w:beforeAutospacing="1" w:after="100" w:afterAutospacing="1" w:line="360" w:lineRule="auto"/>
        <w:outlineLvl w:val="2"/>
        <w:rPr>
          <w:rFonts w:ascii="Times New Roman" w:hAnsi="Times New Roman"/>
          <w:b/>
          <w:bCs/>
          <w:lang w:val="en-HK"/>
        </w:rPr>
      </w:pPr>
      <w:r w:rsidRPr="00577633">
        <w:rPr>
          <w:rFonts w:ascii="Times New Roman" w:hAnsi="Times New Roman"/>
          <w:b/>
          <w:bCs/>
          <w:lang w:val="en-HK"/>
        </w:rPr>
        <w:t xml:space="preserve">1. Introduction </w:t>
      </w:r>
    </w:p>
    <w:p w14:paraId="169A6ADA"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The introduction sets the foundation for the article by addressing the controversial nature of the stringent </w:t>
      </w:r>
      <w:r w:rsidRPr="00577633">
        <w:rPr>
          <w:rFonts w:ascii="Times New Roman" w:hAnsi="Times New Roman"/>
          <w:b/>
          <w:bCs/>
          <w:lang w:val="en-HK"/>
        </w:rPr>
        <w:t>profit-stripping rule</w:t>
      </w:r>
      <w:r w:rsidRPr="00577633">
        <w:rPr>
          <w:rFonts w:ascii="Times New Roman" w:hAnsi="Times New Roman"/>
          <w:lang w:val="en-HK"/>
        </w:rPr>
        <w:t xml:space="preserve"> in fiduciary relationships. The rule demands that fiduciaries involved in any conflict of interest must disgorge all profits derived, regardless of their motivation, good faith, or actual harm to the principal. This uncompromising stance has been both upheld and criticized in legal doctrine and judicial decisions.</w:t>
      </w:r>
    </w:p>
    <w:p w14:paraId="3D01DAFA" w14:textId="77777777" w:rsidR="00577633" w:rsidRPr="00577633"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64CC84C2">
          <v:rect id="_x0000_i1051" alt="" style="width:451.3pt;height:.05pt;mso-width-percent:0;mso-height-percent:0;mso-width-percent:0;mso-height-percent:0" o:hralign="center" o:hrstd="t" o:hr="t" fillcolor="#a0a0a0" stroked="f"/>
        </w:pict>
      </w:r>
    </w:p>
    <w:p w14:paraId="0B3A81FD" w14:textId="77777777" w:rsidR="00577633" w:rsidRPr="00577633" w:rsidRDefault="00577633" w:rsidP="00E613BF">
      <w:pPr>
        <w:spacing w:before="100" w:beforeAutospacing="1" w:after="100" w:afterAutospacing="1" w:line="360" w:lineRule="auto"/>
        <w:outlineLvl w:val="3"/>
        <w:rPr>
          <w:rFonts w:ascii="Times New Roman" w:hAnsi="Times New Roman"/>
          <w:b/>
          <w:bCs/>
          <w:lang w:val="en-HK"/>
        </w:rPr>
      </w:pPr>
      <w:r w:rsidRPr="00577633">
        <w:rPr>
          <w:rFonts w:ascii="Times New Roman" w:hAnsi="Times New Roman"/>
          <w:b/>
          <w:bCs/>
          <w:lang w:val="en-HK"/>
        </w:rPr>
        <w:t>Key Elements of the Debate</w:t>
      </w:r>
    </w:p>
    <w:p w14:paraId="5E99803B" w14:textId="77777777" w:rsidR="00577633" w:rsidRPr="00577633" w:rsidRDefault="00577633" w:rsidP="00E613BF">
      <w:pPr>
        <w:numPr>
          <w:ilvl w:val="0"/>
          <w:numId w:val="1"/>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Strict Liability Without Regard for Motivation</w:t>
      </w:r>
    </w:p>
    <w:p w14:paraId="00BA388D" w14:textId="77777777" w:rsidR="00C4764B" w:rsidRPr="00E613BF" w:rsidRDefault="00577633" w:rsidP="00E613BF">
      <w:pPr>
        <w:numPr>
          <w:ilvl w:val="1"/>
          <w:numId w:val="1"/>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Fiduciary duties impose stringent obligations where </w:t>
      </w:r>
      <w:r w:rsidRPr="00577633">
        <w:rPr>
          <w:rFonts w:ascii="Times New Roman" w:hAnsi="Times New Roman"/>
          <w:b/>
          <w:bCs/>
          <w:lang w:val="en-HK"/>
        </w:rPr>
        <w:t>benevolence, lack of harm, or fiduciary effort</w:t>
      </w:r>
      <w:r w:rsidRPr="00577633">
        <w:rPr>
          <w:rFonts w:ascii="Times New Roman" w:hAnsi="Times New Roman"/>
          <w:lang w:val="en-HK"/>
        </w:rPr>
        <w:t xml:space="preserve"> are irrelevant to liability.</w:t>
      </w:r>
    </w:p>
    <w:p w14:paraId="4401FF13" w14:textId="4C44A6A7" w:rsidR="00577633" w:rsidRPr="00577633" w:rsidRDefault="00577633" w:rsidP="00E613BF">
      <w:pPr>
        <w:numPr>
          <w:ilvl w:val="1"/>
          <w:numId w:val="1"/>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The </w:t>
      </w:r>
      <w:r w:rsidRPr="00577633">
        <w:rPr>
          <w:rFonts w:ascii="Times New Roman" w:hAnsi="Times New Roman"/>
          <w:b/>
          <w:bCs/>
          <w:lang w:val="en-HK"/>
        </w:rPr>
        <w:t>profit-stripping rule</w:t>
      </w:r>
      <w:r w:rsidRPr="00577633">
        <w:rPr>
          <w:rFonts w:ascii="Times New Roman" w:hAnsi="Times New Roman"/>
          <w:lang w:val="en-HK"/>
        </w:rPr>
        <w:t xml:space="preserve"> reflects a </w:t>
      </w:r>
      <w:r w:rsidRPr="00577633">
        <w:rPr>
          <w:rFonts w:ascii="Times New Roman" w:hAnsi="Times New Roman"/>
          <w:highlight w:val="yellow"/>
          <w:lang w:val="en-HK"/>
        </w:rPr>
        <w:t>prophylactic approach</w:t>
      </w:r>
      <w:r w:rsidR="00C4764B" w:rsidRPr="00E613BF">
        <w:rPr>
          <w:rFonts w:ascii="Times New Roman" w:hAnsi="Times New Roman"/>
          <w:highlight w:val="yellow"/>
          <w:lang w:val="en-HK"/>
        </w:rPr>
        <w:t xml:space="preserve"> </w:t>
      </w:r>
      <w:r w:rsidR="00C4764B" w:rsidRPr="00E613BF">
        <w:rPr>
          <w:rFonts w:asciiTheme="minorEastAsia" w:eastAsiaTheme="minorEastAsia" w:hAnsiTheme="minorEastAsia" w:cstheme="minorHAnsi"/>
          <w:highlight w:val="yellow"/>
          <w:lang w:val="en-HK"/>
        </w:rPr>
        <w:t>預防性方法</w:t>
      </w:r>
      <w:r w:rsidRPr="00577633">
        <w:rPr>
          <w:rFonts w:ascii="Times New Roman" w:hAnsi="Times New Roman"/>
          <w:lang w:val="en-HK"/>
        </w:rPr>
        <w:t xml:space="preserve"> aimed at ensuring loyalty, rather than addressing personal culpability or harm.</w:t>
      </w:r>
    </w:p>
    <w:p w14:paraId="1BA3675A"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Scholar Commentary:</w:t>
      </w:r>
    </w:p>
    <w:p w14:paraId="66C0AD4D" w14:textId="77777777" w:rsidR="00577633" w:rsidRPr="00577633" w:rsidRDefault="00577633" w:rsidP="00E613BF">
      <w:pPr>
        <w:numPr>
          <w:ilvl w:val="1"/>
          <w:numId w:val="1"/>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P. Birks (2000)</w:t>
      </w:r>
      <w:r w:rsidRPr="00577633">
        <w:rPr>
          <w:rFonts w:ascii="Times New Roman" w:hAnsi="Times New Roman"/>
          <w:lang w:val="en-HK"/>
        </w:rPr>
        <w:t>: “[The law requires] outcomes, not motives... The fiduciary duty ensures compliance by preventing situations where breaches are more likely.”</w:t>
      </w:r>
    </w:p>
    <w:p w14:paraId="08C5595D" w14:textId="77777777" w:rsidR="00577633" w:rsidRPr="00577633" w:rsidRDefault="00577633" w:rsidP="00E613BF">
      <w:pPr>
        <w:numPr>
          <w:ilvl w:val="1"/>
          <w:numId w:val="1"/>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 xml:space="preserve">M. </w:t>
      </w:r>
      <w:proofErr w:type="spellStart"/>
      <w:r w:rsidRPr="00577633">
        <w:rPr>
          <w:rFonts w:ascii="Times New Roman" w:hAnsi="Times New Roman"/>
          <w:b/>
          <w:bCs/>
          <w:lang w:val="en-HK"/>
        </w:rPr>
        <w:t>Conaglen</w:t>
      </w:r>
      <w:proofErr w:type="spellEnd"/>
      <w:r w:rsidRPr="00577633">
        <w:rPr>
          <w:rFonts w:ascii="Times New Roman" w:hAnsi="Times New Roman"/>
          <w:b/>
          <w:bCs/>
          <w:lang w:val="en-HK"/>
        </w:rPr>
        <w:t xml:space="preserve"> (2005)</w:t>
      </w:r>
      <w:r w:rsidRPr="00577633">
        <w:rPr>
          <w:rFonts w:ascii="Times New Roman" w:hAnsi="Times New Roman"/>
          <w:lang w:val="en-HK"/>
        </w:rPr>
        <w:t xml:space="preserve"> concurs, arguing that the strictness reduces the risk of fiduciaries exploiting discretionary power, even when harm appears unlikely.</w:t>
      </w:r>
    </w:p>
    <w:p w14:paraId="1661003C" w14:textId="77777777" w:rsidR="00C4764B" w:rsidRPr="00E613BF" w:rsidRDefault="00577633" w:rsidP="00E613BF">
      <w:pPr>
        <w:numPr>
          <w:ilvl w:val="0"/>
          <w:numId w:val="1"/>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Challenges to the Rule</w:t>
      </w:r>
    </w:p>
    <w:p w14:paraId="1601F7F7" w14:textId="064B6B53"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Recent judicial decisions, such as </w:t>
      </w:r>
      <w:r w:rsidRPr="00577633">
        <w:rPr>
          <w:rFonts w:ascii="Times New Roman" w:hAnsi="Times New Roman"/>
          <w:b/>
          <w:bCs/>
          <w:lang w:val="en-HK"/>
        </w:rPr>
        <w:t>Murad v Al-</w:t>
      </w:r>
      <w:proofErr w:type="spellStart"/>
      <w:r w:rsidRPr="00577633">
        <w:rPr>
          <w:rFonts w:ascii="Times New Roman" w:hAnsi="Times New Roman"/>
          <w:b/>
          <w:bCs/>
          <w:lang w:val="en-HK"/>
        </w:rPr>
        <w:t>Saraj</w:t>
      </w:r>
      <w:proofErr w:type="spellEnd"/>
      <w:r w:rsidRPr="00577633">
        <w:rPr>
          <w:rFonts w:ascii="Times New Roman" w:hAnsi="Times New Roman"/>
          <w:b/>
          <w:bCs/>
          <w:lang w:val="en-HK"/>
        </w:rPr>
        <w:t xml:space="preserve"> [2005] WTLR 1573</w:t>
      </w:r>
      <w:r w:rsidRPr="00577633">
        <w:rPr>
          <w:rFonts w:ascii="Times New Roman" w:hAnsi="Times New Roman"/>
          <w:lang w:val="en-HK"/>
        </w:rPr>
        <w:t>, question whether the harshness of the rule remains justified in modern contexts.</w:t>
      </w:r>
    </w:p>
    <w:p w14:paraId="64927487" w14:textId="77777777" w:rsidR="00577633" w:rsidRPr="00577633" w:rsidRDefault="00577633" w:rsidP="00E613BF">
      <w:pPr>
        <w:numPr>
          <w:ilvl w:val="1"/>
          <w:numId w:val="1"/>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The Court of Appeal highlighted concerns about deterring fiduciaries unnecessarily or punishing good-faith actors.</w:t>
      </w:r>
    </w:p>
    <w:p w14:paraId="618D48EA" w14:textId="77777777" w:rsidR="00577633" w:rsidRPr="00577633" w:rsidRDefault="00577633" w:rsidP="00E613BF">
      <w:pPr>
        <w:numPr>
          <w:ilvl w:val="1"/>
          <w:numId w:val="1"/>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Arden LJ suggested shifting the burden of proof, allowing fiduciaries to demonstrate innocent intentions. This would move away from absolute profit-stripping.</w:t>
      </w:r>
    </w:p>
    <w:p w14:paraId="04332C1A" w14:textId="77777777" w:rsidR="00577633" w:rsidRPr="00577633" w:rsidRDefault="00577633" w:rsidP="00E613BF">
      <w:pPr>
        <w:numPr>
          <w:ilvl w:val="1"/>
          <w:numId w:val="1"/>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Critique: The author argues that such flexibility undermines the deterrent effect and exposes principals to greater risks of fiduciary misconduct.</w:t>
      </w:r>
    </w:p>
    <w:p w14:paraId="3A2F94EC" w14:textId="77777777" w:rsidR="00577633" w:rsidRPr="00577633"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lastRenderedPageBreak/>
        <w:pict w14:anchorId="150DFB84">
          <v:rect id="_x0000_i1050" alt="" style="width:451.3pt;height:.05pt;mso-width-percent:0;mso-height-percent:0;mso-width-percent:0;mso-height-percent:0" o:hralign="center" o:hrstd="t" o:hr="t" fillcolor="#a0a0a0" stroked="f"/>
        </w:pict>
      </w:r>
    </w:p>
    <w:p w14:paraId="4E70F368" w14:textId="77777777" w:rsidR="00577633" w:rsidRPr="00577633" w:rsidRDefault="00577633" w:rsidP="00E613BF">
      <w:pPr>
        <w:spacing w:before="100" w:beforeAutospacing="1" w:after="100" w:afterAutospacing="1" w:line="360" w:lineRule="auto"/>
        <w:outlineLvl w:val="3"/>
        <w:rPr>
          <w:rFonts w:ascii="Times New Roman" w:hAnsi="Times New Roman"/>
          <w:b/>
          <w:bCs/>
          <w:lang w:val="en-HK"/>
        </w:rPr>
      </w:pPr>
      <w:r w:rsidRPr="00577633">
        <w:rPr>
          <w:rFonts w:ascii="Times New Roman" w:hAnsi="Times New Roman"/>
          <w:b/>
          <w:bCs/>
          <w:lang w:val="en-HK"/>
        </w:rPr>
        <w:t>Case Example: Murad v Al-</w:t>
      </w:r>
      <w:proofErr w:type="spellStart"/>
      <w:r w:rsidRPr="00577633">
        <w:rPr>
          <w:rFonts w:ascii="Times New Roman" w:hAnsi="Times New Roman"/>
          <w:b/>
          <w:bCs/>
          <w:lang w:val="en-HK"/>
        </w:rPr>
        <w:t>Saraj</w:t>
      </w:r>
      <w:proofErr w:type="spellEnd"/>
    </w:p>
    <w:p w14:paraId="5E36B62B"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Facts:</w:t>
      </w:r>
      <w:r w:rsidRPr="00577633">
        <w:rPr>
          <w:rFonts w:ascii="Times New Roman" w:hAnsi="Times New Roman"/>
          <w:lang w:val="en-HK"/>
        </w:rPr>
        <w:t xml:space="preserve"> An entrepreneur (fiduciary) concealed material facts about profits from co-investors (principals). Despite good faith arguments, the fiduciary’s actions led to complete disgorgement of profits.</w:t>
      </w:r>
    </w:p>
    <w:p w14:paraId="73F78435"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Court of Appeal’s Perspective:</w:t>
      </w:r>
    </w:p>
    <w:p w14:paraId="7997D75E" w14:textId="77777777" w:rsidR="00577633" w:rsidRPr="00577633" w:rsidRDefault="00577633" w:rsidP="00E613BF">
      <w:pPr>
        <w:spacing w:before="100" w:beforeAutospacing="1" w:after="100" w:afterAutospacing="1" w:line="360" w:lineRule="auto"/>
        <w:rPr>
          <w:rFonts w:ascii="Times New Roman" w:hAnsi="Times New Roman"/>
          <w:b/>
          <w:bCs/>
          <w:lang w:val="en-HK"/>
        </w:rPr>
      </w:pPr>
      <w:r w:rsidRPr="00577633">
        <w:rPr>
          <w:rFonts w:ascii="Times New Roman" w:hAnsi="Times New Roman"/>
          <w:lang w:val="en-HK"/>
        </w:rPr>
        <w:t xml:space="preserve">Arden LJ proposed that fiduciaries </w:t>
      </w:r>
      <w:r w:rsidRPr="00577633">
        <w:rPr>
          <w:rFonts w:ascii="Times New Roman" w:hAnsi="Times New Roman"/>
          <w:b/>
          <w:bCs/>
          <w:lang w:val="en-HK"/>
        </w:rPr>
        <w:t>should be allowed to prove they acted in the principal’s best interests or without harm.</w:t>
      </w:r>
    </w:p>
    <w:p w14:paraId="512E2390"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Quote from Judgment:</w:t>
      </w:r>
      <w:r w:rsidRPr="00577633">
        <w:rPr>
          <w:rFonts w:ascii="Times New Roman" w:hAnsi="Times New Roman"/>
          <w:lang w:val="en-HK"/>
        </w:rPr>
        <w:t xml:space="preserve"> "It would not be impossible... to determine as a question of fact whether the trustee’s actions aligned with the beneficiary’s best interests."</w:t>
      </w:r>
    </w:p>
    <w:p w14:paraId="7217333C"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Critique of Flexibility:</w:t>
      </w:r>
    </w:p>
    <w:p w14:paraId="7F158286" w14:textId="77777777" w:rsidR="00577633" w:rsidRPr="00577633" w:rsidRDefault="00577633" w:rsidP="00E613BF">
      <w:pPr>
        <w:spacing w:before="100" w:beforeAutospacing="1" w:after="100" w:afterAutospacing="1" w:line="360" w:lineRule="auto"/>
        <w:rPr>
          <w:rFonts w:ascii="Times New Roman" w:hAnsi="Times New Roman"/>
          <w:lang w:val="en-HK"/>
        </w:rPr>
      </w:pPr>
      <w:proofErr w:type="spellStart"/>
      <w:r w:rsidRPr="00577633">
        <w:rPr>
          <w:rFonts w:ascii="Times New Roman" w:hAnsi="Times New Roman"/>
          <w:lang w:val="en-HK"/>
        </w:rPr>
        <w:t>Irit</w:t>
      </w:r>
      <w:proofErr w:type="spellEnd"/>
      <w:r w:rsidRPr="00577633">
        <w:rPr>
          <w:rFonts w:ascii="Times New Roman" w:hAnsi="Times New Roman"/>
          <w:lang w:val="en-HK"/>
        </w:rPr>
        <w:t xml:space="preserve"> </w:t>
      </w:r>
      <w:proofErr w:type="spellStart"/>
      <w:r w:rsidRPr="00577633">
        <w:rPr>
          <w:rFonts w:ascii="Times New Roman" w:hAnsi="Times New Roman"/>
          <w:lang w:val="en-HK"/>
        </w:rPr>
        <w:t>Samet</w:t>
      </w:r>
      <w:proofErr w:type="spellEnd"/>
      <w:r w:rsidRPr="00577633">
        <w:rPr>
          <w:rFonts w:ascii="Times New Roman" w:hAnsi="Times New Roman"/>
          <w:lang w:val="en-HK"/>
        </w:rPr>
        <w:t xml:space="preserve"> challenges Arden LJ's reasoning, asserting that:</w:t>
      </w:r>
    </w:p>
    <w:p w14:paraId="773D46F0" w14:textId="77777777" w:rsidR="00577633" w:rsidRPr="00577633" w:rsidRDefault="00577633" w:rsidP="00E613BF">
      <w:pPr>
        <w:numPr>
          <w:ilvl w:val="1"/>
          <w:numId w:val="3"/>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Such flexibility allows </w:t>
      </w:r>
      <w:r w:rsidRPr="00577633">
        <w:rPr>
          <w:rFonts w:ascii="Times New Roman" w:hAnsi="Times New Roman"/>
          <w:b/>
          <w:bCs/>
          <w:lang w:val="en-HK"/>
        </w:rPr>
        <w:t xml:space="preserve">fiduciaries to deliberate on conflicts, increasing the risk of self-deception </w:t>
      </w:r>
      <w:r w:rsidRPr="00577633">
        <w:rPr>
          <w:rFonts w:ascii="Times New Roman" w:hAnsi="Times New Roman"/>
          <w:lang w:val="en-HK"/>
        </w:rPr>
        <w:t>(explained below).</w:t>
      </w:r>
    </w:p>
    <w:p w14:paraId="04D75390" w14:textId="77777777" w:rsidR="00577633" w:rsidRPr="00577633" w:rsidRDefault="00577633" w:rsidP="00E613BF">
      <w:pPr>
        <w:numPr>
          <w:ilvl w:val="1"/>
          <w:numId w:val="3"/>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The fiduciary's wide discretion, coupled with the power imbalance, makes strict rules indispensable to protecting the principal.</w:t>
      </w:r>
    </w:p>
    <w:p w14:paraId="53AD5DDB" w14:textId="77777777" w:rsidR="00577633" w:rsidRPr="00577633"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5476C627">
          <v:rect id="_x0000_i1049" alt="" style="width:451.3pt;height:.05pt;mso-width-percent:0;mso-height-percent:0;mso-width-percent:0;mso-height-percent:0" o:hralign="center" o:hrstd="t" o:hr="t" fillcolor="#a0a0a0" stroked="f"/>
        </w:pict>
      </w:r>
    </w:p>
    <w:p w14:paraId="3CF66A48" w14:textId="77777777" w:rsidR="00577633" w:rsidRPr="00577633" w:rsidRDefault="00577633" w:rsidP="00E613BF">
      <w:pPr>
        <w:spacing w:before="100" w:beforeAutospacing="1" w:after="100" w:afterAutospacing="1" w:line="360" w:lineRule="auto"/>
        <w:outlineLvl w:val="3"/>
        <w:rPr>
          <w:rFonts w:ascii="Times New Roman" w:hAnsi="Times New Roman"/>
          <w:b/>
          <w:bCs/>
          <w:lang w:val="en-HK"/>
        </w:rPr>
      </w:pPr>
      <w:r w:rsidRPr="00577633">
        <w:rPr>
          <w:rFonts w:ascii="Times New Roman" w:hAnsi="Times New Roman"/>
          <w:b/>
          <w:bCs/>
          <w:lang w:val="en-HK"/>
        </w:rPr>
        <w:t>Theoretical Framework: Self-Deception</w:t>
      </w:r>
    </w:p>
    <w:p w14:paraId="5458302F" w14:textId="77777777" w:rsidR="00577633" w:rsidRPr="00577633" w:rsidRDefault="00577633" w:rsidP="00E613BF">
      <w:pPr>
        <w:numPr>
          <w:ilvl w:val="0"/>
          <w:numId w:val="4"/>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The article introduces </w:t>
      </w:r>
      <w:r w:rsidRPr="00577633">
        <w:rPr>
          <w:rFonts w:ascii="Times New Roman" w:hAnsi="Times New Roman"/>
          <w:b/>
          <w:bCs/>
          <w:lang w:val="en-HK"/>
        </w:rPr>
        <w:t>self-deception</w:t>
      </w:r>
      <w:r w:rsidRPr="00577633">
        <w:rPr>
          <w:rFonts w:ascii="Times New Roman" w:hAnsi="Times New Roman"/>
          <w:lang w:val="en-HK"/>
        </w:rPr>
        <w:t xml:space="preserve"> as a psychological mechanism where fiduciaries rationalize harmful </w:t>
      </w:r>
      <w:proofErr w:type="spellStart"/>
      <w:r w:rsidRPr="00577633">
        <w:rPr>
          <w:rFonts w:ascii="Times New Roman" w:hAnsi="Times New Roman"/>
          <w:lang w:val="en-HK"/>
        </w:rPr>
        <w:t>behavior</w:t>
      </w:r>
      <w:proofErr w:type="spellEnd"/>
      <w:r w:rsidRPr="00577633">
        <w:rPr>
          <w:rFonts w:ascii="Times New Roman" w:hAnsi="Times New Roman"/>
          <w:lang w:val="en-HK"/>
        </w:rPr>
        <w:t xml:space="preserve"> as benign.</w:t>
      </w:r>
    </w:p>
    <w:p w14:paraId="563D67B8" w14:textId="77777777" w:rsidR="00577633" w:rsidRPr="00577633" w:rsidRDefault="00577633" w:rsidP="00E613BF">
      <w:pPr>
        <w:numPr>
          <w:ilvl w:val="0"/>
          <w:numId w:val="4"/>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Drawing on </w:t>
      </w:r>
      <w:r w:rsidRPr="00577633">
        <w:rPr>
          <w:rFonts w:ascii="Times New Roman" w:hAnsi="Times New Roman"/>
          <w:b/>
          <w:bCs/>
          <w:lang w:val="en-HK"/>
        </w:rPr>
        <w:t>Immanuel Kant</w:t>
      </w:r>
      <w:r w:rsidRPr="00577633">
        <w:rPr>
          <w:rFonts w:ascii="Times New Roman" w:hAnsi="Times New Roman"/>
          <w:lang w:val="en-HK"/>
        </w:rPr>
        <w:t xml:space="preserve"> and </w:t>
      </w:r>
      <w:r w:rsidRPr="00577633">
        <w:rPr>
          <w:rFonts w:ascii="Times New Roman" w:hAnsi="Times New Roman"/>
          <w:b/>
          <w:bCs/>
          <w:lang w:val="en-HK"/>
        </w:rPr>
        <w:t>Joseph Butler</w:t>
      </w:r>
      <w:r w:rsidRPr="00577633">
        <w:rPr>
          <w:rFonts w:ascii="Times New Roman" w:hAnsi="Times New Roman"/>
          <w:lang w:val="en-HK"/>
        </w:rPr>
        <w:t>, the author explains:</w:t>
      </w:r>
    </w:p>
    <w:p w14:paraId="0CC0E639" w14:textId="77777777" w:rsidR="00577633" w:rsidRPr="00577633" w:rsidRDefault="00577633" w:rsidP="00E613BF">
      <w:pPr>
        <w:numPr>
          <w:ilvl w:val="1"/>
          <w:numId w:val="4"/>
        </w:numPr>
        <w:spacing w:before="100" w:beforeAutospacing="1" w:after="100" w:afterAutospacing="1" w:line="360" w:lineRule="auto"/>
        <w:rPr>
          <w:rFonts w:ascii="Times New Roman" w:hAnsi="Times New Roman"/>
          <w:lang w:val="en-HK"/>
        </w:rPr>
      </w:pPr>
      <w:r w:rsidRPr="00577633">
        <w:rPr>
          <w:rFonts w:ascii="Times New Roman" w:hAnsi="Times New Roman"/>
          <w:lang w:val="en-HK"/>
        </w:rPr>
        <w:t>Self-deception suppresses internal moral checks, allowing fiduciaries to justify actions contrary to their duties.</w:t>
      </w:r>
    </w:p>
    <w:p w14:paraId="5F4CCD28" w14:textId="77777777" w:rsidR="00577633" w:rsidRPr="00577633" w:rsidRDefault="00577633" w:rsidP="00E613BF">
      <w:pPr>
        <w:numPr>
          <w:ilvl w:val="1"/>
          <w:numId w:val="4"/>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Quote from Kant:</w:t>
      </w:r>
      <w:r w:rsidRPr="00577633">
        <w:rPr>
          <w:rFonts w:ascii="Times New Roman" w:hAnsi="Times New Roman"/>
          <w:lang w:val="en-HK"/>
        </w:rPr>
        <w:t xml:space="preserve"> "Self-deception thrives when the agent convinces themselves that a self-serving exception to a general rule is permissible."</w:t>
      </w:r>
    </w:p>
    <w:p w14:paraId="20675711" w14:textId="77777777" w:rsidR="00577633" w:rsidRPr="00577633"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lastRenderedPageBreak/>
        <w:pict w14:anchorId="6B9C9FC8">
          <v:rect id="_x0000_i1048" alt="" style="width:451.3pt;height:.05pt;mso-width-percent:0;mso-height-percent:0;mso-width-percent:0;mso-height-percent:0" o:hralign="center" o:hrstd="t" o:hr="t" fillcolor="#a0a0a0" stroked="f"/>
        </w:pict>
      </w:r>
    </w:p>
    <w:p w14:paraId="3783F15B" w14:textId="77777777" w:rsidR="00577633" w:rsidRPr="00577633" w:rsidRDefault="00577633" w:rsidP="00E613BF">
      <w:pPr>
        <w:spacing w:before="100" w:beforeAutospacing="1" w:after="100" w:afterAutospacing="1" w:line="360" w:lineRule="auto"/>
        <w:outlineLvl w:val="3"/>
        <w:rPr>
          <w:rFonts w:ascii="Times New Roman" w:hAnsi="Times New Roman"/>
          <w:b/>
          <w:bCs/>
          <w:lang w:val="en-HK"/>
        </w:rPr>
      </w:pPr>
      <w:r w:rsidRPr="00577633">
        <w:rPr>
          <w:rFonts w:ascii="Times New Roman" w:hAnsi="Times New Roman"/>
          <w:b/>
          <w:bCs/>
          <w:lang w:val="en-HK"/>
        </w:rPr>
        <w:t>Justification for Rigidity</w:t>
      </w:r>
    </w:p>
    <w:p w14:paraId="5BCF0327" w14:textId="77777777" w:rsidR="00577633" w:rsidRPr="00577633" w:rsidRDefault="00577633" w:rsidP="00E613BF">
      <w:pPr>
        <w:numPr>
          <w:ilvl w:val="0"/>
          <w:numId w:val="5"/>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Wide Discretion:</w:t>
      </w:r>
      <w:r w:rsidRPr="00577633">
        <w:rPr>
          <w:rFonts w:ascii="Times New Roman" w:hAnsi="Times New Roman"/>
          <w:lang w:val="en-HK"/>
        </w:rPr>
        <w:t xml:space="preserve"> Fiduciaries have significant leeway in applying duties to specific situations.</w:t>
      </w:r>
    </w:p>
    <w:p w14:paraId="2FB8D9DE" w14:textId="77777777" w:rsidR="00577633" w:rsidRPr="00577633" w:rsidRDefault="00577633" w:rsidP="00E613BF">
      <w:pPr>
        <w:numPr>
          <w:ilvl w:val="0"/>
          <w:numId w:val="5"/>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Power Imbalance:</w:t>
      </w:r>
      <w:r w:rsidRPr="00577633">
        <w:rPr>
          <w:rFonts w:ascii="Times New Roman" w:hAnsi="Times New Roman"/>
          <w:lang w:val="en-HK"/>
        </w:rPr>
        <w:t xml:space="preserve"> The principal relies </w:t>
      </w:r>
      <w:r w:rsidRPr="00577633">
        <w:rPr>
          <w:rFonts w:ascii="Times New Roman" w:hAnsi="Times New Roman"/>
          <w:b/>
          <w:bCs/>
          <w:lang w:val="en-HK"/>
        </w:rPr>
        <w:t>heavily on the fiduciary's integrity</w:t>
      </w:r>
      <w:r w:rsidRPr="00577633">
        <w:rPr>
          <w:rFonts w:ascii="Times New Roman" w:hAnsi="Times New Roman"/>
          <w:lang w:val="en-HK"/>
        </w:rPr>
        <w:t>, creating vulnerability.</w:t>
      </w:r>
    </w:p>
    <w:p w14:paraId="618AE64C" w14:textId="686B8A00" w:rsidR="00577633" w:rsidRPr="00E613BF" w:rsidRDefault="00577633" w:rsidP="00E613BF">
      <w:pPr>
        <w:pStyle w:val="ListParagraph"/>
        <w:numPr>
          <w:ilvl w:val="0"/>
          <w:numId w:val="6"/>
        </w:numPr>
        <w:spacing w:before="100" w:beforeAutospacing="1" w:after="100" w:afterAutospacing="1" w:line="360" w:lineRule="auto"/>
        <w:rPr>
          <w:rFonts w:ascii="Times New Roman" w:hAnsi="Times New Roman"/>
          <w:lang w:val="en-HK"/>
        </w:rPr>
      </w:pPr>
      <w:r w:rsidRPr="00E613BF">
        <w:rPr>
          <w:rFonts w:ascii="Times New Roman" w:hAnsi="Times New Roman"/>
          <w:b/>
          <w:bCs/>
          <w:lang w:val="en-HK"/>
        </w:rPr>
        <w:t>Lord King in Keech v Sandford (1726):</w:t>
      </w:r>
    </w:p>
    <w:p w14:paraId="28B1EAD8"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lang w:val="en-HK"/>
        </w:rPr>
        <w:t>Highlighted the consequences of permitting fiduciaries to profit from trust opportunities:</w:t>
      </w:r>
    </w:p>
    <w:p w14:paraId="4C8B3643"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Quote:</w:t>
      </w:r>
      <w:r w:rsidRPr="00577633">
        <w:rPr>
          <w:rFonts w:ascii="Times New Roman" w:hAnsi="Times New Roman"/>
          <w:lang w:val="en-HK"/>
        </w:rPr>
        <w:t xml:space="preserve"> "It is very obvious what would be the consequences of letting trustees have the lease... refusal to renew [for the beneficiary] would undermine the trust."</w:t>
      </w:r>
    </w:p>
    <w:p w14:paraId="13AD815C" w14:textId="77777777" w:rsidR="00577633" w:rsidRPr="00577633" w:rsidRDefault="00577633" w:rsidP="00E613BF">
      <w:pPr>
        <w:numPr>
          <w:ilvl w:val="0"/>
          <w:numId w:val="5"/>
        </w:num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Prophylactic Function:</w:t>
      </w:r>
    </w:p>
    <w:p w14:paraId="024851CF" w14:textId="77777777" w:rsidR="00577633"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lang w:val="en-HK"/>
        </w:rPr>
        <w:t xml:space="preserve">By </w:t>
      </w:r>
      <w:r w:rsidRPr="00577633">
        <w:rPr>
          <w:rFonts w:ascii="Times New Roman" w:hAnsi="Times New Roman"/>
          <w:b/>
          <w:bCs/>
          <w:lang w:val="en-HK"/>
        </w:rPr>
        <w:t>stripping all profits irrespective of harm</w:t>
      </w:r>
      <w:r w:rsidRPr="00577633">
        <w:rPr>
          <w:rFonts w:ascii="Times New Roman" w:hAnsi="Times New Roman"/>
          <w:lang w:val="en-HK"/>
        </w:rPr>
        <w:t xml:space="preserve">, the rule </w:t>
      </w:r>
      <w:proofErr w:type="spellStart"/>
      <w:r w:rsidRPr="00577633">
        <w:rPr>
          <w:rFonts w:ascii="Times New Roman" w:hAnsi="Times New Roman"/>
          <w:lang w:val="en-HK"/>
        </w:rPr>
        <w:t>preemptively</w:t>
      </w:r>
      <w:proofErr w:type="spellEnd"/>
      <w:r w:rsidRPr="00577633">
        <w:rPr>
          <w:rFonts w:ascii="Times New Roman" w:hAnsi="Times New Roman"/>
          <w:lang w:val="en-HK"/>
        </w:rPr>
        <w:t xml:space="preserve"> neutralizes incentives for fiduciaries to contemplate conflicts.</w:t>
      </w:r>
    </w:p>
    <w:p w14:paraId="72326920" w14:textId="29CFF0E6" w:rsidR="00C4764B" w:rsidRPr="00577633" w:rsidRDefault="00577633" w:rsidP="00E613BF">
      <w:pPr>
        <w:spacing w:before="100" w:beforeAutospacing="1" w:after="100" w:afterAutospacing="1" w:line="360" w:lineRule="auto"/>
        <w:rPr>
          <w:rFonts w:ascii="Times New Roman" w:hAnsi="Times New Roman"/>
          <w:lang w:val="en-HK"/>
        </w:rPr>
      </w:pPr>
      <w:r w:rsidRPr="00577633">
        <w:rPr>
          <w:rFonts w:ascii="Times New Roman" w:hAnsi="Times New Roman"/>
          <w:b/>
          <w:bCs/>
          <w:lang w:val="en-HK"/>
        </w:rPr>
        <w:t>Worthington (1999):</w:t>
      </w:r>
      <w:r w:rsidRPr="00577633">
        <w:rPr>
          <w:rFonts w:ascii="Times New Roman" w:hAnsi="Times New Roman"/>
          <w:lang w:val="en-HK"/>
        </w:rPr>
        <w:t xml:space="preserve"> “[Equity’s remedy] is not </w:t>
      </w:r>
      <w:r w:rsidRPr="00577633">
        <w:rPr>
          <w:rFonts w:ascii="Times New Roman" w:hAnsi="Times New Roman"/>
          <w:b/>
          <w:bCs/>
          <w:lang w:val="en-HK"/>
        </w:rPr>
        <w:t>punitive but preventative</w:t>
      </w:r>
      <w:r w:rsidRPr="00577633">
        <w:rPr>
          <w:rFonts w:ascii="Times New Roman" w:hAnsi="Times New Roman"/>
          <w:lang w:val="en-HK"/>
        </w:rPr>
        <w:t>, designed to uphold the principal’s absolute trust.”</w:t>
      </w:r>
    </w:p>
    <w:p w14:paraId="1FEEA7F4" w14:textId="77777777" w:rsidR="00C4764B" w:rsidRPr="00C4764B" w:rsidRDefault="00C4764B" w:rsidP="00E613BF">
      <w:pPr>
        <w:spacing w:before="100" w:beforeAutospacing="1" w:after="100" w:afterAutospacing="1" w:line="360" w:lineRule="auto"/>
        <w:outlineLvl w:val="2"/>
        <w:rPr>
          <w:rFonts w:ascii="Times New Roman" w:hAnsi="Times New Roman"/>
          <w:b/>
          <w:bCs/>
          <w:lang w:val="en-HK"/>
        </w:rPr>
      </w:pPr>
      <w:r w:rsidRPr="00C4764B">
        <w:rPr>
          <w:rFonts w:ascii="Times New Roman" w:hAnsi="Times New Roman"/>
          <w:b/>
          <w:bCs/>
          <w:lang w:val="en-HK"/>
        </w:rPr>
        <w:t>2. The “No Conflict” Rule and Its Rigidity</w:t>
      </w:r>
    </w:p>
    <w:p w14:paraId="21ADF929"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second section of the article examines the </w:t>
      </w:r>
      <w:r w:rsidRPr="00C4764B">
        <w:rPr>
          <w:rFonts w:ascii="Times New Roman" w:hAnsi="Times New Roman"/>
          <w:b/>
          <w:bCs/>
          <w:lang w:val="en-HK"/>
        </w:rPr>
        <w:t>"no conflict" rule</w:t>
      </w:r>
      <w:r w:rsidRPr="00C4764B">
        <w:rPr>
          <w:rFonts w:ascii="Times New Roman" w:hAnsi="Times New Roman"/>
          <w:lang w:val="en-HK"/>
        </w:rPr>
        <w:t>, a cornerstone of fiduciary law, which imposes an uncompromising prohibition on fiduciaries from placing themselves in situations of actual or potential conflict of interest. This rule is unusually strict, reflecting the prophylactic nature of fiduciary obligations to protect the integrity of the principal-fiduciary relationship.</w:t>
      </w:r>
    </w:p>
    <w:p w14:paraId="2A3C523E"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79B8BBAD">
          <v:rect id="_x0000_i1047" alt="" style="width:451.3pt;height:.05pt;mso-width-percent:0;mso-height-percent:0;mso-width-percent:0;mso-height-percent:0" o:hralign="center" o:hrstd="t" o:hr="t" fillcolor="#a0a0a0" stroked="f"/>
        </w:pict>
      </w:r>
    </w:p>
    <w:p w14:paraId="672BDEC6"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A. Nature of the "No Conflict" Rule</w:t>
      </w:r>
    </w:p>
    <w:p w14:paraId="190E525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lastRenderedPageBreak/>
        <w:t xml:space="preserve">The </w:t>
      </w:r>
      <w:r w:rsidRPr="00C4764B">
        <w:rPr>
          <w:rFonts w:ascii="Times New Roman" w:hAnsi="Times New Roman"/>
          <w:b/>
          <w:bCs/>
          <w:lang w:val="en-HK"/>
        </w:rPr>
        <w:t>"no conflict" rule</w:t>
      </w:r>
      <w:r w:rsidRPr="00C4764B">
        <w:rPr>
          <w:rFonts w:ascii="Times New Roman" w:hAnsi="Times New Roman"/>
          <w:lang w:val="en-HK"/>
        </w:rPr>
        <w:t xml:space="preserve"> requires fiduciaries to avoid any situation where their personal interests could conflict with their duty to the principal. The rule is </w:t>
      </w:r>
      <w:r w:rsidRPr="00C4764B">
        <w:rPr>
          <w:rFonts w:ascii="Times New Roman" w:hAnsi="Times New Roman"/>
          <w:b/>
          <w:bCs/>
          <w:lang w:val="en-HK"/>
        </w:rPr>
        <w:t>absolute</w:t>
      </w:r>
      <w:r w:rsidRPr="00C4764B">
        <w:rPr>
          <w:rFonts w:ascii="Times New Roman" w:hAnsi="Times New Roman"/>
          <w:lang w:val="en-HK"/>
        </w:rPr>
        <w:t xml:space="preserve"> in two primary ways:</w:t>
      </w:r>
    </w:p>
    <w:p w14:paraId="3B350114" w14:textId="77777777" w:rsidR="00C4764B" w:rsidRPr="00E613BF" w:rsidRDefault="00C4764B" w:rsidP="00E613BF">
      <w:pPr>
        <w:numPr>
          <w:ilvl w:val="0"/>
          <w:numId w:val="7"/>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It applies even where harm to the principal is remote or speculative.</w:t>
      </w:r>
    </w:p>
    <w:p w14:paraId="50E7613E" w14:textId="3ADFEA87" w:rsidR="00C4764B" w:rsidRPr="00C4764B" w:rsidRDefault="00C4764B" w:rsidP="00E613BF">
      <w:pPr>
        <w:numPr>
          <w:ilvl w:val="0"/>
          <w:numId w:val="7"/>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It demands the </w:t>
      </w:r>
      <w:r w:rsidRPr="00C4764B">
        <w:rPr>
          <w:rFonts w:ascii="Times New Roman" w:hAnsi="Times New Roman"/>
          <w:b/>
          <w:bCs/>
          <w:lang w:val="en-HK"/>
        </w:rPr>
        <w:t>complete disgorgement</w:t>
      </w:r>
      <w:r w:rsidRPr="00E613BF">
        <w:rPr>
          <w:rFonts w:ascii="Times New Roman" w:hAnsi="Times New Roman"/>
          <w:b/>
          <w:bCs/>
          <w:lang w:val="en-HK"/>
        </w:rPr>
        <w:t xml:space="preserve"> </w:t>
      </w:r>
      <w:r w:rsidRPr="00E613BF">
        <w:rPr>
          <w:rFonts w:ascii="Times New Roman" w:eastAsia="Microsoft JhengHei" w:hAnsi="Times New Roman"/>
          <w:lang w:val="en-HK"/>
        </w:rPr>
        <w:t>完全追</w:t>
      </w:r>
      <w:r w:rsidRPr="00E613BF">
        <w:rPr>
          <w:rFonts w:ascii="Times New Roman" w:eastAsia="PingFang TC" w:hAnsi="Times New Roman"/>
          <w:lang w:val="en-HK"/>
        </w:rPr>
        <w:t>繳</w:t>
      </w:r>
      <w:r w:rsidRPr="00C4764B">
        <w:rPr>
          <w:rFonts w:ascii="Times New Roman" w:hAnsi="Times New Roman"/>
          <w:lang w:val="en-HK"/>
        </w:rPr>
        <w:t>of profits derived from any conflict, irrespective of the fiduciary’s good faith or the absence of harm.</w:t>
      </w:r>
    </w:p>
    <w:p w14:paraId="578A56DF"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3F04C5F2">
          <v:rect id="_x0000_i1046" alt="" style="width:451.3pt;height:.05pt;mso-width-percent:0;mso-height-percent:0;mso-width-percent:0;mso-height-percent:0" o:hralign="center" o:hrstd="t" o:hr="t" fillcolor="#a0a0a0" stroked="f"/>
        </w:pict>
      </w:r>
    </w:p>
    <w:p w14:paraId="7133908F"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Judicial Authorities</w:t>
      </w:r>
    </w:p>
    <w:p w14:paraId="623DBF33" w14:textId="77777777" w:rsidR="00C4764B" w:rsidRPr="00C4764B" w:rsidRDefault="00C4764B" w:rsidP="00E613BF">
      <w:pPr>
        <w:numPr>
          <w:ilvl w:val="0"/>
          <w:numId w:val="8"/>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Regal (Hastings) Ltd v Gulliver [1967] 2 AC 134 (HL)</w:t>
      </w:r>
    </w:p>
    <w:p w14:paraId="75DCEE1A"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Facts:</w:t>
      </w:r>
      <w:r w:rsidRPr="00C4764B">
        <w:rPr>
          <w:rFonts w:ascii="Times New Roman" w:hAnsi="Times New Roman"/>
          <w:lang w:val="en-HK"/>
        </w:rPr>
        <w:t xml:space="preserve"> Directors of a company purchased shares in their personal capacity to secure a business deal, leading to profits.</w:t>
      </w:r>
    </w:p>
    <w:p w14:paraId="37A74ED6"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Judgment by Lord Russell:</w:t>
      </w:r>
    </w:p>
    <w:p w14:paraId="28883718" w14:textId="77777777" w:rsidR="00C4764B" w:rsidRPr="00C4764B" w:rsidRDefault="00C4764B" w:rsidP="00E613BF">
      <w:pPr>
        <w:numPr>
          <w:ilvl w:val="2"/>
          <w:numId w:val="8"/>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"The rule of equity... does not depend on fraud, or absence of bona fides."</w:t>
      </w:r>
    </w:p>
    <w:p w14:paraId="0CB654E9" w14:textId="77777777" w:rsidR="00C4764B" w:rsidRPr="00C4764B" w:rsidRDefault="00C4764B" w:rsidP="00E613BF">
      <w:pPr>
        <w:numPr>
          <w:ilvl w:val="2"/>
          <w:numId w:val="8"/>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fiduciaries were </w:t>
      </w:r>
      <w:r w:rsidRPr="00C4764B">
        <w:rPr>
          <w:rFonts w:ascii="Times New Roman" w:hAnsi="Times New Roman"/>
          <w:b/>
          <w:bCs/>
          <w:lang w:val="en-HK"/>
        </w:rPr>
        <w:t>held accountable for all profits despite acting in good faith</w:t>
      </w:r>
      <w:r w:rsidRPr="00C4764B">
        <w:rPr>
          <w:rFonts w:ascii="Times New Roman" w:hAnsi="Times New Roman"/>
          <w:lang w:val="en-HK"/>
        </w:rPr>
        <w:t>, highlighting the irrelevance of motivation in fiduciary law.</w:t>
      </w:r>
    </w:p>
    <w:p w14:paraId="49E4232B" w14:textId="77777777" w:rsidR="00C4764B" w:rsidRPr="00C4764B" w:rsidRDefault="00C4764B" w:rsidP="00E613BF">
      <w:pPr>
        <w:numPr>
          <w:ilvl w:val="2"/>
          <w:numId w:val="8"/>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Rationale: Strictness ensures that fiduciaries prioritize their principal's interests without deliberating on personal gain.</w:t>
      </w:r>
    </w:p>
    <w:p w14:paraId="50260F1F" w14:textId="77777777" w:rsidR="00C4764B" w:rsidRPr="00C4764B" w:rsidRDefault="00C4764B" w:rsidP="00E613BF">
      <w:pPr>
        <w:numPr>
          <w:ilvl w:val="0"/>
          <w:numId w:val="8"/>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 xml:space="preserve">Keech v Sandford (1726) </w:t>
      </w:r>
      <w:proofErr w:type="spellStart"/>
      <w:r w:rsidRPr="00C4764B">
        <w:rPr>
          <w:rFonts w:ascii="Times New Roman" w:hAnsi="Times New Roman"/>
          <w:b/>
          <w:bCs/>
          <w:lang w:val="en-HK"/>
        </w:rPr>
        <w:t>Sel</w:t>
      </w:r>
      <w:proofErr w:type="spellEnd"/>
      <w:r w:rsidRPr="00C4764B">
        <w:rPr>
          <w:rFonts w:ascii="Times New Roman" w:hAnsi="Times New Roman"/>
          <w:b/>
          <w:bCs/>
          <w:lang w:val="en-HK"/>
        </w:rPr>
        <w:t xml:space="preserve"> Cas Ch 61</w:t>
      </w:r>
    </w:p>
    <w:p w14:paraId="5F1F04AE"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Facts:</w:t>
      </w:r>
      <w:r w:rsidRPr="00C4764B">
        <w:rPr>
          <w:rFonts w:ascii="Times New Roman" w:hAnsi="Times New Roman"/>
          <w:lang w:val="en-HK"/>
        </w:rPr>
        <w:t xml:space="preserve"> A trustee secured a lease for personal benefit after failing to renew it for the trust.</w:t>
      </w:r>
    </w:p>
    <w:p w14:paraId="4403810B"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Lord King:</w:t>
      </w:r>
    </w:p>
    <w:p w14:paraId="557A6A2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"The trustee is the only person of all mankind who might not have the lease."</w:t>
      </w:r>
    </w:p>
    <w:p w14:paraId="5447F865"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Principle: Even honest fiduciaries cannot profit from trust opportunities to prevent broader exploitation risks.</w:t>
      </w:r>
    </w:p>
    <w:p w14:paraId="68110F6F" w14:textId="77777777" w:rsidR="00C4764B" w:rsidRPr="00C4764B" w:rsidRDefault="00C4764B" w:rsidP="00E613BF">
      <w:pPr>
        <w:numPr>
          <w:ilvl w:val="0"/>
          <w:numId w:val="8"/>
        </w:numPr>
        <w:spacing w:before="100" w:beforeAutospacing="1" w:after="100" w:afterAutospacing="1" w:line="360" w:lineRule="auto"/>
        <w:rPr>
          <w:rFonts w:ascii="Times New Roman" w:hAnsi="Times New Roman"/>
          <w:lang w:val="en-HK"/>
        </w:rPr>
      </w:pPr>
      <w:r w:rsidRPr="00C4764B">
        <w:rPr>
          <w:rFonts w:ascii="Times New Roman" w:hAnsi="Times New Roman"/>
          <w:b/>
          <w:bCs/>
          <w:u w:val="single"/>
          <w:lang w:val="en-HK"/>
        </w:rPr>
        <w:t>Boardman v Phipps</w:t>
      </w:r>
      <w:r w:rsidRPr="00C4764B">
        <w:rPr>
          <w:rFonts w:ascii="Times New Roman" w:hAnsi="Times New Roman"/>
          <w:b/>
          <w:bCs/>
          <w:lang w:val="en-HK"/>
        </w:rPr>
        <w:t xml:space="preserve"> [1967] 2 AC 46 (HL)</w:t>
      </w:r>
    </w:p>
    <w:p w14:paraId="7189FFDF"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lastRenderedPageBreak/>
        <w:t>Facts:</w:t>
      </w:r>
      <w:r w:rsidRPr="00C4764B">
        <w:rPr>
          <w:rFonts w:ascii="Times New Roman" w:hAnsi="Times New Roman"/>
          <w:lang w:val="en-HK"/>
        </w:rPr>
        <w:t xml:space="preserve"> A solicitor profited by acquiring shares using confidential trust information but acted with good intentions.</w:t>
      </w:r>
    </w:p>
    <w:p w14:paraId="5629F317"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Lord Guest:</w:t>
      </w:r>
    </w:p>
    <w:p w14:paraId="225F948C" w14:textId="77777777" w:rsidR="00C4764B" w:rsidRPr="00C4764B" w:rsidRDefault="00C4764B" w:rsidP="00E613BF">
      <w:pPr>
        <w:spacing w:before="100" w:beforeAutospacing="1" w:after="100" w:afterAutospacing="1" w:line="360" w:lineRule="auto"/>
        <w:rPr>
          <w:rFonts w:ascii="Times New Roman" w:hAnsi="Times New Roman"/>
          <w:b/>
          <w:bCs/>
          <w:lang w:val="en-HK"/>
        </w:rPr>
      </w:pPr>
      <w:r w:rsidRPr="00C4764B">
        <w:rPr>
          <w:rFonts w:ascii="Times New Roman" w:hAnsi="Times New Roman"/>
          <w:b/>
          <w:bCs/>
          <w:lang w:val="en-HK"/>
        </w:rPr>
        <w:t>Quote:</w:t>
      </w:r>
      <w:r w:rsidRPr="00C4764B">
        <w:rPr>
          <w:rFonts w:ascii="Times New Roman" w:hAnsi="Times New Roman"/>
          <w:lang w:val="en-HK"/>
        </w:rPr>
        <w:t xml:space="preserve"> "The only defence available... is that [the fiduciary] acted </w:t>
      </w:r>
      <w:r w:rsidRPr="00C4764B">
        <w:rPr>
          <w:rFonts w:ascii="Times New Roman" w:hAnsi="Times New Roman"/>
          <w:b/>
          <w:bCs/>
          <w:lang w:val="en-HK"/>
        </w:rPr>
        <w:t>with the knowledge and assent of the trustee."</w:t>
      </w:r>
    </w:p>
    <w:p w14:paraId="47D27482"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Significance: Even when the principal benefits from a transaction, the fiduciary is required to disgorge profits to maintain the integrity of the fiduciary role.</w:t>
      </w:r>
    </w:p>
    <w:p w14:paraId="6FCC7B29"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352AB68C">
          <v:rect id="_x0000_i1045" alt="" style="width:451.3pt;height:.05pt;mso-width-percent:0;mso-height-percent:0;mso-width-percent:0;mso-height-percent:0" o:hralign="center" o:hrstd="t" o:hr="t" fillcolor="#a0a0a0" stroked="f"/>
        </w:pict>
      </w:r>
    </w:p>
    <w:p w14:paraId="129DCF3B"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B. The Disgorgement Remedy</w:t>
      </w:r>
    </w:p>
    <w:p w14:paraId="4B23BD29"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w:t>
      </w:r>
      <w:r w:rsidRPr="00C4764B">
        <w:rPr>
          <w:rFonts w:ascii="Times New Roman" w:hAnsi="Times New Roman"/>
          <w:b/>
          <w:bCs/>
          <w:lang w:val="en-HK"/>
        </w:rPr>
        <w:t>disgorgement remedy</w:t>
      </w:r>
      <w:r w:rsidRPr="00C4764B">
        <w:rPr>
          <w:rFonts w:ascii="Times New Roman" w:hAnsi="Times New Roman"/>
          <w:lang w:val="en-HK"/>
        </w:rPr>
        <w:t xml:space="preserve"> reflects the absolute nature of fiduciary duties. Once a conflict is identified:</w:t>
      </w:r>
    </w:p>
    <w:p w14:paraId="351CA69C" w14:textId="77777777" w:rsidR="00C4764B" w:rsidRPr="00C4764B" w:rsidRDefault="00C4764B" w:rsidP="00E613BF">
      <w:pPr>
        <w:numPr>
          <w:ilvl w:val="0"/>
          <w:numId w:val="9"/>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The fiduciary must account for all profits, including those that would have been legitimately earned.</w:t>
      </w:r>
    </w:p>
    <w:p w14:paraId="27308AE9" w14:textId="77777777" w:rsidR="00C4764B" w:rsidRPr="00C4764B" w:rsidRDefault="00C4764B" w:rsidP="00E613BF">
      <w:pPr>
        <w:numPr>
          <w:ilvl w:val="0"/>
          <w:numId w:val="9"/>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This ensures no financial incentive for fiduciaries to risk conflicts.</w:t>
      </w:r>
    </w:p>
    <w:p w14:paraId="0C4DD720"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Scholar Commentary:</w:t>
      </w:r>
    </w:p>
    <w:p w14:paraId="2142AF3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S. Worthington (1999):</w:t>
      </w:r>
      <w:r w:rsidRPr="00C4764B">
        <w:rPr>
          <w:rFonts w:ascii="Times New Roman" w:hAnsi="Times New Roman"/>
          <w:lang w:val="en-HK"/>
        </w:rPr>
        <w:t xml:space="preserve"> “The remedy’s stringency reinforces the obligation to avoid conflict, not because the fiduciary causes harm, but to maintain trust.”</w:t>
      </w:r>
    </w:p>
    <w:p w14:paraId="164944A6"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Critique in Practice:</w:t>
      </w:r>
    </w:p>
    <w:p w14:paraId="13DB6275"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Critics argue that the remedy is punitive in nature, as even honest fiduciaries lose profits derived from effort and skill.</w:t>
      </w:r>
    </w:p>
    <w:p w14:paraId="625CE749"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Lord Goff in Guinness plc v Saunders [1990] 2 AC 663:</w:t>
      </w:r>
      <w:r w:rsidRPr="00C4764B">
        <w:rPr>
          <w:rFonts w:ascii="Times New Roman" w:hAnsi="Times New Roman"/>
          <w:lang w:val="en-HK"/>
        </w:rPr>
        <w:t xml:space="preserve"> Emphasized that remuneration for fiduciaries should not encourage conflicts:</w:t>
      </w:r>
    </w:p>
    <w:p w14:paraId="2121D1F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"The exercise of jurisdiction [on allowances] must not suggest that trustees profit by acting in conflict with their duty."</w:t>
      </w:r>
    </w:p>
    <w:p w14:paraId="29816AB1"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lastRenderedPageBreak/>
        <w:pict w14:anchorId="42A9E656">
          <v:rect id="_x0000_i1044" alt="" style="width:451.3pt;height:.05pt;mso-width-percent:0;mso-height-percent:0;mso-width-percent:0;mso-height-percent:0" o:hralign="center" o:hrstd="t" o:hr="t" fillcolor="#a0a0a0" stroked="f"/>
        </w:pict>
      </w:r>
    </w:p>
    <w:p w14:paraId="64E6E057"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C. Why the Rule is Necessary</w:t>
      </w:r>
    </w:p>
    <w:p w14:paraId="083953DC" w14:textId="77777777" w:rsidR="00C4764B" w:rsidRPr="00C4764B" w:rsidRDefault="00C4764B" w:rsidP="00E613BF">
      <w:pPr>
        <w:numPr>
          <w:ilvl w:val="0"/>
          <w:numId w:val="10"/>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Protecting the Principal:</w:t>
      </w:r>
    </w:p>
    <w:p w14:paraId="1A52C1C4" w14:textId="77777777" w:rsidR="00C4764B" w:rsidRPr="00C4764B" w:rsidRDefault="00C4764B" w:rsidP="00E613BF">
      <w:pPr>
        <w:numPr>
          <w:ilvl w:val="1"/>
          <w:numId w:val="10"/>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The rule shields the principal from the inherent power imbalance and fiduciary discretion.</w:t>
      </w:r>
    </w:p>
    <w:p w14:paraId="73E0416F" w14:textId="77777777" w:rsidR="00C4764B" w:rsidRPr="00C4764B" w:rsidRDefault="00C4764B" w:rsidP="00E613BF">
      <w:pPr>
        <w:numPr>
          <w:ilvl w:val="1"/>
          <w:numId w:val="10"/>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w:t>
      </w:r>
      <w:r w:rsidRPr="00C4764B">
        <w:rPr>
          <w:rFonts w:ascii="Times New Roman" w:hAnsi="Times New Roman"/>
          <w:b/>
          <w:bCs/>
          <w:lang w:val="en-HK"/>
        </w:rPr>
        <w:t>wide discretion</w:t>
      </w:r>
      <w:r w:rsidRPr="00C4764B">
        <w:rPr>
          <w:rFonts w:ascii="Times New Roman" w:hAnsi="Times New Roman"/>
          <w:lang w:val="en-HK"/>
        </w:rPr>
        <w:t xml:space="preserve"> afforded to fiduciaries (e.g., determining loyalty, prudence) risks abuse if conflicts are permitted.</w:t>
      </w:r>
    </w:p>
    <w:p w14:paraId="7D3B393B" w14:textId="77777777" w:rsidR="00C4764B" w:rsidRPr="00C4764B" w:rsidRDefault="00C4764B" w:rsidP="00E613BF">
      <w:pPr>
        <w:numPr>
          <w:ilvl w:val="0"/>
          <w:numId w:val="10"/>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Deterring Misconduct:</w:t>
      </w:r>
    </w:p>
    <w:p w14:paraId="640F7AA7"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By imposing an absolute prohibition, the rule prevents fiduciaries from engaging in reflective deliberation about whether a conflict is permissible.</w:t>
      </w:r>
    </w:p>
    <w:p w14:paraId="40E13A00"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 xml:space="preserve">Lord Millett in Bristol and West Building Society v </w:t>
      </w:r>
      <w:proofErr w:type="spellStart"/>
      <w:r w:rsidRPr="00C4764B">
        <w:rPr>
          <w:rFonts w:ascii="Times New Roman" w:hAnsi="Times New Roman"/>
          <w:b/>
          <w:bCs/>
          <w:lang w:val="en-HK"/>
        </w:rPr>
        <w:t>Mothew</w:t>
      </w:r>
      <w:proofErr w:type="spellEnd"/>
      <w:r w:rsidRPr="00C4764B">
        <w:rPr>
          <w:rFonts w:ascii="Times New Roman" w:hAnsi="Times New Roman"/>
          <w:b/>
          <w:bCs/>
          <w:lang w:val="en-HK"/>
        </w:rPr>
        <w:t xml:space="preserve"> [1998] Ch 1:</w:t>
      </w:r>
    </w:p>
    <w:p w14:paraId="1B7AE9F8"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"The distinguishing obligation of a fiduciary is the obligation of loyalty."</w:t>
      </w:r>
    </w:p>
    <w:p w14:paraId="556E8C02" w14:textId="77777777" w:rsidR="00C4764B" w:rsidRPr="00C4764B" w:rsidRDefault="00C4764B" w:rsidP="00E613BF">
      <w:pPr>
        <w:numPr>
          <w:ilvl w:val="0"/>
          <w:numId w:val="10"/>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Prophylactic Function:</w:t>
      </w:r>
    </w:p>
    <w:p w14:paraId="0CFE1C6B" w14:textId="77777777" w:rsidR="00C4764B" w:rsidRPr="00C4764B" w:rsidRDefault="00C4764B" w:rsidP="00E613BF">
      <w:pPr>
        <w:numPr>
          <w:ilvl w:val="1"/>
          <w:numId w:val="10"/>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The rule operates preventatively, reducing the likelihood of fiduciary breaches by eliminating even potential conflicts.</w:t>
      </w:r>
    </w:p>
    <w:p w14:paraId="0B94F9BC" w14:textId="77777777" w:rsidR="00C4764B" w:rsidRPr="00C4764B" w:rsidRDefault="00C4764B" w:rsidP="00E613BF">
      <w:pPr>
        <w:numPr>
          <w:ilvl w:val="1"/>
          <w:numId w:val="10"/>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 xml:space="preserve">J. </w:t>
      </w:r>
      <w:proofErr w:type="spellStart"/>
      <w:r w:rsidRPr="00C4764B">
        <w:rPr>
          <w:rFonts w:ascii="Times New Roman" w:hAnsi="Times New Roman"/>
          <w:b/>
          <w:bCs/>
          <w:lang w:val="en-HK"/>
        </w:rPr>
        <w:t>Getzler</w:t>
      </w:r>
      <w:proofErr w:type="spellEnd"/>
      <w:r w:rsidRPr="00C4764B">
        <w:rPr>
          <w:rFonts w:ascii="Times New Roman" w:hAnsi="Times New Roman"/>
          <w:b/>
          <w:bCs/>
          <w:lang w:val="en-HK"/>
        </w:rPr>
        <w:t xml:space="preserve"> (2006):</w:t>
      </w:r>
      <w:r w:rsidRPr="00C4764B">
        <w:rPr>
          <w:rFonts w:ascii="Times New Roman" w:hAnsi="Times New Roman"/>
          <w:lang w:val="en-HK"/>
        </w:rPr>
        <w:t xml:space="preserve"> Historical analysis of the "Romford Market case" underscores how strict rules disincentivize exploitation.</w:t>
      </w:r>
    </w:p>
    <w:p w14:paraId="6D3D51FF"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0AF6440B">
          <v:rect id="_x0000_i1043" alt="" style="width:451.3pt;height:.05pt;mso-width-percent:0;mso-height-percent:0;mso-width-percent:0;mso-height-percent:0" o:hralign="center" o:hrstd="t" o:hr="t" fillcolor="#a0a0a0" stroked="f"/>
        </w:pict>
      </w:r>
    </w:p>
    <w:p w14:paraId="647FA662"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D. Critiques of the Rule</w:t>
      </w:r>
    </w:p>
    <w:p w14:paraId="101EFC75" w14:textId="77777777" w:rsidR="00C4764B" w:rsidRPr="00C4764B" w:rsidRDefault="00C4764B" w:rsidP="00E613BF">
      <w:pPr>
        <w:numPr>
          <w:ilvl w:val="0"/>
          <w:numId w:val="11"/>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Overreach and Inflexibility:</w:t>
      </w:r>
    </w:p>
    <w:p w14:paraId="0FC7DBD7"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Critics argue the rule </w:t>
      </w:r>
      <w:r w:rsidRPr="00C4764B">
        <w:rPr>
          <w:rFonts w:ascii="Times New Roman" w:hAnsi="Times New Roman"/>
          <w:b/>
          <w:bCs/>
          <w:lang w:val="en-HK"/>
        </w:rPr>
        <w:t>punishes innocent fiduciaries</w:t>
      </w:r>
      <w:r w:rsidRPr="00C4764B">
        <w:rPr>
          <w:rFonts w:ascii="Times New Roman" w:hAnsi="Times New Roman"/>
          <w:lang w:val="en-HK"/>
        </w:rPr>
        <w:t xml:space="preserve"> who act in good faith or without causing harm.</w:t>
      </w:r>
    </w:p>
    <w:p w14:paraId="01497797"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Lionel Smith:</w:t>
      </w:r>
      <w:r w:rsidRPr="00C4764B">
        <w:rPr>
          <w:rFonts w:ascii="Times New Roman" w:hAnsi="Times New Roman"/>
          <w:lang w:val="en-HK"/>
        </w:rPr>
        <w:t xml:space="preserve"> The rule is both too harsh on honest fiduciaries and ineffective in deterring intentional rogues.</w:t>
      </w:r>
    </w:p>
    <w:p w14:paraId="7A7D7CF8"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“Even with strict sanctions, deceptive fiduciaries have nothing to lose—they escape consequences unless caught.”</w:t>
      </w:r>
    </w:p>
    <w:p w14:paraId="5D84532A" w14:textId="4ACD0FB3" w:rsidR="003E76C4" w:rsidRPr="003E76C4" w:rsidRDefault="003E76C4" w:rsidP="00E613BF">
      <w:pPr>
        <w:spacing w:before="100" w:beforeAutospacing="1" w:after="100" w:afterAutospacing="1" w:line="360" w:lineRule="auto"/>
        <w:outlineLvl w:val="2"/>
        <w:rPr>
          <w:rFonts w:ascii="Times New Roman" w:hAnsi="Times New Roman"/>
          <w:b/>
          <w:bCs/>
          <w:lang w:val="en-HK"/>
        </w:rPr>
      </w:pPr>
      <w:r w:rsidRPr="003E76C4">
        <w:rPr>
          <w:rFonts w:ascii="Times New Roman" w:hAnsi="Times New Roman"/>
          <w:b/>
          <w:bCs/>
          <w:lang w:val="en-HK"/>
        </w:rPr>
        <w:lastRenderedPageBreak/>
        <w:t>2. Potential for Underdeterrence</w:t>
      </w:r>
    </w:p>
    <w:p w14:paraId="387751CB" w14:textId="77777777" w:rsidR="003E76C4" w:rsidRPr="003E76C4" w:rsidRDefault="003E76C4" w:rsidP="00E613BF">
      <w:pPr>
        <w:spacing w:before="100" w:beforeAutospacing="1" w:after="100" w:afterAutospacing="1" w:line="360" w:lineRule="auto"/>
        <w:outlineLvl w:val="3"/>
        <w:rPr>
          <w:rFonts w:ascii="Times New Roman" w:hAnsi="Times New Roman"/>
          <w:b/>
          <w:bCs/>
          <w:u w:val="single"/>
          <w:lang w:val="en-HK"/>
        </w:rPr>
      </w:pPr>
      <w:r w:rsidRPr="003E76C4">
        <w:rPr>
          <w:rFonts w:ascii="Times New Roman" w:hAnsi="Times New Roman"/>
          <w:b/>
          <w:bCs/>
          <w:u w:val="single"/>
          <w:lang w:val="en-HK"/>
        </w:rPr>
        <w:t>Murad v Al-</w:t>
      </w:r>
      <w:proofErr w:type="spellStart"/>
      <w:r w:rsidRPr="003E76C4">
        <w:rPr>
          <w:rFonts w:ascii="Times New Roman" w:hAnsi="Times New Roman"/>
          <w:b/>
          <w:bCs/>
          <w:u w:val="single"/>
          <w:lang w:val="en-HK"/>
        </w:rPr>
        <w:t>Saraj</w:t>
      </w:r>
      <w:proofErr w:type="spellEnd"/>
      <w:r w:rsidRPr="003E76C4">
        <w:rPr>
          <w:rFonts w:ascii="Times New Roman" w:hAnsi="Times New Roman"/>
          <w:b/>
          <w:bCs/>
          <w:u w:val="single"/>
          <w:lang w:val="en-HK"/>
        </w:rPr>
        <w:t xml:space="preserve"> [2005] WTLR 1573</w:t>
      </w:r>
    </w:p>
    <w:p w14:paraId="5489A2ED"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This case is pivotal to the debate on underdeterrence because it highlights judicial concerns about the perceived unfairness of the absolute profit-stripping rule.</w:t>
      </w:r>
    </w:p>
    <w:p w14:paraId="3F3C3132" w14:textId="77777777" w:rsidR="003E76C4" w:rsidRPr="003E76C4" w:rsidRDefault="003E76C4" w:rsidP="00E613BF">
      <w:pPr>
        <w:numPr>
          <w:ilvl w:val="0"/>
          <w:numId w:val="19"/>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Facts of the Case:</w:t>
      </w:r>
    </w:p>
    <w:p w14:paraId="03380F81"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fiduciary (Mr. Al-</w:t>
      </w:r>
      <w:proofErr w:type="spellStart"/>
      <w:r w:rsidRPr="003E76C4">
        <w:rPr>
          <w:rFonts w:ascii="Times New Roman" w:hAnsi="Times New Roman"/>
          <w:lang w:val="en-HK"/>
        </w:rPr>
        <w:t>Saraj</w:t>
      </w:r>
      <w:proofErr w:type="spellEnd"/>
      <w:r w:rsidRPr="003E76C4">
        <w:rPr>
          <w:rFonts w:ascii="Times New Roman" w:hAnsi="Times New Roman"/>
          <w:lang w:val="en-HK"/>
        </w:rPr>
        <w:t>) failed to disclose personal profits derived from a joint venture. While the principals (the Murad sisters) ultimately benefited from the transaction, they claimed the fiduciary should disgorge all profits due to the lack of transparency.</w:t>
      </w:r>
    </w:p>
    <w:p w14:paraId="18B76E28" w14:textId="77777777" w:rsidR="003E76C4" w:rsidRPr="003E76C4" w:rsidRDefault="003E76C4" w:rsidP="00E613BF">
      <w:pPr>
        <w:numPr>
          <w:ilvl w:val="0"/>
          <w:numId w:val="19"/>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Judgment:</w:t>
      </w:r>
    </w:p>
    <w:p w14:paraId="5009A10A"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 xml:space="preserve">The Court of Appeal ruled that the fiduciary was liable to account for the undisclosed profits. However, </w:t>
      </w:r>
      <w:r w:rsidRPr="003E76C4">
        <w:rPr>
          <w:rFonts w:ascii="Times New Roman" w:hAnsi="Times New Roman"/>
          <w:b/>
          <w:bCs/>
          <w:lang w:val="en-HK"/>
        </w:rPr>
        <w:t>Arden LJ</w:t>
      </w:r>
      <w:r w:rsidRPr="003E76C4">
        <w:rPr>
          <w:rFonts w:ascii="Times New Roman" w:hAnsi="Times New Roman"/>
          <w:lang w:val="en-HK"/>
        </w:rPr>
        <w:t xml:space="preserve"> introduced the notion of flexibility, suggesting that fiduciaries should be allowed to prove that no harm was caused to the principal.</w:t>
      </w:r>
    </w:p>
    <w:p w14:paraId="1C73E96E"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Arden LJ's Recommendation:</w:t>
      </w:r>
    </w:p>
    <w:p w14:paraId="0EFCED38" w14:textId="2FA724E5"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“If fiduciaries could demonstrate that their actions caused no harm or benefited the principal, equity should consider such evidence to mitigate liability.”</w:t>
      </w:r>
    </w:p>
    <w:p w14:paraId="18253744"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Arguments for Flexibility</w:t>
      </w:r>
    </w:p>
    <w:p w14:paraId="66C5EED6"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Arden LJ's recommendation reflects broader critiques of the strict rule, emphasizing the need for equitable treatment of fiduciaries:</w:t>
      </w:r>
    </w:p>
    <w:p w14:paraId="52687E5A" w14:textId="77777777" w:rsidR="003E76C4" w:rsidRPr="003E76C4" w:rsidRDefault="003E76C4" w:rsidP="00E613BF">
      <w:pPr>
        <w:numPr>
          <w:ilvl w:val="0"/>
          <w:numId w:val="20"/>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Fairness to Good-Faith Fiduciaries:</w:t>
      </w:r>
    </w:p>
    <w:p w14:paraId="0DC43125" w14:textId="77777777" w:rsidR="003E76C4" w:rsidRPr="003E76C4" w:rsidRDefault="003E76C4" w:rsidP="00E613BF">
      <w:pPr>
        <w:numPr>
          <w:ilvl w:val="1"/>
          <w:numId w:val="20"/>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Honest fiduciaries who act in the principal’s best interests should not face the same consequences as intentional wrongdoers.</w:t>
      </w:r>
    </w:p>
    <w:p w14:paraId="3A9E01E1" w14:textId="77777777" w:rsidR="003E76C4" w:rsidRPr="003E76C4" w:rsidRDefault="003E76C4" w:rsidP="00E613BF">
      <w:pPr>
        <w:numPr>
          <w:ilvl w:val="1"/>
          <w:numId w:val="20"/>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This approach aligns with modern evidentiary capabilities, allowing courts to assess the impact of fiduciary actions more accurately.</w:t>
      </w:r>
    </w:p>
    <w:p w14:paraId="5ABAD95F" w14:textId="77777777" w:rsidR="003E76C4" w:rsidRPr="003E76C4" w:rsidRDefault="003E76C4" w:rsidP="00E613BF">
      <w:pPr>
        <w:numPr>
          <w:ilvl w:val="0"/>
          <w:numId w:val="20"/>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Reduction of Overdeterrence:</w:t>
      </w:r>
    </w:p>
    <w:p w14:paraId="4D31FA09" w14:textId="77777777" w:rsidR="003E76C4" w:rsidRPr="003E76C4" w:rsidRDefault="003E76C4" w:rsidP="00E613BF">
      <w:pPr>
        <w:numPr>
          <w:ilvl w:val="1"/>
          <w:numId w:val="20"/>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Critics argue that the rule discourages fiduciaries from engaging in potentially beneficial transactions, even when conflicts are unavoidable.</w:t>
      </w:r>
    </w:p>
    <w:p w14:paraId="14D6DB1C" w14:textId="64782EAE" w:rsidR="003E76C4" w:rsidRPr="003E76C4" w:rsidRDefault="003E76C4" w:rsidP="00E613BF">
      <w:pPr>
        <w:numPr>
          <w:ilvl w:val="1"/>
          <w:numId w:val="20"/>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lastRenderedPageBreak/>
        <w:t>Lionel Smith (2003):</w:t>
      </w:r>
      <w:r w:rsidRPr="003E76C4">
        <w:rPr>
          <w:rFonts w:ascii="Times New Roman" w:hAnsi="Times New Roman"/>
          <w:lang w:val="en-HK"/>
        </w:rPr>
        <w:t xml:space="preserve"> “[The rule] unfairly penalizes fiduciaries who act in good faith but find themselves in unavoidable conflicts.”</w:t>
      </w:r>
    </w:p>
    <w:p w14:paraId="11A08C1A"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Rebuttal from the Article</w:t>
      </w:r>
    </w:p>
    <w:p w14:paraId="572B8D7F"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author strongly rebuts Arden LJ’s position and the broader argument for flexibility:</w:t>
      </w:r>
    </w:p>
    <w:p w14:paraId="3CE028FD" w14:textId="77777777" w:rsidR="003E76C4" w:rsidRPr="003E76C4" w:rsidRDefault="003E76C4" w:rsidP="00E613BF">
      <w:pPr>
        <w:numPr>
          <w:ilvl w:val="0"/>
          <w:numId w:val="2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Risk of Self-Deception:</w:t>
      </w:r>
    </w:p>
    <w:p w14:paraId="7E91424E"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 xml:space="preserve">Allowing fiduciaries to justify conflicts through claims of no harm introduces the risk of self-deception, where fiduciaries rationalize self-serving </w:t>
      </w:r>
      <w:proofErr w:type="spellStart"/>
      <w:r w:rsidRPr="003E76C4">
        <w:rPr>
          <w:rFonts w:ascii="Times New Roman" w:hAnsi="Times New Roman"/>
          <w:lang w:val="en-HK"/>
        </w:rPr>
        <w:t>behavior</w:t>
      </w:r>
      <w:proofErr w:type="spellEnd"/>
      <w:r w:rsidRPr="003E76C4">
        <w:rPr>
          <w:rFonts w:ascii="Times New Roman" w:hAnsi="Times New Roman"/>
          <w:lang w:val="en-HK"/>
        </w:rPr>
        <w:t xml:space="preserve"> as benign.</w:t>
      </w:r>
    </w:p>
    <w:p w14:paraId="25A9A6B8"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proofErr w:type="spellStart"/>
      <w:r w:rsidRPr="003E76C4">
        <w:rPr>
          <w:rFonts w:ascii="Times New Roman" w:hAnsi="Times New Roman"/>
          <w:b/>
          <w:bCs/>
          <w:lang w:val="en-HK"/>
        </w:rPr>
        <w:t>Irit</w:t>
      </w:r>
      <w:proofErr w:type="spellEnd"/>
      <w:r w:rsidRPr="003E76C4">
        <w:rPr>
          <w:rFonts w:ascii="Times New Roman" w:hAnsi="Times New Roman"/>
          <w:b/>
          <w:bCs/>
          <w:lang w:val="en-HK"/>
        </w:rPr>
        <w:t xml:space="preserve"> </w:t>
      </w:r>
      <w:proofErr w:type="spellStart"/>
      <w:r w:rsidRPr="003E76C4">
        <w:rPr>
          <w:rFonts w:ascii="Times New Roman" w:hAnsi="Times New Roman"/>
          <w:b/>
          <w:bCs/>
          <w:lang w:val="en-HK"/>
        </w:rPr>
        <w:t>Samet</w:t>
      </w:r>
      <w:proofErr w:type="spellEnd"/>
      <w:r w:rsidRPr="003E76C4">
        <w:rPr>
          <w:rFonts w:ascii="Times New Roman" w:hAnsi="Times New Roman"/>
          <w:b/>
          <w:bCs/>
          <w:lang w:val="en-HK"/>
        </w:rPr>
        <w:t>:</w:t>
      </w:r>
      <w:r w:rsidRPr="003E76C4">
        <w:rPr>
          <w:rFonts w:ascii="Times New Roman" w:hAnsi="Times New Roman"/>
          <w:lang w:val="en-HK"/>
        </w:rPr>
        <w:t xml:space="preserve"> “[Flexibility] invites fiduciaries to deliberate on the acceptability of conflicts, increasing the likelihood of rationalization and eventual breach.”</w:t>
      </w:r>
    </w:p>
    <w:p w14:paraId="786DA866" w14:textId="77777777" w:rsidR="003E76C4" w:rsidRPr="003E76C4" w:rsidRDefault="003E76C4" w:rsidP="00E613BF">
      <w:pPr>
        <w:numPr>
          <w:ilvl w:val="0"/>
          <w:numId w:val="2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Undermining Deterrence:</w:t>
      </w:r>
    </w:p>
    <w:p w14:paraId="21E23CCE"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strict rule’s deterrent effect relies on its absolute nature. Introducing harm-based assessments would weaken this effect, creating opportunities for fiduciaries to exploit ambiguities.</w:t>
      </w:r>
    </w:p>
    <w:p w14:paraId="7F4365F3"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Boardman v Phipps [1967] 2 AC 46:</w:t>
      </w:r>
      <w:r w:rsidRPr="003E76C4">
        <w:rPr>
          <w:rFonts w:ascii="Times New Roman" w:hAnsi="Times New Roman"/>
          <w:lang w:val="en-HK"/>
        </w:rPr>
        <w:t xml:space="preserve"> Demonstrated that even good-faith fiduciaries must account for profits to maintain trust and prevent future breaches.</w:t>
      </w:r>
    </w:p>
    <w:p w14:paraId="57AB278B" w14:textId="77777777" w:rsidR="003E76C4" w:rsidRPr="003E76C4" w:rsidRDefault="003E76C4" w:rsidP="00E613BF">
      <w:pPr>
        <w:numPr>
          <w:ilvl w:val="0"/>
          <w:numId w:val="2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Evidentiary Complexity:</w:t>
      </w:r>
    </w:p>
    <w:p w14:paraId="5C18DA88"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Allowing fiduciaries to prove no harm complicates enforcement, as courts must engage in speculative inquiries into motivations and outcomes.</w:t>
      </w:r>
    </w:p>
    <w:p w14:paraId="408487D8"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Parker v McKenna [1874] LR 10 Ch App 96:</w:t>
      </w:r>
    </w:p>
    <w:p w14:paraId="375C4DA6"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Sir WM James LJ:</w:t>
      </w:r>
      <w:r w:rsidRPr="003E76C4">
        <w:rPr>
          <w:rFonts w:ascii="Times New Roman" w:hAnsi="Times New Roman"/>
          <w:lang w:val="en-HK"/>
        </w:rPr>
        <w:t xml:space="preserve"> “Equity does not permit trustees to justify breaches by asserting good intentions... Such inquiries would render the rule ineffective.”</w:t>
      </w:r>
    </w:p>
    <w:p w14:paraId="6B1BAD86" w14:textId="77777777" w:rsidR="003E76C4" w:rsidRPr="003E76C4" w:rsidRDefault="003E76C4" w:rsidP="00E613BF">
      <w:pPr>
        <w:numPr>
          <w:ilvl w:val="0"/>
          <w:numId w:val="2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Impact on Principal Confidence:</w:t>
      </w:r>
    </w:p>
    <w:p w14:paraId="1FDCCDD1"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Flexibility erodes the trust that principals place in fiduciaries by exposing them to greater risks of exploitation.</w:t>
      </w:r>
    </w:p>
    <w:p w14:paraId="74D08032" w14:textId="77777777" w:rsidR="003E76C4" w:rsidRPr="003E76C4" w:rsidRDefault="003E76C4" w:rsidP="00E613BF">
      <w:pPr>
        <w:numPr>
          <w:ilvl w:val="1"/>
          <w:numId w:val="2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Keech v Sandford (1726):</w:t>
      </w:r>
      <w:r w:rsidRPr="003E76C4">
        <w:rPr>
          <w:rFonts w:ascii="Times New Roman" w:hAnsi="Times New Roman"/>
          <w:lang w:val="en-HK"/>
        </w:rPr>
        <w:t xml:space="preserve"> Rejected any allowance for fiduciaries to justify conflicts, emphasizing that the rule exists to protect the principal’s reliance on fiduciary loyalty.</w:t>
      </w:r>
    </w:p>
    <w:p w14:paraId="42C8B1F6"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249D0276">
          <v:rect id="_x0000_i1042" alt="" style="width:451.3pt;height:.05pt;mso-width-percent:0;mso-height-percent:0;mso-width-percent:0;mso-height-percent:0" o:hralign="center" o:hrstd="t" o:hr="t" fillcolor="#a0a0a0" stroked="f"/>
        </w:pict>
      </w:r>
    </w:p>
    <w:p w14:paraId="285FF9A5"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E. Scholarly and Judicial Commentary</w:t>
      </w:r>
    </w:p>
    <w:p w14:paraId="04F8E92A"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lastRenderedPageBreak/>
        <w:t>Deterrence Justification:</w:t>
      </w:r>
    </w:p>
    <w:p w14:paraId="5C15A8E7"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risk of </w:t>
      </w:r>
      <w:r w:rsidRPr="00C4764B">
        <w:rPr>
          <w:rFonts w:ascii="Times New Roman" w:hAnsi="Times New Roman"/>
          <w:b/>
          <w:bCs/>
          <w:lang w:val="en-HK"/>
        </w:rPr>
        <w:t>complete disgorgement</w:t>
      </w:r>
      <w:r w:rsidRPr="00C4764B">
        <w:rPr>
          <w:rFonts w:ascii="Times New Roman" w:hAnsi="Times New Roman"/>
          <w:lang w:val="en-HK"/>
        </w:rPr>
        <w:t>, even for legitimate profits, deters fiduciaries from exploiting positions of trust.</w:t>
      </w:r>
    </w:p>
    <w:p w14:paraId="45FD8C0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Heydon JA in Harris v Digital Pulse Pty Ltd:</w:t>
      </w:r>
    </w:p>
    <w:p w14:paraId="2AF271F1"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"Strict standards protect principals by nullifying temptation... and preclude arguments justifying self-serving decisions."</w:t>
      </w:r>
    </w:p>
    <w:p w14:paraId="3209EC44"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Criticism of Harshness:</w:t>
      </w:r>
    </w:p>
    <w:p w14:paraId="41B9ABA5"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Scholars like </w:t>
      </w:r>
      <w:proofErr w:type="spellStart"/>
      <w:r w:rsidRPr="00C4764B">
        <w:rPr>
          <w:rFonts w:ascii="Times New Roman" w:hAnsi="Times New Roman"/>
          <w:b/>
          <w:bCs/>
          <w:lang w:val="en-HK"/>
        </w:rPr>
        <w:t>Langbein</w:t>
      </w:r>
      <w:proofErr w:type="spellEnd"/>
      <w:r w:rsidRPr="00C4764B">
        <w:rPr>
          <w:rFonts w:ascii="Times New Roman" w:hAnsi="Times New Roman"/>
          <w:lang w:val="en-HK"/>
        </w:rPr>
        <w:t xml:space="preserve"> argue the rule discourages fiduciaries from pursuing beneficial opportunities for principals that overlap with their interests.</w:t>
      </w:r>
    </w:p>
    <w:p w14:paraId="0AFAA299"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"The rigid rule identifies conceivable but conjectural evils and conclusively presumes them."</w:t>
      </w:r>
    </w:p>
    <w:p w14:paraId="4C3C9043"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36741FA4">
          <v:rect id="_x0000_i1041" alt="" style="width:451.3pt;height:.05pt;mso-width-percent:0;mso-height-percent:0;mso-width-percent:0;mso-height-percent:0" o:hralign="center" o:hrstd="t" o:hr="t" fillcolor="#a0a0a0" stroked="f"/>
        </w:pict>
      </w:r>
    </w:p>
    <w:p w14:paraId="4A773B86"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F. Broader Implications</w:t>
      </w:r>
    </w:p>
    <w:p w14:paraId="5B334DB5"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The rigidity of the "no conflict" rule exemplifies the strictness required to uphold fiduciary relationships' integrity. Despite its criticisms, its unyielding application remains critical to protecting principals from the unique vulnerabilities posed by fiduciary discretion and power imbalances.</w:t>
      </w:r>
    </w:p>
    <w:p w14:paraId="39AFFFB5" w14:textId="20505EF6" w:rsidR="00C4764B" w:rsidRPr="00C4764B" w:rsidRDefault="002211B9" w:rsidP="00E613BF">
      <w:pPr>
        <w:spacing w:before="100" w:beforeAutospacing="1" w:after="100" w:afterAutospacing="1" w:line="360" w:lineRule="auto"/>
        <w:outlineLvl w:val="2"/>
        <w:rPr>
          <w:rFonts w:ascii="Times New Roman" w:hAnsi="Times New Roman"/>
          <w:b/>
          <w:bCs/>
          <w:lang w:val="en-HK"/>
        </w:rPr>
      </w:pPr>
      <w:r w:rsidRPr="002211B9">
        <w:rPr>
          <w:rFonts w:ascii="Times New Roman" w:hAnsi="Times New Roman"/>
          <w:noProof/>
          <w:lang w:val="en-HK"/>
          <w14:ligatures w14:val="standardContextual"/>
        </w:rPr>
        <w:pict w14:anchorId="4657CC6C">
          <v:rect id="_x0000_i1040" alt="" style="width:451.3pt;height:.05pt;mso-width-percent:0;mso-height-percent:0;mso-width-percent:0;mso-height-percent:0" o:hralign="center" o:hrstd="t" o:hr="t" fillcolor="#a0a0a0" stroked="f"/>
        </w:pict>
      </w:r>
      <w:r w:rsidR="00C4764B" w:rsidRPr="00C4764B">
        <w:rPr>
          <w:rFonts w:ascii="Times New Roman" w:hAnsi="Times New Roman"/>
          <w:b/>
          <w:bCs/>
          <w:lang w:val="en-HK"/>
        </w:rPr>
        <w:t>3. Justifications for the Stringent “No Conflict” Rule</w:t>
      </w:r>
    </w:p>
    <w:p w14:paraId="5F73AE88" w14:textId="1D0847B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This section delves into the rationale behind the stringent </w:t>
      </w:r>
      <w:r w:rsidRPr="00C4764B">
        <w:rPr>
          <w:rFonts w:ascii="Times New Roman" w:hAnsi="Times New Roman"/>
          <w:b/>
          <w:bCs/>
          <w:lang w:val="en-HK"/>
        </w:rPr>
        <w:t>“no conflict” rule</w:t>
      </w:r>
      <w:r w:rsidRPr="00C4764B">
        <w:rPr>
          <w:rFonts w:ascii="Times New Roman" w:hAnsi="Times New Roman"/>
          <w:lang w:val="en-HK"/>
        </w:rPr>
        <w:t xml:space="preserve"> in fiduciary relationships, focusing on its necessity to address unique vulnerabilities inherent in fiduciary obligations. It emphasizes the risks of </w:t>
      </w:r>
      <w:r w:rsidRPr="00C4764B">
        <w:rPr>
          <w:rFonts w:ascii="Times New Roman" w:hAnsi="Times New Roman"/>
          <w:b/>
          <w:bCs/>
          <w:lang w:val="en-HK"/>
        </w:rPr>
        <w:t>self-deception</w:t>
      </w:r>
      <w:r w:rsidRPr="00C4764B">
        <w:rPr>
          <w:rFonts w:ascii="Times New Roman" w:hAnsi="Times New Roman"/>
          <w:lang w:val="en-HK"/>
        </w:rPr>
        <w:t xml:space="preserve">, the </w:t>
      </w:r>
      <w:r w:rsidRPr="00C4764B">
        <w:rPr>
          <w:rFonts w:ascii="Times New Roman" w:hAnsi="Times New Roman"/>
          <w:b/>
          <w:bCs/>
          <w:lang w:val="en-HK"/>
        </w:rPr>
        <w:t>power imbalance</w:t>
      </w:r>
      <w:r w:rsidRPr="00C4764B">
        <w:rPr>
          <w:rFonts w:ascii="Times New Roman" w:hAnsi="Times New Roman"/>
          <w:lang w:val="en-HK"/>
        </w:rPr>
        <w:t xml:space="preserve"> between fiduciaries and principals, and the </w:t>
      </w:r>
      <w:r w:rsidRPr="00C4764B">
        <w:rPr>
          <w:rFonts w:ascii="Times New Roman" w:hAnsi="Times New Roman"/>
          <w:b/>
          <w:bCs/>
          <w:lang w:val="en-HK"/>
        </w:rPr>
        <w:t>discretionary nature</w:t>
      </w:r>
      <w:r w:rsidRPr="00C4764B">
        <w:rPr>
          <w:rFonts w:ascii="Times New Roman" w:hAnsi="Times New Roman"/>
          <w:lang w:val="en-HK"/>
        </w:rPr>
        <w:t xml:space="preserve"> of fiduciary duties. The author argues that the rule is critical to maintaining the integrity of fiduciary relationships and preventing exploitation.</w:t>
      </w:r>
    </w:p>
    <w:p w14:paraId="73FB876C"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lastRenderedPageBreak/>
        <w:t>A. The Danger of Self-Deception</w:t>
      </w:r>
    </w:p>
    <w:p w14:paraId="13872948" w14:textId="77777777" w:rsidR="00C4764B" w:rsidRPr="00E613BF" w:rsidRDefault="00C4764B" w:rsidP="00E613BF">
      <w:pPr>
        <w:spacing w:before="100" w:beforeAutospacing="1" w:after="100" w:afterAutospacing="1" w:line="360" w:lineRule="auto"/>
        <w:rPr>
          <w:rFonts w:ascii="Times New Roman" w:hAnsi="Times New Roman"/>
          <w:b/>
          <w:bCs/>
          <w:color w:val="FF0000"/>
          <w:lang w:val="en-HK"/>
        </w:rPr>
      </w:pPr>
      <w:r w:rsidRPr="00C4764B">
        <w:rPr>
          <w:rFonts w:ascii="Times New Roman" w:hAnsi="Times New Roman"/>
          <w:b/>
          <w:bCs/>
          <w:color w:val="FF0000"/>
          <w:lang w:val="en-HK"/>
        </w:rPr>
        <w:t>Self-deception is a key justification for the absolute prohibition on conflicts of interest. Fiduciaries may unconsciously rationalize actions that prioritize their personal gain over their duty to the principal, even when acting in good faith.</w:t>
      </w:r>
    </w:p>
    <w:p w14:paraId="7C9E6B62" w14:textId="2D5B0847" w:rsidR="00E613BF" w:rsidRPr="00C4764B" w:rsidRDefault="00E613BF" w:rsidP="00E613BF">
      <w:pPr>
        <w:spacing w:before="100" w:beforeAutospacing="1" w:after="100" w:afterAutospacing="1" w:line="360" w:lineRule="auto"/>
        <w:rPr>
          <w:rFonts w:ascii="Times New Roman" w:hAnsi="Times New Roman"/>
          <w:b/>
          <w:bCs/>
          <w:color w:val="FF0000"/>
          <w:lang w:val="en-US"/>
        </w:rPr>
      </w:pPr>
      <w:r w:rsidRPr="00E613BF">
        <w:rPr>
          <w:rFonts w:ascii="Times New Roman" w:eastAsia="Microsoft JhengHei" w:hAnsi="Times New Roman"/>
          <w:b/>
          <w:bCs/>
          <w:color w:val="FF0000"/>
          <w:shd w:val="clear" w:color="auto" w:fill="EFF6FF"/>
        </w:rPr>
        <w:t>受託人可能會無意識地將個人利益置於對委託人的責任之上的行為合理化，即使他們是出於善意行事</w:t>
      </w:r>
    </w:p>
    <w:p w14:paraId="434769FA" w14:textId="77777777" w:rsidR="00C4764B" w:rsidRPr="00C4764B" w:rsidRDefault="00C4764B" w:rsidP="00E613BF">
      <w:pPr>
        <w:numPr>
          <w:ilvl w:val="0"/>
          <w:numId w:val="13"/>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Mechanism of Self-Deception</w:t>
      </w:r>
    </w:p>
    <w:p w14:paraId="25B965DA" w14:textId="77777777" w:rsidR="00C4764B" w:rsidRPr="00C4764B" w:rsidRDefault="00C4764B" w:rsidP="00E613BF">
      <w:pPr>
        <w:spacing w:before="100" w:beforeAutospacing="1" w:after="100" w:afterAutospacing="1" w:line="360" w:lineRule="auto"/>
        <w:rPr>
          <w:rFonts w:ascii="Times New Roman" w:hAnsi="Times New Roman"/>
          <w:b/>
          <w:bCs/>
          <w:lang w:val="en-HK"/>
        </w:rPr>
      </w:pPr>
      <w:r w:rsidRPr="00C4764B">
        <w:rPr>
          <w:rFonts w:ascii="Times New Roman" w:hAnsi="Times New Roman"/>
          <w:lang w:val="en-HK"/>
        </w:rPr>
        <w:t xml:space="preserve">Self-deception enables fiduciaries to </w:t>
      </w:r>
      <w:r w:rsidRPr="00C4764B">
        <w:rPr>
          <w:rFonts w:ascii="Times New Roman" w:hAnsi="Times New Roman"/>
          <w:b/>
          <w:bCs/>
          <w:lang w:val="en-HK"/>
        </w:rPr>
        <w:t>believe their actions align with their duties, even when they clearly conflict.</w:t>
      </w:r>
    </w:p>
    <w:p w14:paraId="5485215A"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Immanuel Kant</w:t>
      </w:r>
      <w:r w:rsidRPr="00C4764B">
        <w:rPr>
          <w:rFonts w:ascii="Times New Roman" w:hAnsi="Times New Roman"/>
          <w:lang w:val="en-HK"/>
        </w:rPr>
        <w:t xml:space="preserve"> and </w:t>
      </w:r>
      <w:r w:rsidRPr="00C4764B">
        <w:rPr>
          <w:rFonts w:ascii="Times New Roman" w:hAnsi="Times New Roman"/>
          <w:b/>
          <w:bCs/>
          <w:lang w:val="en-HK"/>
        </w:rPr>
        <w:t>Joseph Butler</w:t>
      </w:r>
      <w:r w:rsidRPr="00C4764B">
        <w:rPr>
          <w:rFonts w:ascii="Times New Roman" w:hAnsi="Times New Roman"/>
          <w:lang w:val="en-HK"/>
        </w:rPr>
        <w:t xml:space="preserve"> highlighted how self-deception silences conscience by distorting judgment.</w:t>
      </w:r>
    </w:p>
    <w:p w14:paraId="125D6CA3" w14:textId="77777777" w:rsidR="00C4764B" w:rsidRPr="00C4764B" w:rsidRDefault="00C4764B" w:rsidP="00E613BF">
      <w:pPr>
        <w:numPr>
          <w:ilvl w:val="2"/>
          <w:numId w:val="13"/>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Kant:</w:t>
      </w:r>
      <w:r w:rsidRPr="00C4764B">
        <w:rPr>
          <w:rFonts w:ascii="Times New Roman" w:hAnsi="Times New Roman"/>
          <w:lang w:val="en-HK"/>
        </w:rPr>
        <w:t xml:space="preserve"> “Self-deception thrives at the point where general rules must be applied to specific cases, allowing individuals to justify exceptions that serve their personal interests.”</w:t>
      </w:r>
    </w:p>
    <w:p w14:paraId="251D751F" w14:textId="77777777" w:rsidR="00C4764B" w:rsidRPr="00C4764B" w:rsidRDefault="00C4764B" w:rsidP="00E613BF">
      <w:pPr>
        <w:numPr>
          <w:ilvl w:val="2"/>
          <w:numId w:val="13"/>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Butler:</w:t>
      </w:r>
      <w:r w:rsidRPr="00C4764B">
        <w:rPr>
          <w:rFonts w:ascii="Times New Roman" w:hAnsi="Times New Roman"/>
          <w:lang w:val="en-HK"/>
        </w:rPr>
        <w:t xml:space="preserve"> Described self-deception as a pervasive psychological mechanism where individuals adopt beliefs that align with their desires, even if unsupported by evidence.</w:t>
      </w:r>
    </w:p>
    <w:p w14:paraId="7622D9CF"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Example:</w:t>
      </w:r>
      <w:r w:rsidRPr="00C4764B">
        <w:rPr>
          <w:rFonts w:ascii="Times New Roman" w:hAnsi="Times New Roman"/>
          <w:lang w:val="en-HK"/>
        </w:rPr>
        <w:t xml:space="preserve"> A fiduciary may convince themselves that a transaction benefiting both themselves and the principal is fair, disregarding the conflict of interest.</w:t>
      </w:r>
    </w:p>
    <w:p w14:paraId="320AD934" w14:textId="77777777" w:rsidR="00C4764B" w:rsidRPr="00C4764B" w:rsidRDefault="00C4764B" w:rsidP="00E613BF">
      <w:pPr>
        <w:numPr>
          <w:ilvl w:val="0"/>
          <w:numId w:val="13"/>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Impact on Fiduciary Relationships</w:t>
      </w:r>
    </w:p>
    <w:p w14:paraId="653B753B" w14:textId="77777777" w:rsidR="00C4764B" w:rsidRPr="00C4764B" w:rsidRDefault="00C4764B" w:rsidP="00E613BF">
      <w:pPr>
        <w:numPr>
          <w:ilvl w:val="1"/>
          <w:numId w:val="13"/>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 xml:space="preserve">J. </w:t>
      </w:r>
      <w:proofErr w:type="spellStart"/>
      <w:r w:rsidRPr="00C4764B">
        <w:rPr>
          <w:rFonts w:ascii="Times New Roman" w:hAnsi="Times New Roman"/>
          <w:b/>
          <w:bCs/>
          <w:lang w:val="en-HK"/>
        </w:rPr>
        <w:t>Getzler</w:t>
      </w:r>
      <w:proofErr w:type="spellEnd"/>
      <w:r w:rsidRPr="00C4764B">
        <w:rPr>
          <w:rFonts w:ascii="Times New Roman" w:hAnsi="Times New Roman"/>
          <w:b/>
          <w:bCs/>
          <w:lang w:val="en-HK"/>
        </w:rPr>
        <w:t xml:space="preserve"> (2006):</w:t>
      </w:r>
      <w:r w:rsidRPr="00C4764B">
        <w:rPr>
          <w:rFonts w:ascii="Times New Roman" w:hAnsi="Times New Roman"/>
          <w:lang w:val="en-HK"/>
        </w:rPr>
        <w:t xml:space="preserve"> Self-deception undermines fiduciary integrity by exploiting ambiguities in discretionary decision-making.</w:t>
      </w:r>
    </w:p>
    <w:p w14:paraId="350D545E" w14:textId="77777777" w:rsidR="00C4764B" w:rsidRPr="00C4764B" w:rsidRDefault="00C4764B" w:rsidP="00E613BF">
      <w:pPr>
        <w:numPr>
          <w:ilvl w:val="1"/>
          <w:numId w:val="13"/>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By prohibiting conflicts outright, the rule </w:t>
      </w:r>
      <w:proofErr w:type="spellStart"/>
      <w:r w:rsidRPr="00C4764B">
        <w:rPr>
          <w:rFonts w:ascii="Times New Roman" w:hAnsi="Times New Roman"/>
          <w:lang w:val="en-HK"/>
        </w:rPr>
        <w:t>preempts</w:t>
      </w:r>
      <w:proofErr w:type="spellEnd"/>
      <w:r w:rsidRPr="00C4764B">
        <w:rPr>
          <w:rFonts w:ascii="Times New Roman" w:hAnsi="Times New Roman"/>
          <w:lang w:val="en-HK"/>
        </w:rPr>
        <w:t xml:space="preserve"> the reflective process that allows self-deception to occur.</w:t>
      </w:r>
    </w:p>
    <w:p w14:paraId="5B6A5E42" w14:textId="77777777" w:rsidR="00C4764B" w:rsidRPr="00C4764B" w:rsidRDefault="00C4764B" w:rsidP="00E613BF">
      <w:pPr>
        <w:numPr>
          <w:ilvl w:val="0"/>
          <w:numId w:val="13"/>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Case Analysis: Boardman v Phipps [1967] 2 AC 46 (HL)</w:t>
      </w:r>
    </w:p>
    <w:p w14:paraId="1AAEE817"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Facts:</w:t>
      </w:r>
      <w:r w:rsidRPr="00C4764B">
        <w:rPr>
          <w:rFonts w:ascii="Times New Roman" w:hAnsi="Times New Roman"/>
          <w:lang w:val="en-HK"/>
        </w:rPr>
        <w:t xml:space="preserve"> A solicitor profited from trust information, arguing the transaction benefited the trust.</w:t>
      </w:r>
    </w:p>
    <w:p w14:paraId="430A733A"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Judgment:</w:t>
      </w:r>
      <w:r w:rsidRPr="00C4764B">
        <w:rPr>
          <w:rFonts w:ascii="Times New Roman" w:hAnsi="Times New Roman"/>
          <w:lang w:val="en-HK"/>
        </w:rPr>
        <w:t xml:space="preserve"> Despite acting in good faith, the fiduciary was required to disgorge profits.</w:t>
      </w:r>
    </w:p>
    <w:p w14:paraId="02F34CBE"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lastRenderedPageBreak/>
        <w:t>Lord Guest:</w:t>
      </w:r>
    </w:p>
    <w:p w14:paraId="4AD3D23D"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"Any unauthorized profit derived from the fiduciary position is illegitimate... [the rule] precludes self-serving judgment in potentially conflictual situations."</w:t>
      </w:r>
    </w:p>
    <w:p w14:paraId="3B35575D"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61CF2028">
          <v:rect id="_x0000_i1039" alt="" style="width:451.3pt;height:.05pt;mso-width-percent:0;mso-height-percent:0;mso-width-percent:0;mso-height-percent:0" o:hralign="center" o:hrstd="t" o:hr="t" fillcolor="#a0a0a0" stroked="f"/>
        </w:pict>
      </w:r>
    </w:p>
    <w:p w14:paraId="0865562B"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B. Professional and Honest Fiduciaries</w:t>
      </w:r>
    </w:p>
    <w:p w14:paraId="32A758C2"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Even skilled and honest fiduciaries are susceptible to self-deception. The author argues that expertise and moral character alone cannot safeguard against conflicts because:</w:t>
      </w:r>
    </w:p>
    <w:p w14:paraId="5904D99A" w14:textId="77777777" w:rsidR="00C4764B" w:rsidRPr="00C4764B" w:rsidRDefault="00C4764B" w:rsidP="00E613BF">
      <w:pPr>
        <w:numPr>
          <w:ilvl w:val="0"/>
          <w:numId w:val="14"/>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Temptation is amplified in fiduciary roles:</w:t>
      </w:r>
    </w:p>
    <w:p w14:paraId="2A1CBB98"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Fiduciaries are entrusted with discretion over the principal’s affairs, making it easier to exploit trust without immediate detection.</w:t>
      </w:r>
    </w:p>
    <w:p w14:paraId="2B55771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Heydon JA in Harris v Digital Pulse Pty Ltd:</w:t>
      </w:r>
    </w:p>
    <w:p w14:paraId="08C72C31"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"The strict standards of fiduciary law act as prophylactic measures... nullifying the temptation to exploit discretionary power for personal gain."</w:t>
      </w:r>
    </w:p>
    <w:p w14:paraId="5BF6FE0F" w14:textId="77777777" w:rsidR="00C4764B" w:rsidRPr="00C4764B" w:rsidRDefault="00C4764B" w:rsidP="00E613BF">
      <w:pPr>
        <w:numPr>
          <w:ilvl w:val="0"/>
          <w:numId w:val="14"/>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Judgment is prone to bias:</w:t>
      </w:r>
    </w:p>
    <w:p w14:paraId="2D7D7060"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Even well-intentioned fiduciaries may unconsciously prioritize personal benefits, blurring their perception of loyalty and duty.</w:t>
      </w:r>
    </w:p>
    <w:p w14:paraId="404CCE12"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 xml:space="preserve">Bristol and West Building Society v </w:t>
      </w:r>
      <w:proofErr w:type="spellStart"/>
      <w:r w:rsidRPr="00C4764B">
        <w:rPr>
          <w:rFonts w:ascii="Times New Roman" w:hAnsi="Times New Roman"/>
          <w:b/>
          <w:bCs/>
          <w:lang w:val="en-HK"/>
        </w:rPr>
        <w:t>Mothew</w:t>
      </w:r>
      <w:proofErr w:type="spellEnd"/>
      <w:r w:rsidRPr="00C4764B">
        <w:rPr>
          <w:rFonts w:ascii="Times New Roman" w:hAnsi="Times New Roman"/>
          <w:b/>
          <w:bCs/>
          <w:lang w:val="en-HK"/>
        </w:rPr>
        <w:t xml:space="preserve"> [1998] Ch 1:</w:t>
      </w:r>
    </w:p>
    <w:p w14:paraId="5D8A4F0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Emphasized the fiduciary’s obligation to exercise </w:t>
      </w:r>
      <w:r w:rsidRPr="00C4764B">
        <w:rPr>
          <w:rFonts w:ascii="Times New Roman" w:hAnsi="Times New Roman"/>
          <w:b/>
          <w:bCs/>
          <w:lang w:val="en-HK"/>
        </w:rPr>
        <w:t>"single-minded loyalty"</w:t>
      </w:r>
      <w:r w:rsidRPr="00C4764B">
        <w:rPr>
          <w:rFonts w:ascii="Times New Roman" w:hAnsi="Times New Roman"/>
          <w:lang w:val="en-HK"/>
        </w:rPr>
        <w:t xml:space="preserve"> to the principal.</w:t>
      </w:r>
    </w:p>
    <w:p w14:paraId="1E075647"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62117F1D">
          <v:rect id="_x0000_i1038" alt="" style="width:451.3pt;height:.05pt;mso-width-percent:0;mso-height-percent:0;mso-width-percent:0;mso-height-percent:0" o:hralign="center" o:hrstd="t" o:hr="t" fillcolor="#a0a0a0" stroked="f"/>
        </w:pict>
      </w:r>
    </w:p>
    <w:p w14:paraId="1A85B03F"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C. The Role of Temptation in Fiduciary Breaches</w:t>
      </w:r>
    </w:p>
    <w:p w14:paraId="15C71B2F"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fiduciary position inherently involves a </w:t>
      </w:r>
      <w:r w:rsidRPr="00C4764B">
        <w:rPr>
          <w:rFonts w:ascii="Times New Roman" w:hAnsi="Times New Roman"/>
          <w:b/>
          <w:bCs/>
          <w:lang w:val="en-HK"/>
        </w:rPr>
        <w:t>power imbalance</w:t>
      </w:r>
      <w:r w:rsidRPr="00C4764B">
        <w:rPr>
          <w:rFonts w:ascii="Times New Roman" w:hAnsi="Times New Roman"/>
          <w:lang w:val="en-HK"/>
        </w:rPr>
        <w:t xml:space="preserve"> and opportunities for gain, creating a heightened temptation to act in self-interest:</w:t>
      </w:r>
    </w:p>
    <w:p w14:paraId="126A99B1" w14:textId="77777777" w:rsidR="00C4764B" w:rsidRPr="00C4764B" w:rsidRDefault="00C4764B" w:rsidP="00E613BF">
      <w:pPr>
        <w:numPr>
          <w:ilvl w:val="0"/>
          <w:numId w:val="15"/>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Historical Recognition of Temptation:</w:t>
      </w:r>
    </w:p>
    <w:p w14:paraId="1E96D6F2" w14:textId="77777777" w:rsidR="00C4764B" w:rsidRPr="00C4764B" w:rsidRDefault="00C4764B" w:rsidP="00E613BF">
      <w:pPr>
        <w:spacing w:before="100" w:beforeAutospacing="1" w:after="100" w:afterAutospacing="1" w:line="360" w:lineRule="auto"/>
        <w:rPr>
          <w:rFonts w:ascii="Times New Roman" w:hAnsi="Times New Roman"/>
          <w:lang w:val="en-HK"/>
        </w:rPr>
      </w:pPr>
      <w:proofErr w:type="spellStart"/>
      <w:r w:rsidRPr="00C4764B">
        <w:rPr>
          <w:rFonts w:ascii="Times New Roman" w:hAnsi="Times New Roman"/>
          <w:b/>
          <w:bCs/>
          <w:lang w:val="en-HK"/>
        </w:rPr>
        <w:lastRenderedPageBreak/>
        <w:t>Whichcote</w:t>
      </w:r>
      <w:proofErr w:type="spellEnd"/>
      <w:r w:rsidRPr="00C4764B">
        <w:rPr>
          <w:rFonts w:ascii="Times New Roman" w:hAnsi="Times New Roman"/>
          <w:b/>
          <w:bCs/>
          <w:lang w:val="en-HK"/>
        </w:rPr>
        <w:t xml:space="preserve"> v Lawrence (1798) 3 Ves 740:</w:t>
      </w:r>
    </w:p>
    <w:p w14:paraId="1BC0CBDF"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court noted that trustees are </w:t>
      </w:r>
      <w:r w:rsidRPr="00C4764B">
        <w:rPr>
          <w:rFonts w:ascii="Times New Roman" w:hAnsi="Times New Roman"/>
          <w:b/>
          <w:bCs/>
          <w:lang w:val="en-HK"/>
        </w:rPr>
        <w:t>tempted to neglect their duties</w:t>
      </w:r>
      <w:r w:rsidRPr="00C4764B">
        <w:rPr>
          <w:rFonts w:ascii="Times New Roman" w:hAnsi="Times New Roman"/>
          <w:lang w:val="en-HK"/>
        </w:rPr>
        <w:t xml:space="preserve"> when personal gain is at stake.</w:t>
      </w:r>
    </w:p>
    <w:p w14:paraId="4E59E834" w14:textId="77777777" w:rsidR="00C4764B" w:rsidRPr="00C4764B" w:rsidRDefault="00C4764B" w:rsidP="00E613BF">
      <w:pPr>
        <w:spacing w:before="100" w:beforeAutospacing="1" w:after="100" w:afterAutospacing="1" w:line="360" w:lineRule="auto"/>
        <w:rPr>
          <w:rFonts w:ascii="Times New Roman" w:hAnsi="Times New Roman"/>
          <w:b/>
          <w:bCs/>
          <w:lang w:val="en-HK"/>
        </w:rPr>
      </w:pPr>
      <w:r w:rsidRPr="00C4764B">
        <w:rPr>
          <w:rFonts w:ascii="Times New Roman" w:hAnsi="Times New Roman"/>
          <w:b/>
          <w:bCs/>
          <w:lang w:val="en-HK"/>
        </w:rPr>
        <w:t>Quote:</w:t>
      </w:r>
      <w:r w:rsidRPr="00C4764B">
        <w:rPr>
          <w:rFonts w:ascii="Times New Roman" w:hAnsi="Times New Roman"/>
          <w:lang w:val="en-HK"/>
        </w:rPr>
        <w:t xml:space="preserve"> "Where a trustee </w:t>
      </w:r>
      <w:r w:rsidRPr="00C4764B">
        <w:rPr>
          <w:rFonts w:ascii="Times New Roman" w:hAnsi="Times New Roman"/>
          <w:b/>
          <w:bCs/>
          <w:lang w:val="en-HK"/>
        </w:rPr>
        <w:t>has a prospect of advantage to himself, it is a great temptation to him to be negligent."</w:t>
      </w:r>
    </w:p>
    <w:p w14:paraId="6A2DE396"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 xml:space="preserve">De </w:t>
      </w:r>
      <w:proofErr w:type="spellStart"/>
      <w:r w:rsidRPr="00C4764B">
        <w:rPr>
          <w:rFonts w:ascii="Times New Roman" w:hAnsi="Times New Roman"/>
          <w:b/>
          <w:bCs/>
          <w:lang w:val="en-HK"/>
        </w:rPr>
        <w:t>Bussche</w:t>
      </w:r>
      <w:proofErr w:type="spellEnd"/>
      <w:r w:rsidRPr="00C4764B">
        <w:rPr>
          <w:rFonts w:ascii="Times New Roman" w:hAnsi="Times New Roman"/>
          <w:b/>
          <w:bCs/>
          <w:lang w:val="en-HK"/>
        </w:rPr>
        <w:t xml:space="preserve"> v Alt (1878) LR 8 Ch D 286:</w:t>
      </w:r>
    </w:p>
    <w:p w14:paraId="7D80E361"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The court reiterated that strict rules remove the temptation for fiduciaries to engage in risky or doubtful transactions.</w:t>
      </w:r>
    </w:p>
    <w:p w14:paraId="54A00409" w14:textId="77777777" w:rsidR="00C4764B" w:rsidRPr="00C4764B" w:rsidRDefault="00C4764B" w:rsidP="00E613BF">
      <w:pPr>
        <w:numPr>
          <w:ilvl w:val="0"/>
          <w:numId w:val="15"/>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Modern Perspectives on Temptation:</w:t>
      </w:r>
    </w:p>
    <w:p w14:paraId="19C7BA98"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Heydon JA in Harris:</w:t>
      </w:r>
      <w:r w:rsidRPr="00C4764B">
        <w:rPr>
          <w:rFonts w:ascii="Times New Roman" w:hAnsi="Times New Roman"/>
          <w:lang w:val="en-HK"/>
        </w:rPr>
        <w:t xml:space="preserve"> Compared fiduciary temptation to a "disease" that strict rules aim to prevent.</w:t>
      </w:r>
    </w:p>
    <w:p w14:paraId="1E4E0D39"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"The height and strictness of the standards... deter fiduciaries from drifting into positions of conflict or worse."</w:t>
      </w:r>
    </w:p>
    <w:p w14:paraId="335DF96F"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54465A8B">
          <v:rect id="_x0000_i1037" alt="" style="width:451.3pt;height:.05pt;mso-width-percent:0;mso-height-percent:0;mso-width-percent:0;mso-height-percent:0" o:hralign="center" o:hrstd="t" o:hr="t" fillcolor="#a0a0a0" stroked="f"/>
        </w:pict>
      </w:r>
    </w:p>
    <w:p w14:paraId="3736D3DE"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D. The Importance of Discretion in Fiduciary Duties</w:t>
      </w:r>
    </w:p>
    <w:p w14:paraId="4D6ABC7F"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Fiduciary obligations are inherently discretionary, requiring open-ended standards like loyalty, prudence, and good faith. While this discretion is essential for flexibility in managing dynamic situations, it also increases the risk of misuse.</w:t>
      </w:r>
    </w:p>
    <w:p w14:paraId="12CE2D9B" w14:textId="77777777" w:rsidR="00C4764B" w:rsidRPr="00C4764B" w:rsidRDefault="00C4764B" w:rsidP="00E613BF">
      <w:pPr>
        <w:numPr>
          <w:ilvl w:val="0"/>
          <w:numId w:val="16"/>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Challenges of Discretion:</w:t>
      </w:r>
    </w:p>
    <w:p w14:paraId="0AB84224" w14:textId="77777777" w:rsidR="00C4764B" w:rsidRPr="00C4764B" w:rsidRDefault="00C4764B" w:rsidP="00E613BF">
      <w:pPr>
        <w:numPr>
          <w:ilvl w:val="1"/>
          <w:numId w:val="16"/>
        </w:numPr>
        <w:spacing w:before="100" w:beforeAutospacing="1" w:after="100" w:afterAutospacing="1" w:line="360" w:lineRule="auto"/>
        <w:rPr>
          <w:rFonts w:ascii="Times New Roman" w:hAnsi="Times New Roman"/>
          <w:lang w:val="en-HK"/>
        </w:rPr>
      </w:pPr>
      <w:r w:rsidRPr="00C4764B">
        <w:rPr>
          <w:rFonts w:ascii="Times New Roman" w:hAnsi="Times New Roman"/>
          <w:lang w:val="en-HK"/>
        </w:rPr>
        <w:t>Broad terms like “loyalty” and “prudence” require interpretation, leaving room for self-serving judgment.</w:t>
      </w:r>
    </w:p>
    <w:p w14:paraId="59CE26B5" w14:textId="77777777" w:rsidR="00C4764B" w:rsidRPr="00C4764B" w:rsidRDefault="00C4764B" w:rsidP="00E613BF">
      <w:pPr>
        <w:numPr>
          <w:ilvl w:val="1"/>
          <w:numId w:val="16"/>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Cooter and Freedman (1991):</w:t>
      </w:r>
      <w:r w:rsidRPr="00C4764B">
        <w:rPr>
          <w:rFonts w:ascii="Times New Roman" w:hAnsi="Times New Roman"/>
          <w:lang w:val="en-HK"/>
        </w:rPr>
        <w:t xml:space="preserve"> “Fiduciary obligations are necessarily articulated in general terms to allow discretion... but this discretion invites self-serving manipulation.”</w:t>
      </w:r>
    </w:p>
    <w:p w14:paraId="54AFE078" w14:textId="77777777" w:rsidR="00C4764B" w:rsidRPr="00C4764B" w:rsidRDefault="00C4764B" w:rsidP="00E613BF">
      <w:pPr>
        <w:numPr>
          <w:ilvl w:val="0"/>
          <w:numId w:val="16"/>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Kant’s View on Application of Rules:</w:t>
      </w:r>
    </w:p>
    <w:p w14:paraId="7A4338F3"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lastRenderedPageBreak/>
        <w:t>Kant emphasized that self-deception thrives when individuals interpret general rules in self-serving ways.</w:t>
      </w:r>
    </w:p>
    <w:p w14:paraId="7FECCEEA"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Quote:</w:t>
      </w:r>
      <w:r w:rsidRPr="00C4764B">
        <w:rPr>
          <w:rFonts w:ascii="Times New Roman" w:hAnsi="Times New Roman"/>
          <w:lang w:val="en-HK"/>
        </w:rPr>
        <w:t xml:space="preserve"> "[Individuals] take the liberty of making exceptions for themselves under the guise of general principles."</w:t>
      </w:r>
    </w:p>
    <w:p w14:paraId="3ACAE4F7" w14:textId="77777777" w:rsidR="00C4764B" w:rsidRPr="00C4764B" w:rsidRDefault="00C4764B" w:rsidP="00E613BF">
      <w:pPr>
        <w:numPr>
          <w:ilvl w:val="0"/>
          <w:numId w:val="16"/>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Judicial Commentary:</w:t>
      </w:r>
    </w:p>
    <w:p w14:paraId="14BE983F"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 xml:space="preserve">Millett LJ in Bristol and West Building Society v </w:t>
      </w:r>
      <w:proofErr w:type="spellStart"/>
      <w:r w:rsidRPr="00C4764B">
        <w:rPr>
          <w:rFonts w:ascii="Times New Roman" w:hAnsi="Times New Roman"/>
          <w:b/>
          <w:bCs/>
          <w:lang w:val="en-HK"/>
        </w:rPr>
        <w:t>Mothew</w:t>
      </w:r>
      <w:proofErr w:type="spellEnd"/>
      <w:r w:rsidRPr="00C4764B">
        <w:rPr>
          <w:rFonts w:ascii="Times New Roman" w:hAnsi="Times New Roman"/>
          <w:b/>
          <w:bCs/>
          <w:lang w:val="en-HK"/>
        </w:rPr>
        <w:t>:</w:t>
      </w:r>
    </w:p>
    <w:p w14:paraId="6EE36B6C"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Stressed that fiduciary obligations must not compromise the principal’s trust, even under ambiguous circumstances.</w:t>
      </w:r>
    </w:p>
    <w:p w14:paraId="259CF377" w14:textId="77777777" w:rsidR="00C4764B" w:rsidRPr="00C4764B"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2A0C6CA0">
          <v:rect id="_x0000_i1036" alt="" style="width:451.3pt;height:.05pt;mso-width-percent:0;mso-height-percent:0;mso-width-percent:0;mso-height-percent:0" o:hralign="center" o:hrstd="t" o:hr="t" fillcolor="#a0a0a0" stroked="f"/>
        </w:pict>
      </w:r>
    </w:p>
    <w:p w14:paraId="1134DEFF" w14:textId="77777777" w:rsidR="00C4764B" w:rsidRPr="00C4764B" w:rsidRDefault="00C4764B" w:rsidP="00E613BF">
      <w:pPr>
        <w:spacing w:before="100" w:beforeAutospacing="1" w:after="100" w:afterAutospacing="1" w:line="360" w:lineRule="auto"/>
        <w:outlineLvl w:val="3"/>
        <w:rPr>
          <w:rFonts w:ascii="Times New Roman" w:hAnsi="Times New Roman"/>
          <w:b/>
          <w:bCs/>
          <w:lang w:val="en-HK"/>
        </w:rPr>
      </w:pPr>
      <w:r w:rsidRPr="00C4764B">
        <w:rPr>
          <w:rFonts w:ascii="Times New Roman" w:hAnsi="Times New Roman"/>
          <w:b/>
          <w:bCs/>
          <w:lang w:val="en-HK"/>
        </w:rPr>
        <w:t>E. Preventing Harm through Absolute Prohibitions</w:t>
      </w:r>
    </w:p>
    <w:p w14:paraId="345B8A0B"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 xml:space="preserve">The article argues that the absolute nature of the "no conflict" rule serves as a </w:t>
      </w:r>
      <w:r w:rsidRPr="00C4764B">
        <w:rPr>
          <w:rFonts w:ascii="Times New Roman" w:hAnsi="Times New Roman"/>
          <w:b/>
          <w:bCs/>
          <w:lang w:val="en-HK"/>
        </w:rPr>
        <w:t>preventative measure</w:t>
      </w:r>
      <w:r w:rsidRPr="00C4764B">
        <w:rPr>
          <w:rFonts w:ascii="Times New Roman" w:hAnsi="Times New Roman"/>
          <w:lang w:val="en-HK"/>
        </w:rPr>
        <w:t xml:space="preserve"> against these risks:</w:t>
      </w:r>
    </w:p>
    <w:p w14:paraId="36CBA4AF" w14:textId="77777777" w:rsidR="00C4764B" w:rsidRPr="00C4764B" w:rsidRDefault="00C4764B" w:rsidP="00E613BF">
      <w:pPr>
        <w:numPr>
          <w:ilvl w:val="0"/>
          <w:numId w:val="17"/>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Exclusion of Reflective Deliberation:</w:t>
      </w:r>
    </w:p>
    <w:p w14:paraId="3D799B80"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By categorically prohibiting conflicts, the rule avoids triggering the reflective process that could lead to self-deception.</w:t>
      </w:r>
    </w:p>
    <w:p w14:paraId="7D4F53BD"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Lord King in Keech v Sandford (1726):</w:t>
      </w:r>
      <w:r w:rsidRPr="00C4764B">
        <w:rPr>
          <w:rFonts w:ascii="Times New Roman" w:hAnsi="Times New Roman"/>
          <w:lang w:val="en-HK"/>
        </w:rPr>
        <w:t xml:space="preserve"> Highlighted the need to remove any opportunity for trustees to rationalize personal gain.</w:t>
      </w:r>
    </w:p>
    <w:p w14:paraId="674C7C7C" w14:textId="77777777" w:rsidR="00C4764B" w:rsidRPr="00C4764B" w:rsidRDefault="00C4764B" w:rsidP="00E613BF">
      <w:pPr>
        <w:numPr>
          <w:ilvl w:val="0"/>
          <w:numId w:val="17"/>
        </w:num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Disgorgement as Deterrence:</w:t>
      </w:r>
    </w:p>
    <w:p w14:paraId="7C50806D"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lang w:val="en-HK"/>
        </w:rPr>
        <w:t>The complete disgorgement of profits deters fiduciaries from contemplating self-serving transactions.</w:t>
      </w:r>
    </w:p>
    <w:p w14:paraId="375BDE91" w14:textId="77777777" w:rsidR="00C4764B" w:rsidRPr="00C4764B" w:rsidRDefault="00C4764B" w:rsidP="00E613BF">
      <w:pPr>
        <w:spacing w:before="100" w:beforeAutospacing="1" w:after="100" w:afterAutospacing="1" w:line="360" w:lineRule="auto"/>
        <w:rPr>
          <w:rFonts w:ascii="Times New Roman" w:hAnsi="Times New Roman"/>
          <w:lang w:val="en-HK"/>
        </w:rPr>
      </w:pPr>
      <w:r w:rsidRPr="00C4764B">
        <w:rPr>
          <w:rFonts w:ascii="Times New Roman" w:hAnsi="Times New Roman"/>
          <w:b/>
          <w:bCs/>
          <w:lang w:val="en-HK"/>
        </w:rPr>
        <w:t>Worthington (1999):</w:t>
      </w:r>
      <w:r w:rsidRPr="00C4764B">
        <w:rPr>
          <w:rFonts w:ascii="Times New Roman" w:hAnsi="Times New Roman"/>
          <w:lang w:val="en-HK"/>
        </w:rPr>
        <w:t xml:space="preserve"> “[The rule’s stringency] discourages fiduciaries from asking whether a transaction is permissible.”</w:t>
      </w:r>
    </w:p>
    <w:p w14:paraId="635C38D2" w14:textId="0C2DF9A1" w:rsidR="003E76C4" w:rsidRPr="003E76C4" w:rsidRDefault="002211B9" w:rsidP="00E613BF">
      <w:pPr>
        <w:spacing w:before="100" w:beforeAutospacing="1" w:after="100" w:afterAutospacing="1" w:line="360" w:lineRule="auto"/>
        <w:outlineLvl w:val="2"/>
        <w:rPr>
          <w:rFonts w:ascii="Times New Roman" w:hAnsi="Times New Roman"/>
          <w:b/>
          <w:bCs/>
          <w:lang w:val="en-HK"/>
        </w:rPr>
      </w:pPr>
      <w:r w:rsidRPr="002211B9">
        <w:rPr>
          <w:rFonts w:ascii="Times New Roman" w:hAnsi="Times New Roman"/>
          <w:noProof/>
          <w:lang w:val="en-HK"/>
          <w14:ligatures w14:val="standardContextual"/>
        </w:rPr>
        <w:pict w14:anchorId="5ACE522E">
          <v:rect id="_x0000_i1035" alt="" style="width:451.3pt;height:.05pt;mso-width-percent:0;mso-height-percent:0;mso-width-percent:0;mso-height-percent:0" o:hralign="center" o:hrstd="t" o:hr="t" fillcolor="#a0a0a0" stroked="f"/>
        </w:pict>
      </w:r>
      <w:r w:rsidR="003E76C4" w:rsidRPr="003E76C4">
        <w:rPr>
          <w:rFonts w:ascii="Times New Roman" w:hAnsi="Times New Roman"/>
          <w:b/>
          <w:bCs/>
          <w:lang w:val="en-HK"/>
        </w:rPr>
        <w:t>4. Proposed Amendments and Rebuttals to the Stringent Rule</w:t>
      </w:r>
    </w:p>
    <w:p w14:paraId="723F4151" w14:textId="10687836"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lastRenderedPageBreak/>
        <w:t>This section discusses modern critiques of the stringent profit-stripping rule in fiduciary law and explores proposed amendments to make the rule more flexible. The article evaluates these proposals and systematically rebuts them, emphasizing the continued importance of strict application.</w:t>
      </w:r>
    </w:p>
    <w:p w14:paraId="7FB9B90F"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A. Proposed Amendments to the Rule</w:t>
      </w:r>
    </w:p>
    <w:p w14:paraId="12FD5F3A" w14:textId="77777777" w:rsidR="003E76C4" w:rsidRPr="003E76C4" w:rsidRDefault="003E76C4" w:rsidP="00E613BF">
      <w:pPr>
        <w:numPr>
          <w:ilvl w:val="0"/>
          <w:numId w:val="22"/>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Introduction of a Harm-Based Approach</w:t>
      </w:r>
    </w:p>
    <w:p w14:paraId="1D3AE16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Critics of the strict rule advocate for a harm-based approach where liability would depend on proving actual detriment to the principal.</w:t>
      </w:r>
    </w:p>
    <w:p w14:paraId="76E6022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Arden LJ in Murad v Al-</w:t>
      </w:r>
      <w:proofErr w:type="spellStart"/>
      <w:r w:rsidRPr="003E76C4">
        <w:rPr>
          <w:rFonts w:ascii="Times New Roman" w:hAnsi="Times New Roman"/>
          <w:b/>
          <w:bCs/>
          <w:lang w:val="en-HK"/>
        </w:rPr>
        <w:t>Saraj</w:t>
      </w:r>
      <w:proofErr w:type="spellEnd"/>
      <w:r w:rsidRPr="003E76C4">
        <w:rPr>
          <w:rFonts w:ascii="Times New Roman" w:hAnsi="Times New Roman"/>
          <w:b/>
          <w:bCs/>
          <w:lang w:val="en-HK"/>
        </w:rPr>
        <w:t xml:space="preserve"> [2005] WTLR 1573 (CA):</w:t>
      </w:r>
    </w:p>
    <w:p w14:paraId="70ECCAC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Suggested a flexible standard where fiduciaries could escape full disgorgement if they prove their actions caused no harm to the principal or benefited the trust.</w:t>
      </w:r>
    </w:p>
    <w:p w14:paraId="472B70C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“The fiduciary should be entitled to demonstrate that, in fact, the transaction was beneficial and that no conflict arose.”</w:t>
      </w:r>
    </w:p>
    <w:p w14:paraId="68928FAE" w14:textId="77777777" w:rsidR="003E76C4" w:rsidRPr="003E76C4" w:rsidRDefault="003E76C4" w:rsidP="00E613BF">
      <w:pPr>
        <w:numPr>
          <w:ilvl w:val="0"/>
          <w:numId w:val="22"/>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Burden-Shifting Mechanisms</w:t>
      </w:r>
    </w:p>
    <w:p w14:paraId="599EFD0C"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Proposals include shifting the burden of proof to fiduciaries to demonstrate:</w:t>
      </w:r>
    </w:p>
    <w:p w14:paraId="435E9258" w14:textId="77777777" w:rsidR="003E76C4" w:rsidRPr="003E76C4" w:rsidRDefault="003E76C4" w:rsidP="00E613BF">
      <w:pPr>
        <w:numPr>
          <w:ilvl w:val="2"/>
          <w:numId w:val="22"/>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They acted in good faith.</w:t>
      </w:r>
    </w:p>
    <w:p w14:paraId="1E2123C5" w14:textId="77777777" w:rsidR="003E76C4" w:rsidRPr="003E76C4" w:rsidRDefault="003E76C4" w:rsidP="00E613BF">
      <w:pPr>
        <w:numPr>
          <w:ilvl w:val="2"/>
          <w:numId w:val="22"/>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transaction was ultimately beneficial to the principal.</w:t>
      </w:r>
    </w:p>
    <w:p w14:paraId="7866025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Advocates argue this would address perceived unfairness in cases where fiduciaries act with honest intentions.</w:t>
      </w:r>
    </w:p>
    <w:p w14:paraId="7C74081C" w14:textId="77777777" w:rsidR="003E76C4" w:rsidRPr="003E76C4" w:rsidRDefault="003E76C4" w:rsidP="00E613BF">
      <w:pPr>
        <w:numPr>
          <w:ilvl w:val="0"/>
          <w:numId w:val="22"/>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Allowing Equitable Allowances</w:t>
      </w:r>
    </w:p>
    <w:p w14:paraId="0A6811D6"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Some commentators propose equitable allowances for fiduciaries who derive profits in good faith, provided their actions align with the principal's interests.</w:t>
      </w:r>
    </w:p>
    <w:p w14:paraId="5580F55D"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Guinness plc v Saunders [1990] 2 AC 663 (HL):</w:t>
      </w:r>
    </w:p>
    <w:p w14:paraId="4F51DA95"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lastRenderedPageBreak/>
        <w:t>The court highlighted that equitable allowances may incentivize fiduciaries to engage in beneficial, albeit conflicted, transactions.</w:t>
      </w:r>
    </w:p>
    <w:p w14:paraId="123B7241"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098F7391">
          <v:rect id="_x0000_i1034" alt="" style="width:451.3pt;height:.05pt;mso-width-percent:0;mso-height-percent:0;mso-width-percent:0;mso-height-percent:0" o:hralign="center" o:hrstd="t" o:hr="t" fillcolor="#a0a0a0" stroked="f"/>
        </w:pict>
      </w:r>
    </w:p>
    <w:p w14:paraId="0D9ADF37"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B. Critiques of Flexibility</w:t>
      </w:r>
    </w:p>
    <w:p w14:paraId="0971EBEB"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article critiques these proposals, arguing that they undermine the rule’s primary purpose: deterring fiduciaries from even contemplating conflicts of interest.</w:t>
      </w:r>
    </w:p>
    <w:p w14:paraId="72744CEB" w14:textId="77777777" w:rsidR="003E76C4" w:rsidRPr="003E76C4" w:rsidRDefault="003E76C4" w:rsidP="00E613BF">
      <w:pPr>
        <w:numPr>
          <w:ilvl w:val="0"/>
          <w:numId w:val="23"/>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Evidentiary Challenges</w:t>
      </w:r>
    </w:p>
    <w:p w14:paraId="72B7B633"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Allowing fiduciaries to prove good faith or harm absence introduces speculative inquiries into motivation and causation, complicating enforcement.</w:t>
      </w:r>
    </w:p>
    <w:p w14:paraId="0CD5B2D9"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Parker v McKenna [1874] LR 10 Ch App 96:</w:t>
      </w:r>
    </w:p>
    <w:p w14:paraId="7D3AED1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Sir WM James LJ:</w:t>
      </w:r>
      <w:r w:rsidRPr="003E76C4">
        <w:rPr>
          <w:rFonts w:ascii="Times New Roman" w:hAnsi="Times New Roman"/>
          <w:lang w:val="en-HK"/>
        </w:rPr>
        <w:t xml:space="preserve"> “It would be impossible to ensure compliance if fiduciaries were permitted to justify their actions after the fact.”</w:t>
      </w:r>
    </w:p>
    <w:p w14:paraId="58A6AFBF" w14:textId="77777777" w:rsidR="003E76C4" w:rsidRPr="003E76C4" w:rsidRDefault="003E76C4" w:rsidP="00E613BF">
      <w:pPr>
        <w:spacing w:before="100" w:beforeAutospacing="1" w:after="100" w:afterAutospacing="1" w:line="360" w:lineRule="auto"/>
        <w:rPr>
          <w:rFonts w:ascii="Times New Roman" w:hAnsi="Times New Roman"/>
          <w:lang w:val="en-HK"/>
        </w:rPr>
      </w:pPr>
      <w:proofErr w:type="spellStart"/>
      <w:r w:rsidRPr="003E76C4">
        <w:rPr>
          <w:rFonts w:ascii="Times New Roman" w:hAnsi="Times New Roman"/>
          <w:b/>
          <w:bCs/>
          <w:lang w:val="en-HK"/>
        </w:rPr>
        <w:t>Irit</w:t>
      </w:r>
      <w:proofErr w:type="spellEnd"/>
      <w:r w:rsidRPr="003E76C4">
        <w:rPr>
          <w:rFonts w:ascii="Times New Roman" w:hAnsi="Times New Roman"/>
          <w:b/>
          <w:bCs/>
          <w:lang w:val="en-HK"/>
        </w:rPr>
        <w:t xml:space="preserve"> </w:t>
      </w:r>
      <w:proofErr w:type="spellStart"/>
      <w:r w:rsidRPr="003E76C4">
        <w:rPr>
          <w:rFonts w:ascii="Times New Roman" w:hAnsi="Times New Roman"/>
          <w:b/>
          <w:bCs/>
          <w:lang w:val="en-HK"/>
        </w:rPr>
        <w:t>Samet</w:t>
      </w:r>
      <w:proofErr w:type="spellEnd"/>
      <w:r w:rsidRPr="003E76C4">
        <w:rPr>
          <w:rFonts w:ascii="Times New Roman" w:hAnsi="Times New Roman"/>
          <w:b/>
          <w:bCs/>
          <w:lang w:val="en-HK"/>
        </w:rPr>
        <w:t>:</w:t>
      </w:r>
    </w:p>
    <w:p w14:paraId="0DB12029"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Argued that any flexibility would weaken deterrence by allowing fiduciaries to deliberate on self-serving exceptions.</w:t>
      </w:r>
    </w:p>
    <w:p w14:paraId="5F2B7C57"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“The reflective process creates opportunities for rationalization, increasing the risk of self-deception.”</w:t>
      </w:r>
    </w:p>
    <w:p w14:paraId="224DFF55" w14:textId="77777777" w:rsidR="003E76C4" w:rsidRPr="003E76C4" w:rsidRDefault="003E76C4" w:rsidP="00E613BF">
      <w:pPr>
        <w:numPr>
          <w:ilvl w:val="0"/>
          <w:numId w:val="23"/>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Risk of Under-Deterrence</w:t>
      </w:r>
    </w:p>
    <w:p w14:paraId="25491EAC"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deterrent effect of the profit-stripping rule lies in its strict application.</w:t>
      </w:r>
    </w:p>
    <w:p w14:paraId="012A6835"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S. Worthington (1999):</w:t>
      </w:r>
      <w:r w:rsidRPr="003E76C4">
        <w:rPr>
          <w:rFonts w:ascii="Times New Roman" w:hAnsi="Times New Roman"/>
          <w:lang w:val="en-HK"/>
        </w:rPr>
        <w:t xml:space="preserve"> “[The rule’s] absolute nature ensures fiduciaries focus solely on their principal’s interests, without weighing personal gains.”</w:t>
      </w:r>
    </w:p>
    <w:p w14:paraId="52EC63D0" w14:textId="77777777" w:rsidR="003E76C4" w:rsidRPr="003E76C4" w:rsidRDefault="003E76C4" w:rsidP="00E613BF">
      <w:pPr>
        <w:numPr>
          <w:ilvl w:val="0"/>
          <w:numId w:val="23"/>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Weakening Trust in Fiduciary Relationships</w:t>
      </w:r>
    </w:p>
    <w:p w14:paraId="51BE02FF"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lastRenderedPageBreak/>
        <w:t>Allowing fiduciaries to justify conflicts diminishes the principal’s trust and undermines the fiduciary relationship’s integrity.</w:t>
      </w:r>
    </w:p>
    <w:p w14:paraId="0185CD2D"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Keech v Sandford (1726):</w:t>
      </w:r>
      <w:r w:rsidRPr="003E76C4">
        <w:rPr>
          <w:rFonts w:ascii="Times New Roman" w:hAnsi="Times New Roman"/>
          <w:lang w:val="en-HK"/>
        </w:rPr>
        <w:t xml:space="preserve"> Lord King rejected any justification for trustees profiting from opportunities, emphasizing the importance of trust.</w:t>
      </w:r>
    </w:p>
    <w:p w14:paraId="051CF757"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5F514ABB">
          <v:rect id="_x0000_i1033" alt="" style="width:451.3pt;height:.05pt;mso-width-percent:0;mso-height-percent:0;mso-width-percent:0;mso-height-percent:0" o:hralign="center" o:hrstd="t" o:hr="t" fillcolor="#a0a0a0" stroked="f"/>
        </w:pict>
      </w:r>
    </w:p>
    <w:p w14:paraId="43497CBA"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C. Justification for the Rule’s Stringency</w:t>
      </w:r>
    </w:p>
    <w:p w14:paraId="7542D2C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 xml:space="preserve">The article argues that the strict rule is not punitive but preventative. It functions as a </w:t>
      </w:r>
      <w:r w:rsidRPr="003E76C4">
        <w:rPr>
          <w:rFonts w:ascii="Times New Roman" w:hAnsi="Times New Roman"/>
          <w:b/>
          <w:bCs/>
          <w:lang w:val="en-HK"/>
        </w:rPr>
        <w:t>prophylactic mechanism</w:t>
      </w:r>
      <w:r w:rsidRPr="003E76C4">
        <w:rPr>
          <w:rFonts w:ascii="Times New Roman" w:hAnsi="Times New Roman"/>
          <w:lang w:val="en-HK"/>
        </w:rPr>
        <w:t xml:space="preserve"> to protect the fiduciary relationship from abuse and mismanagement.</w:t>
      </w:r>
    </w:p>
    <w:p w14:paraId="1F9D37C5" w14:textId="77777777" w:rsidR="003E76C4" w:rsidRPr="003E76C4" w:rsidRDefault="003E76C4" w:rsidP="00E613BF">
      <w:pPr>
        <w:numPr>
          <w:ilvl w:val="0"/>
          <w:numId w:val="24"/>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Prevention of Self-Deception and Exploitation</w:t>
      </w:r>
    </w:p>
    <w:p w14:paraId="6D7156CE"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Strict rules eliminate any possibility of fiduciaries rationalizing self-serving actions.</w:t>
      </w:r>
    </w:p>
    <w:p w14:paraId="301C1FA9"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Heydon JA in Harris v Digital Pulse Pty Ltd:</w:t>
      </w:r>
    </w:p>
    <w:p w14:paraId="41F775C7"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“Strict standards prevent fiduciaries from drifting into positions of conflict or from deliberating on self-serving transactions.”</w:t>
      </w:r>
    </w:p>
    <w:p w14:paraId="4D6E35E6" w14:textId="77777777" w:rsidR="003E76C4" w:rsidRPr="003E76C4" w:rsidRDefault="003E76C4" w:rsidP="00E613BF">
      <w:pPr>
        <w:numPr>
          <w:ilvl w:val="0"/>
          <w:numId w:val="24"/>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Disgorgement as a Deterrent</w:t>
      </w:r>
    </w:p>
    <w:p w14:paraId="181693E5"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risk of complete profit-stripping deters fiduciaries from engaging in conflicted transactions.</w:t>
      </w:r>
    </w:p>
    <w:p w14:paraId="35347BC7"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Murad v Al-</w:t>
      </w:r>
      <w:proofErr w:type="spellStart"/>
      <w:r w:rsidRPr="003E76C4">
        <w:rPr>
          <w:rFonts w:ascii="Times New Roman" w:hAnsi="Times New Roman"/>
          <w:b/>
          <w:bCs/>
          <w:lang w:val="en-HK"/>
        </w:rPr>
        <w:t>Saraj</w:t>
      </w:r>
      <w:proofErr w:type="spellEnd"/>
      <w:r w:rsidRPr="003E76C4">
        <w:rPr>
          <w:rFonts w:ascii="Times New Roman" w:hAnsi="Times New Roman"/>
          <w:b/>
          <w:bCs/>
          <w:lang w:val="en-HK"/>
        </w:rPr>
        <w:t>:</w:t>
      </w:r>
      <w:r w:rsidRPr="003E76C4">
        <w:rPr>
          <w:rFonts w:ascii="Times New Roman" w:hAnsi="Times New Roman"/>
          <w:lang w:val="en-HK"/>
        </w:rPr>
        <w:t xml:space="preserve"> Arden LJ’s flexible approach would reduce this deterrent, exposing principals to exploitation.</w:t>
      </w:r>
    </w:p>
    <w:p w14:paraId="397D54FD" w14:textId="77777777" w:rsidR="003E76C4" w:rsidRPr="003E76C4" w:rsidRDefault="003E76C4" w:rsidP="00E613BF">
      <w:pPr>
        <w:numPr>
          <w:ilvl w:val="0"/>
          <w:numId w:val="24"/>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Historical Justifications</w:t>
      </w:r>
    </w:p>
    <w:p w14:paraId="183243A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strictness of fiduciary obligations has roots in equity’s objective to protect vulnerable beneficiaries.</w:t>
      </w:r>
    </w:p>
    <w:p w14:paraId="5B594989"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 xml:space="preserve">Lord Millett in Bristol and West Building Society v </w:t>
      </w:r>
      <w:proofErr w:type="spellStart"/>
      <w:r w:rsidRPr="003E76C4">
        <w:rPr>
          <w:rFonts w:ascii="Times New Roman" w:hAnsi="Times New Roman"/>
          <w:b/>
          <w:bCs/>
          <w:lang w:val="en-HK"/>
        </w:rPr>
        <w:t>Mothew</w:t>
      </w:r>
      <w:proofErr w:type="spellEnd"/>
      <w:r w:rsidRPr="003E76C4">
        <w:rPr>
          <w:rFonts w:ascii="Times New Roman" w:hAnsi="Times New Roman"/>
          <w:b/>
          <w:bCs/>
          <w:lang w:val="en-HK"/>
        </w:rPr>
        <w:t xml:space="preserve"> [1998] Ch 1:</w:t>
      </w:r>
    </w:p>
    <w:p w14:paraId="0B66E2A4"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lastRenderedPageBreak/>
        <w:t>Quote:</w:t>
      </w:r>
      <w:r w:rsidRPr="003E76C4">
        <w:rPr>
          <w:rFonts w:ascii="Times New Roman" w:hAnsi="Times New Roman"/>
          <w:lang w:val="en-HK"/>
        </w:rPr>
        <w:t xml:space="preserve"> “The fiduciary relationship is founded on trust, which cannot be preserved if exceptions are entertained.”</w:t>
      </w:r>
    </w:p>
    <w:p w14:paraId="05116734"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4CACC598">
          <v:rect id="_x0000_i1032" alt="" style="width:451.3pt;height:.05pt;mso-width-percent:0;mso-height-percent:0;mso-width-percent:0;mso-height-percent:0" o:hralign="center" o:hrstd="t" o:hr="t" fillcolor="#a0a0a0" stroked="f"/>
        </w:pict>
      </w:r>
    </w:p>
    <w:p w14:paraId="07B0DD28"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D. Broader Implications of Flexibility</w:t>
      </w:r>
    </w:p>
    <w:p w14:paraId="272101E7" w14:textId="77777777" w:rsidR="003E76C4" w:rsidRPr="003E76C4" w:rsidRDefault="003E76C4" w:rsidP="00E613BF">
      <w:pPr>
        <w:numPr>
          <w:ilvl w:val="0"/>
          <w:numId w:val="25"/>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Disruption of Established Precedents</w:t>
      </w:r>
    </w:p>
    <w:p w14:paraId="3852C180"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Introducing flexibility could create inconsistency in fiduciary law, leading to uncertainty in its application.</w:t>
      </w:r>
    </w:p>
    <w:p w14:paraId="59D6296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Boardman v Phipps [1967] 2 AC 46:</w:t>
      </w:r>
    </w:p>
    <w:p w14:paraId="07FE854C"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decision reaffirmed the importance of strict liability, even in good-faith breaches, to maintain trust.</w:t>
      </w:r>
    </w:p>
    <w:p w14:paraId="4A4C6F47" w14:textId="77777777" w:rsidR="003E76C4" w:rsidRPr="003E76C4" w:rsidRDefault="003E76C4" w:rsidP="00E613BF">
      <w:pPr>
        <w:numPr>
          <w:ilvl w:val="0"/>
          <w:numId w:val="25"/>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Impact on Principal Confidence</w:t>
      </w:r>
    </w:p>
    <w:p w14:paraId="7155D93F"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Flexibility risks eroding principals’ confidence in fiduciaries by exposing them to greater risks of abuse.</w:t>
      </w:r>
    </w:p>
    <w:p w14:paraId="057C39A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 xml:space="preserve">J. </w:t>
      </w:r>
      <w:proofErr w:type="spellStart"/>
      <w:r w:rsidRPr="003E76C4">
        <w:rPr>
          <w:rFonts w:ascii="Times New Roman" w:hAnsi="Times New Roman"/>
          <w:b/>
          <w:bCs/>
          <w:lang w:val="en-HK"/>
        </w:rPr>
        <w:t>Getzler</w:t>
      </w:r>
      <w:proofErr w:type="spellEnd"/>
      <w:r w:rsidRPr="003E76C4">
        <w:rPr>
          <w:rFonts w:ascii="Times New Roman" w:hAnsi="Times New Roman"/>
          <w:b/>
          <w:bCs/>
          <w:lang w:val="en-HK"/>
        </w:rPr>
        <w:t xml:space="preserve"> (2006):</w:t>
      </w:r>
      <w:r w:rsidRPr="003E76C4">
        <w:rPr>
          <w:rFonts w:ascii="Times New Roman" w:hAnsi="Times New Roman"/>
          <w:lang w:val="en-HK"/>
        </w:rPr>
        <w:t xml:space="preserve"> Argued that trust in fiduciary relationships depends on the assurance that conflicts will not arise, regardless of motivation.</w:t>
      </w:r>
    </w:p>
    <w:p w14:paraId="09BC8793"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1B253402">
          <v:rect id="_x0000_i1031" alt="" style="width:451.3pt;height:.05pt;mso-width-percent:0;mso-height-percent:0;mso-width-percent:0;mso-height-percent:0" o:hralign="center" o:hrstd="t" o:hr="t" fillcolor="#a0a0a0" stroked="f"/>
        </w:pict>
      </w:r>
    </w:p>
    <w:p w14:paraId="20A9C5F5"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E. Author’s Rebuttal to Modern Critiques</w:t>
      </w:r>
    </w:p>
    <w:p w14:paraId="2C1BFA4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article systematically rebuts modern critiques by emphasizing:</w:t>
      </w:r>
    </w:p>
    <w:p w14:paraId="485D716D" w14:textId="77777777" w:rsidR="003E76C4" w:rsidRPr="003E76C4" w:rsidRDefault="003E76C4" w:rsidP="00E613BF">
      <w:pPr>
        <w:numPr>
          <w:ilvl w:val="0"/>
          <w:numId w:val="26"/>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Prophylactic Role of the Rule:</w:t>
      </w:r>
      <w:r w:rsidRPr="003E76C4">
        <w:rPr>
          <w:rFonts w:ascii="Times New Roman" w:hAnsi="Times New Roman"/>
          <w:lang w:val="en-HK"/>
        </w:rPr>
        <w:t xml:space="preserve"> The strict rule ensures fiduciaries cannot deliberate on conflicts, thereby removing temptation and self-deception.</w:t>
      </w:r>
    </w:p>
    <w:p w14:paraId="43D53133" w14:textId="77777777" w:rsidR="003E76C4" w:rsidRPr="003E76C4" w:rsidRDefault="003E76C4" w:rsidP="00E613BF">
      <w:pPr>
        <w:numPr>
          <w:ilvl w:val="0"/>
          <w:numId w:val="26"/>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Historical Success:</w:t>
      </w:r>
      <w:r w:rsidRPr="003E76C4">
        <w:rPr>
          <w:rFonts w:ascii="Times New Roman" w:hAnsi="Times New Roman"/>
          <w:lang w:val="en-HK"/>
        </w:rPr>
        <w:t xml:space="preserve"> The consistent application of strict fiduciary obligations has protected principals and maintained trust over centuries.</w:t>
      </w:r>
    </w:p>
    <w:p w14:paraId="64CD39C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Conclusion of Rebuttal:</w:t>
      </w:r>
      <w:r w:rsidRPr="003E76C4">
        <w:rPr>
          <w:rFonts w:ascii="Times New Roman" w:hAnsi="Times New Roman"/>
          <w:lang w:val="en-HK"/>
        </w:rPr>
        <w:br/>
        <w:t xml:space="preserve">While flexibility may address perceived unfairness in individual cases, it risks undermining </w:t>
      </w:r>
      <w:r w:rsidRPr="003E76C4">
        <w:rPr>
          <w:rFonts w:ascii="Times New Roman" w:hAnsi="Times New Roman"/>
          <w:lang w:val="en-HK"/>
        </w:rPr>
        <w:lastRenderedPageBreak/>
        <w:t>the broader goals of fiduciary law. The stringent rule remains necessary to preserve the fiduciary relationship’s integrity and to protect vulnerable principals from exploitation.</w:t>
      </w:r>
    </w:p>
    <w:p w14:paraId="4325880D" w14:textId="117E3BE3"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7D48F7C1">
          <v:rect id="_x0000_i1030" alt="" style="width:451.3pt;height:.05pt;mso-width-percent:0;mso-height-percent:0;mso-width-percent:0;mso-height-percent:0" o:hralign="center" o:hrstd="t" o:hr="t" fillcolor="#a0a0a0" stroked="f"/>
        </w:pict>
      </w:r>
      <w:r w:rsidR="003E76C4" w:rsidRPr="003E76C4">
        <w:rPr>
          <w:rFonts w:ascii="Times New Roman" w:hAnsi="Times New Roman"/>
          <w:b/>
          <w:bCs/>
          <w:lang w:val="en-HK"/>
        </w:rPr>
        <w:t>5. Conclusion: The Case for Stringent Fiduciary Rules</w:t>
      </w:r>
    </w:p>
    <w:p w14:paraId="090EB9F4" w14:textId="32CC2CDC"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 xml:space="preserve">This section synthesizes the justifications for maintaining the strict </w:t>
      </w:r>
      <w:r w:rsidRPr="003E76C4">
        <w:rPr>
          <w:rFonts w:ascii="Times New Roman" w:hAnsi="Times New Roman"/>
          <w:b/>
          <w:bCs/>
          <w:lang w:val="en-HK"/>
        </w:rPr>
        <w:t>“no conflict” rule</w:t>
      </w:r>
      <w:r w:rsidRPr="003E76C4">
        <w:rPr>
          <w:rFonts w:ascii="Times New Roman" w:hAnsi="Times New Roman"/>
          <w:lang w:val="en-HK"/>
        </w:rPr>
        <w:t xml:space="preserve"> in fiduciary law and underscores the necessity of this rigidity to uphold the principles of equity and trustworthiness in fiduciary relationships. The author argues that the apparent harshness of the rule is justified when considering the risks inherent in fiduciary relationships, such as </w:t>
      </w:r>
      <w:r w:rsidRPr="003E76C4">
        <w:rPr>
          <w:rFonts w:ascii="Times New Roman" w:hAnsi="Times New Roman"/>
          <w:b/>
          <w:bCs/>
          <w:lang w:val="en-HK"/>
        </w:rPr>
        <w:t>self-deception</w:t>
      </w:r>
      <w:r w:rsidRPr="003E76C4">
        <w:rPr>
          <w:rFonts w:ascii="Times New Roman" w:hAnsi="Times New Roman"/>
          <w:lang w:val="en-HK"/>
        </w:rPr>
        <w:t xml:space="preserve">, </w:t>
      </w:r>
      <w:r w:rsidRPr="003E76C4">
        <w:rPr>
          <w:rFonts w:ascii="Times New Roman" w:hAnsi="Times New Roman"/>
          <w:b/>
          <w:bCs/>
          <w:lang w:val="en-HK"/>
        </w:rPr>
        <w:t>temptation</w:t>
      </w:r>
      <w:r w:rsidRPr="003E76C4">
        <w:rPr>
          <w:rFonts w:ascii="Times New Roman" w:hAnsi="Times New Roman"/>
          <w:lang w:val="en-HK"/>
        </w:rPr>
        <w:t>, and the need to maintain absolute trust.</w:t>
      </w:r>
    </w:p>
    <w:p w14:paraId="15006C62"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A. Fiduciary Relationships: Balancing Power and Trust</w:t>
      </w:r>
    </w:p>
    <w:p w14:paraId="4C4A9B8E" w14:textId="77777777" w:rsidR="003E76C4" w:rsidRPr="003E76C4" w:rsidRDefault="003E76C4" w:rsidP="00E613BF">
      <w:pPr>
        <w:numPr>
          <w:ilvl w:val="0"/>
          <w:numId w:val="27"/>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Core Principle of Loyalty</w:t>
      </w:r>
    </w:p>
    <w:p w14:paraId="653E7A04"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 xml:space="preserve">The fiduciary relationship is rooted in the principle of </w:t>
      </w:r>
      <w:r w:rsidRPr="003E76C4">
        <w:rPr>
          <w:rFonts w:ascii="Times New Roman" w:hAnsi="Times New Roman"/>
          <w:b/>
          <w:bCs/>
          <w:lang w:val="en-HK"/>
        </w:rPr>
        <w:t>undivided loyalty</w:t>
      </w:r>
      <w:r w:rsidRPr="003E76C4">
        <w:rPr>
          <w:rFonts w:ascii="Times New Roman" w:hAnsi="Times New Roman"/>
          <w:lang w:val="en-HK"/>
        </w:rPr>
        <w:t>. Fiduciaries are entrusted with significant power and discretion, creating a fundamental imbalance that must be counteracted by strict rules.</w:t>
      </w:r>
    </w:p>
    <w:p w14:paraId="28DBC6B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 xml:space="preserve">Lord Millett in Bristol and West Building Society v </w:t>
      </w:r>
      <w:proofErr w:type="spellStart"/>
      <w:r w:rsidRPr="003E76C4">
        <w:rPr>
          <w:rFonts w:ascii="Times New Roman" w:hAnsi="Times New Roman"/>
          <w:b/>
          <w:bCs/>
          <w:lang w:val="en-HK"/>
        </w:rPr>
        <w:t>Mothew</w:t>
      </w:r>
      <w:proofErr w:type="spellEnd"/>
      <w:r w:rsidRPr="003E76C4">
        <w:rPr>
          <w:rFonts w:ascii="Times New Roman" w:hAnsi="Times New Roman"/>
          <w:b/>
          <w:bCs/>
          <w:lang w:val="en-HK"/>
        </w:rPr>
        <w:t xml:space="preserve"> [1998] Ch 1:</w:t>
      </w:r>
    </w:p>
    <w:p w14:paraId="12633D77"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“A fiduciary is someone who has undertaken to act for or on behalf of another in a particular matter in circumstances which give rise to a relationship of trust and confidence.”</w:t>
      </w:r>
    </w:p>
    <w:p w14:paraId="0439AFB0" w14:textId="77777777" w:rsidR="003E76C4" w:rsidRPr="003E76C4" w:rsidRDefault="003E76C4" w:rsidP="00E613BF">
      <w:pPr>
        <w:numPr>
          <w:ilvl w:val="0"/>
          <w:numId w:val="27"/>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Power Imbalance and Vulnerability</w:t>
      </w:r>
    </w:p>
    <w:p w14:paraId="3415A1EB"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Principals are uniquely vulnerable to fiduciaries' discretion, making the strict prohibition against conflicts an essential safeguard.</w:t>
      </w:r>
    </w:p>
    <w:p w14:paraId="3CF189F1"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Keech v Sandford (1726):</w:t>
      </w:r>
      <w:r w:rsidRPr="003E76C4">
        <w:rPr>
          <w:rFonts w:ascii="Times New Roman" w:hAnsi="Times New Roman"/>
          <w:lang w:val="en-HK"/>
        </w:rPr>
        <w:t xml:space="preserve"> Established the absolute nature of fiduciary duties to protect the principal, even when no harm arises.</w:t>
      </w:r>
    </w:p>
    <w:p w14:paraId="1945A6AA"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3920133E">
          <v:rect id="_x0000_i1029" alt="" style="width:451.3pt;height:.05pt;mso-width-percent:0;mso-height-percent:0;mso-width-percent:0;mso-height-percent:0" o:hralign="center" o:hrstd="t" o:hr="t" fillcolor="#a0a0a0" stroked="f"/>
        </w:pict>
      </w:r>
    </w:p>
    <w:p w14:paraId="20177F82"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B. Importance of Deterrence</w:t>
      </w:r>
    </w:p>
    <w:p w14:paraId="40835719" w14:textId="77777777" w:rsidR="003E76C4" w:rsidRPr="003E76C4" w:rsidRDefault="003E76C4" w:rsidP="00E613BF">
      <w:pPr>
        <w:numPr>
          <w:ilvl w:val="0"/>
          <w:numId w:val="28"/>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Strictness as a Deterrent</w:t>
      </w:r>
    </w:p>
    <w:p w14:paraId="09B12EC1"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lastRenderedPageBreak/>
        <w:t xml:space="preserve">The stringent rule serves a </w:t>
      </w:r>
      <w:r w:rsidRPr="003E76C4">
        <w:rPr>
          <w:rFonts w:ascii="Times New Roman" w:hAnsi="Times New Roman"/>
          <w:b/>
          <w:bCs/>
          <w:lang w:val="en-HK"/>
        </w:rPr>
        <w:t>prophylactic function</w:t>
      </w:r>
      <w:r w:rsidRPr="003E76C4">
        <w:rPr>
          <w:rFonts w:ascii="Times New Roman" w:hAnsi="Times New Roman"/>
          <w:lang w:val="en-HK"/>
        </w:rPr>
        <w:t>, deterring fiduciaries from engaging in conflicted transactions by eliminating any financial incentive for wrongdoing.</w:t>
      </w:r>
    </w:p>
    <w:p w14:paraId="6D5B5F54"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Boardman v Phipps [1967] 2 AC 46:</w:t>
      </w:r>
    </w:p>
    <w:p w14:paraId="656502B7" w14:textId="77777777" w:rsidR="003E76C4" w:rsidRPr="003E76C4" w:rsidRDefault="003E76C4" w:rsidP="00E613BF">
      <w:pPr>
        <w:numPr>
          <w:ilvl w:val="2"/>
          <w:numId w:val="28"/>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Despite the fiduciary acting in good faith, profits were disgorged to reinforce the deterrent effect.</w:t>
      </w:r>
    </w:p>
    <w:p w14:paraId="6F260137" w14:textId="77777777" w:rsidR="003E76C4" w:rsidRPr="003E76C4" w:rsidRDefault="003E76C4" w:rsidP="00E613BF">
      <w:pPr>
        <w:numPr>
          <w:ilvl w:val="2"/>
          <w:numId w:val="28"/>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Lord Cohen:</w:t>
      </w:r>
      <w:r w:rsidRPr="003E76C4">
        <w:rPr>
          <w:rFonts w:ascii="Times New Roman" w:hAnsi="Times New Roman"/>
          <w:lang w:val="en-HK"/>
        </w:rPr>
        <w:t xml:space="preserve"> “The rule acts as a deterrent by requiring fiduciaries to account for profits derived from their position.”</w:t>
      </w:r>
    </w:p>
    <w:p w14:paraId="200999E9" w14:textId="77777777" w:rsidR="003E76C4" w:rsidRPr="003E76C4" w:rsidRDefault="003E76C4" w:rsidP="00E613BF">
      <w:pPr>
        <w:numPr>
          <w:ilvl w:val="0"/>
          <w:numId w:val="28"/>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Role of Disgorgement</w:t>
      </w:r>
    </w:p>
    <w:p w14:paraId="2B624DF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 xml:space="preserve">Disgorgement of profits ensures that fiduciaries cannot rationalize self-serving decisions. This absolute approach minimizes risks associated with </w:t>
      </w:r>
      <w:r w:rsidRPr="003E76C4">
        <w:rPr>
          <w:rFonts w:ascii="Times New Roman" w:hAnsi="Times New Roman"/>
          <w:b/>
          <w:bCs/>
          <w:lang w:val="en-HK"/>
        </w:rPr>
        <w:t>self-deception</w:t>
      </w:r>
      <w:r w:rsidRPr="003E76C4">
        <w:rPr>
          <w:rFonts w:ascii="Times New Roman" w:hAnsi="Times New Roman"/>
          <w:lang w:val="en-HK"/>
        </w:rPr>
        <w:t xml:space="preserve"> and </w:t>
      </w:r>
      <w:r w:rsidRPr="003E76C4">
        <w:rPr>
          <w:rFonts w:ascii="Times New Roman" w:hAnsi="Times New Roman"/>
          <w:b/>
          <w:bCs/>
          <w:lang w:val="en-HK"/>
        </w:rPr>
        <w:t>temptation.</w:t>
      </w:r>
    </w:p>
    <w:p w14:paraId="75550FA2"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 xml:space="preserve">J. </w:t>
      </w:r>
      <w:proofErr w:type="spellStart"/>
      <w:r w:rsidRPr="003E76C4">
        <w:rPr>
          <w:rFonts w:ascii="Times New Roman" w:hAnsi="Times New Roman"/>
          <w:b/>
          <w:bCs/>
          <w:lang w:val="en-HK"/>
        </w:rPr>
        <w:t>Getzler</w:t>
      </w:r>
      <w:proofErr w:type="spellEnd"/>
      <w:r w:rsidRPr="003E76C4">
        <w:rPr>
          <w:rFonts w:ascii="Times New Roman" w:hAnsi="Times New Roman"/>
          <w:b/>
          <w:bCs/>
          <w:lang w:val="en-HK"/>
        </w:rPr>
        <w:t xml:space="preserve"> (2006):</w:t>
      </w:r>
      <w:r w:rsidRPr="003E76C4">
        <w:rPr>
          <w:rFonts w:ascii="Times New Roman" w:hAnsi="Times New Roman"/>
          <w:lang w:val="en-HK"/>
        </w:rPr>
        <w:t xml:space="preserve"> “[The remedy] neutralizes the potential for fiduciaries to weigh personal benefit against their duty.”</w:t>
      </w:r>
    </w:p>
    <w:p w14:paraId="5B45A812"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1E8EF57C">
          <v:rect id="_x0000_i1028" alt="" style="width:451.3pt;height:.05pt;mso-width-percent:0;mso-height-percent:0;mso-width-percent:0;mso-height-percent:0" o:hralign="center" o:hrstd="t" o:hr="t" fillcolor="#a0a0a0" stroked="f"/>
        </w:pict>
      </w:r>
    </w:p>
    <w:p w14:paraId="1A4D9BE0"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C. Rejection of Flexibility in Fiduciary Law</w:t>
      </w:r>
    </w:p>
    <w:p w14:paraId="2E6191FB" w14:textId="77777777" w:rsidR="003E76C4" w:rsidRPr="003E76C4" w:rsidRDefault="003E76C4" w:rsidP="00E613BF">
      <w:pPr>
        <w:numPr>
          <w:ilvl w:val="0"/>
          <w:numId w:val="29"/>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Critique of Proposed Amendments</w:t>
      </w:r>
    </w:p>
    <w:p w14:paraId="702A0719" w14:textId="77777777" w:rsidR="003E76C4" w:rsidRPr="003E76C4" w:rsidRDefault="003E76C4" w:rsidP="00E613BF">
      <w:pPr>
        <w:numPr>
          <w:ilvl w:val="1"/>
          <w:numId w:val="29"/>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Proposals to introduce flexibility (e.g., harm-based assessments or equitable allowances) risk undermining the rule’s deterrent effect.</w:t>
      </w:r>
    </w:p>
    <w:p w14:paraId="175F3DC6" w14:textId="77777777" w:rsidR="003E76C4" w:rsidRPr="003E76C4" w:rsidRDefault="003E76C4" w:rsidP="00E613BF">
      <w:pPr>
        <w:numPr>
          <w:ilvl w:val="1"/>
          <w:numId w:val="29"/>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Parker v McKenna [1874] LR 10 Ch App 96:</w:t>
      </w:r>
    </w:p>
    <w:p w14:paraId="3BD199CA" w14:textId="77777777" w:rsidR="003E76C4" w:rsidRPr="003E76C4" w:rsidRDefault="003E76C4" w:rsidP="00E613BF">
      <w:pPr>
        <w:numPr>
          <w:ilvl w:val="2"/>
          <w:numId w:val="29"/>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Sir WM James LJ emphasized that strict adherence to fiduciary rules is necessary to avoid speculative inquiries into harm and motivation.</w:t>
      </w:r>
    </w:p>
    <w:p w14:paraId="7305B172" w14:textId="77777777" w:rsidR="003E76C4" w:rsidRPr="003E76C4" w:rsidRDefault="003E76C4" w:rsidP="00E613BF">
      <w:pPr>
        <w:numPr>
          <w:ilvl w:val="2"/>
          <w:numId w:val="29"/>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“Equity does not permit trustees to justify breaches by asserting good intentions.”</w:t>
      </w:r>
    </w:p>
    <w:p w14:paraId="3C75652A" w14:textId="77777777" w:rsidR="003E76C4" w:rsidRPr="003E76C4" w:rsidRDefault="003E76C4" w:rsidP="00E613BF">
      <w:pPr>
        <w:numPr>
          <w:ilvl w:val="0"/>
          <w:numId w:val="29"/>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Erosion of Trust</w:t>
      </w:r>
    </w:p>
    <w:p w14:paraId="7EB6D4BF" w14:textId="6BF7CFC5" w:rsidR="003E76C4" w:rsidRPr="003E76C4" w:rsidRDefault="003E76C4" w:rsidP="00E613BF">
      <w:pPr>
        <w:spacing w:line="360" w:lineRule="auto"/>
        <w:rPr>
          <w:rFonts w:ascii="Times New Roman" w:hAnsi="Times New Roman"/>
          <w:lang w:val="en-HK"/>
        </w:rPr>
      </w:pPr>
      <w:r w:rsidRPr="003E76C4">
        <w:rPr>
          <w:rFonts w:ascii="Times New Roman" w:hAnsi="Times New Roman"/>
          <w:lang w:val="en-HK"/>
        </w:rPr>
        <w:t>The introduction of flexibility compromises the foundational trust</w:t>
      </w:r>
      <w:r w:rsidRPr="00E613BF">
        <w:rPr>
          <w:rFonts w:ascii="Times New Roman" w:hAnsi="Times New Roman"/>
          <w:lang w:val="en-HK"/>
        </w:rPr>
        <w:t xml:space="preserve"> </w:t>
      </w:r>
      <w:r w:rsidRPr="00E613BF">
        <w:rPr>
          <w:rFonts w:ascii="Times New Roman" w:eastAsia="Microsoft JhengHei" w:hAnsi="Times New Roman"/>
          <w:lang w:val="en-HK"/>
        </w:rPr>
        <w:t>損害基礎信</w:t>
      </w:r>
      <w:r w:rsidRPr="00E613BF">
        <w:rPr>
          <w:rFonts w:ascii="Times New Roman" w:eastAsia="PingFang TC" w:hAnsi="Times New Roman"/>
          <w:lang w:val="en-HK"/>
        </w:rPr>
        <w:t>任</w:t>
      </w:r>
      <w:r w:rsidRPr="003E76C4">
        <w:rPr>
          <w:rFonts w:ascii="Times New Roman" w:hAnsi="Times New Roman"/>
          <w:lang w:val="en-HK"/>
        </w:rPr>
        <w:t xml:space="preserve"> that principals place in fiduciaries.</w:t>
      </w:r>
    </w:p>
    <w:p w14:paraId="470C9115"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Murad v Al-</w:t>
      </w:r>
      <w:proofErr w:type="spellStart"/>
      <w:r w:rsidRPr="003E76C4">
        <w:rPr>
          <w:rFonts w:ascii="Times New Roman" w:hAnsi="Times New Roman"/>
          <w:b/>
          <w:bCs/>
          <w:lang w:val="en-HK"/>
        </w:rPr>
        <w:t>Saraj</w:t>
      </w:r>
      <w:proofErr w:type="spellEnd"/>
      <w:r w:rsidRPr="003E76C4">
        <w:rPr>
          <w:rFonts w:ascii="Times New Roman" w:hAnsi="Times New Roman"/>
          <w:b/>
          <w:bCs/>
          <w:lang w:val="en-HK"/>
        </w:rPr>
        <w:t xml:space="preserve"> [2005] WTLR 1573:</w:t>
      </w:r>
      <w:r w:rsidRPr="003E76C4">
        <w:rPr>
          <w:rFonts w:ascii="Times New Roman" w:hAnsi="Times New Roman"/>
          <w:lang w:val="en-HK"/>
        </w:rPr>
        <w:t xml:space="preserve"> Arden LJ’s proposal for a harm-based approach is critiqued for exposing principals to unnecessary risks and encouraging fiduciaries to contemplate self-serving exceptions.</w:t>
      </w:r>
    </w:p>
    <w:p w14:paraId="4826A978"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lastRenderedPageBreak/>
        <w:pict w14:anchorId="6D6C6638">
          <v:rect id="_x0000_i1027" alt="" style="width:451.3pt;height:.05pt;mso-width-percent:0;mso-height-percent:0;mso-width-percent:0;mso-height-percent:0" o:hralign="center" o:hrstd="t" o:hr="t" fillcolor="#a0a0a0" stroked="f"/>
        </w:pict>
      </w:r>
    </w:p>
    <w:p w14:paraId="0E404E71"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D. The Psychological Dimension</w:t>
      </w:r>
    </w:p>
    <w:p w14:paraId="540E0377" w14:textId="77777777" w:rsidR="003E76C4" w:rsidRPr="003E76C4" w:rsidRDefault="003E76C4" w:rsidP="00E613BF">
      <w:pPr>
        <w:numPr>
          <w:ilvl w:val="0"/>
          <w:numId w:val="30"/>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Self-Deception and Rationalization</w:t>
      </w:r>
    </w:p>
    <w:p w14:paraId="38A7D1D6"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Fiduciaries are prone to self-deception, especially when broad discretionary powers are coupled with financial incentives.</w:t>
      </w:r>
    </w:p>
    <w:p w14:paraId="1929BDE9"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Immanuel Kant:</w:t>
      </w:r>
      <w:r w:rsidRPr="003E76C4">
        <w:rPr>
          <w:rFonts w:ascii="Times New Roman" w:hAnsi="Times New Roman"/>
          <w:lang w:val="en-HK"/>
        </w:rPr>
        <w:t xml:space="preserve"> Warned that self-deception thrives when individuals apply general rules to specific situations, allowing them to justify personal exceptions.</w:t>
      </w:r>
    </w:p>
    <w:p w14:paraId="71674BD7"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“Exceptions made in </w:t>
      </w:r>
      <w:proofErr w:type="spellStart"/>
      <w:r w:rsidRPr="003E76C4">
        <w:rPr>
          <w:rFonts w:ascii="Times New Roman" w:hAnsi="Times New Roman"/>
          <w:lang w:val="en-HK"/>
        </w:rPr>
        <w:t>favor</w:t>
      </w:r>
      <w:proofErr w:type="spellEnd"/>
      <w:r w:rsidRPr="003E76C4">
        <w:rPr>
          <w:rFonts w:ascii="Times New Roman" w:hAnsi="Times New Roman"/>
          <w:lang w:val="en-HK"/>
        </w:rPr>
        <w:t xml:space="preserve"> of oneself are the source of all corruption in ethical decision-making.”</w:t>
      </w:r>
    </w:p>
    <w:p w14:paraId="22D559CA" w14:textId="77777777" w:rsidR="003E76C4" w:rsidRPr="003E76C4" w:rsidRDefault="003E76C4" w:rsidP="00E613BF">
      <w:pPr>
        <w:numPr>
          <w:ilvl w:val="0"/>
          <w:numId w:val="30"/>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Prevention of Temptation</w:t>
      </w:r>
    </w:p>
    <w:p w14:paraId="6DE25666"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absolute prohibition on conflicts prevents fiduciaries from succumbing to the inherent temptation of their roles.</w:t>
      </w:r>
    </w:p>
    <w:p w14:paraId="1F1973DA"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Heydon JA in Harris v Digital Pulse Pty Ltd:</w:t>
      </w:r>
    </w:p>
    <w:p w14:paraId="2E7E4225"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Quote:</w:t>
      </w:r>
      <w:r w:rsidRPr="003E76C4">
        <w:rPr>
          <w:rFonts w:ascii="Times New Roman" w:hAnsi="Times New Roman"/>
          <w:lang w:val="en-HK"/>
        </w:rPr>
        <w:t xml:space="preserve"> “The fiduciary’s duty is designed to nullify the temptation created by discretionary power.”</w:t>
      </w:r>
    </w:p>
    <w:p w14:paraId="3CBC5803"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729A59D1">
          <v:rect id="_x0000_i1026" alt="" style="width:451.3pt;height:.05pt;mso-width-percent:0;mso-height-percent:0;mso-width-percent:0;mso-height-percent:0" o:hralign="center" o:hrstd="t" o:hr="t" fillcolor="#a0a0a0" stroked="f"/>
        </w:pict>
      </w:r>
    </w:p>
    <w:p w14:paraId="20894B60"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E. Broader Implications for Equity</w:t>
      </w:r>
    </w:p>
    <w:p w14:paraId="4E1D6503" w14:textId="77777777" w:rsidR="003E76C4" w:rsidRPr="003E76C4" w:rsidRDefault="003E76C4" w:rsidP="00E613BF">
      <w:pPr>
        <w:numPr>
          <w:ilvl w:val="0"/>
          <w:numId w:val="3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Preserving Equity’s Integrity</w:t>
      </w:r>
    </w:p>
    <w:p w14:paraId="58B8F456"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The rule reflects equity’s broader objective of safeguarding vulnerable parties. By applying a strict standard, equity reinforces its commitment to protecting trust and confidence.</w:t>
      </w:r>
    </w:p>
    <w:p w14:paraId="4A8275B0"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Worthington (1999):</w:t>
      </w:r>
      <w:r w:rsidRPr="003E76C4">
        <w:rPr>
          <w:rFonts w:ascii="Times New Roman" w:hAnsi="Times New Roman"/>
          <w:lang w:val="en-HK"/>
        </w:rPr>
        <w:t xml:space="preserve"> “[Equity’s strictness] is a manifestation of its protective ethos, ensuring fairness and fidelity in fiduciary relationships.”</w:t>
      </w:r>
    </w:p>
    <w:p w14:paraId="09E9B0BD" w14:textId="77777777" w:rsidR="003E76C4" w:rsidRPr="003E76C4" w:rsidRDefault="003E76C4" w:rsidP="00E613BF">
      <w:pPr>
        <w:numPr>
          <w:ilvl w:val="0"/>
          <w:numId w:val="31"/>
        </w:numPr>
        <w:spacing w:before="100" w:beforeAutospacing="1" w:after="100" w:afterAutospacing="1" w:line="360" w:lineRule="auto"/>
        <w:rPr>
          <w:rFonts w:ascii="Times New Roman" w:hAnsi="Times New Roman"/>
          <w:lang w:val="en-HK"/>
        </w:rPr>
      </w:pPr>
      <w:r w:rsidRPr="003E76C4">
        <w:rPr>
          <w:rFonts w:ascii="Times New Roman" w:hAnsi="Times New Roman"/>
          <w:b/>
          <w:bCs/>
          <w:lang w:val="en-HK"/>
        </w:rPr>
        <w:t>Historical Precedents</w:t>
      </w:r>
    </w:p>
    <w:p w14:paraId="652E074B"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lastRenderedPageBreak/>
        <w:t xml:space="preserve">The longevity of the strict rule demonstrates its efficacy in maintaining the integrity of fiduciary law. Cases like </w:t>
      </w:r>
      <w:r w:rsidRPr="003E76C4">
        <w:rPr>
          <w:rFonts w:ascii="Times New Roman" w:hAnsi="Times New Roman"/>
          <w:b/>
          <w:bCs/>
          <w:lang w:val="en-HK"/>
        </w:rPr>
        <w:t>Keech v Sandford (1726)</w:t>
      </w:r>
      <w:r w:rsidRPr="003E76C4">
        <w:rPr>
          <w:rFonts w:ascii="Times New Roman" w:hAnsi="Times New Roman"/>
          <w:lang w:val="en-HK"/>
        </w:rPr>
        <w:t xml:space="preserve"> and </w:t>
      </w:r>
      <w:r w:rsidRPr="003E76C4">
        <w:rPr>
          <w:rFonts w:ascii="Times New Roman" w:hAnsi="Times New Roman"/>
          <w:b/>
          <w:bCs/>
          <w:lang w:val="en-HK"/>
        </w:rPr>
        <w:t>Boardman v Phipps (1967)</w:t>
      </w:r>
      <w:r w:rsidRPr="003E76C4">
        <w:rPr>
          <w:rFonts w:ascii="Times New Roman" w:hAnsi="Times New Roman"/>
          <w:lang w:val="en-HK"/>
        </w:rPr>
        <w:t xml:space="preserve"> exemplify the enduring relevance of these principles.</w:t>
      </w:r>
    </w:p>
    <w:p w14:paraId="31DAB0C6" w14:textId="77777777" w:rsidR="003E76C4" w:rsidRPr="003E76C4" w:rsidRDefault="002211B9" w:rsidP="00E613BF">
      <w:pPr>
        <w:spacing w:line="360" w:lineRule="auto"/>
        <w:rPr>
          <w:rFonts w:ascii="Times New Roman" w:hAnsi="Times New Roman"/>
          <w:lang w:val="en-HK"/>
        </w:rPr>
      </w:pPr>
      <w:r w:rsidRPr="002211B9">
        <w:rPr>
          <w:rFonts w:ascii="Times New Roman" w:hAnsi="Times New Roman"/>
          <w:noProof/>
          <w:lang w:val="en-HK"/>
          <w14:ligatures w14:val="standardContextual"/>
        </w:rPr>
        <w:pict w14:anchorId="2674A149">
          <v:rect id="_x0000_i1025" alt="" style="width:451.3pt;height:.05pt;mso-width-percent:0;mso-height-percent:0;mso-width-percent:0;mso-height-percent:0" o:hralign="center" o:hrstd="t" o:hr="t" fillcolor="#a0a0a0" stroked="f"/>
        </w:pict>
      </w:r>
    </w:p>
    <w:p w14:paraId="2DBC5E51" w14:textId="77777777" w:rsidR="003E76C4" w:rsidRPr="003E76C4" w:rsidRDefault="003E76C4" w:rsidP="00E613BF">
      <w:pPr>
        <w:spacing w:before="100" w:beforeAutospacing="1" w:after="100" w:afterAutospacing="1" w:line="360" w:lineRule="auto"/>
        <w:outlineLvl w:val="3"/>
        <w:rPr>
          <w:rFonts w:ascii="Times New Roman" w:hAnsi="Times New Roman"/>
          <w:b/>
          <w:bCs/>
          <w:lang w:val="en-HK"/>
        </w:rPr>
      </w:pPr>
      <w:r w:rsidRPr="003E76C4">
        <w:rPr>
          <w:rFonts w:ascii="Times New Roman" w:hAnsi="Times New Roman"/>
          <w:b/>
          <w:bCs/>
          <w:lang w:val="en-HK"/>
        </w:rPr>
        <w:t>F. The Author’s Final Argument</w:t>
      </w:r>
    </w:p>
    <w:p w14:paraId="2E7B20B8" w14:textId="77777777" w:rsidR="003E76C4" w:rsidRPr="003E76C4" w:rsidRDefault="003E76C4" w:rsidP="00E613BF">
      <w:pPr>
        <w:spacing w:before="100" w:beforeAutospacing="1" w:after="100" w:afterAutospacing="1" w:line="360" w:lineRule="auto"/>
        <w:rPr>
          <w:rFonts w:ascii="Times New Roman" w:hAnsi="Times New Roman"/>
          <w:lang w:val="en-HK"/>
        </w:rPr>
      </w:pPr>
      <w:r w:rsidRPr="003E76C4">
        <w:rPr>
          <w:rFonts w:ascii="Times New Roman" w:hAnsi="Times New Roman"/>
          <w:lang w:val="en-HK"/>
        </w:rPr>
        <w:t xml:space="preserve">The article concludes by reaffirming that the strict </w:t>
      </w:r>
      <w:r w:rsidRPr="003E76C4">
        <w:rPr>
          <w:rFonts w:ascii="Times New Roman" w:hAnsi="Times New Roman"/>
          <w:b/>
          <w:bCs/>
          <w:lang w:val="en-HK"/>
        </w:rPr>
        <w:t>“no conflict” rule</w:t>
      </w:r>
      <w:r w:rsidRPr="003E76C4">
        <w:rPr>
          <w:rFonts w:ascii="Times New Roman" w:hAnsi="Times New Roman"/>
          <w:lang w:val="en-HK"/>
        </w:rPr>
        <w:t xml:space="preserve"> is essential to fiduciary law. The apparent harshness is not punitive but necessary to:</w:t>
      </w:r>
    </w:p>
    <w:p w14:paraId="44A2FDC6" w14:textId="77777777" w:rsidR="003E76C4" w:rsidRPr="003E76C4" w:rsidRDefault="003E76C4" w:rsidP="00E613BF">
      <w:pPr>
        <w:numPr>
          <w:ilvl w:val="0"/>
          <w:numId w:val="32"/>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Eliminate financial incentives for fiduciaries to consider conflicts.</w:t>
      </w:r>
    </w:p>
    <w:p w14:paraId="3BEE60FC" w14:textId="77777777" w:rsidR="003E76C4" w:rsidRPr="003E76C4" w:rsidRDefault="003E76C4" w:rsidP="00E613BF">
      <w:pPr>
        <w:numPr>
          <w:ilvl w:val="0"/>
          <w:numId w:val="32"/>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Protect principals from the risks of discretion, self-deception, and exploitation.</w:t>
      </w:r>
    </w:p>
    <w:p w14:paraId="430B6509" w14:textId="77777777" w:rsidR="003E76C4" w:rsidRPr="003E76C4" w:rsidRDefault="003E76C4" w:rsidP="00E613BF">
      <w:pPr>
        <w:numPr>
          <w:ilvl w:val="0"/>
          <w:numId w:val="32"/>
        </w:numPr>
        <w:spacing w:before="100" w:beforeAutospacing="1" w:after="100" w:afterAutospacing="1" w:line="360" w:lineRule="auto"/>
        <w:rPr>
          <w:rFonts w:ascii="Times New Roman" w:hAnsi="Times New Roman"/>
          <w:lang w:val="en-HK"/>
        </w:rPr>
      </w:pPr>
      <w:r w:rsidRPr="003E76C4">
        <w:rPr>
          <w:rFonts w:ascii="Times New Roman" w:hAnsi="Times New Roman"/>
          <w:lang w:val="en-HK"/>
        </w:rPr>
        <w:t>Maintain the broader integrity of equity and the fiduciary relationship.</w:t>
      </w:r>
    </w:p>
    <w:p w14:paraId="272FDAAB" w14:textId="0527CB1D" w:rsidR="003E76C4" w:rsidRPr="003E76C4" w:rsidRDefault="003E76C4" w:rsidP="00E613BF">
      <w:pPr>
        <w:pStyle w:val="NormalWeb"/>
        <w:shd w:val="clear" w:color="auto" w:fill="FFFFFF"/>
        <w:spacing w:line="360" w:lineRule="auto"/>
      </w:pPr>
      <w:r w:rsidRPr="003E76C4">
        <w:rPr>
          <w:b/>
          <w:bCs/>
        </w:rPr>
        <w:t xml:space="preserve">Quote from </w:t>
      </w:r>
      <w:proofErr w:type="spellStart"/>
      <w:r w:rsidR="00E613BF" w:rsidRPr="00E613BF">
        <w:rPr>
          <w:b/>
          <w:bCs/>
        </w:rPr>
        <w:t>Irit</w:t>
      </w:r>
      <w:proofErr w:type="spellEnd"/>
      <w:r w:rsidR="00E613BF" w:rsidRPr="00E613BF">
        <w:rPr>
          <w:b/>
          <w:bCs/>
        </w:rPr>
        <w:t xml:space="preserve"> </w:t>
      </w:r>
      <w:proofErr w:type="spellStart"/>
      <w:r w:rsidR="00E613BF" w:rsidRPr="00E613BF">
        <w:rPr>
          <w:b/>
          <w:bCs/>
        </w:rPr>
        <w:t>Samet</w:t>
      </w:r>
      <w:proofErr w:type="spellEnd"/>
      <w:r w:rsidR="00E613BF" w:rsidRPr="00E613BF">
        <w:t xml:space="preserve"> </w:t>
      </w:r>
      <w:r w:rsidRPr="003E76C4">
        <w:rPr>
          <w:b/>
          <w:bCs/>
        </w:rPr>
        <w:t>:</w:t>
      </w:r>
      <w:r w:rsidRPr="003E76C4">
        <w:br/>
        <w:t>“The strict profit-stripping rule is not a relic of outdated equity but a cornerstone of fiduciary law, ensuring that trust and integrity remain central to its operation.”</w:t>
      </w:r>
    </w:p>
    <w:p w14:paraId="25504871" w14:textId="77777777" w:rsidR="00CD39F1" w:rsidRPr="00E613BF" w:rsidRDefault="00CD39F1" w:rsidP="00E613BF">
      <w:pPr>
        <w:spacing w:line="360" w:lineRule="auto"/>
        <w:rPr>
          <w:rFonts w:ascii="Times New Roman" w:hAnsi="Times New Roman"/>
        </w:rPr>
      </w:pPr>
    </w:p>
    <w:sectPr w:rsidR="00CD39F1" w:rsidRPr="00E61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94384"/>
    <w:multiLevelType w:val="multilevel"/>
    <w:tmpl w:val="CDFE16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2402AD"/>
    <w:multiLevelType w:val="multilevel"/>
    <w:tmpl w:val="45DA427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6669C0"/>
    <w:multiLevelType w:val="multilevel"/>
    <w:tmpl w:val="730AC59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C8D3601"/>
    <w:multiLevelType w:val="multilevel"/>
    <w:tmpl w:val="01EABB6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9A0FE4"/>
    <w:multiLevelType w:val="multilevel"/>
    <w:tmpl w:val="898897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EF534E"/>
    <w:multiLevelType w:val="multilevel"/>
    <w:tmpl w:val="213C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D3149"/>
    <w:multiLevelType w:val="multilevel"/>
    <w:tmpl w:val="D4A8DB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9DF4357"/>
    <w:multiLevelType w:val="multilevel"/>
    <w:tmpl w:val="5D5C1B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BF241F6"/>
    <w:multiLevelType w:val="multilevel"/>
    <w:tmpl w:val="C0EA6BF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3256FB8"/>
    <w:multiLevelType w:val="multilevel"/>
    <w:tmpl w:val="5A36546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74A7600"/>
    <w:multiLevelType w:val="multilevel"/>
    <w:tmpl w:val="702249C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D247C8A"/>
    <w:multiLevelType w:val="multilevel"/>
    <w:tmpl w:val="AC34D21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DF55A64"/>
    <w:multiLevelType w:val="multilevel"/>
    <w:tmpl w:val="CB1C72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2AF1363"/>
    <w:multiLevelType w:val="multilevel"/>
    <w:tmpl w:val="5D5AACE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3BD2A68"/>
    <w:multiLevelType w:val="multilevel"/>
    <w:tmpl w:val="0606955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8525F15"/>
    <w:multiLevelType w:val="multilevel"/>
    <w:tmpl w:val="DE56362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FFD11A7"/>
    <w:multiLevelType w:val="hybridMultilevel"/>
    <w:tmpl w:val="C5B09180"/>
    <w:lvl w:ilvl="0" w:tplc="A6E2E026">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4B62C68"/>
    <w:multiLevelType w:val="multilevel"/>
    <w:tmpl w:val="3AC61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43BED"/>
    <w:multiLevelType w:val="multilevel"/>
    <w:tmpl w:val="47A023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15C0F90"/>
    <w:multiLevelType w:val="multilevel"/>
    <w:tmpl w:val="7410014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2990C31"/>
    <w:multiLevelType w:val="multilevel"/>
    <w:tmpl w:val="DF8CA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4020B2A"/>
    <w:multiLevelType w:val="multilevel"/>
    <w:tmpl w:val="D46AA4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BB4620B"/>
    <w:multiLevelType w:val="multilevel"/>
    <w:tmpl w:val="7698302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D123F7D"/>
    <w:multiLevelType w:val="multilevel"/>
    <w:tmpl w:val="BE241D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ECA39C6"/>
    <w:multiLevelType w:val="multilevel"/>
    <w:tmpl w:val="5FDE55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EF812EE"/>
    <w:multiLevelType w:val="multilevel"/>
    <w:tmpl w:val="E64697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16815D9"/>
    <w:multiLevelType w:val="multilevel"/>
    <w:tmpl w:val="C7580D4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62C7D1F"/>
    <w:multiLevelType w:val="multilevel"/>
    <w:tmpl w:val="C8785C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76A7940"/>
    <w:multiLevelType w:val="multilevel"/>
    <w:tmpl w:val="687CE9E0"/>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7C21261"/>
    <w:multiLevelType w:val="multilevel"/>
    <w:tmpl w:val="7904F7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7F94E9C"/>
    <w:multiLevelType w:val="multilevel"/>
    <w:tmpl w:val="DED8AA7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DF26E42"/>
    <w:multiLevelType w:val="multilevel"/>
    <w:tmpl w:val="6804FE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98802980">
    <w:abstractNumId w:val="28"/>
  </w:num>
  <w:num w:numId="2" w16cid:durableId="1567061194">
    <w:abstractNumId w:val="5"/>
  </w:num>
  <w:num w:numId="3" w16cid:durableId="1551840081">
    <w:abstractNumId w:val="17"/>
  </w:num>
  <w:num w:numId="4" w16cid:durableId="109711013">
    <w:abstractNumId w:val="22"/>
  </w:num>
  <w:num w:numId="5" w16cid:durableId="2004627314">
    <w:abstractNumId w:val="3"/>
  </w:num>
  <w:num w:numId="6" w16cid:durableId="277613857">
    <w:abstractNumId w:val="16"/>
  </w:num>
  <w:num w:numId="7" w16cid:durableId="2006282364">
    <w:abstractNumId w:val="6"/>
  </w:num>
  <w:num w:numId="8" w16cid:durableId="396246779">
    <w:abstractNumId w:val="7"/>
  </w:num>
  <w:num w:numId="9" w16cid:durableId="505020416">
    <w:abstractNumId w:val="21"/>
  </w:num>
  <w:num w:numId="10" w16cid:durableId="1715158693">
    <w:abstractNumId w:val="9"/>
  </w:num>
  <w:num w:numId="11" w16cid:durableId="389809691">
    <w:abstractNumId w:val="30"/>
  </w:num>
  <w:num w:numId="12" w16cid:durableId="1060595360">
    <w:abstractNumId w:val="23"/>
  </w:num>
  <w:num w:numId="13" w16cid:durableId="1670979723">
    <w:abstractNumId w:val="10"/>
  </w:num>
  <w:num w:numId="14" w16cid:durableId="1617374380">
    <w:abstractNumId w:val="12"/>
  </w:num>
  <w:num w:numId="15" w16cid:durableId="282468331">
    <w:abstractNumId w:val="2"/>
  </w:num>
  <w:num w:numId="16" w16cid:durableId="650525383">
    <w:abstractNumId w:val="15"/>
  </w:num>
  <w:num w:numId="17" w16cid:durableId="233206635">
    <w:abstractNumId w:val="14"/>
  </w:num>
  <w:num w:numId="18" w16cid:durableId="1105613591">
    <w:abstractNumId w:val="0"/>
  </w:num>
  <w:num w:numId="19" w16cid:durableId="1184247457">
    <w:abstractNumId w:val="19"/>
  </w:num>
  <w:num w:numId="20" w16cid:durableId="154226070">
    <w:abstractNumId w:val="8"/>
  </w:num>
  <w:num w:numId="21" w16cid:durableId="1399596743">
    <w:abstractNumId w:val="11"/>
  </w:num>
  <w:num w:numId="22" w16cid:durableId="1227842439">
    <w:abstractNumId w:val="25"/>
  </w:num>
  <w:num w:numId="23" w16cid:durableId="43994195">
    <w:abstractNumId w:val="1"/>
  </w:num>
  <w:num w:numId="24" w16cid:durableId="1646357124">
    <w:abstractNumId w:val="24"/>
  </w:num>
  <w:num w:numId="25" w16cid:durableId="1468625088">
    <w:abstractNumId w:val="4"/>
  </w:num>
  <w:num w:numId="26" w16cid:durableId="137190014">
    <w:abstractNumId w:val="20"/>
  </w:num>
  <w:num w:numId="27" w16cid:durableId="233929555">
    <w:abstractNumId w:val="18"/>
  </w:num>
  <w:num w:numId="28" w16cid:durableId="88938238">
    <w:abstractNumId w:val="29"/>
  </w:num>
  <w:num w:numId="29" w16cid:durableId="1708607631">
    <w:abstractNumId w:val="13"/>
  </w:num>
  <w:num w:numId="30" w16cid:durableId="1374036125">
    <w:abstractNumId w:val="27"/>
  </w:num>
  <w:num w:numId="31" w16cid:durableId="1577399819">
    <w:abstractNumId w:val="26"/>
  </w:num>
  <w:num w:numId="32" w16cid:durableId="36544841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73"/>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11B9"/>
    <w:rsid w:val="00223837"/>
    <w:rsid w:val="00243CED"/>
    <w:rsid w:val="00247BCC"/>
    <w:rsid w:val="00257540"/>
    <w:rsid w:val="0026510F"/>
    <w:rsid w:val="00291F37"/>
    <w:rsid w:val="00297C6E"/>
    <w:rsid w:val="002D2BF1"/>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67073"/>
    <w:rsid w:val="00376E23"/>
    <w:rsid w:val="0037796A"/>
    <w:rsid w:val="0039416B"/>
    <w:rsid w:val="003A1271"/>
    <w:rsid w:val="003A5DF7"/>
    <w:rsid w:val="003B3510"/>
    <w:rsid w:val="003C116C"/>
    <w:rsid w:val="003D0CDD"/>
    <w:rsid w:val="003E1CAA"/>
    <w:rsid w:val="003E76C4"/>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77633"/>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42E43"/>
    <w:rsid w:val="00650543"/>
    <w:rsid w:val="00654D8B"/>
    <w:rsid w:val="00661136"/>
    <w:rsid w:val="0068027B"/>
    <w:rsid w:val="006B7BA3"/>
    <w:rsid w:val="006C42B8"/>
    <w:rsid w:val="006C50C7"/>
    <w:rsid w:val="006D1612"/>
    <w:rsid w:val="007121BB"/>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4764B"/>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13BF"/>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9B3A"/>
  <w15:chartTrackingRefBased/>
  <w15:docId w15:val="{6FA0C1E7-B9A9-0F40-ABE3-3448AF54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67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707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70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3670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36707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07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07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07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7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6707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6707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67073"/>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367073"/>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rsid w:val="00367073"/>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67073"/>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67073"/>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67073"/>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670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7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6707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7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670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7073"/>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67073"/>
    <w:pPr>
      <w:ind w:left="720"/>
      <w:contextualSpacing/>
    </w:pPr>
  </w:style>
  <w:style w:type="character" w:styleId="IntenseEmphasis">
    <w:name w:val="Intense Emphasis"/>
    <w:basedOn w:val="DefaultParagraphFont"/>
    <w:uiPriority w:val="21"/>
    <w:qFormat/>
    <w:rsid w:val="00367073"/>
    <w:rPr>
      <w:i/>
      <w:iCs/>
      <w:color w:val="2F5496" w:themeColor="accent1" w:themeShade="BF"/>
    </w:rPr>
  </w:style>
  <w:style w:type="paragraph" w:styleId="IntenseQuote">
    <w:name w:val="Intense Quote"/>
    <w:basedOn w:val="Normal"/>
    <w:next w:val="Normal"/>
    <w:link w:val="IntenseQuoteChar"/>
    <w:uiPriority w:val="30"/>
    <w:qFormat/>
    <w:rsid w:val="00367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073"/>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67073"/>
    <w:rPr>
      <w:b/>
      <w:bCs/>
      <w:smallCaps/>
      <w:color w:val="2F5496" w:themeColor="accent1" w:themeShade="BF"/>
      <w:spacing w:val="5"/>
    </w:rPr>
  </w:style>
  <w:style w:type="character" w:styleId="Strong">
    <w:name w:val="Strong"/>
    <w:basedOn w:val="DefaultParagraphFont"/>
    <w:uiPriority w:val="22"/>
    <w:qFormat/>
    <w:rsid w:val="00577633"/>
    <w:rPr>
      <w:b/>
      <w:bCs/>
    </w:rPr>
  </w:style>
  <w:style w:type="paragraph" w:styleId="NormalWeb">
    <w:name w:val="Normal (Web)"/>
    <w:basedOn w:val="Normal"/>
    <w:uiPriority w:val="99"/>
    <w:unhideWhenUsed/>
    <w:rsid w:val="00577633"/>
    <w:pPr>
      <w:spacing w:before="100" w:beforeAutospacing="1" w:after="100" w:afterAutospacing="1"/>
    </w:pPr>
    <w:rPr>
      <w:rFonts w:ascii="Times New Roman" w:hAnsi="Times New Roman"/>
      <w:lang w:val="en-HK"/>
    </w:rPr>
  </w:style>
  <w:style w:type="character" w:customStyle="1" w:styleId="overflow-hidden">
    <w:name w:val="overflow-hidden"/>
    <w:basedOn w:val="DefaultParagraphFont"/>
    <w:rsid w:val="003E7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03075">
      <w:bodyDiv w:val="1"/>
      <w:marLeft w:val="0"/>
      <w:marRight w:val="0"/>
      <w:marTop w:val="0"/>
      <w:marBottom w:val="0"/>
      <w:divBdr>
        <w:top w:val="none" w:sz="0" w:space="0" w:color="auto"/>
        <w:left w:val="none" w:sz="0" w:space="0" w:color="auto"/>
        <w:bottom w:val="none" w:sz="0" w:space="0" w:color="auto"/>
        <w:right w:val="none" w:sz="0" w:space="0" w:color="auto"/>
      </w:divBdr>
    </w:div>
    <w:div w:id="324162445">
      <w:bodyDiv w:val="1"/>
      <w:marLeft w:val="0"/>
      <w:marRight w:val="0"/>
      <w:marTop w:val="0"/>
      <w:marBottom w:val="0"/>
      <w:divBdr>
        <w:top w:val="none" w:sz="0" w:space="0" w:color="auto"/>
        <w:left w:val="none" w:sz="0" w:space="0" w:color="auto"/>
        <w:bottom w:val="none" w:sz="0" w:space="0" w:color="auto"/>
        <w:right w:val="none" w:sz="0" w:space="0" w:color="auto"/>
      </w:divBdr>
    </w:div>
    <w:div w:id="1215044330">
      <w:bodyDiv w:val="1"/>
      <w:marLeft w:val="0"/>
      <w:marRight w:val="0"/>
      <w:marTop w:val="0"/>
      <w:marBottom w:val="0"/>
      <w:divBdr>
        <w:top w:val="none" w:sz="0" w:space="0" w:color="auto"/>
        <w:left w:val="none" w:sz="0" w:space="0" w:color="auto"/>
        <w:bottom w:val="none" w:sz="0" w:space="0" w:color="auto"/>
        <w:right w:val="none" w:sz="0" w:space="0" w:color="auto"/>
      </w:divBdr>
    </w:div>
    <w:div w:id="1422990327">
      <w:bodyDiv w:val="1"/>
      <w:marLeft w:val="0"/>
      <w:marRight w:val="0"/>
      <w:marTop w:val="0"/>
      <w:marBottom w:val="0"/>
      <w:divBdr>
        <w:top w:val="none" w:sz="0" w:space="0" w:color="auto"/>
        <w:left w:val="none" w:sz="0" w:space="0" w:color="auto"/>
        <w:bottom w:val="none" w:sz="0" w:space="0" w:color="auto"/>
        <w:right w:val="none" w:sz="0" w:space="0" w:color="auto"/>
      </w:divBdr>
    </w:div>
    <w:div w:id="1546913780">
      <w:bodyDiv w:val="1"/>
      <w:marLeft w:val="0"/>
      <w:marRight w:val="0"/>
      <w:marTop w:val="0"/>
      <w:marBottom w:val="0"/>
      <w:divBdr>
        <w:top w:val="none" w:sz="0" w:space="0" w:color="auto"/>
        <w:left w:val="none" w:sz="0" w:space="0" w:color="auto"/>
        <w:bottom w:val="none" w:sz="0" w:space="0" w:color="auto"/>
        <w:right w:val="none" w:sz="0" w:space="0" w:color="auto"/>
      </w:divBdr>
      <w:divsChild>
        <w:div w:id="575211954">
          <w:marLeft w:val="0"/>
          <w:marRight w:val="0"/>
          <w:marTop w:val="0"/>
          <w:marBottom w:val="0"/>
          <w:divBdr>
            <w:top w:val="none" w:sz="0" w:space="0" w:color="auto"/>
            <w:left w:val="none" w:sz="0" w:space="0" w:color="auto"/>
            <w:bottom w:val="none" w:sz="0" w:space="0" w:color="auto"/>
            <w:right w:val="none" w:sz="0" w:space="0" w:color="auto"/>
          </w:divBdr>
          <w:divsChild>
            <w:div w:id="1488403731">
              <w:marLeft w:val="0"/>
              <w:marRight w:val="0"/>
              <w:marTop w:val="0"/>
              <w:marBottom w:val="0"/>
              <w:divBdr>
                <w:top w:val="none" w:sz="0" w:space="0" w:color="auto"/>
                <w:left w:val="none" w:sz="0" w:space="0" w:color="auto"/>
                <w:bottom w:val="none" w:sz="0" w:space="0" w:color="auto"/>
                <w:right w:val="none" w:sz="0" w:space="0" w:color="auto"/>
              </w:divBdr>
              <w:divsChild>
                <w:div w:id="327754900">
                  <w:marLeft w:val="0"/>
                  <w:marRight w:val="0"/>
                  <w:marTop w:val="0"/>
                  <w:marBottom w:val="0"/>
                  <w:divBdr>
                    <w:top w:val="none" w:sz="0" w:space="0" w:color="auto"/>
                    <w:left w:val="none" w:sz="0" w:space="0" w:color="auto"/>
                    <w:bottom w:val="none" w:sz="0" w:space="0" w:color="auto"/>
                    <w:right w:val="none" w:sz="0" w:space="0" w:color="auto"/>
                  </w:divBdr>
                  <w:divsChild>
                    <w:div w:id="2066753402">
                      <w:marLeft w:val="0"/>
                      <w:marRight w:val="0"/>
                      <w:marTop w:val="0"/>
                      <w:marBottom w:val="0"/>
                      <w:divBdr>
                        <w:top w:val="none" w:sz="0" w:space="0" w:color="auto"/>
                        <w:left w:val="none" w:sz="0" w:space="0" w:color="auto"/>
                        <w:bottom w:val="none" w:sz="0" w:space="0" w:color="auto"/>
                        <w:right w:val="none" w:sz="0" w:space="0" w:color="auto"/>
                      </w:divBdr>
                      <w:divsChild>
                        <w:div w:id="1956675561">
                          <w:marLeft w:val="0"/>
                          <w:marRight w:val="0"/>
                          <w:marTop w:val="0"/>
                          <w:marBottom w:val="0"/>
                          <w:divBdr>
                            <w:top w:val="none" w:sz="0" w:space="0" w:color="auto"/>
                            <w:left w:val="none" w:sz="0" w:space="0" w:color="auto"/>
                            <w:bottom w:val="none" w:sz="0" w:space="0" w:color="auto"/>
                            <w:right w:val="none" w:sz="0" w:space="0" w:color="auto"/>
                          </w:divBdr>
                          <w:divsChild>
                            <w:div w:id="1131439134">
                              <w:marLeft w:val="0"/>
                              <w:marRight w:val="0"/>
                              <w:marTop w:val="0"/>
                              <w:marBottom w:val="0"/>
                              <w:divBdr>
                                <w:top w:val="none" w:sz="0" w:space="0" w:color="auto"/>
                                <w:left w:val="none" w:sz="0" w:space="0" w:color="auto"/>
                                <w:bottom w:val="none" w:sz="0" w:space="0" w:color="auto"/>
                                <w:right w:val="none" w:sz="0" w:space="0" w:color="auto"/>
                              </w:divBdr>
                              <w:divsChild>
                                <w:div w:id="545029090">
                                  <w:marLeft w:val="0"/>
                                  <w:marRight w:val="0"/>
                                  <w:marTop w:val="0"/>
                                  <w:marBottom w:val="0"/>
                                  <w:divBdr>
                                    <w:top w:val="none" w:sz="0" w:space="0" w:color="auto"/>
                                    <w:left w:val="none" w:sz="0" w:space="0" w:color="auto"/>
                                    <w:bottom w:val="none" w:sz="0" w:space="0" w:color="auto"/>
                                    <w:right w:val="none" w:sz="0" w:space="0" w:color="auto"/>
                                  </w:divBdr>
                                  <w:divsChild>
                                    <w:div w:id="13150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16519">
                          <w:marLeft w:val="0"/>
                          <w:marRight w:val="0"/>
                          <w:marTop w:val="0"/>
                          <w:marBottom w:val="0"/>
                          <w:divBdr>
                            <w:top w:val="none" w:sz="0" w:space="0" w:color="auto"/>
                            <w:left w:val="none" w:sz="0" w:space="0" w:color="auto"/>
                            <w:bottom w:val="none" w:sz="0" w:space="0" w:color="auto"/>
                            <w:right w:val="none" w:sz="0" w:space="0" w:color="auto"/>
                          </w:divBdr>
                          <w:divsChild>
                            <w:div w:id="1454983521">
                              <w:marLeft w:val="0"/>
                              <w:marRight w:val="0"/>
                              <w:marTop w:val="0"/>
                              <w:marBottom w:val="0"/>
                              <w:divBdr>
                                <w:top w:val="none" w:sz="0" w:space="0" w:color="auto"/>
                                <w:left w:val="none" w:sz="0" w:space="0" w:color="auto"/>
                                <w:bottom w:val="none" w:sz="0" w:space="0" w:color="auto"/>
                                <w:right w:val="none" w:sz="0" w:space="0" w:color="auto"/>
                              </w:divBdr>
                              <w:divsChild>
                                <w:div w:id="1049958774">
                                  <w:marLeft w:val="0"/>
                                  <w:marRight w:val="0"/>
                                  <w:marTop w:val="0"/>
                                  <w:marBottom w:val="0"/>
                                  <w:divBdr>
                                    <w:top w:val="none" w:sz="0" w:space="0" w:color="auto"/>
                                    <w:left w:val="none" w:sz="0" w:space="0" w:color="auto"/>
                                    <w:bottom w:val="none" w:sz="0" w:space="0" w:color="auto"/>
                                    <w:right w:val="none" w:sz="0" w:space="0" w:color="auto"/>
                                  </w:divBdr>
                                  <w:divsChild>
                                    <w:div w:id="8947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55319">
          <w:marLeft w:val="0"/>
          <w:marRight w:val="0"/>
          <w:marTop w:val="0"/>
          <w:marBottom w:val="0"/>
          <w:divBdr>
            <w:top w:val="none" w:sz="0" w:space="0" w:color="auto"/>
            <w:left w:val="none" w:sz="0" w:space="0" w:color="auto"/>
            <w:bottom w:val="none" w:sz="0" w:space="0" w:color="auto"/>
            <w:right w:val="none" w:sz="0" w:space="0" w:color="auto"/>
          </w:divBdr>
          <w:divsChild>
            <w:div w:id="1140419024">
              <w:marLeft w:val="0"/>
              <w:marRight w:val="0"/>
              <w:marTop w:val="0"/>
              <w:marBottom w:val="0"/>
              <w:divBdr>
                <w:top w:val="none" w:sz="0" w:space="0" w:color="auto"/>
                <w:left w:val="none" w:sz="0" w:space="0" w:color="auto"/>
                <w:bottom w:val="none" w:sz="0" w:space="0" w:color="auto"/>
                <w:right w:val="none" w:sz="0" w:space="0" w:color="auto"/>
              </w:divBdr>
              <w:divsChild>
                <w:div w:id="2112820260">
                  <w:marLeft w:val="0"/>
                  <w:marRight w:val="0"/>
                  <w:marTop w:val="0"/>
                  <w:marBottom w:val="0"/>
                  <w:divBdr>
                    <w:top w:val="none" w:sz="0" w:space="0" w:color="auto"/>
                    <w:left w:val="none" w:sz="0" w:space="0" w:color="auto"/>
                    <w:bottom w:val="none" w:sz="0" w:space="0" w:color="auto"/>
                    <w:right w:val="none" w:sz="0" w:space="0" w:color="auto"/>
                  </w:divBdr>
                  <w:divsChild>
                    <w:div w:id="376124693">
                      <w:marLeft w:val="0"/>
                      <w:marRight w:val="0"/>
                      <w:marTop w:val="0"/>
                      <w:marBottom w:val="0"/>
                      <w:divBdr>
                        <w:top w:val="none" w:sz="0" w:space="0" w:color="auto"/>
                        <w:left w:val="none" w:sz="0" w:space="0" w:color="auto"/>
                        <w:bottom w:val="none" w:sz="0" w:space="0" w:color="auto"/>
                        <w:right w:val="none" w:sz="0" w:space="0" w:color="auto"/>
                      </w:divBdr>
                      <w:divsChild>
                        <w:div w:id="369960493">
                          <w:marLeft w:val="0"/>
                          <w:marRight w:val="0"/>
                          <w:marTop w:val="0"/>
                          <w:marBottom w:val="0"/>
                          <w:divBdr>
                            <w:top w:val="none" w:sz="0" w:space="0" w:color="auto"/>
                            <w:left w:val="none" w:sz="0" w:space="0" w:color="auto"/>
                            <w:bottom w:val="none" w:sz="0" w:space="0" w:color="auto"/>
                            <w:right w:val="none" w:sz="0" w:space="0" w:color="auto"/>
                          </w:divBdr>
                          <w:divsChild>
                            <w:div w:id="108667016">
                              <w:marLeft w:val="0"/>
                              <w:marRight w:val="0"/>
                              <w:marTop w:val="0"/>
                              <w:marBottom w:val="0"/>
                              <w:divBdr>
                                <w:top w:val="none" w:sz="0" w:space="0" w:color="auto"/>
                                <w:left w:val="none" w:sz="0" w:space="0" w:color="auto"/>
                                <w:bottom w:val="none" w:sz="0" w:space="0" w:color="auto"/>
                                <w:right w:val="none" w:sz="0" w:space="0" w:color="auto"/>
                              </w:divBdr>
                              <w:divsChild>
                                <w:div w:id="390738974">
                                  <w:marLeft w:val="0"/>
                                  <w:marRight w:val="0"/>
                                  <w:marTop w:val="0"/>
                                  <w:marBottom w:val="0"/>
                                  <w:divBdr>
                                    <w:top w:val="none" w:sz="0" w:space="0" w:color="auto"/>
                                    <w:left w:val="none" w:sz="0" w:space="0" w:color="auto"/>
                                    <w:bottom w:val="none" w:sz="0" w:space="0" w:color="auto"/>
                                    <w:right w:val="none" w:sz="0" w:space="0" w:color="auto"/>
                                  </w:divBdr>
                                  <w:divsChild>
                                    <w:div w:id="1895309522">
                                      <w:marLeft w:val="0"/>
                                      <w:marRight w:val="0"/>
                                      <w:marTop w:val="0"/>
                                      <w:marBottom w:val="0"/>
                                      <w:divBdr>
                                        <w:top w:val="none" w:sz="0" w:space="0" w:color="auto"/>
                                        <w:left w:val="none" w:sz="0" w:space="0" w:color="auto"/>
                                        <w:bottom w:val="none" w:sz="0" w:space="0" w:color="auto"/>
                                        <w:right w:val="none" w:sz="0" w:space="0" w:color="auto"/>
                                      </w:divBdr>
                                      <w:divsChild>
                                        <w:div w:id="550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369136">
          <w:marLeft w:val="0"/>
          <w:marRight w:val="0"/>
          <w:marTop w:val="0"/>
          <w:marBottom w:val="0"/>
          <w:divBdr>
            <w:top w:val="none" w:sz="0" w:space="0" w:color="auto"/>
            <w:left w:val="none" w:sz="0" w:space="0" w:color="auto"/>
            <w:bottom w:val="none" w:sz="0" w:space="0" w:color="auto"/>
            <w:right w:val="none" w:sz="0" w:space="0" w:color="auto"/>
          </w:divBdr>
          <w:divsChild>
            <w:div w:id="1361592036">
              <w:marLeft w:val="0"/>
              <w:marRight w:val="0"/>
              <w:marTop w:val="0"/>
              <w:marBottom w:val="0"/>
              <w:divBdr>
                <w:top w:val="none" w:sz="0" w:space="0" w:color="auto"/>
                <w:left w:val="none" w:sz="0" w:space="0" w:color="auto"/>
                <w:bottom w:val="none" w:sz="0" w:space="0" w:color="auto"/>
                <w:right w:val="none" w:sz="0" w:space="0" w:color="auto"/>
              </w:divBdr>
              <w:divsChild>
                <w:div w:id="1670475352">
                  <w:marLeft w:val="0"/>
                  <w:marRight w:val="0"/>
                  <w:marTop w:val="0"/>
                  <w:marBottom w:val="0"/>
                  <w:divBdr>
                    <w:top w:val="none" w:sz="0" w:space="0" w:color="auto"/>
                    <w:left w:val="none" w:sz="0" w:space="0" w:color="auto"/>
                    <w:bottom w:val="none" w:sz="0" w:space="0" w:color="auto"/>
                    <w:right w:val="none" w:sz="0" w:space="0" w:color="auto"/>
                  </w:divBdr>
                  <w:divsChild>
                    <w:div w:id="1553879939">
                      <w:marLeft w:val="0"/>
                      <w:marRight w:val="0"/>
                      <w:marTop w:val="0"/>
                      <w:marBottom w:val="0"/>
                      <w:divBdr>
                        <w:top w:val="none" w:sz="0" w:space="0" w:color="auto"/>
                        <w:left w:val="none" w:sz="0" w:space="0" w:color="auto"/>
                        <w:bottom w:val="none" w:sz="0" w:space="0" w:color="auto"/>
                        <w:right w:val="none" w:sz="0" w:space="0" w:color="auto"/>
                      </w:divBdr>
                      <w:divsChild>
                        <w:div w:id="1826579809">
                          <w:marLeft w:val="0"/>
                          <w:marRight w:val="0"/>
                          <w:marTop w:val="0"/>
                          <w:marBottom w:val="0"/>
                          <w:divBdr>
                            <w:top w:val="none" w:sz="0" w:space="0" w:color="auto"/>
                            <w:left w:val="none" w:sz="0" w:space="0" w:color="auto"/>
                            <w:bottom w:val="none" w:sz="0" w:space="0" w:color="auto"/>
                            <w:right w:val="none" w:sz="0" w:space="0" w:color="auto"/>
                          </w:divBdr>
                          <w:divsChild>
                            <w:div w:id="1781606379">
                              <w:marLeft w:val="0"/>
                              <w:marRight w:val="0"/>
                              <w:marTop w:val="0"/>
                              <w:marBottom w:val="0"/>
                              <w:divBdr>
                                <w:top w:val="none" w:sz="0" w:space="0" w:color="auto"/>
                                <w:left w:val="none" w:sz="0" w:space="0" w:color="auto"/>
                                <w:bottom w:val="none" w:sz="0" w:space="0" w:color="auto"/>
                                <w:right w:val="none" w:sz="0" w:space="0" w:color="auto"/>
                              </w:divBdr>
                              <w:divsChild>
                                <w:div w:id="5449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304388">
                  <w:marLeft w:val="0"/>
                  <w:marRight w:val="0"/>
                  <w:marTop w:val="0"/>
                  <w:marBottom w:val="0"/>
                  <w:divBdr>
                    <w:top w:val="none" w:sz="0" w:space="0" w:color="auto"/>
                    <w:left w:val="none" w:sz="0" w:space="0" w:color="auto"/>
                    <w:bottom w:val="none" w:sz="0" w:space="0" w:color="auto"/>
                    <w:right w:val="none" w:sz="0" w:space="0" w:color="auto"/>
                  </w:divBdr>
                  <w:divsChild>
                    <w:div w:id="48459465">
                      <w:marLeft w:val="0"/>
                      <w:marRight w:val="0"/>
                      <w:marTop w:val="0"/>
                      <w:marBottom w:val="0"/>
                      <w:divBdr>
                        <w:top w:val="none" w:sz="0" w:space="0" w:color="auto"/>
                        <w:left w:val="none" w:sz="0" w:space="0" w:color="auto"/>
                        <w:bottom w:val="none" w:sz="0" w:space="0" w:color="auto"/>
                        <w:right w:val="none" w:sz="0" w:space="0" w:color="auto"/>
                      </w:divBdr>
                      <w:divsChild>
                        <w:div w:id="1851917396">
                          <w:marLeft w:val="0"/>
                          <w:marRight w:val="0"/>
                          <w:marTop w:val="0"/>
                          <w:marBottom w:val="0"/>
                          <w:divBdr>
                            <w:top w:val="none" w:sz="0" w:space="0" w:color="auto"/>
                            <w:left w:val="none" w:sz="0" w:space="0" w:color="auto"/>
                            <w:bottom w:val="none" w:sz="0" w:space="0" w:color="auto"/>
                            <w:right w:val="none" w:sz="0" w:space="0" w:color="auto"/>
                          </w:divBdr>
                          <w:divsChild>
                            <w:div w:id="497699261">
                              <w:marLeft w:val="0"/>
                              <w:marRight w:val="0"/>
                              <w:marTop w:val="0"/>
                              <w:marBottom w:val="0"/>
                              <w:divBdr>
                                <w:top w:val="none" w:sz="0" w:space="0" w:color="auto"/>
                                <w:left w:val="none" w:sz="0" w:space="0" w:color="auto"/>
                                <w:bottom w:val="none" w:sz="0" w:space="0" w:color="auto"/>
                                <w:right w:val="none" w:sz="0" w:space="0" w:color="auto"/>
                              </w:divBdr>
                              <w:divsChild>
                                <w:div w:id="167328536">
                                  <w:marLeft w:val="0"/>
                                  <w:marRight w:val="0"/>
                                  <w:marTop w:val="0"/>
                                  <w:marBottom w:val="0"/>
                                  <w:divBdr>
                                    <w:top w:val="none" w:sz="0" w:space="0" w:color="auto"/>
                                    <w:left w:val="none" w:sz="0" w:space="0" w:color="auto"/>
                                    <w:bottom w:val="none" w:sz="0" w:space="0" w:color="auto"/>
                                    <w:right w:val="none" w:sz="0" w:space="0" w:color="auto"/>
                                  </w:divBdr>
                                  <w:divsChild>
                                    <w:div w:id="10068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315159">
      <w:bodyDiv w:val="1"/>
      <w:marLeft w:val="0"/>
      <w:marRight w:val="0"/>
      <w:marTop w:val="0"/>
      <w:marBottom w:val="0"/>
      <w:divBdr>
        <w:top w:val="none" w:sz="0" w:space="0" w:color="auto"/>
        <w:left w:val="none" w:sz="0" w:space="0" w:color="auto"/>
        <w:bottom w:val="none" w:sz="0" w:space="0" w:color="auto"/>
        <w:right w:val="none" w:sz="0" w:space="0" w:color="auto"/>
      </w:divBdr>
    </w:div>
    <w:div w:id="1721713042">
      <w:bodyDiv w:val="1"/>
      <w:marLeft w:val="0"/>
      <w:marRight w:val="0"/>
      <w:marTop w:val="0"/>
      <w:marBottom w:val="0"/>
      <w:divBdr>
        <w:top w:val="none" w:sz="0" w:space="0" w:color="auto"/>
        <w:left w:val="none" w:sz="0" w:space="0" w:color="auto"/>
        <w:bottom w:val="none" w:sz="0" w:space="0" w:color="auto"/>
        <w:right w:val="none" w:sz="0" w:space="0" w:color="auto"/>
      </w:divBdr>
    </w:div>
    <w:div w:id="1788961329">
      <w:bodyDiv w:val="1"/>
      <w:marLeft w:val="0"/>
      <w:marRight w:val="0"/>
      <w:marTop w:val="0"/>
      <w:marBottom w:val="0"/>
      <w:divBdr>
        <w:top w:val="none" w:sz="0" w:space="0" w:color="auto"/>
        <w:left w:val="none" w:sz="0" w:space="0" w:color="auto"/>
        <w:bottom w:val="none" w:sz="0" w:space="0" w:color="auto"/>
        <w:right w:val="none" w:sz="0" w:space="0" w:color="auto"/>
      </w:divBdr>
    </w:div>
    <w:div w:id="1816289931">
      <w:bodyDiv w:val="1"/>
      <w:marLeft w:val="0"/>
      <w:marRight w:val="0"/>
      <w:marTop w:val="0"/>
      <w:marBottom w:val="0"/>
      <w:divBdr>
        <w:top w:val="none" w:sz="0" w:space="0" w:color="auto"/>
        <w:left w:val="none" w:sz="0" w:space="0" w:color="auto"/>
        <w:bottom w:val="none" w:sz="0" w:space="0" w:color="auto"/>
        <w:right w:val="none" w:sz="0" w:space="0" w:color="auto"/>
      </w:divBdr>
      <w:divsChild>
        <w:div w:id="1395851560">
          <w:marLeft w:val="0"/>
          <w:marRight w:val="0"/>
          <w:marTop w:val="0"/>
          <w:marBottom w:val="0"/>
          <w:divBdr>
            <w:top w:val="none" w:sz="0" w:space="0" w:color="auto"/>
            <w:left w:val="none" w:sz="0" w:space="0" w:color="auto"/>
            <w:bottom w:val="none" w:sz="0" w:space="0" w:color="auto"/>
            <w:right w:val="none" w:sz="0" w:space="0" w:color="auto"/>
          </w:divBdr>
          <w:divsChild>
            <w:div w:id="1220634066">
              <w:marLeft w:val="0"/>
              <w:marRight w:val="0"/>
              <w:marTop w:val="0"/>
              <w:marBottom w:val="0"/>
              <w:divBdr>
                <w:top w:val="none" w:sz="0" w:space="0" w:color="auto"/>
                <w:left w:val="none" w:sz="0" w:space="0" w:color="auto"/>
                <w:bottom w:val="none" w:sz="0" w:space="0" w:color="auto"/>
                <w:right w:val="none" w:sz="0" w:space="0" w:color="auto"/>
              </w:divBdr>
              <w:divsChild>
                <w:div w:id="619341046">
                  <w:marLeft w:val="0"/>
                  <w:marRight w:val="0"/>
                  <w:marTop w:val="0"/>
                  <w:marBottom w:val="0"/>
                  <w:divBdr>
                    <w:top w:val="none" w:sz="0" w:space="0" w:color="auto"/>
                    <w:left w:val="none" w:sz="0" w:space="0" w:color="auto"/>
                    <w:bottom w:val="none" w:sz="0" w:space="0" w:color="auto"/>
                    <w:right w:val="none" w:sz="0" w:space="0" w:color="auto"/>
                  </w:divBdr>
                  <w:divsChild>
                    <w:div w:id="12402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4288</Words>
  <Characters>24446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2025-01-20T11:54:00Z</dcterms:created>
  <dcterms:modified xsi:type="dcterms:W3CDTF">2025-02-19T11:17:00Z</dcterms:modified>
</cp:coreProperties>
</file>