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AA80C3"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Introduction – Detailed Analysis of "The Commercialisation of Equity"</w:t>
      </w:r>
    </w:p>
    <w:p w14:paraId="581A9F1E"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introduction to "The Commercialisation of Equity" by Man Yip and James Lee lays the foundation for the critique of equity’s transformation in modern legal contexts. The authors explore the increasing influence of commercial considerations on equity, particularly in trust law, and examine how this shift impacts traditional principles. The introduction outlines key cases, judicial attitudes, and the broader implications of equity’s alignment with commercial pragmatism.</w:t>
      </w:r>
    </w:p>
    <w:p w14:paraId="1057197E"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7738156C">
          <v:rect id="_x0000_i1068" alt="" style="width:451.3pt;height:.05pt;mso-width-percent:0;mso-height-percent:0;mso-width-percent:0;mso-height-percent:0" o:hralign="center" o:hrstd="t" o:hr="t" fillcolor="#a0a0a0" stroked="f"/>
        </w:pict>
      </w:r>
    </w:p>
    <w:p w14:paraId="7879B735"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1. Overview of Equity's Evolution</w:t>
      </w:r>
    </w:p>
    <w:p w14:paraId="7076748C"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Historical Context:</w:t>
      </w:r>
    </w:p>
    <w:p w14:paraId="0B620849"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authors emphasize equity’s historical role as a system distinct from common law, founded on fairness, fiduciary accountability, and the enforcement of trust obligations. Equity’s origins lie in the discretionary authority of the Court of Chancery, which aimed to provide remedies unavailable under the rigid rules of common law.</w:t>
      </w:r>
    </w:p>
    <w:p w14:paraId="4AE4A1E0" w14:textId="751FA6EF"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Holdsworth’s Observation</w:t>
      </w:r>
      <w:r w:rsidRPr="004E1CAA">
        <w:rPr>
          <w:rFonts w:ascii="Times New Roman" w:hAnsi="Times New Roman"/>
          <w:lang w:val="en-HK"/>
        </w:rPr>
        <w:t>:</w:t>
      </w:r>
      <w:r w:rsidRPr="004E1CAA">
        <w:rPr>
          <w:rFonts w:ascii="Times New Roman" w:hAnsi="Times New Roman"/>
          <w:lang w:val="en-HK"/>
        </w:rPr>
        <w:br/>
        <w:t>Equity historically focused on "conscience</w:t>
      </w:r>
      <w:r w:rsidR="001F4C71">
        <w:rPr>
          <w:rFonts w:ascii="Times New Roman" w:hAnsi="Times New Roman"/>
          <w:lang w:val="en-HK"/>
        </w:rPr>
        <w:t xml:space="preserve"> </w:t>
      </w:r>
      <w:r w:rsidR="001F4C71">
        <w:rPr>
          <w:rFonts w:ascii="Microsoft Jhenghei" w:eastAsia="Microsoft Jhenghei" w:hAnsi="Microsoft Jhenghei" w:hint="eastAsia"/>
          <w:color w:val="000000"/>
          <w:sz w:val="18"/>
          <w:szCs w:val="18"/>
          <w:shd w:val="clear" w:color="auto" w:fill="EFF6FF"/>
        </w:rPr>
        <w:t>良心</w:t>
      </w:r>
      <w:r w:rsidRPr="004E1CAA">
        <w:rPr>
          <w:rFonts w:ascii="Times New Roman" w:hAnsi="Times New Roman"/>
          <w:lang w:val="en-HK"/>
        </w:rPr>
        <w:t>," addressing the inadequacies of the common law through remedies like injunctions, specific performance, and constructive trusts (</w:t>
      </w:r>
      <w:r w:rsidRPr="004E1CAA">
        <w:rPr>
          <w:rFonts w:ascii="Times New Roman" w:hAnsi="Times New Roman"/>
          <w:i/>
          <w:iCs/>
          <w:lang w:val="en-HK"/>
        </w:rPr>
        <w:t>A History of English Law</w:t>
      </w:r>
      <w:r w:rsidRPr="004E1CAA">
        <w:rPr>
          <w:rFonts w:ascii="Times New Roman" w:hAnsi="Times New Roman"/>
          <w:lang w:val="en-HK"/>
        </w:rPr>
        <w:t>).</w:t>
      </w:r>
    </w:p>
    <w:p w14:paraId="4022E18C"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The Modern Context:</w:t>
      </w:r>
    </w:p>
    <w:p w14:paraId="1533832A" w14:textId="77777777" w:rsidR="004E1CAA" w:rsidRPr="004E1CAA" w:rsidRDefault="004E1CAA" w:rsidP="00CF31E6">
      <w:pPr>
        <w:numPr>
          <w:ilvl w:val="0"/>
          <w:numId w:val="48"/>
        </w:num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introduction identifies the transformation of equity as a response to the increasing complexity of commercial transactions. This shift prioritizes commercial efficiency and certainty over doctrinal purity.</w:t>
      </w:r>
    </w:p>
    <w:p w14:paraId="743BAAC9" w14:textId="77777777" w:rsidR="004E1CAA" w:rsidRPr="004E1CAA" w:rsidRDefault="004E1CAA" w:rsidP="00CF31E6">
      <w:pPr>
        <w:numPr>
          <w:ilvl w:val="0"/>
          <w:numId w:val="48"/>
        </w:num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The authors argue that recent decisions, such as </w:t>
      </w:r>
      <w:r w:rsidRPr="004E1CAA">
        <w:rPr>
          <w:rFonts w:ascii="Times New Roman" w:hAnsi="Times New Roman"/>
          <w:b/>
          <w:bCs/>
          <w:lang w:val="en-HK"/>
        </w:rPr>
        <w:t xml:space="preserve">AIB Group (UK) Ltd v Mark </w:t>
      </w:r>
      <w:proofErr w:type="spellStart"/>
      <w:r w:rsidRPr="004E1CAA">
        <w:rPr>
          <w:rFonts w:ascii="Times New Roman" w:hAnsi="Times New Roman"/>
          <w:b/>
          <w:bCs/>
          <w:lang w:val="en-HK"/>
        </w:rPr>
        <w:t>Redler</w:t>
      </w:r>
      <w:proofErr w:type="spellEnd"/>
      <w:r w:rsidRPr="004E1CAA">
        <w:rPr>
          <w:rFonts w:ascii="Times New Roman" w:hAnsi="Times New Roman"/>
          <w:b/>
          <w:bCs/>
          <w:lang w:val="en-HK"/>
        </w:rPr>
        <w:t xml:space="preserve"> &amp; Co Solicitors [2014] UKSC 58</w:t>
      </w:r>
      <w:r w:rsidRPr="004E1CAA">
        <w:rPr>
          <w:rFonts w:ascii="Times New Roman" w:hAnsi="Times New Roman"/>
          <w:lang w:val="en-HK"/>
        </w:rPr>
        <w:t>, represent a growing tendency to align equitable remedies with common law damages, weakening equity’s distinctiveness.</w:t>
      </w:r>
    </w:p>
    <w:p w14:paraId="3013DAA1"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3D9AD7C8">
          <v:rect id="_x0000_i1067" alt="" style="width:451.3pt;height:.05pt;mso-width-percent:0;mso-height-percent:0;mso-width-percent:0;mso-height-percent:0" o:hralign="center" o:hrstd="t" o:hr="t" fillcolor="#a0a0a0" stroked="f"/>
        </w:pict>
      </w:r>
    </w:p>
    <w:p w14:paraId="04B724D7"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2. Key Themes of Commercialisation</w:t>
      </w:r>
    </w:p>
    <w:p w14:paraId="010CF120"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Pragmatism Over Principles:</w:t>
      </w:r>
    </w:p>
    <w:p w14:paraId="688B01C2"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The introduction highlights how equity is increasingly viewed as a tool for ensuring </w:t>
      </w:r>
      <w:r w:rsidRPr="004E1CAA">
        <w:rPr>
          <w:rFonts w:ascii="Times New Roman" w:hAnsi="Times New Roman"/>
          <w:b/>
          <w:bCs/>
          <w:lang w:val="en-HK"/>
        </w:rPr>
        <w:t>transactional efficiency rather than upholding fiduciary principles</w:t>
      </w:r>
      <w:r w:rsidRPr="004E1CAA">
        <w:rPr>
          <w:rFonts w:ascii="Times New Roman" w:hAnsi="Times New Roman"/>
          <w:lang w:val="en-HK"/>
        </w:rPr>
        <w:t>. This transformation is especially evident in trust law, where remedies are reshaped to align with commercial expectations.</w:t>
      </w:r>
    </w:p>
    <w:p w14:paraId="37CF64F7"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lastRenderedPageBreak/>
        <w:t>Tension Between Doctrinal Integrity and Commercial Utility:</w:t>
      </w:r>
    </w:p>
    <w:p w14:paraId="2A6135D8" w14:textId="77777777" w:rsidR="004E1CAA" w:rsidRPr="004E1CAA" w:rsidRDefault="004E1CAA" w:rsidP="00CF31E6">
      <w:pPr>
        <w:spacing w:before="100" w:beforeAutospacing="1" w:after="100" w:afterAutospacing="1" w:line="276" w:lineRule="auto"/>
        <w:rPr>
          <w:rFonts w:ascii="Times New Roman" w:hAnsi="Times New Roman"/>
          <w:b/>
          <w:bCs/>
          <w:lang w:val="en-HK"/>
        </w:rPr>
      </w:pPr>
      <w:r w:rsidRPr="004E1CAA">
        <w:rPr>
          <w:rFonts w:ascii="Times New Roman" w:hAnsi="Times New Roman"/>
          <w:lang w:val="en-HK"/>
        </w:rPr>
        <w:t xml:space="preserve">The authors critique the tension between maintaining equity’s foundational principles (such as accountability and fiduciary loyalty) and accommodating the demands of modern commerce. They argue that judicial </w:t>
      </w:r>
      <w:r w:rsidRPr="004E1CAA">
        <w:rPr>
          <w:rFonts w:ascii="Times New Roman" w:hAnsi="Times New Roman"/>
          <w:b/>
          <w:bCs/>
          <w:lang w:val="en-HK"/>
        </w:rPr>
        <w:t xml:space="preserve">reasoning often </w:t>
      </w:r>
      <w:proofErr w:type="spellStart"/>
      <w:r w:rsidRPr="004E1CAA">
        <w:rPr>
          <w:rFonts w:ascii="Times New Roman" w:hAnsi="Times New Roman"/>
          <w:b/>
          <w:bCs/>
          <w:lang w:val="en-HK"/>
        </w:rPr>
        <w:t>favors</w:t>
      </w:r>
      <w:proofErr w:type="spellEnd"/>
      <w:r w:rsidRPr="004E1CAA">
        <w:rPr>
          <w:rFonts w:ascii="Times New Roman" w:hAnsi="Times New Roman"/>
          <w:b/>
          <w:bCs/>
          <w:lang w:val="en-HK"/>
        </w:rPr>
        <w:t xml:space="preserve"> predictability and simplicity at the expense of fairness and justice.</w:t>
      </w:r>
    </w:p>
    <w:p w14:paraId="6E5B5856"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Role of Judicial Leadership:</w:t>
      </w:r>
    </w:p>
    <w:p w14:paraId="4158D64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Judicial attitudes play a central role in shaping equity’s modern trajectory. The introduction critiques the diminishing presence of Chancery expertise in the UK Supreme Court, which has contributed to the prioritization of commercial considerations.</w:t>
      </w:r>
    </w:p>
    <w:p w14:paraId="08211F03"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7854DDC2">
          <v:rect id="_x0000_i1066" alt="" style="width:451.3pt;height:.05pt;mso-width-percent:0;mso-height-percent:0;mso-width-percent:0;mso-height-percent:0" o:hralign="center" o:hrstd="t" o:hr="t" fillcolor="#a0a0a0" stroked="f"/>
        </w:pict>
      </w:r>
    </w:p>
    <w:p w14:paraId="79AF78EC"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3. Judicial Trends and Key Cases</w:t>
      </w:r>
    </w:p>
    <w:p w14:paraId="5BBEF6D6"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Shift Toward Commercial Equity:</w:t>
      </w:r>
    </w:p>
    <w:p w14:paraId="48104862"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authors highlight several landmark cases that demonstrate the judiciary’s embrace of commercial pragmatism:</w:t>
      </w:r>
    </w:p>
    <w:p w14:paraId="33B5ACDF" w14:textId="77777777" w:rsidR="004E1CAA" w:rsidRPr="004E1CAA" w:rsidRDefault="004E1CAA" w:rsidP="00CF31E6">
      <w:pPr>
        <w:numPr>
          <w:ilvl w:val="0"/>
          <w:numId w:val="52"/>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 xml:space="preserve">Target Holdings Ltd v </w:t>
      </w:r>
      <w:proofErr w:type="spellStart"/>
      <w:r w:rsidRPr="004E1CAA">
        <w:rPr>
          <w:rFonts w:ascii="Times New Roman" w:hAnsi="Times New Roman"/>
          <w:b/>
          <w:bCs/>
          <w:lang w:val="en-HK"/>
        </w:rPr>
        <w:t>Redferns</w:t>
      </w:r>
      <w:proofErr w:type="spellEnd"/>
      <w:r w:rsidRPr="004E1CAA">
        <w:rPr>
          <w:rFonts w:ascii="Times New Roman" w:hAnsi="Times New Roman"/>
          <w:b/>
          <w:bCs/>
          <w:lang w:val="en-HK"/>
        </w:rPr>
        <w:t xml:space="preserve"> [1996] AC 421</w:t>
      </w:r>
      <w:r w:rsidRPr="004E1CAA">
        <w:rPr>
          <w:rFonts w:ascii="Times New Roman" w:hAnsi="Times New Roman"/>
          <w:lang w:val="en-HK"/>
        </w:rPr>
        <w:t>:</w:t>
      </w:r>
    </w:p>
    <w:p w14:paraId="5BB5B59C"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Facts</w:t>
      </w:r>
      <w:r w:rsidRPr="004E1CAA">
        <w:rPr>
          <w:rFonts w:ascii="Times New Roman" w:hAnsi="Times New Roman"/>
          <w:lang w:val="en-HK"/>
        </w:rPr>
        <w:t>: This case involved the misapplication of trust funds in a commercial transaction. Despite the breach, the transaction was ultimately completed.</w:t>
      </w:r>
    </w:p>
    <w:p w14:paraId="65051044"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Judgment</w:t>
      </w:r>
      <w:r w:rsidRPr="004E1CAA">
        <w:rPr>
          <w:rFonts w:ascii="Times New Roman" w:hAnsi="Times New Roman"/>
          <w:lang w:val="en-HK"/>
        </w:rPr>
        <w:t>: The House of Lords held that equitable compensation should reflect actual loss rather than requiring full reconstitution of the trust fund.</w:t>
      </w:r>
    </w:p>
    <w:p w14:paraId="0E4DDE71"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Significance</w:t>
      </w:r>
      <w:r w:rsidRPr="004E1CAA">
        <w:rPr>
          <w:rFonts w:ascii="Times New Roman" w:hAnsi="Times New Roman"/>
          <w:lang w:val="en-HK"/>
        </w:rPr>
        <w:t>: Lord Browne-Wilkinson introduced a distinction between "traditional" and "commercial" trusts, emphasizing the need for equity to remain "commercially useful."</w:t>
      </w:r>
    </w:p>
    <w:p w14:paraId="5C5B5171"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Browne-Wilkinson’s Statement</w:t>
      </w:r>
      <w:r w:rsidRPr="004E1CAA">
        <w:rPr>
          <w:rFonts w:ascii="Times New Roman" w:hAnsi="Times New Roman"/>
          <w:lang w:val="en-HK"/>
        </w:rPr>
        <w:t>:</w:t>
      </w:r>
    </w:p>
    <w:p w14:paraId="36504553"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"Equity must accommodate the realities of commercial transactions, or risk becoming irrelevant to modern commerce."</w:t>
      </w:r>
    </w:p>
    <w:p w14:paraId="408062DC" w14:textId="77777777" w:rsidR="004E1CAA" w:rsidRPr="004E1CAA" w:rsidRDefault="004E1CAA" w:rsidP="00CF31E6">
      <w:pPr>
        <w:numPr>
          <w:ilvl w:val="0"/>
          <w:numId w:val="52"/>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 xml:space="preserve">AIB Group (UK) Ltd v Mark </w:t>
      </w:r>
      <w:proofErr w:type="spellStart"/>
      <w:r w:rsidRPr="004E1CAA">
        <w:rPr>
          <w:rFonts w:ascii="Times New Roman" w:hAnsi="Times New Roman"/>
          <w:b/>
          <w:bCs/>
          <w:lang w:val="en-HK"/>
        </w:rPr>
        <w:t>Redler</w:t>
      </w:r>
      <w:proofErr w:type="spellEnd"/>
      <w:r w:rsidRPr="004E1CAA">
        <w:rPr>
          <w:rFonts w:ascii="Times New Roman" w:hAnsi="Times New Roman"/>
          <w:b/>
          <w:bCs/>
          <w:lang w:val="en-HK"/>
        </w:rPr>
        <w:t xml:space="preserve"> &amp; Co Solicitors [2014] UKSC 58</w:t>
      </w:r>
      <w:r w:rsidRPr="004E1CAA">
        <w:rPr>
          <w:rFonts w:ascii="Times New Roman" w:hAnsi="Times New Roman"/>
          <w:lang w:val="en-HK"/>
        </w:rPr>
        <w:t>:</w:t>
      </w:r>
    </w:p>
    <w:p w14:paraId="185D665E"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Facts</w:t>
      </w:r>
      <w:r w:rsidRPr="004E1CAA">
        <w:rPr>
          <w:rFonts w:ascii="Times New Roman" w:hAnsi="Times New Roman"/>
          <w:lang w:val="en-HK"/>
        </w:rPr>
        <w:t>: The solicitors (trustees) breached their duty by releasing trust funds prematurely, resulting in a financial shortfall. The court limited compensation to the actual loss caused.</w:t>
      </w:r>
    </w:p>
    <w:p w14:paraId="522CF2D3"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Judgment</w:t>
      </w:r>
      <w:r w:rsidRPr="004E1CAA">
        <w:rPr>
          <w:rFonts w:ascii="Times New Roman" w:hAnsi="Times New Roman"/>
          <w:lang w:val="en-HK"/>
        </w:rPr>
        <w:t xml:space="preserve">: The UK Supreme Court reaffirmed </w:t>
      </w:r>
      <w:r w:rsidRPr="004E1CAA">
        <w:rPr>
          <w:rFonts w:ascii="Times New Roman" w:hAnsi="Times New Roman"/>
          <w:b/>
          <w:bCs/>
          <w:lang w:val="en-HK"/>
        </w:rPr>
        <w:t>Target Holdings</w:t>
      </w:r>
      <w:r w:rsidRPr="004E1CAA">
        <w:rPr>
          <w:rFonts w:ascii="Times New Roman" w:hAnsi="Times New Roman"/>
          <w:lang w:val="en-HK"/>
        </w:rPr>
        <w:t>, holding that equitable compensation should reflect reparative principles akin to common law damages.</w:t>
      </w:r>
    </w:p>
    <w:p w14:paraId="216C57DB"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lastRenderedPageBreak/>
        <w:t>Lord Toulson’s Observation</w:t>
      </w:r>
      <w:r w:rsidRPr="004E1CAA">
        <w:rPr>
          <w:rFonts w:ascii="Times New Roman" w:hAnsi="Times New Roman"/>
          <w:lang w:val="en-HK"/>
        </w:rPr>
        <w:t>:</w:t>
      </w:r>
    </w:p>
    <w:p w14:paraId="54731FCF"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"Equitable remedies must adapt to the commercial context in which they are applied."</w:t>
      </w:r>
    </w:p>
    <w:p w14:paraId="5F982B54" w14:textId="77777777" w:rsidR="004E1CAA" w:rsidRPr="004E1CAA" w:rsidRDefault="004E1CAA" w:rsidP="00CF31E6">
      <w:pPr>
        <w:numPr>
          <w:ilvl w:val="0"/>
          <w:numId w:val="52"/>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FHR European Ventures LLP v Cedar Capital Partners LLC [2014] UKSC 45</w:t>
      </w:r>
      <w:r w:rsidRPr="004E1CAA">
        <w:rPr>
          <w:rFonts w:ascii="Times New Roman" w:hAnsi="Times New Roman"/>
          <w:lang w:val="en-HK"/>
        </w:rPr>
        <w:t>:</w:t>
      </w:r>
    </w:p>
    <w:p w14:paraId="6BC31B44"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Facts</w:t>
      </w:r>
      <w:r w:rsidRPr="004E1CAA">
        <w:rPr>
          <w:rFonts w:ascii="Times New Roman" w:hAnsi="Times New Roman"/>
          <w:lang w:val="en-HK"/>
        </w:rPr>
        <w:t>: A fiduciary received a bribe during a property transaction. The court held that the bribe constituted trust property, subject to a constructive trust.</w:t>
      </w:r>
    </w:p>
    <w:p w14:paraId="36F9F32B"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Significance</w:t>
      </w:r>
      <w:r w:rsidRPr="004E1CAA">
        <w:rPr>
          <w:rFonts w:ascii="Times New Roman" w:hAnsi="Times New Roman"/>
          <w:lang w:val="en-HK"/>
        </w:rPr>
        <w:t>: The judgment prioritized deterrence and international alignment, expanding the scope of proprietary remedies.</w:t>
      </w:r>
    </w:p>
    <w:p w14:paraId="2DF28F04"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6ACC4DF7">
          <v:rect id="_x0000_i1065" alt="" style="width:451.3pt;height:.05pt;mso-width-percent:0;mso-height-percent:0;mso-width-percent:0;mso-height-percent:0" o:hralign="center" o:hrstd="t" o:hr="t" fillcolor="#a0a0a0" stroked="f"/>
        </w:pict>
      </w:r>
    </w:p>
    <w:p w14:paraId="4D65507D"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4. Scholarly Critiques and Broader Implications</w:t>
      </w:r>
    </w:p>
    <w:p w14:paraId="42CDA28D"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introduction incorporates critical perspectives from scholars who question the judiciary’s departure from traditional equitable principles:</w:t>
      </w:r>
    </w:p>
    <w:p w14:paraId="65E1DE93"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Millett’s Critique:</w:t>
      </w:r>
    </w:p>
    <w:p w14:paraId="2524A810" w14:textId="77777777" w:rsidR="004E1CAA" w:rsidRPr="004E1CAA" w:rsidRDefault="004E1CAA" w:rsidP="00CF31E6">
      <w:pPr>
        <w:spacing w:before="100" w:beforeAutospacing="1" w:after="100" w:afterAutospacing="1" w:line="276" w:lineRule="auto"/>
        <w:rPr>
          <w:rFonts w:ascii="Times New Roman" w:hAnsi="Times New Roman"/>
          <w:b/>
          <w:bCs/>
          <w:color w:val="FF0000"/>
          <w:lang w:val="en-HK"/>
        </w:rPr>
      </w:pPr>
      <w:r w:rsidRPr="004E1CAA">
        <w:rPr>
          <w:rFonts w:ascii="Times New Roman" w:hAnsi="Times New Roman"/>
          <w:lang w:val="en-HK"/>
        </w:rPr>
        <w:t xml:space="preserve">Lord Millett warned against </w:t>
      </w:r>
      <w:r w:rsidRPr="004E1CAA">
        <w:rPr>
          <w:rFonts w:ascii="Times New Roman" w:hAnsi="Times New Roman"/>
          <w:b/>
          <w:bCs/>
          <w:lang w:val="en-HK"/>
        </w:rPr>
        <w:t>reducing equity to a commercial tool</w:t>
      </w:r>
      <w:r w:rsidRPr="004E1CAA">
        <w:rPr>
          <w:rFonts w:ascii="Times New Roman" w:hAnsi="Times New Roman"/>
          <w:lang w:val="en-HK"/>
        </w:rPr>
        <w:t xml:space="preserve">, arguing </w:t>
      </w:r>
      <w:r w:rsidRPr="004E1CAA">
        <w:rPr>
          <w:rFonts w:ascii="Times New Roman" w:hAnsi="Times New Roman"/>
          <w:b/>
          <w:bCs/>
          <w:color w:val="FF0000"/>
          <w:lang w:val="en-HK"/>
        </w:rPr>
        <w:t>that fiduciary obligations must remain distinct from contractual duties.</w:t>
      </w:r>
    </w:p>
    <w:p w14:paraId="0A502E8E"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Millett (1998)</w:t>
      </w:r>
      <w:r w:rsidRPr="004E1CAA">
        <w:rPr>
          <w:rFonts w:ascii="Times New Roman" w:hAnsi="Times New Roman"/>
          <w:lang w:val="en-HK"/>
        </w:rPr>
        <w:t>:</w:t>
      </w:r>
    </w:p>
    <w:p w14:paraId="4116AEAA"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"Equity’s strength lies in its normative character, not its ability to mimic common law."</w:t>
      </w:r>
    </w:p>
    <w:p w14:paraId="1E3788A0"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Edelman’s Perspective:</w:t>
      </w:r>
    </w:p>
    <w:p w14:paraId="538125EF"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Justice Edelman lamented the neglect of traditional equitable principles, such as falsification and surcharging, in </w:t>
      </w:r>
      <w:proofErr w:type="spellStart"/>
      <w:r w:rsidRPr="004E1CAA">
        <w:rPr>
          <w:rFonts w:ascii="Times New Roman" w:hAnsi="Times New Roman"/>
          <w:lang w:val="en-HK"/>
        </w:rPr>
        <w:t>favor</w:t>
      </w:r>
      <w:proofErr w:type="spellEnd"/>
      <w:r w:rsidRPr="004E1CAA">
        <w:rPr>
          <w:rFonts w:ascii="Times New Roman" w:hAnsi="Times New Roman"/>
          <w:lang w:val="en-HK"/>
        </w:rPr>
        <w:t xml:space="preserve"> of broader concepts like "equitable compensation."</w:t>
      </w:r>
    </w:p>
    <w:p w14:paraId="1C992A6D"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Edelman (2015)</w:t>
      </w:r>
      <w:r w:rsidRPr="004E1CAA">
        <w:rPr>
          <w:rFonts w:ascii="Times New Roman" w:hAnsi="Times New Roman"/>
          <w:lang w:val="en-HK"/>
        </w:rPr>
        <w:t>:</w:t>
      </w:r>
    </w:p>
    <w:p w14:paraId="3AFD60F4"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commercialisation of equity risks eroding its doctrinal clarity and remedial effectiveness."</w:t>
      </w:r>
    </w:p>
    <w:p w14:paraId="257D43D0"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Broader Implications:</w:t>
      </w:r>
    </w:p>
    <w:p w14:paraId="519F4DDD" w14:textId="77777777" w:rsidR="004E1CAA" w:rsidRPr="004E1CAA" w:rsidRDefault="004E1CAA" w:rsidP="00CF31E6">
      <w:pPr>
        <w:numPr>
          <w:ilvl w:val="0"/>
          <w:numId w:val="55"/>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Loss of Doctrinal Coherence</w:t>
      </w:r>
      <w:r w:rsidRPr="004E1CAA">
        <w:rPr>
          <w:rFonts w:ascii="Times New Roman" w:hAnsi="Times New Roman"/>
          <w:lang w:val="en-HK"/>
        </w:rPr>
        <w:t>:</w:t>
      </w:r>
      <w:r w:rsidRPr="004E1CAA">
        <w:rPr>
          <w:rFonts w:ascii="Times New Roman" w:hAnsi="Times New Roman"/>
          <w:lang w:val="en-HK"/>
        </w:rPr>
        <w:br/>
        <w:t>By aligning equitable remedies with commercial norms, the courts risk undermining equity’s distinctiveness and reducing its capacity to address power imbalances.</w:t>
      </w:r>
    </w:p>
    <w:p w14:paraId="677B062D" w14:textId="77777777" w:rsidR="004E1CAA" w:rsidRPr="004E1CAA" w:rsidRDefault="004E1CAA" w:rsidP="00CF31E6">
      <w:pPr>
        <w:numPr>
          <w:ilvl w:val="0"/>
          <w:numId w:val="55"/>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Access to Justice</w:t>
      </w:r>
      <w:r w:rsidRPr="004E1CAA">
        <w:rPr>
          <w:rFonts w:ascii="Times New Roman" w:hAnsi="Times New Roman"/>
          <w:lang w:val="en-HK"/>
        </w:rPr>
        <w:t>:</w:t>
      </w:r>
      <w:r w:rsidRPr="004E1CAA">
        <w:rPr>
          <w:rFonts w:ascii="Times New Roman" w:hAnsi="Times New Roman"/>
          <w:lang w:val="en-HK"/>
        </w:rPr>
        <w:br/>
        <w:t>The prioritization of commercial certainty may disadvantage vulnerable parties, particularly beneficiaries who rely on equity to redress fiduciary misconduct.</w:t>
      </w:r>
    </w:p>
    <w:p w14:paraId="75A8E5F4"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lastRenderedPageBreak/>
        <w:pict w14:anchorId="3AD7EB8D">
          <v:rect id="_x0000_i1064" alt="" style="width:451.3pt;height:.05pt;mso-width-percent:0;mso-height-percent:0;mso-width-percent:0;mso-height-percent:0" o:hralign="center" o:hrstd="t" o:hr="t" fillcolor="#a0a0a0" stroked="f"/>
        </w:pict>
      </w:r>
    </w:p>
    <w:p w14:paraId="6B8ABA46"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5. Conclusion of the Introduction</w:t>
      </w:r>
    </w:p>
    <w:p w14:paraId="4418FA34"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The authors conclude that the increasing commercialisation of equity reflects a broader judicial trend toward prioritizing clarity, efficiency, and predictability in legal outcomes. While this shift enhances equity’s relevance in modern commerce, it raises significant concerns about the erosion of its foundational principles. The introduction sets the stage for the subsequent sections, which </w:t>
      </w:r>
      <w:proofErr w:type="spellStart"/>
      <w:r w:rsidRPr="004E1CAA">
        <w:rPr>
          <w:rFonts w:ascii="Times New Roman" w:hAnsi="Times New Roman"/>
          <w:lang w:val="en-HK"/>
        </w:rPr>
        <w:t>analyze</w:t>
      </w:r>
      <w:proofErr w:type="spellEnd"/>
      <w:r w:rsidRPr="004E1CAA">
        <w:rPr>
          <w:rFonts w:ascii="Times New Roman" w:hAnsi="Times New Roman"/>
          <w:lang w:val="en-HK"/>
        </w:rPr>
        <w:t xml:space="preserve"> the implications of this transformation in greater detail.</w:t>
      </w:r>
    </w:p>
    <w:p w14:paraId="0D437097"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Scholarly Summary:</w:t>
      </w:r>
    </w:p>
    <w:p w14:paraId="6F430035" w14:textId="77777777" w:rsidR="004E1CAA" w:rsidRPr="004E1CAA" w:rsidRDefault="004E1CAA" w:rsidP="00CF31E6">
      <w:pPr>
        <w:spacing w:before="100" w:beforeAutospacing="1" w:after="100" w:afterAutospacing="1" w:line="276" w:lineRule="auto"/>
        <w:rPr>
          <w:rFonts w:ascii="Times New Roman" w:hAnsi="Times New Roman"/>
          <w:lang w:val="en-HK"/>
        </w:rPr>
      </w:pPr>
      <w:proofErr w:type="spellStart"/>
      <w:r w:rsidRPr="004E1CAA">
        <w:rPr>
          <w:rFonts w:ascii="Times New Roman" w:hAnsi="Times New Roman"/>
          <w:b/>
          <w:bCs/>
          <w:lang w:val="en-HK"/>
        </w:rPr>
        <w:t>Conaglen</w:t>
      </w:r>
      <w:proofErr w:type="spellEnd"/>
      <w:r w:rsidRPr="004E1CAA">
        <w:rPr>
          <w:rFonts w:ascii="Times New Roman" w:hAnsi="Times New Roman"/>
          <w:b/>
          <w:bCs/>
          <w:lang w:val="en-HK"/>
        </w:rPr>
        <w:t xml:space="preserve"> (2006)</w:t>
      </w:r>
      <w:r w:rsidRPr="004E1CAA">
        <w:rPr>
          <w:rFonts w:ascii="Times New Roman" w:hAnsi="Times New Roman"/>
          <w:lang w:val="en-HK"/>
        </w:rPr>
        <w:t>:</w:t>
      </w:r>
    </w:p>
    <w:p w14:paraId="786BE9A9"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"Equity’s unique function is to impose higher standards of conduct, a purpose that is diminished by its alignment with commercial pragmatism."</w:t>
      </w:r>
    </w:p>
    <w:p w14:paraId="5EEFF4B3"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Smith (2014)</w:t>
      </w:r>
      <w:r w:rsidRPr="004E1CAA">
        <w:rPr>
          <w:rFonts w:ascii="Times New Roman" w:hAnsi="Times New Roman"/>
          <w:lang w:val="en-HK"/>
        </w:rPr>
        <w:t>:</w:t>
      </w:r>
    </w:p>
    <w:p w14:paraId="368B5E0E"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drive for commercial certainty risks hollowing out the substantive principles of equity."</w:t>
      </w:r>
    </w:p>
    <w:p w14:paraId="3B5F1A63" w14:textId="39CEC2D4" w:rsidR="004E1CAA" w:rsidRPr="00CF31E6"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08744C94">
          <v:rect id="_x0000_i1063" alt="" style="width:451.3pt;height:.05pt;mso-width-percent:0;mso-height-percent:0;mso-width-percent:0;mso-height-percent:0" o:hralign="center" o:hrstd="t" o:hr="t" fillcolor="#a0a0a0" stroked="f"/>
        </w:pict>
      </w:r>
    </w:p>
    <w:p w14:paraId="6E9346EE" w14:textId="14E8A06C"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Section 1: Judges, Commerce, and Equity – Detailed Analysis</w:t>
      </w:r>
    </w:p>
    <w:p w14:paraId="231505A2"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This section of the document examines the impact of judicial composition and the evolving commercial context on equity and trusts law. It evaluates historical and contemporary perspectives, highlighting the judiciary's role in reshaping equity to suit commercial realities.</w:t>
      </w:r>
    </w:p>
    <w:p w14:paraId="7885E45A"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0B3DE7FC">
          <v:rect id="_x0000_i1062" alt="" style="width:451.3pt;height:.05pt;mso-width-percent:0;mso-height-percent:0;mso-width-percent:0;mso-height-percent:0" o:hralign="center" o:hrstd="t" o:hr="t" fillcolor="#a0a0a0" stroked="f"/>
        </w:pict>
      </w:r>
    </w:p>
    <w:p w14:paraId="43963BFE"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1. Historical Context of Equity and Judicial Influence</w:t>
      </w:r>
    </w:p>
    <w:p w14:paraId="75885D4E"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St. Thomas More's Influence</w:t>
      </w:r>
      <w:r w:rsidRPr="004E1CAA">
        <w:rPr>
          <w:rFonts w:ascii="Times New Roman" w:hAnsi="Times New Roman"/>
          <w:lang w:val="en-HK"/>
        </w:rPr>
        <w:t>:</w:t>
      </w:r>
      <w:r w:rsidRPr="004E1CAA">
        <w:rPr>
          <w:rFonts w:ascii="Times New Roman" w:hAnsi="Times New Roman"/>
          <w:lang w:val="en-HK"/>
        </w:rPr>
        <w:br/>
        <w:t xml:space="preserve">As the first common lawyer to serve as Lord Chancellor, St. Thomas More is credited with integrating rational principles into equity. Holdsworth described More’s Chancellorship as a </w:t>
      </w:r>
      <w:r w:rsidRPr="004E1CAA">
        <w:rPr>
          <w:rFonts w:ascii="Times New Roman" w:hAnsi="Times New Roman"/>
          <w:b/>
          <w:bCs/>
          <w:lang w:val="en-HK"/>
        </w:rPr>
        <w:t>transformative period for equity</w:t>
      </w:r>
      <w:r w:rsidRPr="004E1CAA">
        <w:rPr>
          <w:rFonts w:ascii="Times New Roman" w:hAnsi="Times New Roman"/>
          <w:lang w:val="en-HK"/>
        </w:rPr>
        <w:t xml:space="preserve">, noting that More brought coherence to equitable principles, which "restored harmonious relations between the court of Chancery and the common law courts for the next half a century" (Holdsworth, </w:t>
      </w:r>
      <w:r w:rsidRPr="004E1CAA">
        <w:rPr>
          <w:rFonts w:ascii="Times New Roman" w:hAnsi="Times New Roman"/>
          <w:i/>
          <w:iCs/>
          <w:lang w:val="en-HK"/>
        </w:rPr>
        <w:t>The Influence of Roman Law on English Equity</w:t>
      </w:r>
      <w:r w:rsidRPr="004E1CAA">
        <w:rPr>
          <w:rFonts w:ascii="Times New Roman" w:hAnsi="Times New Roman"/>
          <w:lang w:val="en-HK"/>
        </w:rPr>
        <w:t>).</w:t>
      </w:r>
    </w:p>
    <w:p w14:paraId="0B7077F8"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Scott on Equity's Evolution</w:t>
      </w:r>
      <w:r w:rsidRPr="004E1CAA">
        <w:rPr>
          <w:rFonts w:ascii="Times New Roman" w:hAnsi="Times New Roman"/>
          <w:lang w:val="en-HK"/>
        </w:rPr>
        <w:t>:</w:t>
      </w:r>
      <w:r w:rsidRPr="004E1CAA">
        <w:rPr>
          <w:rFonts w:ascii="Times New Roman" w:hAnsi="Times New Roman"/>
          <w:lang w:val="en-HK"/>
        </w:rPr>
        <w:br/>
        <w:t xml:space="preserve">AW Scott noted that "equity did not begin to assume the shape of law until More became </w:t>
      </w:r>
      <w:r w:rsidRPr="004E1CAA">
        <w:rPr>
          <w:rFonts w:ascii="Times New Roman" w:hAnsi="Times New Roman"/>
          <w:lang w:val="en-HK"/>
        </w:rPr>
        <w:lastRenderedPageBreak/>
        <w:t>Chancellor," emphasizing More’s role in grounding equity in rational legal principles (</w:t>
      </w:r>
      <w:r w:rsidRPr="004E1CAA">
        <w:rPr>
          <w:rFonts w:ascii="Times New Roman" w:hAnsi="Times New Roman"/>
          <w:i/>
          <w:iCs/>
          <w:lang w:val="en-HK"/>
        </w:rPr>
        <w:t>Trusts §1.1</w:t>
      </w:r>
      <w:r w:rsidRPr="004E1CAA">
        <w:rPr>
          <w:rFonts w:ascii="Times New Roman" w:hAnsi="Times New Roman"/>
          <w:lang w:val="en-HK"/>
        </w:rPr>
        <w:t>).</w:t>
      </w:r>
    </w:p>
    <w:p w14:paraId="74B71785"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Mansfield's Contribution</w:t>
      </w:r>
      <w:r w:rsidRPr="004E1CAA">
        <w:rPr>
          <w:rFonts w:ascii="Times New Roman" w:hAnsi="Times New Roman"/>
          <w:lang w:val="en-HK"/>
        </w:rPr>
        <w:t>:</w:t>
      </w:r>
      <w:r w:rsidRPr="004E1CAA">
        <w:rPr>
          <w:rFonts w:ascii="Times New Roman" w:hAnsi="Times New Roman"/>
          <w:lang w:val="en-HK"/>
        </w:rPr>
        <w:br/>
        <w:t>Lord Mansfield is celebrated for integrating equity principles into commercial law, stating he “never liked common law so well as when it resembled equity” (</w:t>
      </w:r>
      <w:r w:rsidRPr="004E1CAA">
        <w:rPr>
          <w:rFonts w:ascii="Times New Roman" w:hAnsi="Times New Roman"/>
          <w:i/>
          <w:iCs/>
          <w:lang w:val="en-HK"/>
        </w:rPr>
        <w:t>Hanbury, The Field of Modern Equity</w:t>
      </w:r>
      <w:r w:rsidRPr="004E1CAA">
        <w:rPr>
          <w:rFonts w:ascii="Times New Roman" w:hAnsi="Times New Roman"/>
          <w:lang w:val="en-HK"/>
        </w:rPr>
        <w:t>). His approach infused equity into key areas of commercial law, ensuring that it remained relevant in addressing emerging economic issues.</w:t>
      </w:r>
    </w:p>
    <w:p w14:paraId="2F0E2C86"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60F9586E">
          <v:rect id="_x0000_i1061" alt="" style="width:451.3pt;height:.05pt;mso-width-percent:0;mso-height-percent:0;mso-width-percent:0;mso-height-percent:0" o:hralign="center" o:hrstd="t" o:hr="t" fillcolor="#a0a0a0" stroked="f"/>
        </w:pict>
      </w:r>
    </w:p>
    <w:p w14:paraId="4DCED709"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2. Diminished Chancery Expertise in the Modern Supreme Court</w:t>
      </w:r>
    </w:p>
    <w:p w14:paraId="131C639E"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document critiques the contemporary composition of the UK Supreme Court, arguing that a lack of Chancery expertise has skewed its approach to equity.</w:t>
      </w:r>
    </w:p>
    <w:p w14:paraId="432654BA"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Current Composition</w:t>
      </w:r>
      <w:r w:rsidRPr="004E1CAA">
        <w:rPr>
          <w:rFonts w:ascii="Times New Roman" w:hAnsi="Times New Roman"/>
          <w:lang w:val="en-HK"/>
        </w:rPr>
        <w:t>:</w:t>
      </w:r>
      <w:r w:rsidRPr="004E1CAA">
        <w:rPr>
          <w:rFonts w:ascii="Times New Roman" w:hAnsi="Times New Roman"/>
          <w:lang w:val="en-HK"/>
        </w:rPr>
        <w:br/>
        <w:t xml:space="preserve">The Constitutional Reform Act 2005 (s 27(8)) requires that the court have knowledge of the laws of all parts of the UK but does not mandate Chancery expertise. Since the retirement of Lord Walker (who delivered the final judgment in </w:t>
      </w:r>
      <w:r w:rsidRPr="004E1CAA">
        <w:rPr>
          <w:rFonts w:ascii="Times New Roman" w:hAnsi="Times New Roman"/>
          <w:b/>
          <w:bCs/>
          <w:lang w:val="en-HK"/>
        </w:rPr>
        <w:t>Pitt v Holt [2013] UKSC 26</w:t>
      </w:r>
      <w:r w:rsidRPr="004E1CAA">
        <w:rPr>
          <w:rFonts w:ascii="Times New Roman" w:hAnsi="Times New Roman"/>
          <w:lang w:val="en-HK"/>
        </w:rPr>
        <w:t>), Lord Neuberger is the only Chancery specialist on the court. This leaves the court "looking a bit threadbare on the Chancery side" (</w:t>
      </w:r>
      <w:proofErr w:type="spellStart"/>
      <w:r w:rsidRPr="004E1CAA">
        <w:rPr>
          <w:rFonts w:ascii="Times New Roman" w:hAnsi="Times New Roman"/>
          <w:lang w:val="en-HK"/>
        </w:rPr>
        <w:t>Rozenberg</w:t>
      </w:r>
      <w:proofErr w:type="spellEnd"/>
      <w:r w:rsidRPr="004E1CAA">
        <w:rPr>
          <w:rFonts w:ascii="Times New Roman" w:hAnsi="Times New Roman"/>
          <w:lang w:val="en-HK"/>
        </w:rPr>
        <w:t xml:space="preserve">, </w:t>
      </w:r>
      <w:r w:rsidRPr="004E1CAA">
        <w:rPr>
          <w:rFonts w:ascii="Times New Roman" w:hAnsi="Times New Roman"/>
          <w:i/>
          <w:iCs/>
          <w:lang w:val="en-HK"/>
        </w:rPr>
        <w:t>The Guardian</w:t>
      </w:r>
      <w:r w:rsidRPr="004E1CAA">
        <w:rPr>
          <w:rFonts w:ascii="Times New Roman" w:hAnsi="Times New Roman"/>
          <w:lang w:val="en-HK"/>
        </w:rPr>
        <w:t>).</w:t>
      </w:r>
    </w:p>
    <w:p w14:paraId="308D437B"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Neuberger’s Role</w:t>
      </w:r>
      <w:r w:rsidRPr="004E1CAA">
        <w:rPr>
          <w:rFonts w:ascii="Times New Roman" w:hAnsi="Times New Roman"/>
          <w:lang w:val="en-HK"/>
        </w:rPr>
        <w:t>:</w:t>
      </w:r>
      <w:r w:rsidRPr="004E1CAA">
        <w:rPr>
          <w:rFonts w:ascii="Times New Roman" w:hAnsi="Times New Roman"/>
          <w:lang w:val="en-HK"/>
        </w:rPr>
        <w:br/>
        <w:t xml:space="preserve">Lord Neuberger, who previously reversed his own judgment in </w:t>
      </w:r>
      <w:r w:rsidRPr="004E1CAA">
        <w:rPr>
          <w:rFonts w:ascii="Times New Roman" w:hAnsi="Times New Roman"/>
          <w:b/>
          <w:bCs/>
          <w:lang w:val="en-HK"/>
        </w:rPr>
        <w:t>FHR European Ventures</w:t>
      </w:r>
      <w:r w:rsidRPr="004E1CAA">
        <w:rPr>
          <w:rFonts w:ascii="Times New Roman" w:hAnsi="Times New Roman"/>
          <w:lang w:val="en-HK"/>
        </w:rPr>
        <w:t xml:space="preserve">, acknowledged the impact of individual judicial perspectives on the development of equity. In his </w:t>
      </w:r>
      <w:proofErr w:type="spellStart"/>
      <w:r w:rsidRPr="004E1CAA">
        <w:rPr>
          <w:rFonts w:ascii="Times New Roman" w:hAnsi="Times New Roman"/>
          <w:lang w:val="en-HK"/>
        </w:rPr>
        <w:t>Lehane</w:t>
      </w:r>
      <w:proofErr w:type="spellEnd"/>
      <w:r w:rsidRPr="004E1CAA">
        <w:rPr>
          <w:rFonts w:ascii="Times New Roman" w:hAnsi="Times New Roman"/>
          <w:lang w:val="en-HK"/>
        </w:rPr>
        <w:t xml:space="preserve"> Lecture (2014), Neuberger observed that "</w:t>
      </w:r>
      <w:r w:rsidRPr="004E1CAA">
        <w:rPr>
          <w:rFonts w:ascii="Times New Roman" w:hAnsi="Times New Roman"/>
          <w:b/>
          <w:bCs/>
          <w:color w:val="FF0000"/>
          <w:lang w:val="en-HK"/>
        </w:rPr>
        <w:t>equity is alive in the UK Supreme Court" but cautioned against over-simplification of its principles.</w:t>
      </w:r>
      <w:r w:rsidRPr="004E1CAA">
        <w:rPr>
          <w:rFonts w:ascii="Times New Roman" w:hAnsi="Times New Roman"/>
          <w:lang w:val="en-HK"/>
        </w:rPr>
        <w:t xml:space="preserve"> His reversal in </w:t>
      </w:r>
      <w:r w:rsidRPr="004E1CAA">
        <w:rPr>
          <w:rFonts w:ascii="Times New Roman" w:hAnsi="Times New Roman"/>
          <w:b/>
          <w:bCs/>
          <w:lang w:val="en-HK"/>
        </w:rPr>
        <w:t>FHR</w:t>
      </w:r>
      <w:r w:rsidRPr="004E1CAA">
        <w:rPr>
          <w:rFonts w:ascii="Times New Roman" w:hAnsi="Times New Roman"/>
          <w:lang w:val="en-HK"/>
        </w:rPr>
        <w:t xml:space="preserve"> from his earlier stance in </w:t>
      </w:r>
      <w:r w:rsidRPr="004E1CAA">
        <w:rPr>
          <w:rFonts w:ascii="Times New Roman" w:hAnsi="Times New Roman"/>
          <w:b/>
          <w:bCs/>
          <w:lang w:val="en-HK"/>
        </w:rPr>
        <w:t>Sinclair Investments [2011] 3 WLR 1153</w:t>
      </w:r>
      <w:r w:rsidRPr="004E1CAA">
        <w:rPr>
          <w:rFonts w:ascii="Times New Roman" w:hAnsi="Times New Roman"/>
          <w:lang w:val="en-HK"/>
        </w:rPr>
        <w:t xml:space="preserve"> exemplifies this shift.</w:t>
      </w:r>
    </w:p>
    <w:p w14:paraId="36628C58"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58C26267">
          <v:rect id="_x0000_i1060" alt="" style="width:451.3pt;height:.05pt;mso-width-percent:0;mso-height-percent:0;mso-width-percent:0;mso-height-percent:0" o:hralign="center" o:hrstd="t" o:hr="t" fillcolor="#a0a0a0" stroked="f"/>
        </w:pict>
      </w:r>
    </w:p>
    <w:p w14:paraId="7DAECA75" w14:textId="40834AF9"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3. The Rise of Commercial Pragmatism</w:t>
      </w:r>
      <w:r w:rsidR="001F4C71">
        <w:rPr>
          <w:rFonts w:ascii="Times New Roman" w:hAnsi="Times New Roman"/>
          <w:b/>
          <w:bCs/>
          <w:lang w:val="en-HK"/>
        </w:rPr>
        <w:t xml:space="preserve"> </w:t>
      </w:r>
      <w:r w:rsidR="001F4C71">
        <w:rPr>
          <w:rFonts w:ascii="Microsoft Jhenghei" w:eastAsia="Microsoft Jhenghei" w:hAnsi="Microsoft Jhenghei" w:hint="eastAsia"/>
          <w:color w:val="000000"/>
          <w:sz w:val="18"/>
          <w:szCs w:val="18"/>
          <w:shd w:val="clear" w:color="auto" w:fill="EFF6FF"/>
        </w:rPr>
        <w:t>商業實用主義</w:t>
      </w:r>
      <w:r w:rsidRPr="004E1CAA">
        <w:rPr>
          <w:rFonts w:ascii="Times New Roman" w:hAnsi="Times New Roman"/>
          <w:b/>
          <w:bCs/>
          <w:lang w:val="en-HK"/>
        </w:rPr>
        <w:t xml:space="preserve"> in Equity</w:t>
      </w:r>
    </w:p>
    <w:p w14:paraId="3599D713"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authors argue that equity has increasingly been shaped by commercial pragmatism rather than doctrinal purity.</w:t>
      </w:r>
    </w:p>
    <w:p w14:paraId="69DCD562"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 xml:space="preserve">Target Holdings v </w:t>
      </w:r>
      <w:proofErr w:type="spellStart"/>
      <w:r w:rsidRPr="004E1CAA">
        <w:rPr>
          <w:rFonts w:ascii="Times New Roman" w:hAnsi="Times New Roman"/>
          <w:b/>
          <w:bCs/>
          <w:lang w:val="en-HK"/>
        </w:rPr>
        <w:t>Redferns</w:t>
      </w:r>
      <w:proofErr w:type="spellEnd"/>
      <w:r w:rsidRPr="004E1CAA">
        <w:rPr>
          <w:rFonts w:ascii="Times New Roman" w:hAnsi="Times New Roman"/>
          <w:b/>
          <w:bCs/>
          <w:lang w:val="en-HK"/>
        </w:rPr>
        <w:t xml:space="preserve"> [1996] AC 421</w:t>
      </w:r>
      <w:r w:rsidRPr="004E1CAA">
        <w:rPr>
          <w:rFonts w:ascii="Times New Roman" w:hAnsi="Times New Roman"/>
          <w:lang w:val="en-HK"/>
        </w:rPr>
        <w:t>:</w:t>
      </w:r>
      <w:r w:rsidRPr="004E1CAA">
        <w:rPr>
          <w:rFonts w:ascii="Times New Roman" w:hAnsi="Times New Roman"/>
          <w:lang w:val="en-HK"/>
        </w:rPr>
        <w:br/>
        <w:t xml:space="preserve">Lord Browne-Wilkinson asserted that traditional trust principles must be adapted to </w:t>
      </w:r>
      <w:r w:rsidRPr="004E1CAA">
        <w:rPr>
          <w:rFonts w:ascii="Times New Roman" w:hAnsi="Times New Roman"/>
          <w:b/>
          <w:bCs/>
          <w:lang w:val="en-HK"/>
        </w:rPr>
        <w:t>commercial contexts to avoid rendering trusts "commercially useless</w:t>
      </w:r>
      <w:r w:rsidRPr="004E1CAA">
        <w:rPr>
          <w:rFonts w:ascii="Times New Roman" w:hAnsi="Times New Roman"/>
          <w:lang w:val="en-HK"/>
        </w:rPr>
        <w:t>." This reasoning introduced a divide between "basic" and "specialist" trust principles, prioritizing compensatory liability over traditional custodianship principles.</w:t>
      </w:r>
    </w:p>
    <w:p w14:paraId="57F2F681"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 xml:space="preserve">AIB Group v Mark </w:t>
      </w:r>
      <w:proofErr w:type="spellStart"/>
      <w:r w:rsidRPr="004E1CAA">
        <w:rPr>
          <w:rFonts w:ascii="Times New Roman" w:hAnsi="Times New Roman"/>
          <w:b/>
          <w:bCs/>
          <w:lang w:val="en-HK"/>
        </w:rPr>
        <w:t>Redler</w:t>
      </w:r>
      <w:proofErr w:type="spellEnd"/>
      <w:r w:rsidRPr="004E1CAA">
        <w:rPr>
          <w:rFonts w:ascii="Times New Roman" w:hAnsi="Times New Roman"/>
          <w:b/>
          <w:bCs/>
          <w:lang w:val="en-HK"/>
        </w:rPr>
        <w:t xml:space="preserve"> [2014] UKSC 58</w:t>
      </w:r>
      <w:r w:rsidRPr="004E1CAA">
        <w:rPr>
          <w:rFonts w:ascii="Times New Roman" w:hAnsi="Times New Roman"/>
          <w:lang w:val="en-HK"/>
        </w:rPr>
        <w:t>:</w:t>
      </w:r>
      <w:r w:rsidRPr="004E1CAA">
        <w:rPr>
          <w:rFonts w:ascii="Times New Roman" w:hAnsi="Times New Roman"/>
          <w:lang w:val="en-HK"/>
        </w:rPr>
        <w:br/>
        <w:t xml:space="preserve">This case reaffirmed </w:t>
      </w:r>
      <w:r w:rsidRPr="004E1CAA">
        <w:rPr>
          <w:rFonts w:ascii="Times New Roman" w:hAnsi="Times New Roman"/>
          <w:b/>
          <w:bCs/>
          <w:lang w:val="en-HK"/>
        </w:rPr>
        <w:t>Target Holdings</w:t>
      </w:r>
      <w:r w:rsidRPr="004E1CAA">
        <w:rPr>
          <w:rFonts w:ascii="Times New Roman" w:hAnsi="Times New Roman"/>
          <w:lang w:val="en-HK"/>
        </w:rPr>
        <w:t xml:space="preserve">, holding that equitable compensation is reparative, </w:t>
      </w:r>
      <w:r w:rsidRPr="004E1CAA">
        <w:rPr>
          <w:rFonts w:ascii="Times New Roman" w:hAnsi="Times New Roman"/>
          <w:lang w:val="en-HK"/>
        </w:rPr>
        <w:lastRenderedPageBreak/>
        <w:t>aligning with contractual damages. Lord Toulson emphasized that equitable remedies must "reflect the characteristics of the particular obligation breached" ([2014] 3 WLR 1367 at [138]). Critics argue this approach undermines the foundational custodianship duties of trusteeship.</w:t>
      </w:r>
    </w:p>
    <w:p w14:paraId="1EE78DE7"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Scholarly Critique:</w:t>
      </w:r>
    </w:p>
    <w:p w14:paraId="343BA4FF" w14:textId="77777777" w:rsidR="004E1CAA" w:rsidRPr="004E1CAA" w:rsidRDefault="004E1CAA" w:rsidP="00CF31E6">
      <w:pPr>
        <w:numPr>
          <w:ilvl w:val="0"/>
          <w:numId w:val="4"/>
        </w:num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Justice Edelman (extrajudicially) criticized this shift as an "English </w:t>
      </w:r>
      <w:proofErr w:type="spellStart"/>
      <w:r w:rsidRPr="004E1CAA">
        <w:rPr>
          <w:rFonts w:ascii="Times New Roman" w:hAnsi="Times New Roman"/>
          <w:lang w:val="en-HK"/>
        </w:rPr>
        <w:t>misturning</w:t>
      </w:r>
      <w:proofErr w:type="spellEnd"/>
      <w:r w:rsidRPr="004E1CAA">
        <w:rPr>
          <w:rFonts w:ascii="Times New Roman" w:hAnsi="Times New Roman"/>
          <w:lang w:val="en-HK"/>
        </w:rPr>
        <w:t xml:space="preserve"> with equitable compensation" (</w:t>
      </w:r>
      <w:r w:rsidRPr="004E1CAA">
        <w:rPr>
          <w:rFonts w:ascii="Times New Roman" w:hAnsi="Times New Roman"/>
          <w:i/>
          <w:iCs/>
          <w:lang w:val="en-HK"/>
        </w:rPr>
        <w:t>UNSW Colloquium, 2015</w:t>
      </w:r>
      <w:r w:rsidRPr="004E1CAA">
        <w:rPr>
          <w:rFonts w:ascii="Times New Roman" w:hAnsi="Times New Roman"/>
          <w:lang w:val="en-HK"/>
        </w:rPr>
        <w:t>), arguing that it neglects traditional accounting principles like falsification and surcharging, which are central to equity’s distinctiveness.</w:t>
      </w:r>
    </w:p>
    <w:p w14:paraId="6F358873" w14:textId="77777777" w:rsidR="004E1CAA" w:rsidRPr="004E1CAA" w:rsidRDefault="004E1CAA" w:rsidP="00CF31E6">
      <w:pPr>
        <w:numPr>
          <w:ilvl w:val="0"/>
          <w:numId w:val="4"/>
        </w:num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Lord Millett similarly lamented the decline of equitable doctrine in </w:t>
      </w:r>
      <w:proofErr w:type="spellStart"/>
      <w:r w:rsidRPr="004E1CAA">
        <w:rPr>
          <w:rFonts w:ascii="Times New Roman" w:hAnsi="Times New Roman"/>
          <w:lang w:val="en-HK"/>
        </w:rPr>
        <w:t>favor</w:t>
      </w:r>
      <w:proofErr w:type="spellEnd"/>
      <w:r w:rsidRPr="004E1CAA">
        <w:rPr>
          <w:rFonts w:ascii="Times New Roman" w:hAnsi="Times New Roman"/>
          <w:lang w:val="en-HK"/>
        </w:rPr>
        <w:t xml:space="preserve"> of commercial pragmatism, observing that modern courts “fail to distinguish between substitutive and reparative remedies” (</w:t>
      </w:r>
      <w:r w:rsidRPr="004E1CAA">
        <w:rPr>
          <w:rFonts w:ascii="Times New Roman" w:hAnsi="Times New Roman"/>
          <w:i/>
          <w:iCs/>
          <w:lang w:val="en-HK"/>
        </w:rPr>
        <w:t>Equity’s Place in the Law of Commerce</w:t>
      </w:r>
      <w:r w:rsidRPr="004E1CAA">
        <w:rPr>
          <w:rFonts w:ascii="Times New Roman" w:hAnsi="Times New Roman"/>
          <w:lang w:val="en-HK"/>
        </w:rPr>
        <w:t>, 1998).</w:t>
      </w:r>
    </w:p>
    <w:p w14:paraId="73C09E5B"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3445FF95">
          <v:rect id="_x0000_i1059" alt="" style="width:451.3pt;height:.05pt;mso-width-percent:0;mso-height-percent:0;mso-width-percent:0;mso-height-percent:0" o:hralign="center" o:hrstd="t" o:hr="t" fillcolor="#a0a0a0" stroked="f"/>
        </w:pict>
      </w:r>
    </w:p>
    <w:p w14:paraId="3F880F8E"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4. The Impact of Judicial Backgrounds</w:t>
      </w:r>
    </w:p>
    <w:p w14:paraId="61C99639"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section highlights the influence of judges' professional backgrounds on equity’s development:</w:t>
      </w:r>
    </w:p>
    <w:p w14:paraId="0D94E82B" w14:textId="77777777" w:rsidR="004E1CAA" w:rsidRPr="004E1CAA" w:rsidRDefault="004E1CAA" w:rsidP="00CF31E6">
      <w:pPr>
        <w:numPr>
          <w:ilvl w:val="0"/>
          <w:numId w:val="5"/>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Toulson and Commercial Expertise</w:t>
      </w:r>
      <w:r w:rsidRPr="004E1CAA">
        <w:rPr>
          <w:rFonts w:ascii="Times New Roman" w:hAnsi="Times New Roman"/>
          <w:lang w:val="en-HK"/>
        </w:rPr>
        <w:t>:</w:t>
      </w:r>
      <w:r w:rsidRPr="004E1CAA">
        <w:rPr>
          <w:rFonts w:ascii="Times New Roman" w:hAnsi="Times New Roman"/>
          <w:lang w:val="en-HK"/>
        </w:rPr>
        <w:br/>
        <w:t>Lord Toulson, a commercial law expert, replaced Lord Walker, a Chancery specialist, further tilting the court’s equity jurisprudence toward commercial priorities.</w:t>
      </w:r>
    </w:p>
    <w:p w14:paraId="249B7CD5" w14:textId="77777777" w:rsidR="004E1CAA" w:rsidRPr="004E1CAA" w:rsidRDefault="004E1CAA" w:rsidP="00CF31E6">
      <w:pPr>
        <w:numPr>
          <w:ilvl w:val="0"/>
          <w:numId w:val="5"/>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 xml:space="preserve">Lord Sumption's </w:t>
      </w:r>
      <w:proofErr w:type="spellStart"/>
      <w:r w:rsidRPr="004E1CAA">
        <w:rPr>
          <w:rFonts w:ascii="Times New Roman" w:hAnsi="Times New Roman"/>
          <w:b/>
          <w:bCs/>
          <w:lang w:val="en-HK"/>
        </w:rPr>
        <w:t>Skepticism</w:t>
      </w:r>
      <w:proofErr w:type="spellEnd"/>
      <w:r w:rsidRPr="004E1CAA">
        <w:rPr>
          <w:rFonts w:ascii="Times New Roman" w:hAnsi="Times New Roman"/>
          <w:b/>
          <w:bCs/>
          <w:lang w:val="en-HK"/>
        </w:rPr>
        <w:t xml:space="preserve"> of Specialization</w:t>
      </w:r>
      <w:r w:rsidRPr="004E1CAA">
        <w:rPr>
          <w:rFonts w:ascii="Times New Roman" w:hAnsi="Times New Roman"/>
          <w:lang w:val="en-HK"/>
        </w:rPr>
        <w:t>:</w:t>
      </w:r>
      <w:r w:rsidRPr="004E1CAA">
        <w:rPr>
          <w:rFonts w:ascii="Times New Roman" w:hAnsi="Times New Roman"/>
          <w:lang w:val="en-HK"/>
        </w:rPr>
        <w:br/>
        <w:t xml:space="preserve">Lord Sumption expressed doubt about the value of specialization, stating, "legal specializations are essentially bogus" (Sumption, </w:t>
      </w:r>
      <w:r w:rsidRPr="004E1CAA">
        <w:rPr>
          <w:rFonts w:ascii="Times New Roman" w:hAnsi="Times New Roman"/>
          <w:i/>
          <w:iCs/>
          <w:lang w:val="en-HK"/>
        </w:rPr>
        <w:t>Family Law at a Distance</w:t>
      </w:r>
      <w:r w:rsidRPr="004E1CAA">
        <w:rPr>
          <w:rFonts w:ascii="Times New Roman" w:hAnsi="Times New Roman"/>
          <w:lang w:val="en-HK"/>
        </w:rPr>
        <w:t xml:space="preserve">, 2016). However, his judgments, such as in </w:t>
      </w:r>
      <w:r w:rsidRPr="004E1CAA">
        <w:rPr>
          <w:rFonts w:ascii="Times New Roman" w:hAnsi="Times New Roman"/>
          <w:b/>
          <w:bCs/>
          <w:lang w:val="en-HK"/>
        </w:rPr>
        <w:t>Bailey v Angove’s PTY Ltd [2016] 1 WLR 3179</w:t>
      </w:r>
      <w:r w:rsidRPr="004E1CAA">
        <w:rPr>
          <w:rFonts w:ascii="Times New Roman" w:hAnsi="Times New Roman"/>
          <w:lang w:val="en-HK"/>
        </w:rPr>
        <w:t>, often reflect a preference for commercial pragmatism over equitable tradition.</w:t>
      </w:r>
    </w:p>
    <w:p w14:paraId="7C10CE98"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7C6ABBC3">
          <v:rect id="_x0000_i1058" alt="" style="width:451.3pt;height:.05pt;mso-width-percent:0;mso-height-percent:0;mso-width-percent:0;mso-height-percent:0" o:hralign="center" o:hrstd="t" o:hr="t" fillcolor="#a0a0a0" stroked="f"/>
        </w:pict>
      </w:r>
    </w:p>
    <w:p w14:paraId="2BD2878B"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5. Fusion and Commercial Influence</w:t>
      </w:r>
    </w:p>
    <w:p w14:paraId="46A6AFBF"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authors argue that recent cases reflect a tacit "fusion" of common law and equity, driven by commercial considerations.</w:t>
      </w:r>
    </w:p>
    <w:p w14:paraId="03B0FA79" w14:textId="77777777" w:rsidR="004E1CAA" w:rsidRPr="004E1CAA" w:rsidRDefault="004E1CAA" w:rsidP="00CF31E6">
      <w:pPr>
        <w:numPr>
          <w:ilvl w:val="0"/>
          <w:numId w:val="6"/>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AIB and Fusion</w:t>
      </w:r>
      <w:r w:rsidRPr="004E1CAA">
        <w:rPr>
          <w:rFonts w:ascii="Times New Roman" w:hAnsi="Times New Roman"/>
          <w:lang w:val="en-HK"/>
        </w:rPr>
        <w:t>:</w:t>
      </w:r>
      <w:r w:rsidRPr="004E1CAA">
        <w:rPr>
          <w:rFonts w:ascii="Times New Roman" w:hAnsi="Times New Roman"/>
          <w:lang w:val="en-HK"/>
        </w:rPr>
        <w:br/>
        <w:t xml:space="preserve">In </w:t>
      </w:r>
      <w:r w:rsidRPr="004E1CAA">
        <w:rPr>
          <w:rFonts w:ascii="Times New Roman" w:hAnsi="Times New Roman"/>
          <w:b/>
          <w:bCs/>
          <w:lang w:val="en-HK"/>
        </w:rPr>
        <w:t>AIB</w:t>
      </w:r>
      <w:r w:rsidRPr="004E1CAA">
        <w:rPr>
          <w:rFonts w:ascii="Times New Roman" w:hAnsi="Times New Roman"/>
          <w:lang w:val="en-HK"/>
        </w:rPr>
        <w:t>, Lord Toulson acknowledged that "140 years after the Judicature Act 1873, the stitching together of equity and common law continues to cause problems at the seams" ([2014] UKSC 58 at [1]). The decision exemplifies the commercial prioritization of simplicity and predictability over doctrinal rigor.</w:t>
      </w:r>
    </w:p>
    <w:p w14:paraId="37859D65" w14:textId="77777777" w:rsidR="004E1CAA" w:rsidRPr="004E1CAA" w:rsidRDefault="004E1CAA" w:rsidP="00CF31E6">
      <w:pPr>
        <w:numPr>
          <w:ilvl w:val="0"/>
          <w:numId w:val="6"/>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lastRenderedPageBreak/>
        <w:t>Lord Mansfield’s Legacy</w:t>
      </w:r>
      <w:r w:rsidRPr="004E1CAA">
        <w:rPr>
          <w:rFonts w:ascii="Times New Roman" w:hAnsi="Times New Roman"/>
          <w:lang w:val="en-HK"/>
        </w:rPr>
        <w:t>:</w:t>
      </w:r>
      <w:r w:rsidRPr="004E1CAA">
        <w:rPr>
          <w:rFonts w:ascii="Times New Roman" w:hAnsi="Times New Roman"/>
          <w:lang w:val="en-HK"/>
        </w:rPr>
        <w:br/>
        <w:t>The document likens this trend to Lord Mansfield’s approach, which, while transformative, subsumed equitable doctrine under the broader aims of commercial law.</w:t>
      </w:r>
    </w:p>
    <w:p w14:paraId="1BF3F054"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25B2105E">
          <v:rect id="_x0000_i1057" alt="" style="width:451.3pt;height:.05pt;mso-width-percent:0;mso-height-percent:0;mso-width-percent:0;mso-height-percent:0" o:hralign="center" o:hrstd="t" o:hr="t" fillcolor="#a0a0a0" stroked="f"/>
        </w:pict>
      </w:r>
    </w:p>
    <w:p w14:paraId="785788AD"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6. Conclusion</w:t>
      </w:r>
    </w:p>
    <w:p w14:paraId="51233D99"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authors conclude that the diminished Chancery expertise in the judiciary has led to the "commercialisation" of equity, prioritizing transactional efficiency and predictability over the traditional values of fiduciary accountability and equitable custodianship. They call for a more balanced approach, emphasizing the need for transparent reasoning and greater Chancery representation in judicial appointments.</w:t>
      </w:r>
    </w:p>
    <w:p w14:paraId="4FFEEDDF"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3B2AA89C">
          <v:rect id="_x0000_i1056" alt="" style="width:451.3pt;height:.05pt;mso-width-percent:0;mso-height-percent:0;mso-width-percent:0;mso-height-percent:0" o:hralign="center" o:hrstd="t" o:hr="t" fillcolor="#a0a0a0" stroked="f"/>
        </w:pict>
      </w:r>
    </w:p>
    <w:p w14:paraId="0498A03B" w14:textId="2278F52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 xml:space="preserve">Section 2: Compensatory Liability for Breach of Trust </w:t>
      </w:r>
    </w:p>
    <w:p w14:paraId="6E47AC41"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This section critically examines the evolution of compensatory liability in trust law, </w:t>
      </w:r>
      <w:r w:rsidRPr="004E1CAA">
        <w:rPr>
          <w:rFonts w:ascii="Times New Roman" w:hAnsi="Times New Roman"/>
          <w:b/>
          <w:bCs/>
          <w:lang w:val="en-HK"/>
        </w:rPr>
        <w:t>specifically how equitable compensation has been reshaped by commercial considerations</w:t>
      </w:r>
      <w:r w:rsidRPr="004E1CAA">
        <w:rPr>
          <w:rFonts w:ascii="Times New Roman" w:hAnsi="Times New Roman"/>
          <w:lang w:val="en-HK"/>
        </w:rPr>
        <w:t>. It highlights judicial reasoning, doctrinal shifts, and scholarly critiques of the divergence between traditional principles and modern commercial pragmatism.</w:t>
      </w:r>
    </w:p>
    <w:p w14:paraId="4EA83BFD"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738C4D7F">
          <v:rect id="_x0000_i1055" alt="" style="width:451.3pt;height:.05pt;mso-width-percent:0;mso-height-percent:0;mso-width-percent:0;mso-height-percent:0" o:hralign="center" o:hrstd="t" o:hr="t" fillcolor="#a0a0a0" stroked="f"/>
        </w:pict>
      </w:r>
    </w:p>
    <w:p w14:paraId="271234D9"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2.1. The Binary Framework: “Basic” vs. “Specialist” Principles</w:t>
      </w:r>
    </w:p>
    <w:p w14:paraId="00823DCE"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The modern understanding of </w:t>
      </w:r>
      <w:r w:rsidRPr="004E1CAA">
        <w:rPr>
          <w:rFonts w:ascii="Times New Roman" w:hAnsi="Times New Roman"/>
          <w:b/>
          <w:bCs/>
          <w:lang w:val="en-HK"/>
        </w:rPr>
        <w:t>compensatory liability in trusts</w:t>
      </w:r>
      <w:r w:rsidRPr="004E1CAA">
        <w:rPr>
          <w:rFonts w:ascii="Times New Roman" w:hAnsi="Times New Roman"/>
          <w:lang w:val="en-HK"/>
        </w:rPr>
        <w:t xml:space="preserve"> stems from </w:t>
      </w:r>
      <w:r w:rsidRPr="004E1CAA">
        <w:rPr>
          <w:rFonts w:ascii="Times New Roman" w:hAnsi="Times New Roman"/>
          <w:b/>
          <w:bCs/>
          <w:lang w:val="en-HK"/>
        </w:rPr>
        <w:t xml:space="preserve">Target Holdings Ltd v </w:t>
      </w:r>
      <w:proofErr w:type="spellStart"/>
      <w:r w:rsidRPr="004E1CAA">
        <w:rPr>
          <w:rFonts w:ascii="Times New Roman" w:hAnsi="Times New Roman"/>
          <w:b/>
          <w:bCs/>
          <w:lang w:val="en-HK"/>
        </w:rPr>
        <w:t>Redferns</w:t>
      </w:r>
      <w:proofErr w:type="spellEnd"/>
      <w:r w:rsidRPr="004E1CAA">
        <w:rPr>
          <w:rFonts w:ascii="Times New Roman" w:hAnsi="Times New Roman"/>
          <w:b/>
          <w:bCs/>
          <w:lang w:val="en-HK"/>
        </w:rPr>
        <w:t xml:space="preserve"> [1996] AC 421</w:t>
      </w:r>
      <w:r w:rsidRPr="004E1CAA">
        <w:rPr>
          <w:rFonts w:ascii="Times New Roman" w:hAnsi="Times New Roman"/>
          <w:lang w:val="en-HK"/>
        </w:rPr>
        <w:t>, where Lord Browne-Wilkinson introduced a binary framework:</w:t>
      </w:r>
    </w:p>
    <w:p w14:paraId="1F89BA91"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Basic Principles</w:t>
      </w:r>
      <w:r w:rsidRPr="004E1CAA">
        <w:rPr>
          <w:rFonts w:ascii="Times New Roman" w:hAnsi="Times New Roman"/>
          <w:lang w:val="en-HK"/>
        </w:rPr>
        <w:t>: These apply broadly across trust relationships, focusing on compensatory remedies for breaches of duty.</w:t>
      </w:r>
    </w:p>
    <w:p w14:paraId="01C6FF08"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Specialist Principles</w:t>
      </w:r>
      <w:r w:rsidRPr="004E1CAA">
        <w:rPr>
          <w:rFonts w:ascii="Times New Roman" w:hAnsi="Times New Roman"/>
          <w:lang w:val="en-HK"/>
        </w:rPr>
        <w:t>: These are tailored to traditional trusts, where reconstitution of the trust fund is emphasized to uphold the integrity of custodianship.</w:t>
      </w:r>
    </w:p>
    <w:p w14:paraId="4A329748"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Key Argument:</w:t>
      </w:r>
    </w:p>
    <w:p w14:paraId="11E27E4A"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Lord Browne-Wilkinson argued that </w:t>
      </w:r>
      <w:r w:rsidRPr="004E1CAA">
        <w:rPr>
          <w:rFonts w:ascii="Times New Roman" w:hAnsi="Times New Roman"/>
          <w:b/>
          <w:bCs/>
          <w:lang w:val="en-HK"/>
        </w:rPr>
        <w:t>trusts must remain "commercially useful," necessitating a departure from traditional trust rules in commercial contexts. He stated:</w:t>
      </w:r>
    </w:p>
    <w:p w14:paraId="39139681"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rationale of reconstitution is irrelevant where no beneficiary is entitled to the trust property, as in commercial bare trusts."</w:t>
      </w:r>
    </w:p>
    <w:p w14:paraId="3F81A07D"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lastRenderedPageBreak/>
        <w:t>Case Context:</w:t>
      </w:r>
    </w:p>
    <w:p w14:paraId="6AF6BC24"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Target Holdings</w:t>
      </w:r>
      <w:r w:rsidRPr="004E1CAA">
        <w:rPr>
          <w:rFonts w:ascii="Times New Roman" w:hAnsi="Times New Roman"/>
          <w:lang w:val="en-HK"/>
        </w:rPr>
        <w:t xml:space="preserve"> involved solicitors (trustees) misapplying trust funds in a mortgage transaction. Despite the breach, the transaction was later completed as intended. The House of Lords held that reconstitution was unnecessary, as the purpose of the trust had been fulfilled.</w:t>
      </w:r>
    </w:p>
    <w:p w14:paraId="169C9E07"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6885E876">
          <v:rect id="_x0000_i1054" alt="" style="width:451.3pt;height:.05pt;mso-width-percent:0;mso-height-percent:0;mso-width-percent:0;mso-height-percent:0" o:hralign="center" o:hrstd="t" o:hr="t" fillcolor="#a0a0a0" stroked="f"/>
        </w:pict>
      </w:r>
    </w:p>
    <w:p w14:paraId="11672A11"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2.2. Traditional Principles: Falsification and Surcharging</w:t>
      </w:r>
    </w:p>
    <w:p w14:paraId="3DC59881"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Historically, equitable remedies focused on two principles:</w:t>
      </w:r>
    </w:p>
    <w:p w14:paraId="60786DE5" w14:textId="77777777" w:rsidR="004E1CAA" w:rsidRPr="004E1CAA" w:rsidRDefault="004E1CAA" w:rsidP="00CF31E6">
      <w:pPr>
        <w:numPr>
          <w:ilvl w:val="0"/>
          <w:numId w:val="9"/>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Falsification</w:t>
      </w:r>
      <w:r w:rsidRPr="004E1CAA">
        <w:rPr>
          <w:rFonts w:ascii="Times New Roman" w:hAnsi="Times New Roman"/>
          <w:lang w:val="en-HK"/>
        </w:rPr>
        <w:t>:</w:t>
      </w:r>
      <w:r w:rsidRPr="004E1CAA">
        <w:rPr>
          <w:rFonts w:ascii="Times New Roman" w:hAnsi="Times New Roman"/>
          <w:lang w:val="en-HK"/>
        </w:rPr>
        <w:br/>
        <w:t>The beneficiary could treat misapplied trust assets as if they remained part of the trust, creating a "substitutive obligation" for the trustee to restore the misapplied sum.</w:t>
      </w:r>
    </w:p>
    <w:p w14:paraId="071CCCA7"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Example</w:t>
      </w:r>
      <w:r w:rsidRPr="004E1CAA">
        <w:rPr>
          <w:rFonts w:ascii="Times New Roman" w:hAnsi="Times New Roman"/>
          <w:lang w:val="en-HK"/>
        </w:rPr>
        <w:t xml:space="preserve">: In </w:t>
      </w:r>
      <w:proofErr w:type="spellStart"/>
      <w:r w:rsidRPr="004E1CAA">
        <w:rPr>
          <w:rFonts w:ascii="Times New Roman" w:hAnsi="Times New Roman"/>
          <w:b/>
          <w:bCs/>
          <w:lang w:val="en-HK"/>
        </w:rPr>
        <w:t>Ultraframe</w:t>
      </w:r>
      <w:proofErr w:type="spellEnd"/>
      <w:r w:rsidRPr="004E1CAA">
        <w:rPr>
          <w:rFonts w:ascii="Times New Roman" w:hAnsi="Times New Roman"/>
          <w:b/>
          <w:bCs/>
          <w:lang w:val="en-HK"/>
        </w:rPr>
        <w:t xml:space="preserve"> (UK) Ltd v Fielding [2005] EWHC 1638 (Ch)</w:t>
      </w:r>
      <w:r w:rsidRPr="004E1CAA">
        <w:rPr>
          <w:rFonts w:ascii="Times New Roman" w:hAnsi="Times New Roman"/>
          <w:lang w:val="en-HK"/>
        </w:rPr>
        <w:t>, the court clarified that falsification imposes strict liability, rendering causation irrelevant.</w:t>
      </w:r>
    </w:p>
    <w:p w14:paraId="76E3C9B4" w14:textId="77777777" w:rsidR="004E1CAA" w:rsidRPr="004E1CAA" w:rsidRDefault="004E1CAA" w:rsidP="00CF31E6">
      <w:pPr>
        <w:numPr>
          <w:ilvl w:val="0"/>
          <w:numId w:val="9"/>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Surcharging</w:t>
      </w:r>
      <w:r w:rsidRPr="004E1CAA">
        <w:rPr>
          <w:rFonts w:ascii="Times New Roman" w:hAnsi="Times New Roman"/>
          <w:lang w:val="en-HK"/>
        </w:rPr>
        <w:t>:</w:t>
      </w:r>
      <w:r w:rsidRPr="004E1CAA">
        <w:rPr>
          <w:rFonts w:ascii="Times New Roman" w:hAnsi="Times New Roman"/>
          <w:lang w:val="en-HK"/>
        </w:rPr>
        <w:br/>
        <w:t>The beneficiary could claim losses caused by the trustee’s lack of diligence or prudence, with causation being a critical factor.</w:t>
      </w:r>
    </w:p>
    <w:p w14:paraId="1BBDF095"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Explanation</w:t>
      </w:r>
      <w:r w:rsidRPr="004E1CAA">
        <w:rPr>
          <w:rFonts w:ascii="Times New Roman" w:hAnsi="Times New Roman"/>
          <w:lang w:val="en-HK"/>
        </w:rPr>
        <w:t>: This principle aims to "repair" harm caused by the trustee’s breach of duty.</w:t>
      </w:r>
    </w:p>
    <w:p w14:paraId="60C35713"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7433E349">
          <v:rect id="_x0000_i1053" alt="" style="width:451.3pt;height:.05pt;mso-width-percent:0;mso-height-percent:0;mso-width-percent:0;mso-height-percent:0" o:hralign="center" o:hrstd="t" o:hr="t" fillcolor="#a0a0a0" stroked="f"/>
        </w:pict>
      </w:r>
    </w:p>
    <w:p w14:paraId="40F050AA"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 xml:space="preserve">2.3. AIB Group v Mark </w:t>
      </w:r>
      <w:proofErr w:type="spellStart"/>
      <w:r w:rsidRPr="004E1CAA">
        <w:rPr>
          <w:rFonts w:ascii="Times New Roman" w:hAnsi="Times New Roman"/>
          <w:b/>
          <w:bCs/>
          <w:lang w:val="en-HK"/>
        </w:rPr>
        <w:t>Redler</w:t>
      </w:r>
      <w:proofErr w:type="spellEnd"/>
      <w:r w:rsidRPr="004E1CAA">
        <w:rPr>
          <w:rFonts w:ascii="Times New Roman" w:hAnsi="Times New Roman"/>
          <w:b/>
          <w:bCs/>
          <w:lang w:val="en-HK"/>
        </w:rPr>
        <w:t xml:space="preserve"> &amp; Co [2014] UKSC 58</w:t>
      </w:r>
    </w:p>
    <w:p w14:paraId="5E535EA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This case reaffirmed </w:t>
      </w:r>
      <w:r w:rsidRPr="004E1CAA">
        <w:rPr>
          <w:rFonts w:ascii="Times New Roman" w:hAnsi="Times New Roman"/>
          <w:b/>
          <w:bCs/>
          <w:lang w:val="en-HK"/>
        </w:rPr>
        <w:t>Target Holdings</w:t>
      </w:r>
      <w:r w:rsidRPr="004E1CAA">
        <w:rPr>
          <w:rFonts w:ascii="Times New Roman" w:hAnsi="Times New Roman"/>
          <w:lang w:val="en-HK"/>
        </w:rPr>
        <w:t xml:space="preserve"> and further aligned equitable compensation with common law damages.</w:t>
      </w:r>
    </w:p>
    <w:p w14:paraId="3F62FECA"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Facts:</w:t>
      </w:r>
    </w:p>
    <w:p w14:paraId="53D56838"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AIB advanced £3.3 million to solicitors under a trust, with instructions to redeem an existing charge on a property and secure a first charge in </w:t>
      </w:r>
      <w:proofErr w:type="spellStart"/>
      <w:r w:rsidRPr="004E1CAA">
        <w:rPr>
          <w:rFonts w:ascii="Times New Roman" w:hAnsi="Times New Roman"/>
          <w:lang w:val="en-HK"/>
        </w:rPr>
        <w:t>favor</w:t>
      </w:r>
      <w:proofErr w:type="spellEnd"/>
      <w:r w:rsidRPr="004E1CAA">
        <w:rPr>
          <w:rFonts w:ascii="Times New Roman" w:hAnsi="Times New Roman"/>
          <w:lang w:val="en-HK"/>
        </w:rPr>
        <w:t xml:space="preserve"> of AIB. The solicitors breached trust by releasing funds without fully redeeming the prior charge, leaving a shortfall of £309,000.</w:t>
      </w:r>
    </w:p>
    <w:p w14:paraId="3D0C0835"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property was later sold for £1.2 million, resulting in AIB recovering significantly less than its original loan.</w:t>
      </w:r>
    </w:p>
    <w:p w14:paraId="11A3A742"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Judgment:</w:t>
      </w:r>
    </w:p>
    <w:p w14:paraId="4E5445D3" w14:textId="77777777" w:rsidR="004E1CAA" w:rsidRPr="004E1CAA" w:rsidRDefault="004E1CAA" w:rsidP="00CF31E6">
      <w:pPr>
        <w:spacing w:before="100" w:beforeAutospacing="1" w:after="100" w:afterAutospacing="1" w:line="276" w:lineRule="auto"/>
        <w:rPr>
          <w:rFonts w:ascii="Times New Roman" w:hAnsi="Times New Roman"/>
          <w:b/>
          <w:bCs/>
          <w:lang w:val="en-HK"/>
        </w:rPr>
      </w:pPr>
      <w:r w:rsidRPr="004E1CAA">
        <w:rPr>
          <w:rFonts w:ascii="Times New Roman" w:hAnsi="Times New Roman"/>
          <w:lang w:val="en-HK"/>
        </w:rPr>
        <w:lastRenderedPageBreak/>
        <w:t xml:space="preserve">The Supreme Court limited AIB’s recovery to the actual loss caused by the breach (£275,000), </w:t>
      </w:r>
      <w:r w:rsidRPr="004E1CAA">
        <w:rPr>
          <w:rFonts w:ascii="Times New Roman" w:hAnsi="Times New Roman"/>
          <w:b/>
          <w:bCs/>
          <w:lang w:val="en-HK"/>
        </w:rPr>
        <w:t>rejecting full reconstitution of the trust fund.</w:t>
      </w:r>
    </w:p>
    <w:p w14:paraId="120787FF"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Toulson</w:t>
      </w:r>
      <w:r w:rsidRPr="004E1CAA">
        <w:rPr>
          <w:rFonts w:ascii="Times New Roman" w:hAnsi="Times New Roman"/>
          <w:lang w:val="en-HK"/>
        </w:rPr>
        <w:t xml:space="preserve"> stated:</w:t>
      </w:r>
    </w:p>
    <w:p w14:paraId="45F8FB08" w14:textId="77777777" w:rsidR="004E1CAA" w:rsidRPr="004E1CAA" w:rsidRDefault="004E1CAA" w:rsidP="00CF31E6">
      <w:pPr>
        <w:spacing w:beforeAutospacing="1" w:afterAutospacing="1" w:line="276" w:lineRule="auto"/>
        <w:rPr>
          <w:rFonts w:ascii="Times New Roman" w:hAnsi="Times New Roman"/>
          <w:b/>
          <w:bCs/>
          <w:color w:val="FF0000"/>
          <w:lang w:val="en-HK"/>
        </w:rPr>
      </w:pPr>
      <w:r w:rsidRPr="004E1CAA">
        <w:rPr>
          <w:rFonts w:ascii="Times New Roman" w:hAnsi="Times New Roman"/>
          <w:lang w:val="en-HK"/>
        </w:rPr>
        <w:t>"</w:t>
      </w:r>
      <w:r w:rsidRPr="004E1CAA">
        <w:rPr>
          <w:rFonts w:ascii="Times New Roman" w:hAnsi="Times New Roman"/>
          <w:b/>
          <w:bCs/>
          <w:color w:val="FF0000"/>
          <w:lang w:val="en-HK"/>
        </w:rPr>
        <w:t>Equitable compensation serves a reparative function… it aligns with the measure of damages for breach of contract" ([2014] 3 WLR 1367 at [73]).</w:t>
      </w:r>
    </w:p>
    <w:p w14:paraId="7BC340FD"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05A3615B">
          <v:rect id="_x0000_i1052" alt="" style="width:451.3pt;height:.05pt;mso-width-percent:0;mso-height-percent:0;mso-width-percent:0;mso-height-percent:0" o:hralign="center" o:hrstd="t" o:hr="t" fillcolor="#a0a0a0" stroked="f"/>
        </w:pict>
      </w:r>
    </w:p>
    <w:p w14:paraId="0CA11702"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2.4. Critique of Context-Based Application</w:t>
      </w:r>
    </w:p>
    <w:p w14:paraId="1AFC6D30"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The binary framework introduced in </w:t>
      </w:r>
      <w:r w:rsidRPr="004E1CAA">
        <w:rPr>
          <w:rFonts w:ascii="Times New Roman" w:hAnsi="Times New Roman"/>
          <w:b/>
          <w:bCs/>
          <w:lang w:val="en-HK"/>
        </w:rPr>
        <w:t>Target Holdings</w:t>
      </w:r>
      <w:r w:rsidRPr="004E1CAA">
        <w:rPr>
          <w:rFonts w:ascii="Times New Roman" w:hAnsi="Times New Roman"/>
          <w:lang w:val="en-HK"/>
        </w:rPr>
        <w:t xml:space="preserve"> and reaffirmed in </w:t>
      </w:r>
      <w:r w:rsidRPr="004E1CAA">
        <w:rPr>
          <w:rFonts w:ascii="Times New Roman" w:hAnsi="Times New Roman"/>
          <w:b/>
          <w:bCs/>
          <w:lang w:val="en-HK"/>
        </w:rPr>
        <w:t>AIB</w:t>
      </w:r>
      <w:r w:rsidRPr="004E1CAA">
        <w:rPr>
          <w:rFonts w:ascii="Times New Roman" w:hAnsi="Times New Roman"/>
          <w:lang w:val="en-HK"/>
        </w:rPr>
        <w:t xml:space="preserve"> has sparked significant criticism:</w:t>
      </w:r>
    </w:p>
    <w:p w14:paraId="60F58C86" w14:textId="77777777" w:rsidR="004E1CAA" w:rsidRPr="004E1CAA" w:rsidRDefault="004E1CAA" w:rsidP="00CF31E6">
      <w:pPr>
        <w:numPr>
          <w:ilvl w:val="0"/>
          <w:numId w:val="12"/>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Neglect of Traditional Principles</w:t>
      </w:r>
      <w:r w:rsidRPr="004E1CAA">
        <w:rPr>
          <w:rFonts w:ascii="Times New Roman" w:hAnsi="Times New Roman"/>
          <w:lang w:val="en-HK"/>
        </w:rPr>
        <w:t>:</w:t>
      </w:r>
      <w:r w:rsidRPr="004E1CAA">
        <w:rPr>
          <w:rFonts w:ascii="Times New Roman" w:hAnsi="Times New Roman"/>
          <w:lang w:val="en-HK"/>
        </w:rPr>
        <w:br/>
        <w:t>Scholars argue that falsification and surcharging have been overshadowed by the broader concept of "equitable compensation," diluting the distinctiveness of trust law.</w:t>
      </w:r>
    </w:p>
    <w:p w14:paraId="471CD27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Edelman (UNSW Colloquium, 2015)</w:t>
      </w:r>
      <w:r w:rsidRPr="004E1CAA">
        <w:rPr>
          <w:rFonts w:ascii="Times New Roman" w:hAnsi="Times New Roman"/>
          <w:lang w:val="en-HK"/>
        </w:rPr>
        <w:t>:</w:t>
      </w:r>
    </w:p>
    <w:p w14:paraId="37C2D448"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rise of 'equitable compensation' reflects the abandonment of equitable accounting rules, leading to conceptual confusion."</w:t>
      </w:r>
    </w:p>
    <w:p w14:paraId="485698B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Millet (1998)</w:t>
      </w:r>
      <w:r w:rsidRPr="004E1CAA">
        <w:rPr>
          <w:rFonts w:ascii="Times New Roman" w:hAnsi="Times New Roman"/>
          <w:lang w:val="en-HK"/>
        </w:rPr>
        <w:t>:</w:t>
      </w:r>
      <w:r w:rsidRPr="004E1CAA">
        <w:rPr>
          <w:rFonts w:ascii="Times New Roman" w:hAnsi="Times New Roman"/>
          <w:lang w:val="en-HK"/>
        </w:rPr>
        <w:br/>
        <w:t>Highlighted the importance of maintaining a clear distinction between substitutive and reparative remedies (</w:t>
      </w:r>
      <w:r w:rsidRPr="004E1CAA">
        <w:rPr>
          <w:rFonts w:ascii="Times New Roman" w:hAnsi="Times New Roman"/>
          <w:i/>
          <w:iCs/>
          <w:lang w:val="en-HK"/>
        </w:rPr>
        <w:t>Equity’s Place in the Law of Commerce</w:t>
      </w:r>
      <w:r w:rsidRPr="004E1CAA">
        <w:rPr>
          <w:rFonts w:ascii="Times New Roman" w:hAnsi="Times New Roman"/>
          <w:lang w:val="en-HK"/>
        </w:rPr>
        <w:t>).</w:t>
      </w:r>
    </w:p>
    <w:p w14:paraId="1E99814C" w14:textId="77777777" w:rsidR="004E1CAA" w:rsidRPr="00CF31E6" w:rsidRDefault="004E1CAA" w:rsidP="00CF31E6">
      <w:pPr>
        <w:numPr>
          <w:ilvl w:val="0"/>
          <w:numId w:val="12"/>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Commercial Pragmatism</w:t>
      </w:r>
      <w:r w:rsidRPr="004E1CAA">
        <w:rPr>
          <w:rFonts w:ascii="Times New Roman" w:hAnsi="Times New Roman"/>
          <w:lang w:val="en-HK"/>
        </w:rPr>
        <w:t>:</w:t>
      </w:r>
    </w:p>
    <w:p w14:paraId="3D2D4DB1" w14:textId="2EA582D9"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Critics contend that the focus on transactional completion prioritizes commercial efficiency over fiduciary accountability.</w:t>
      </w:r>
    </w:p>
    <w:p w14:paraId="0E0A5566" w14:textId="77777777" w:rsidR="004E1CAA" w:rsidRPr="004E1CAA" w:rsidRDefault="004E1CAA" w:rsidP="00CF31E6">
      <w:pPr>
        <w:spacing w:before="100" w:beforeAutospacing="1" w:after="100" w:afterAutospacing="1" w:line="276" w:lineRule="auto"/>
        <w:rPr>
          <w:rFonts w:ascii="Times New Roman" w:hAnsi="Times New Roman"/>
          <w:lang w:val="en-HK"/>
        </w:rPr>
      </w:pPr>
      <w:proofErr w:type="spellStart"/>
      <w:r w:rsidRPr="004E1CAA">
        <w:rPr>
          <w:rFonts w:ascii="Times New Roman" w:hAnsi="Times New Roman"/>
          <w:b/>
          <w:bCs/>
          <w:lang w:val="en-HK"/>
        </w:rPr>
        <w:t>Youyang</w:t>
      </w:r>
      <w:proofErr w:type="spellEnd"/>
      <w:r w:rsidRPr="004E1CAA">
        <w:rPr>
          <w:rFonts w:ascii="Times New Roman" w:hAnsi="Times New Roman"/>
          <w:b/>
          <w:bCs/>
          <w:lang w:val="en-HK"/>
        </w:rPr>
        <w:t xml:space="preserve"> v Minter Ellison Morris Fletcher [2003] HCA 15</w:t>
      </w:r>
      <w:r w:rsidRPr="004E1CAA">
        <w:rPr>
          <w:rFonts w:ascii="Times New Roman" w:hAnsi="Times New Roman"/>
          <w:lang w:val="en-HK"/>
        </w:rPr>
        <w:t>:</w:t>
      </w:r>
      <w:r w:rsidRPr="004E1CAA">
        <w:rPr>
          <w:rFonts w:ascii="Times New Roman" w:hAnsi="Times New Roman"/>
          <w:lang w:val="en-HK"/>
        </w:rPr>
        <w:br/>
        <w:t xml:space="preserve">The High Court of Australia rejected the context-based approach of </w:t>
      </w:r>
      <w:r w:rsidRPr="004E1CAA">
        <w:rPr>
          <w:rFonts w:ascii="Times New Roman" w:hAnsi="Times New Roman"/>
          <w:b/>
          <w:bCs/>
          <w:lang w:val="en-HK"/>
        </w:rPr>
        <w:t>Target Holdings</w:t>
      </w:r>
      <w:r w:rsidRPr="004E1CAA">
        <w:rPr>
          <w:rFonts w:ascii="Times New Roman" w:hAnsi="Times New Roman"/>
          <w:lang w:val="en-HK"/>
        </w:rPr>
        <w:t>, emphasizing the trustee’s custodial duties.</w:t>
      </w:r>
    </w:p>
    <w:p w14:paraId="3D7AD237" w14:textId="77777777" w:rsidR="004E1CAA" w:rsidRPr="004E1CAA" w:rsidRDefault="004E1CAA" w:rsidP="00CF31E6">
      <w:pPr>
        <w:numPr>
          <w:ilvl w:val="0"/>
          <w:numId w:val="12"/>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Judicial Inconsistencies</w:t>
      </w:r>
      <w:r w:rsidRPr="004E1CAA">
        <w:rPr>
          <w:rFonts w:ascii="Times New Roman" w:hAnsi="Times New Roman"/>
          <w:lang w:val="en-HK"/>
        </w:rPr>
        <w:t>:</w:t>
      </w:r>
    </w:p>
    <w:p w14:paraId="2BDF6F9C"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Toulson</w:t>
      </w:r>
      <w:r w:rsidRPr="004E1CAA">
        <w:rPr>
          <w:rFonts w:ascii="Times New Roman" w:hAnsi="Times New Roman"/>
          <w:lang w:val="en-HK"/>
        </w:rPr>
        <w:t xml:space="preserve"> appeared to endorse context-neutral principles in </w:t>
      </w:r>
      <w:r w:rsidRPr="004E1CAA">
        <w:rPr>
          <w:rFonts w:ascii="Times New Roman" w:hAnsi="Times New Roman"/>
          <w:b/>
          <w:bCs/>
          <w:lang w:val="en-HK"/>
        </w:rPr>
        <w:t>AIB</w:t>
      </w:r>
      <w:r w:rsidRPr="004E1CAA">
        <w:rPr>
          <w:rFonts w:ascii="Times New Roman" w:hAnsi="Times New Roman"/>
          <w:lang w:val="en-HK"/>
        </w:rPr>
        <w:t xml:space="preserve"> but simultaneously relied on the "completion of transaction" reasoning from </w:t>
      </w:r>
      <w:r w:rsidRPr="004E1CAA">
        <w:rPr>
          <w:rFonts w:ascii="Times New Roman" w:hAnsi="Times New Roman"/>
          <w:b/>
          <w:bCs/>
          <w:lang w:val="en-HK"/>
        </w:rPr>
        <w:t>Target Holdings</w:t>
      </w:r>
      <w:r w:rsidRPr="004E1CAA">
        <w:rPr>
          <w:rFonts w:ascii="Times New Roman" w:hAnsi="Times New Roman"/>
          <w:lang w:val="en-HK"/>
        </w:rPr>
        <w:t>, creating doctrinal ambiguity.</w:t>
      </w:r>
    </w:p>
    <w:p w14:paraId="35C96F2A"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67DAA0DF">
          <v:rect id="_x0000_i1051" alt="" style="width:451.3pt;height:.05pt;mso-width-percent:0;mso-height-percent:0;mso-width-percent:0;mso-height-percent:0" o:hralign="center" o:hrstd="t" o:hr="t" fillcolor="#a0a0a0" stroked="f"/>
        </w:pict>
      </w:r>
    </w:p>
    <w:p w14:paraId="0BBA80A4"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lastRenderedPageBreak/>
        <w:t>2.5. Consequences of the Modern Approach</w:t>
      </w:r>
    </w:p>
    <w:p w14:paraId="0CE5DA04"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modern focus on commercial pragmatism has profound implications for trust law:</w:t>
      </w:r>
    </w:p>
    <w:p w14:paraId="68E97509" w14:textId="77777777" w:rsidR="004E1CAA" w:rsidRPr="004E1CAA" w:rsidRDefault="004E1CAA" w:rsidP="00CF31E6">
      <w:pPr>
        <w:numPr>
          <w:ilvl w:val="0"/>
          <w:numId w:val="13"/>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Erosion of Trustee Obligations</w:t>
      </w:r>
      <w:r w:rsidRPr="004E1CAA">
        <w:rPr>
          <w:rFonts w:ascii="Times New Roman" w:hAnsi="Times New Roman"/>
          <w:lang w:val="en-HK"/>
        </w:rPr>
        <w:t>:</w:t>
      </w:r>
      <w:r w:rsidRPr="004E1CAA">
        <w:rPr>
          <w:rFonts w:ascii="Times New Roman" w:hAnsi="Times New Roman"/>
          <w:lang w:val="en-HK"/>
        </w:rPr>
        <w:br/>
        <w:t>The shift toward compensatory liability undermines the trustee’s core duty to "get the trust property in, protect it, and vindicate the rights attaching to it" (</w:t>
      </w:r>
      <w:r w:rsidRPr="004E1CAA">
        <w:rPr>
          <w:rFonts w:ascii="Times New Roman" w:hAnsi="Times New Roman"/>
          <w:i/>
          <w:iCs/>
          <w:lang w:val="en-HK"/>
        </w:rPr>
        <w:t xml:space="preserve">Fischer v </w:t>
      </w:r>
      <w:proofErr w:type="spellStart"/>
      <w:r w:rsidRPr="004E1CAA">
        <w:rPr>
          <w:rFonts w:ascii="Times New Roman" w:hAnsi="Times New Roman"/>
          <w:i/>
          <w:iCs/>
          <w:lang w:val="en-HK"/>
        </w:rPr>
        <w:t>Nemeske</w:t>
      </w:r>
      <w:proofErr w:type="spellEnd"/>
      <w:r w:rsidRPr="004E1CAA">
        <w:rPr>
          <w:rFonts w:ascii="Times New Roman" w:hAnsi="Times New Roman"/>
          <w:i/>
          <w:iCs/>
          <w:lang w:val="en-HK"/>
        </w:rPr>
        <w:t xml:space="preserve"> Pty Ltd [2016] HCA 11</w:t>
      </w:r>
      <w:r w:rsidRPr="004E1CAA">
        <w:rPr>
          <w:rFonts w:ascii="Times New Roman" w:hAnsi="Times New Roman"/>
          <w:lang w:val="en-HK"/>
        </w:rPr>
        <w:t>).</w:t>
      </w:r>
    </w:p>
    <w:p w14:paraId="5F3BD334" w14:textId="77777777" w:rsidR="004E1CAA" w:rsidRPr="004E1CAA" w:rsidRDefault="004E1CAA" w:rsidP="00CF31E6">
      <w:pPr>
        <w:numPr>
          <w:ilvl w:val="0"/>
          <w:numId w:val="13"/>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Doctrinal Confusion</w:t>
      </w:r>
      <w:r w:rsidRPr="004E1CAA">
        <w:rPr>
          <w:rFonts w:ascii="Times New Roman" w:hAnsi="Times New Roman"/>
          <w:lang w:val="en-HK"/>
        </w:rPr>
        <w:t>:</w:t>
      </w:r>
      <w:r w:rsidRPr="004E1CAA">
        <w:rPr>
          <w:rFonts w:ascii="Times New Roman" w:hAnsi="Times New Roman"/>
          <w:lang w:val="en-HK"/>
        </w:rPr>
        <w:br/>
        <w:t>The alignment of equitable compensation with common law damages blurs the distinction between equitable and legal remedies.</w:t>
      </w:r>
    </w:p>
    <w:p w14:paraId="1522522D"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Toulson’s Statement in AIB</w:t>
      </w:r>
      <w:r w:rsidRPr="004E1CAA">
        <w:rPr>
          <w:rFonts w:ascii="Times New Roman" w:hAnsi="Times New Roman"/>
          <w:lang w:val="en-HK"/>
        </w:rPr>
        <w:t>:</w:t>
      </w:r>
    </w:p>
    <w:p w14:paraId="60B74B7B"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"Falsification of account is a legal fairy tale" ([2014] 3 WLR 1367 at [69]).</w:t>
      </w:r>
    </w:p>
    <w:p w14:paraId="72D7A44B" w14:textId="77777777" w:rsidR="004E1CAA" w:rsidRPr="004E1CAA" w:rsidRDefault="004E1CAA" w:rsidP="00CF31E6">
      <w:pPr>
        <w:numPr>
          <w:ilvl w:val="0"/>
          <w:numId w:val="13"/>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Creation of a Two-Tier System</w:t>
      </w:r>
      <w:r w:rsidRPr="004E1CAA">
        <w:rPr>
          <w:rFonts w:ascii="Times New Roman" w:hAnsi="Times New Roman"/>
          <w:lang w:val="en-HK"/>
        </w:rPr>
        <w:t>:</w:t>
      </w:r>
      <w:r w:rsidRPr="004E1CAA">
        <w:rPr>
          <w:rFonts w:ascii="Times New Roman" w:hAnsi="Times New Roman"/>
          <w:lang w:val="en-HK"/>
        </w:rPr>
        <w:br/>
        <w:t xml:space="preserve">By distinguishing between commercial and traditional trusts, the courts risk developing separate compensatory frameworks for breach of trust, as evidenced in </w:t>
      </w:r>
      <w:proofErr w:type="spellStart"/>
      <w:r w:rsidRPr="004E1CAA">
        <w:rPr>
          <w:rFonts w:ascii="Times New Roman" w:hAnsi="Times New Roman"/>
          <w:b/>
          <w:bCs/>
          <w:lang w:val="en-HK"/>
        </w:rPr>
        <w:t>Purrunsing</w:t>
      </w:r>
      <w:proofErr w:type="spellEnd"/>
      <w:r w:rsidRPr="004E1CAA">
        <w:rPr>
          <w:rFonts w:ascii="Times New Roman" w:hAnsi="Times New Roman"/>
          <w:b/>
          <w:bCs/>
          <w:lang w:val="en-HK"/>
        </w:rPr>
        <w:t xml:space="preserve"> v </w:t>
      </w:r>
      <w:proofErr w:type="spellStart"/>
      <w:r w:rsidRPr="004E1CAA">
        <w:rPr>
          <w:rFonts w:ascii="Times New Roman" w:hAnsi="Times New Roman"/>
          <w:b/>
          <w:bCs/>
          <w:lang w:val="en-HK"/>
        </w:rPr>
        <w:t>A’Court</w:t>
      </w:r>
      <w:proofErr w:type="spellEnd"/>
      <w:r w:rsidRPr="004E1CAA">
        <w:rPr>
          <w:rFonts w:ascii="Times New Roman" w:hAnsi="Times New Roman"/>
          <w:b/>
          <w:bCs/>
          <w:lang w:val="en-HK"/>
        </w:rPr>
        <w:t xml:space="preserve"> &amp; Co [2016] EWHC 789 (Ch)</w:t>
      </w:r>
      <w:r w:rsidRPr="004E1CAA">
        <w:rPr>
          <w:rFonts w:ascii="Times New Roman" w:hAnsi="Times New Roman"/>
          <w:lang w:val="en-HK"/>
        </w:rPr>
        <w:t>.</w:t>
      </w:r>
    </w:p>
    <w:p w14:paraId="55C6BFB0"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495A696C">
          <v:rect id="_x0000_i1050" alt="" style="width:451.3pt;height:.05pt;mso-width-percent:0;mso-height-percent:0;mso-width-percent:0;mso-height-percent:0" o:hralign="center" o:hrstd="t" o:hr="t" fillcolor="#a0a0a0" stroked="f"/>
        </w:pict>
      </w:r>
    </w:p>
    <w:p w14:paraId="44B4B919"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2.6. Scholarly Perspectives</w:t>
      </w:r>
    </w:p>
    <w:p w14:paraId="642DDF14" w14:textId="77777777" w:rsidR="004E1CAA" w:rsidRPr="004E1CAA" w:rsidRDefault="004E1CAA" w:rsidP="00CF31E6">
      <w:pPr>
        <w:numPr>
          <w:ilvl w:val="0"/>
          <w:numId w:val="14"/>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Edelman</w:t>
      </w:r>
      <w:r w:rsidRPr="004E1CAA">
        <w:rPr>
          <w:rFonts w:ascii="Times New Roman" w:hAnsi="Times New Roman"/>
          <w:lang w:val="en-HK"/>
        </w:rPr>
        <w:t>: Argues that modern approaches neglect the "custodianship feature of trust relationships," reducing trusts to mere commercial tools.</w:t>
      </w:r>
    </w:p>
    <w:p w14:paraId="4ED3EACA" w14:textId="77777777" w:rsidR="004E1CAA" w:rsidRPr="004E1CAA" w:rsidRDefault="004E1CAA" w:rsidP="00CF31E6">
      <w:pPr>
        <w:numPr>
          <w:ilvl w:val="0"/>
          <w:numId w:val="14"/>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Millet</w:t>
      </w:r>
      <w:r w:rsidRPr="004E1CAA">
        <w:rPr>
          <w:rFonts w:ascii="Times New Roman" w:hAnsi="Times New Roman"/>
          <w:lang w:val="en-HK"/>
        </w:rPr>
        <w:t>: Warns against the "commercialization of equity," emphasizing that equitable principles must remain distinct and not be subordinated to transactional efficiency.</w:t>
      </w:r>
    </w:p>
    <w:p w14:paraId="32E33022" w14:textId="77777777" w:rsidR="004E1CAA" w:rsidRPr="004E1CAA" w:rsidRDefault="004E1CAA" w:rsidP="00CF31E6">
      <w:pPr>
        <w:numPr>
          <w:ilvl w:val="0"/>
          <w:numId w:val="14"/>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Turner (2015)</w:t>
      </w:r>
      <w:r w:rsidRPr="004E1CAA">
        <w:rPr>
          <w:rFonts w:ascii="Times New Roman" w:hAnsi="Times New Roman"/>
          <w:lang w:val="en-HK"/>
        </w:rPr>
        <w:t>: Advocates for a return to traditional equitable accounting, describing it as a "normative framework essential to the integrity of trust law" (</w:t>
      </w:r>
      <w:r w:rsidRPr="004E1CAA">
        <w:rPr>
          <w:rFonts w:ascii="Times New Roman" w:hAnsi="Times New Roman"/>
          <w:i/>
          <w:iCs/>
          <w:lang w:val="en-HK"/>
        </w:rPr>
        <w:t>Cambridge Law Journal</w:t>
      </w:r>
      <w:r w:rsidRPr="004E1CAA">
        <w:rPr>
          <w:rFonts w:ascii="Times New Roman" w:hAnsi="Times New Roman"/>
          <w:lang w:val="en-HK"/>
        </w:rPr>
        <w:t>).</w:t>
      </w:r>
    </w:p>
    <w:p w14:paraId="50BA5FA4"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2C8B28FB">
          <v:rect id="_x0000_i1049" alt="" style="width:451.3pt;height:.05pt;mso-width-percent:0;mso-height-percent:0;mso-width-percent:0;mso-height-percent:0" o:hralign="center" o:hrstd="t" o:hr="t" fillcolor="#a0a0a0" stroked="f"/>
        </w:pict>
      </w:r>
    </w:p>
    <w:p w14:paraId="18F407DF"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2.7. Conclusion</w:t>
      </w:r>
    </w:p>
    <w:p w14:paraId="64DEC210"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Section 2 illustrates how compensatory liability has evolved from strict adherence to equitable principles to a more commercially pragmatic approach. While this shift enhances predictability and efficiency in commercial transactions, it raises concerns about the erosion of trustees’ fiduciary duties and the doctrinal coherence of trust law. The debate continues between those who </w:t>
      </w:r>
      <w:proofErr w:type="spellStart"/>
      <w:r w:rsidRPr="004E1CAA">
        <w:rPr>
          <w:rFonts w:ascii="Times New Roman" w:hAnsi="Times New Roman"/>
          <w:lang w:val="en-HK"/>
        </w:rPr>
        <w:t>favor</w:t>
      </w:r>
      <w:proofErr w:type="spellEnd"/>
      <w:r w:rsidRPr="004E1CAA">
        <w:rPr>
          <w:rFonts w:ascii="Times New Roman" w:hAnsi="Times New Roman"/>
          <w:lang w:val="en-HK"/>
        </w:rPr>
        <w:t xml:space="preserve"> traditional principles of equity and those who prioritize adaptability to modern commercial realities.</w:t>
      </w:r>
    </w:p>
    <w:p w14:paraId="50C7C7AA"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71AFE95E">
          <v:rect id="_x0000_i1048" alt="" style="width:451.3pt;height:.05pt;mso-width-percent:0;mso-height-percent:0;mso-width-percent:0;mso-height-percent:0" o:hralign="center" o:hrstd="t" o:hr="t" fillcolor="#a0a0a0" stroked="f"/>
        </w:pict>
      </w:r>
    </w:p>
    <w:p w14:paraId="77AEF8D8"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lastRenderedPageBreak/>
        <w:t>Section 3: Proprietary Relief for Breach of Fiduciary Duty – Detailed Analysis</w:t>
      </w:r>
    </w:p>
    <w:p w14:paraId="0E8D6FA2"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This section explores the significant doctrinal developments in proprietary remedies for breach of fiduciary duty, with a focus on the case law surrounding constructive trusts and the implications of proprietary relief in commercial equity. The analysis critiques the tension between maintaining doctrinal consistency and accommodating commercial pragmatism.</w:t>
      </w:r>
    </w:p>
    <w:p w14:paraId="63004263"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3FB46750">
          <v:rect id="_x0000_i1047" alt="" style="width:451.3pt;height:.05pt;mso-width-percent:0;mso-height-percent:0;mso-width-percent:0;mso-height-percent:0" o:hralign="center" o:hrstd="t" o:hr="t" fillcolor="#a0a0a0" stroked="f"/>
        </w:pict>
      </w:r>
    </w:p>
    <w:p w14:paraId="1BFFB412"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3.1. Landmark Decision: FHR European Ventures LLP v Cedar Capital Partners LLC [2014] UKSC 45</w:t>
      </w:r>
    </w:p>
    <w:p w14:paraId="3BABE3CA"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Case Overview:</w:t>
      </w:r>
    </w:p>
    <w:p w14:paraId="4C4EA0A3"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Facts</w:t>
      </w:r>
      <w:r w:rsidRPr="004E1CAA">
        <w:rPr>
          <w:rFonts w:ascii="Times New Roman" w:hAnsi="Times New Roman"/>
          <w:lang w:val="en-HK"/>
        </w:rPr>
        <w:t>:</w:t>
      </w:r>
      <w:r w:rsidRPr="004E1CAA">
        <w:rPr>
          <w:rFonts w:ascii="Times New Roman" w:hAnsi="Times New Roman"/>
          <w:lang w:val="en-HK"/>
        </w:rPr>
        <w:br/>
        <w:t>Cedar Capital Partners, as the fiduciary, received a €10 million bribe during a property transaction. FHR European Ventures sought a declaration that the bribe constituted trust property held on constructive trust.</w:t>
      </w:r>
    </w:p>
    <w:p w14:paraId="7F75686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Issue</w:t>
      </w:r>
      <w:r w:rsidRPr="004E1CAA">
        <w:rPr>
          <w:rFonts w:ascii="Times New Roman" w:hAnsi="Times New Roman"/>
          <w:lang w:val="en-HK"/>
        </w:rPr>
        <w:t>:</w:t>
      </w:r>
      <w:r w:rsidRPr="004E1CAA">
        <w:rPr>
          <w:rFonts w:ascii="Times New Roman" w:hAnsi="Times New Roman"/>
          <w:lang w:val="en-HK"/>
        </w:rPr>
        <w:br/>
        <w:t xml:space="preserve">Whether unauthorized benefits (such as bribes or secret commissions) received by fiduciaries should be subject to proprietary relief or personal </w:t>
      </w:r>
      <w:proofErr w:type="spellStart"/>
      <w:r w:rsidRPr="004E1CAA">
        <w:rPr>
          <w:rFonts w:ascii="Times New Roman" w:hAnsi="Times New Roman"/>
          <w:lang w:val="en-HK"/>
        </w:rPr>
        <w:t>restitutionary</w:t>
      </w:r>
      <w:proofErr w:type="spellEnd"/>
      <w:r w:rsidRPr="004E1CAA">
        <w:rPr>
          <w:rFonts w:ascii="Times New Roman" w:hAnsi="Times New Roman"/>
          <w:lang w:val="en-HK"/>
        </w:rPr>
        <w:t xml:space="preserve"> remedies.</w:t>
      </w:r>
    </w:p>
    <w:p w14:paraId="5633136E"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Judgment</w:t>
      </w:r>
      <w:r w:rsidRPr="004E1CAA">
        <w:rPr>
          <w:rFonts w:ascii="Times New Roman" w:hAnsi="Times New Roman"/>
          <w:lang w:val="en-HK"/>
        </w:rPr>
        <w:t>:</w:t>
      </w:r>
      <w:r w:rsidRPr="004E1CAA">
        <w:rPr>
          <w:rFonts w:ascii="Times New Roman" w:hAnsi="Times New Roman"/>
          <w:lang w:val="en-HK"/>
        </w:rPr>
        <w:br/>
        <w:t xml:space="preserve">The Supreme Court, led by Lord Neuberger, held that unauthorized fiduciary gains are held on constructive trust for the principal. This overturned </w:t>
      </w:r>
      <w:r w:rsidRPr="004E1CAA">
        <w:rPr>
          <w:rFonts w:ascii="Times New Roman" w:hAnsi="Times New Roman"/>
          <w:b/>
          <w:bCs/>
          <w:lang w:val="en-HK"/>
        </w:rPr>
        <w:t xml:space="preserve">Sinclair Investments (UK) Ltd v Versailles Trade Finance Ltd [2011] EWCA </w:t>
      </w:r>
      <w:proofErr w:type="spellStart"/>
      <w:r w:rsidRPr="004E1CAA">
        <w:rPr>
          <w:rFonts w:ascii="Times New Roman" w:hAnsi="Times New Roman"/>
          <w:b/>
          <w:bCs/>
          <w:lang w:val="en-HK"/>
        </w:rPr>
        <w:t>Civ</w:t>
      </w:r>
      <w:proofErr w:type="spellEnd"/>
      <w:r w:rsidRPr="004E1CAA">
        <w:rPr>
          <w:rFonts w:ascii="Times New Roman" w:hAnsi="Times New Roman"/>
          <w:b/>
          <w:bCs/>
          <w:lang w:val="en-HK"/>
        </w:rPr>
        <w:t xml:space="preserve"> 347</w:t>
      </w:r>
      <w:r w:rsidRPr="004E1CAA">
        <w:rPr>
          <w:rFonts w:ascii="Times New Roman" w:hAnsi="Times New Roman"/>
          <w:lang w:val="en-HK"/>
        </w:rPr>
        <w:t>, where proprietary relief had been denied for secret commissions.</w:t>
      </w:r>
    </w:p>
    <w:p w14:paraId="007D3EE7"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06EC3AB6">
          <v:rect id="_x0000_i1046" alt="" style="width:451.3pt;height:.05pt;mso-width-percent:0;mso-height-percent:0;mso-width-percent:0;mso-height-percent:0" o:hralign="center" o:hrstd="t" o:hr="t" fillcolor="#a0a0a0" stroked="f"/>
        </w:pict>
      </w:r>
    </w:p>
    <w:p w14:paraId="5FE2D286"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3.2. Key Principles Established in FHR</w:t>
      </w:r>
    </w:p>
    <w:p w14:paraId="1BB337C6"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Constructive Trusts as the Default Remedy:</w:t>
      </w:r>
    </w:p>
    <w:p w14:paraId="456F64BF"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Lord Neuberger ruled that bribes and secret commissions fall within the scope of proprietary remedies, creating an automatic constructive trust in </w:t>
      </w:r>
      <w:proofErr w:type="spellStart"/>
      <w:r w:rsidRPr="004E1CAA">
        <w:rPr>
          <w:rFonts w:ascii="Times New Roman" w:hAnsi="Times New Roman"/>
          <w:lang w:val="en-HK"/>
        </w:rPr>
        <w:t>favor</w:t>
      </w:r>
      <w:proofErr w:type="spellEnd"/>
      <w:r w:rsidRPr="004E1CAA">
        <w:rPr>
          <w:rFonts w:ascii="Times New Roman" w:hAnsi="Times New Roman"/>
          <w:lang w:val="en-HK"/>
        </w:rPr>
        <w:t xml:space="preserve"> of the principal.</w:t>
      </w:r>
    </w:p>
    <w:p w14:paraId="5D78C79B"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"It is a long-established principle of equity that fiduciaries must not benefit from their position unless fully disclosed and approved by the principal" ([2014] UKSC 45, at [33]).</w:t>
      </w:r>
    </w:p>
    <w:p w14:paraId="7D8E6570"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Deterrence of Fiduciary Misconduct:</w:t>
      </w:r>
    </w:p>
    <w:p w14:paraId="5AD67B9D"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decision emphasized deterrence, ensuring fiduciaries do not profit from their breaches of duty.</w:t>
      </w:r>
    </w:p>
    <w:p w14:paraId="71510E8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lastRenderedPageBreak/>
        <w:t>Lord Neuberger stated:</w:t>
      </w:r>
    </w:p>
    <w:p w14:paraId="4DA71860"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"Proprietary remedies are more stringent and effective than mere personal liability, as they deprive the fiduciary of any opportunity to retain the benefit."</w:t>
      </w:r>
    </w:p>
    <w:p w14:paraId="1E5EF1B8"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Alignment with International Standards:</w:t>
      </w:r>
    </w:p>
    <w:p w14:paraId="3B6BE753"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court considered foreign legal systems, emphasizing the need for English law to remain aligned with international norms. This alignment promotes consistency and predictability in cross-border commercial disputes.</w:t>
      </w:r>
    </w:p>
    <w:p w14:paraId="35963FEF"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2F951902">
          <v:rect id="_x0000_i1045" alt="" style="width:451.3pt;height:.05pt;mso-width-percent:0;mso-height-percent:0;mso-width-percent:0;mso-height-percent:0" o:hralign="center" o:hrstd="t" o:hr="t" fillcolor="#a0a0a0" stroked="f"/>
        </w:pict>
      </w:r>
    </w:p>
    <w:p w14:paraId="601F7310"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3.3. Criticism of Doctrinal Simplification</w:t>
      </w:r>
    </w:p>
    <w:p w14:paraId="318E1257"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Lord Neuberger’s Reversal:</w:t>
      </w:r>
    </w:p>
    <w:p w14:paraId="3262722B"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Critics highlight Lord Neuberger’s contradictory positions between </w:t>
      </w:r>
      <w:r w:rsidRPr="004E1CAA">
        <w:rPr>
          <w:rFonts w:ascii="Times New Roman" w:hAnsi="Times New Roman"/>
          <w:b/>
          <w:bCs/>
          <w:lang w:val="en-HK"/>
        </w:rPr>
        <w:t>Sinclair Investments</w:t>
      </w:r>
      <w:r w:rsidRPr="004E1CAA">
        <w:rPr>
          <w:rFonts w:ascii="Times New Roman" w:hAnsi="Times New Roman"/>
          <w:lang w:val="en-HK"/>
        </w:rPr>
        <w:t xml:space="preserve"> and </w:t>
      </w:r>
      <w:r w:rsidRPr="004E1CAA">
        <w:rPr>
          <w:rFonts w:ascii="Times New Roman" w:hAnsi="Times New Roman"/>
          <w:b/>
          <w:bCs/>
          <w:lang w:val="en-HK"/>
        </w:rPr>
        <w:t>FHR</w:t>
      </w:r>
      <w:r w:rsidRPr="004E1CAA">
        <w:rPr>
          <w:rFonts w:ascii="Times New Roman" w:hAnsi="Times New Roman"/>
          <w:lang w:val="en-HK"/>
        </w:rPr>
        <w:t xml:space="preserve">. In </w:t>
      </w:r>
      <w:r w:rsidRPr="004E1CAA">
        <w:rPr>
          <w:rFonts w:ascii="Times New Roman" w:hAnsi="Times New Roman"/>
          <w:b/>
          <w:bCs/>
          <w:lang w:val="en-HK"/>
        </w:rPr>
        <w:t>Sinclair</w:t>
      </w:r>
      <w:r w:rsidRPr="004E1CAA">
        <w:rPr>
          <w:rFonts w:ascii="Times New Roman" w:hAnsi="Times New Roman"/>
          <w:lang w:val="en-HK"/>
        </w:rPr>
        <w:t xml:space="preserve">, he rejected proprietary remedies for secret commissions, arguing they disrupt commercial certainty. In </w:t>
      </w:r>
      <w:r w:rsidRPr="004E1CAA">
        <w:rPr>
          <w:rFonts w:ascii="Times New Roman" w:hAnsi="Times New Roman"/>
          <w:b/>
          <w:bCs/>
          <w:lang w:val="en-HK"/>
        </w:rPr>
        <w:t>FHR</w:t>
      </w:r>
      <w:r w:rsidRPr="004E1CAA">
        <w:rPr>
          <w:rFonts w:ascii="Times New Roman" w:hAnsi="Times New Roman"/>
          <w:lang w:val="en-HK"/>
        </w:rPr>
        <w:t>, however, he adopted the opposite stance without adequately addressing his earlier reasoning.</w:t>
      </w:r>
    </w:p>
    <w:p w14:paraId="05C297F1"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Doctrinal Tension:</w:t>
      </w:r>
    </w:p>
    <w:p w14:paraId="154BB47F"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By prioritizing policy goals (e.g., deterrence and consistency), </w:t>
      </w:r>
      <w:r w:rsidRPr="004E1CAA">
        <w:rPr>
          <w:rFonts w:ascii="Times New Roman" w:hAnsi="Times New Roman"/>
          <w:b/>
          <w:bCs/>
          <w:lang w:val="en-HK"/>
        </w:rPr>
        <w:t>FHR</w:t>
      </w:r>
      <w:r w:rsidRPr="004E1CAA">
        <w:rPr>
          <w:rFonts w:ascii="Times New Roman" w:hAnsi="Times New Roman"/>
          <w:lang w:val="en-HK"/>
        </w:rPr>
        <w:t xml:space="preserve"> diluted the nuanced distinction between personal and proprietary remedies.</w:t>
      </w:r>
    </w:p>
    <w:p w14:paraId="14582B9B"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Peter Birks</w:t>
      </w:r>
      <w:r w:rsidRPr="004E1CAA">
        <w:rPr>
          <w:rFonts w:ascii="Times New Roman" w:hAnsi="Times New Roman"/>
          <w:lang w:val="en-HK"/>
        </w:rPr>
        <w:t xml:space="preserve"> criticized this conflation, noting that "the core purpose of proprietary remedies is vindication of property rights, not punishment of fiduciary misconduct" (</w:t>
      </w:r>
      <w:r w:rsidRPr="004E1CAA">
        <w:rPr>
          <w:rFonts w:ascii="Times New Roman" w:hAnsi="Times New Roman"/>
          <w:i/>
          <w:iCs/>
          <w:lang w:val="en-HK"/>
        </w:rPr>
        <w:t>Restitution and Equity</w:t>
      </w:r>
      <w:r w:rsidRPr="004E1CAA">
        <w:rPr>
          <w:rFonts w:ascii="Times New Roman" w:hAnsi="Times New Roman"/>
          <w:lang w:val="en-HK"/>
        </w:rPr>
        <w:t>, 1996).</w:t>
      </w:r>
    </w:p>
    <w:p w14:paraId="158D8705"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Traditional Equitable Principles:</w:t>
      </w:r>
    </w:p>
    <w:p w14:paraId="718176A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Historically, proprietary relief was limited to property traceable to the fiduciary’s breach. By extending it to all unauthorized gains (including bribes), </w:t>
      </w:r>
      <w:r w:rsidRPr="004E1CAA">
        <w:rPr>
          <w:rFonts w:ascii="Times New Roman" w:hAnsi="Times New Roman"/>
          <w:b/>
          <w:bCs/>
          <w:lang w:val="en-HK"/>
        </w:rPr>
        <w:t>FHR</w:t>
      </w:r>
      <w:r w:rsidRPr="004E1CAA">
        <w:rPr>
          <w:rFonts w:ascii="Times New Roman" w:hAnsi="Times New Roman"/>
          <w:lang w:val="en-HK"/>
        </w:rPr>
        <w:t xml:space="preserve"> arguably oversteps the traditional boundaries of equity.</w:t>
      </w:r>
    </w:p>
    <w:p w14:paraId="0EB1A21D"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Sinclair Investments</w:t>
      </w:r>
      <w:r w:rsidRPr="004E1CAA">
        <w:rPr>
          <w:rFonts w:ascii="Times New Roman" w:hAnsi="Times New Roman"/>
          <w:lang w:val="en-HK"/>
        </w:rPr>
        <w:t xml:space="preserve"> adhered to this principle, holding that bribes "do not represent the principal’s property" unless traceable.</w:t>
      </w:r>
    </w:p>
    <w:p w14:paraId="4FA4E3EA"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05ED20BF">
          <v:rect id="_x0000_i1044" alt="" style="width:451.3pt;height:.05pt;mso-width-percent:0;mso-height-percent:0;mso-width-percent:0;mso-height-percent:0" o:hralign="center" o:hrstd="t" o:hr="t" fillcolor="#a0a0a0" stroked="f"/>
        </w:pict>
      </w:r>
    </w:p>
    <w:p w14:paraId="03C85663"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3.4. Practical Implications of Proprietary Relief</w:t>
      </w:r>
    </w:p>
    <w:p w14:paraId="37A6C74B"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Strengthening Principal Rights:</w:t>
      </w:r>
    </w:p>
    <w:p w14:paraId="14384BFC"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lastRenderedPageBreak/>
        <w:t>FHR</w:t>
      </w:r>
      <w:r w:rsidRPr="004E1CAA">
        <w:rPr>
          <w:rFonts w:ascii="Times New Roman" w:hAnsi="Times New Roman"/>
          <w:lang w:val="en-HK"/>
        </w:rPr>
        <w:t xml:space="preserve"> enhances the rights of principals by ensuring they can claim beneficial ownership of unauthorized gains, not just compensation.</w:t>
      </w:r>
    </w:p>
    <w:p w14:paraId="4EC7BDD1"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Example: If the fiduciary becomes insolvent, the principal’s proprietary claim takes precedence over unsecured creditors.</w:t>
      </w:r>
    </w:p>
    <w:p w14:paraId="5FC9C866"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Risks of Overextension:</w:t>
      </w:r>
    </w:p>
    <w:p w14:paraId="5B19EA3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decision introduces risks of overextending proprietary remedies, particularly in complex commercial arrangements.</w:t>
      </w:r>
    </w:p>
    <w:p w14:paraId="0C3B0ECF"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In </w:t>
      </w:r>
      <w:r w:rsidRPr="004E1CAA">
        <w:rPr>
          <w:rFonts w:ascii="Times New Roman" w:hAnsi="Times New Roman"/>
          <w:b/>
          <w:bCs/>
          <w:lang w:val="en-HK"/>
        </w:rPr>
        <w:t>Cedar Capital Partners</w:t>
      </w:r>
      <w:r w:rsidRPr="004E1CAA">
        <w:rPr>
          <w:rFonts w:ascii="Times New Roman" w:hAnsi="Times New Roman"/>
          <w:lang w:val="en-HK"/>
        </w:rPr>
        <w:t>, the benefit derived from a bribe was neither linked to nor traceable to the principal’s property. Critics argue that granting proprietary relief in such cases sets a problematic precedent.</w:t>
      </w:r>
    </w:p>
    <w:p w14:paraId="50B3D1F9"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Commercial Uncertainty:</w:t>
      </w:r>
    </w:p>
    <w:p w14:paraId="1D8B0ED5"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Proprietary claims could create uncertainty in commercial markets, particularly where third-party purchasers are involved.</w:t>
      </w:r>
    </w:p>
    <w:p w14:paraId="7AC4BEE4"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Example: Purchasers acquiring assets unknowingly held on constructive trust may face unforeseen litigation.</w:t>
      </w:r>
    </w:p>
    <w:p w14:paraId="68DC35E6"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750DE9A5">
          <v:rect id="_x0000_i1043" alt="" style="width:451.3pt;height:.05pt;mso-width-percent:0;mso-height-percent:0;mso-width-percent:0;mso-height-percent:0" o:hralign="center" o:hrstd="t" o:hr="t" fillcolor="#a0a0a0" stroked="f"/>
        </w:pict>
      </w:r>
    </w:p>
    <w:p w14:paraId="630CA92C"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3.5. Scholarly Perspectives on FHR</w:t>
      </w:r>
    </w:p>
    <w:p w14:paraId="77C2D70C"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Support for the Decision:</w:t>
      </w:r>
    </w:p>
    <w:p w14:paraId="08C0CDF1"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Millett</w:t>
      </w:r>
      <w:r w:rsidRPr="004E1CAA">
        <w:rPr>
          <w:rFonts w:ascii="Times New Roman" w:hAnsi="Times New Roman"/>
          <w:lang w:val="en-HK"/>
        </w:rPr>
        <w:t xml:space="preserve"> endorsed the decision as a necessary step to uphold fiduciary accountability, observing:</w:t>
      </w:r>
    </w:p>
    <w:p w14:paraId="67A93D49" w14:textId="7D89F5F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 xml:space="preserve">"Equity would be hollow if fiduciaries could profit by mere technicalities" </w:t>
      </w:r>
      <w:r w:rsidRPr="00CF31E6">
        <w:rPr>
          <w:rFonts w:ascii="Times New Roman" w:eastAsia="Microsoft Jhenghei" w:hAnsi="Times New Roman"/>
          <w:color w:val="000000"/>
          <w:shd w:val="clear" w:color="auto" w:fill="EFF6FF"/>
        </w:rPr>
        <w:t>如果受託人僅靠技術細節獲利，那麼公平將是空洞的</w:t>
      </w:r>
      <w:r w:rsidRPr="00CF31E6">
        <w:rPr>
          <w:rFonts w:ascii="Times New Roman" w:eastAsia="Microsoft Jhenghei" w:hAnsi="Times New Roman"/>
          <w:color w:val="000000"/>
          <w:shd w:val="clear" w:color="auto" w:fill="EFF6FF"/>
          <w:lang w:val="en-US"/>
        </w:rPr>
        <w:t xml:space="preserve"> </w:t>
      </w:r>
      <w:r w:rsidRPr="004E1CAA">
        <w:rPr>
          <w:rFonts w:ascii="Times New Roman" w:hAnsi="Times New Roman"/>
          <w:lang w:val="en-HK"/>
        </w:rPr>
        <w:t>(</w:t>
      </w:r>
      <w:r w:rsidRPr="004E1CAA">
        <w:rPr>
          <w:rFonts w:ascii="Times New Roman" w:hAnsi="Times New Roman"/>
          <w:i/>
          <w:iCs/>
          <w:lang w:val="en-HK"/>
        </w:rPr>
        <w:t>Equity and Fiduciary Obligations</w:t>
      </w:r>
      <w:r w:rsidRPr="004E1CAA">
        <w:rPr>
          <w:rFonts w:ascii="Times New Roman" w:hAnsi="Times New Roman"/>
          <w:lang w:val="en-HK"/>
        </w:rPr>
        <w:t>, 2015).</w:t>
      </w:r>
    </w:p>
    <w:p w14:paraId="62A11633"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Criticism of Overreach:</w:t>
      </w:r>
    </w:p>
    <w:p w14:paraId="58DD85F5"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Birks</w:t>
      </w:r>
      <w:r w:rsidRPr="004E1CAA">
        <w:rPr>
          <w:rFonts w:ascii="Times New Roman" w:hAnsi="Times New Roman"/>
          <w:lang w:val="en-HK"/>
        </w:rPr>
        <w:t xml:space="preserve"> and </w:t>
      </w:r>
      <w:proofErr w:type="spellStart"/>
      <w:r w:rsidRPr="004E1CAA">
        <w:rPr>
          <w:rFonts w:ascii="Times New Roman" w:hAnsi="Times New Roman"/>
          <w:b/>
          <w:bCs/>
          <w:lang w:val="en-HK"/>
        </w:rPr>
        <w:t>Conaglen</w:t>
      </w:r>
      <w:proofErr w:type="spellEnd"/>
      <w:r w:rsidRPr="004E1CAA">
        <w:rPr>
          <w:rFonts w:ascii="Times New Roman" w:hAnsi="Times New Roman"/>
          <w:lang w:val="en-HK"/>
        </w:rPr>
        <w:t xml:space="preserve"> criticized the judgment for conflating equitable principles with policy-driven goals.</w:t>
      </w:r>
    </w:p>
    <w:p w14:paraId="4568E344"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Birks</w:t>
      </w:r>
      <w:r w:rsidRPr="004E1CAA">
        <w:rPr>
          <w:rFonts w:ascii="Times New Roman" w:hAnsi="Times New Roman"/>
          <w:lang w:val="en-HK"/>
        </w:rPr>
        <w:t>:</w:t>
      </w:r>
    </w:p>
    <w:p w14:paraId="63E38AAE"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court’s attempt to ensure fairness risks eroding the doctrinal clarity of equity" (</w:t>
      </w:r>
      <w:r w:rsidRPr="004E1CAA">
        <w:rPr>
          <w:rFonts w:ascii="Times New Roman" w:hAnsi="Times New Roman"/>
          <w:i/>
          <w:iCs/>
          <w:lang w:val="en-HK"/>
        </w:rPr>
        <w:t>Restitution and Equity</w:t>
      </w:r>
      <w:r w:rsidRPr="004E1CAA">
        <w:rPr>
          <w:rFonts w:ascii="Times New Roman" w:hAnsi="Times New Roman"/>
          <w:lang w:val="en-HK"/>
        </w:rPr>
        <w:t>, 1996).</w:t>
      </w:r>
    </w:p>
    <w:p w14:paraId="2B4C3364" w14:textId="77777777" w:rsidR="004E1CAA" w:rsidRPr="004E1CAA" w:rsidRDefault="004E1CAA" w:rsidP="00CF31E6">
      <w:pPr>
        <w:spacing w:before="100" w:beforeAutospacing="1" w:after="100" w:afterAutospacing="1" w:line="276" w:lineRule="auto"/>
        <w:rPr>
          <w:rFonts w:ascii="Times New Roman" w:hAnsi="Times New Roman"/>
          <w:lang w:val="en-HK"/>
        </w:rPr>
      </w:pPr>
      <w:proofErr w:type="spellStart"/>
      <w:r w:rsidRPr="004E1CAA">
        <w:rPr>
          <w:rFonts w:ascii="Times New Roman" w:hAnsi="Times New Roman"/>
          <w:b/>
          <w:bCs/>
          <w:lang w:val="en-HK"/>
        </w:rPr>
        <w:lastRenderedPageBreak/>
        <w:t>Conaglen</w:t>
      </w:r>
      <w:proofErr w:type="spellEnd"/>
      <w:r w:rsidRPr="004E1CAA">
        <w:rPr>
          <w:rFonts w:ascii="Times New Roman" w:hAnsi="Times New Roman"/>
          <w:lang w:val="en-HK"/>
        </w:rPr>
        <w:t>:</w:t>
      </w:r>
    </w:p>
    <w:p w14:paraId="255C58AC"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fiduciary duty’s essence lies in loyalty, not proprietary vindication" (</w:t>
      </w:r>
      <w:r w:rsidRPr="004E1CAA">
        <w:rPr>
          <w:rFonts w:ascii="Times New Roman" w:hAnsi="Times New Roman"/>
          <w:i/>
          <w:iCs/>
          <w:lang w:val="en-HK"/>
        </w:rPr>
        <w:t>Fiduciary Loyalty and Remedies</w:t>
      </w:r>
      <w:r w:rsidRPr="004E1CAA">
        <w:rPr>
          <w:rFonts w:ascii="Times New Roman" w:hAnsi="Times New Roman"/>
          <w:lang w:val="en-HK"/>
        </w:rPr>
        <w:t>, 2006).</w:t>
      </w:r>
    </w:p>
    <w:p w14:paraId="62C2940D"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Foreign Comparisons:</w:t>
      </w:r>
    </w:p>
    <w:p w14:paraId="5DB6A132"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court’s reliance on international norms was welcomed by some scholars but criticized for oversimplifying differences between legal systems.</w:t>
      </w:r>
    </w:p>
    <w:p w14:paraId="4252D94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Smith (2015)</w:t>
      </w:r>
      <w:r w:rsidRPr="004E1CAA">
        <w:rPr>
          <w:rFonts w:ascii="Times New Roman" w:hAnsi="Times New Roman"/>
          <w:lang w:val="en-HK"/>
        </w:rPr>
        <w:t>:</w:t>
      </w:r>
    </w:p>
    <w:p w14:paraId="7F6631A9"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"Uniformity must not come at the expense of ignoring domestic legal principles."</w:t>
      </w:r>
    </w:p>
    <w:p w14:paraId="0E8C1B6E"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31C949DE">
          <v:rect id="_x0000_i1042" alt="" style="width:451.3pt;height:.05pt;mso-width-percent:0;mso-height-percent:0;mso-width-percent:0;mso-height-percent:0" o:hralign="center" o:hrstd="t" o:hr="t" fillcolor="#a0a0a0" stroked="f"/>
        </w:pict>
      </w:r>
    </w:p>
    <w:p w14:paraId="3005082E"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3.6. Conclusion</w:t>
      </w:r>
    </w:p>
    <w:p w14:paraId="4C178F8C"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FHR European Ventures</w:t>
      </w:r>
      <w:r w:rsidRPr="004E1CAA">
        <w:rPr>
          <w:rFonts w:ascii="Times New Roman" w:hAnsi="Times New Roman"/>
          <w:lang w:val="en-HK"/>
        </w:rPr>
        <w:t xml:space="preserve"> represents a landmark judgment in modern equity, reinforcing the use of proprietary remedies for breaches of fiduciary duty. While it strengthens deterrence and aligns English law with international standards, the decision raises significant concerns about doctrinal overreach and commercial uncertainty. The debate between maintaining traditional equitable principles and promoting commercial pragmatism continues to shape trust law’s future trajectory.</w:t>
      </w:r>
    </w:p>
    <w:p w14:paraId="3EEAC899"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122384EB">
          <v:rect id="_x0000_i1041" alt="" style="width:451.3pt;height:.05pt;mso-width-percent:0;mso-height-percent:0;mso-width-percent:0;mso-height-percent:0" o:hralign="center" o:hrstd="t" o:hr="t" fillcolor="#a0a0a0" stroked="f"/>
        </w:pict>
      </w:r>
    </w:p>
    <w:p w14:paraId="2816E1D5"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Section 4: Liability of Third Parties – Detailed Analysis</w:t>
      </w:r>
    </w:p>
    <w:p w14:paraId="10E2708A"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This section focuses on the evolving treatment of third-party liability in equity, particularly in the context of breaches of trust and fiduciary duty. The authors critically </w:t>
      </w:r>
      <w:proofErr w:type="spellStart"/>
      <w:r w:rsidRPr="004E1CAA">
        <w:rPr>
          <w:rFonts w:ascii="Times New Roman" w:hAnsi="Times New Roman"/>
          <w:lang w:val="en-HK"/>
        </w:rPr>
        <w:t>analyze</w:t>
      </w:r>
      <w:proofErr w:type="spellEnd"/>
      <w:r w:rsidRPr="004E1CAA">
        <w:rPr>
          <w:rFonts w:ascii="Times New Roman" w:hAnsi="Times New Roman"/>
          <w:lang w:val="en-HK"/>
        </w:rPr>
        <w:t xml:space="preserve"> how courts have reconciled equitable principles with commercial pragmatism when holding third parties accountable, emphasizing the landmark case </w:t>
      </w:r>
      <w:r w:rsidRPr="004E1CAA">
        <w:rPr>
          <w:rFonts w:ascii="Times New Roman" w:hAnsi="Times New Roman"/>
          <w:b/>
          <w:bCs/>
          <w:lang w:val="en-HK"/>
        </w:rPr>
        <w:t>Williams v Central Bank of Nigeria [2014] UKSC 10</w:t>
      </w:r>
      <w:r w:rsidRPr="004E1CAA">
        <w:rPr>
          <w:rFonts w:ascii="Times New Roman" w:hAnsi="Times New Roman"/>
          <w:lang w:val="en-HK"/>
        </w:rPr>
        <w:t xml:space="preserve"> and its implications.</w:t>
      </w:r>
    </w:p>
    <w:p w14:paraId="5A040E89"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6FB49824">
          <v:rect id="_x0000_i1040" alt="" style="width:451.3pt;height:.05pt;mso-width-percent:0;mso-height-percent:0;mso-width-percent:0;mso-height-percent:0" o:hralign="center" o:hrstd="t" o:hr="t" fillcolor="#a0a0a0" stroked="f"/>
        </w:pict>
      </w:r>
    </w:p>
    <w:p w14:paraId="68AE84A5"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4.1</w:t>
      </w:r>
      <w:r w:rsidRPr="004E1CAA">
        <w:rPr>
          <w:rFonts w:ascii="Times New Roman" w:hAnsi="Times New Roman"/>
          <w:b/>
          <w:bCs/>
          <w:u w:val="single"/>
          <w:lang w:val="en-HK"/>
        </w:rPr>
        <w:t>. The Scope of Third-Party Liability in Equity</w:t>
      </w:r>
    </w:p>
    <w:p w14:paraId="0A2396D8"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Equity imposes liability on third parties who dishonestly assist in or knowingly receive the proceeds of a breach of trust or fiduciary duty. Historically, two categories have been established:</w:t>
      </w:r>
    </w:p>
    <w:p w14:paraId="125E9B56" w14:textId="77777777" w:rsidR="004E1CAA" w:rsidRPr="004E1CAA" w:rsidRDefault="004E1CAA" w:rsidP="00CF31E6">
      <w:pPr>
        <w:numPr>
          <w:ilvl w:val="0"/>
          <w:numId w:val="28"/>
        </w:numPr>
        <w:spacing w:before="100" w:beforeAutospacing="1" w:after="100" w:afterAutospacing="1" w:line="276" w:lineRule="auto"/>
        <w:rPr>
          <w:rFonts w:ascii="Times New Roman" w:hAnsi="Times New Roman"/>
          <w:lang w:val="en-HK"/>
        </w:rPr>
      </w:pPr>
      <w:r w:rsidRPr="004E1CAA">
        <w:rPr>
          <w:rFonts w:ascii="Times New Roman" w:hAnsi="Times New Roman"/>
          <w:b/>
          <w:bCs/>
          <w:color w:val="FF0000"/>
          <w:lang w:val="en-HK"/>
        </w:rPr>
        <w:t>Dishonest Assistance</w:t>
      </w:r>
      <w:r w:rsidRPr="004E1CAA">
        <w:rPr>
          <w:rFonts w:ascii="Times New Roman" w:hAnsi="Times New Roman"/>
          <w:lang w:val="en-HK"/>
        </w:rPr>
        <w:t>: Third parties who assist in a breach of trust with dishonest intent are personally liable.</w:t>
      </w:r>
    </w:p>
    <w:p w14:paraId="5279F4ED"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lastRenderedPageBreak/>
        <w:t xml:space="preserve">Case: </w:t>
      </w:r>
      <w:r w:rsidRPr="004E1CAA">
        <w:rPr>
          <w:rFonts w:ascii="Times New Roman" w:hAnsi="Times New Roman"/>
          <w:b/>
          <w:bCs/>
          <w:lang w:val="en-HK"/>
        </w:rPr>
        <w:t>Royal Brunei Airlines v Tan [1995] 2 AC 378</w:t>
      </w:r>
      <w:r w:rsidRPr="004E1CAA">
        <w:rPr>
          <w:rFonts w:ascii="Times New Roman" w:hAnsi="Times New Roman"/>
          <w:lang w:val="en-HK"/>
        </w:rPr>
        <w:t xml:space="preserve">, where Lord Nicholls defined dishonesty as "conscious impropriety," requiring an objective standard for assessing the third party's </w:t>
      </w:r>
      <w:proofErr w:type="spellStart"/>
      <w:r w:rsidRPr="004E1CAA">
        <w:rPr>
          <w:rFonts w:ascii="Times New Roman" w:hAnsi="Times New Roman"/>
          <w:lang w:val="en-HK"/>
        </w:rPr>
        <w:t>behavior</w:t>
      </w:r>
      <w:proofErr w:type="spellEnd"/>
      <w:r w:rsidRPr="004E1CAA">
        <w:rPr>
          <w:rFonts w:ascii="Times New Roman" w:hAnsi="Times New Roman"/>
          <w:lang w:val="en-HK"/>
        </w:rPr>
        <w:t>.</w:t>
      </w:r>
    </w:p>
    <w:p w14:paraId="2BB61B44" w14:textId="77777777" w:rsidR="004E1CAA" w:rsidRPr="004E1CAA" w:rsidRDefault="004E1CAA" w:rsidP="00CF31E6">
      <w:pPr>
        <w:numPr>
          <w:ilvl w:val="0"/>
          <w:numId w:val="28"/>
        </w:numPr>
        <w:spacing w:before="100" w:beforeAutospacing="1" w:after="100" w:afterAutospacing="1" w:line="276" w:lineRule="auto"/>
        <w:rPr>
          <w:rFonts w:ascii="Times New Roman" w:hAnsi="Times New Roman"/>
          <w:lang w:val="en-HK"/>
        </w:rPr>
      </w:pPr>
      <w:r w:rsidRPr="004E1CAA">
        <w:rPr>
          <w:rFonts w:ascii="Times New Roman" w:hAnsi="Times New Roman"/>
          <w:b/>
          <w:bCs/>
          <w:color w:val="FF0000"/>
          <w:lang w:val="en-HK"/>
        </w:rPr>
        <w:t>Knowing Receipt</w:t>
      </w:r>
      <w:r w:rsidRPr="004E1CAA">
        <w:rPr>
          <w:rFonts w:ascii="Times New Roman" w:hAnsi="Times New Roman"/>
          <w:lang w:val="en-HK"/>
        </w:rPr>
        <w:t>: Third parties who knowingly receive trust property in breach of trust are liable if they are aware of the property’s equitable provenance.</w:t>
      </w:r>
    </w:p>
    <w:p w14:paraId="0440BA27"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Case: </w:t>
      </w:r>
      <w:r w:rsidRPr="004E1CAA">
        <w:rPr>
          <w:rFonts w:ascii="Times New Roman" w:hAnsi="Times New Roman"/>
          <w:b/>
          <w:bCs/>
          <w:lang w:val="en-HK"/>
        </w:rPr>
        <w:t>BCCI v Akindele [2001] Ch 437</w:t>
      </w:r>
      <w:r w:rsidRPr="004E1CAA">
        <w:rPr>
          <w:rFonts w:ascii="Times New Roman" w:hAnsi="Times New Roman"/>
          <w:lang w:val="en-HK"/>
        </w:rPr>
        <w:t>, which clarified that knowledge must render the recipient’s retention of the property unconscionable.</w:t>
      </w:r>
    </w:p>
    <w:p w14:paraId="4232115B"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These doctrines emphasize accountability and deterrence, but the modern trend has shifted toward commercial pragmatism.</w:t>
      </w:r>
    </w:p>
    <w:p w14:paraId="15D0A9D3"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7E3D9123">
          <v:rect id="_x0000_i1039" alt="" style="width:451.3pt;height:.05pt;mso-width-percent:0;mso-height-percent:0;mso-width-percent:0;mso-height-percent:0" o:hralign="center" o:hrstd="t" o:hr="t" fillcolor="#a0a0a0" stroked="f"/>
        </w:pict>
      </w:r>
    </w:p>
    <w:p w14:paraId="010FCE5C"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4.2. Williams v Central Bank of Nigeria [2014] UKSC 10</w:t>
      </w:r>
    </w:p>
    <w:p w14:paraId="566C5691"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Case Overview:</w:t>
      </w:r>
    </w:p>
    <w:p w14:paraId="1541ECE5"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Facts</w:t>
      </w:r>
      <w:r w:rsidRPr="004E1CAA">
        <w:rPr>
          <w:rFonts w:ascii="Times New Roman" w:hAnsi="Times New Roman"/>
          <w:lang w:val="en-HK"/>
        </w:rPr>
        <w:t>: Mr. Williams, a beneficiary under a trust, alleged that the Central Bank of Nigeria (CBN) had dishonestly assisted a breach of trust. The claim was brought decades after the alleged breach occurred.</w:t>
      </w:r>
    </w:p>
    <w:p w14:paraId="1D29C192"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Issue</w:t>
      </w:r>
      <w:r w:rsidRPr="004E1CAA">
        <w:rPr>
          <w:rFonts w:ascii="Times New Roman" w:hAnsi="Times New Roman"/>
          <w:lang w:val="en-HK"/>
        </w:rPr>
        <w:t xml:space="preserve">: Whether dishonest assistance claims are subject to statutory limitation periods under the </w:t>
      </w:r>
      <w:r w:rsidRPr="004E1CAA">
        <w:rPr>
          <w:rFonts w:ascii="Times New Roman" w:hAnsi="Times New Roman"/>
          <w:b/>
          <w:bCs/>
          <w:lang w:val="en-HK"/>
        </w:rPr>
        <w:t>Limitation Act 1980</w:t>
      </w:r>
      <w:r w:rsidRPr="004E1CAA">
        <w:rPr>
          <w:rFonts w:ascii="Times New Roman" w:hAnsi="Times New Roman"/>
          <w:lang w:val="en-HK"/>
        </w:rPr>
        <w:t>, or whether they are governed by the equitable doctrine that "fraud unravels all."</w:t>
      </w:r>
    </w:p>
    <w:p w14:paraId="65F3B03D"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Judgment:</w:t>
      </w:r>
    </w:p>
    <w:p w14:paraId="50BD08D3"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The UK Supreme Court, by a majority, held that claims against third parties for dishonest assistance are subject to the statutory limitation period of six years under the </w:t>
      </w:r>
      <w:r w:rsidRPr="004E1CAA">
        <w:rPr>
          <w:rFonts w:ascii="Times New Roman" w:hAnsi="Times New Roman"/>
          <w:b/>
          <w:bCs/>
          <w:lang w:val="en-HK"/>
        </w:rPr>
        <w:t>Limitation Act 1980</w:t>
      </w:r>
      <w:r w:rsidRPr="004E1CAA">
        <w:rPr>
          <w:rFonts w:ascii="Times New Roman" w:hAnsi="Times New Roman"/>
          <w:lang w:val="en-HK"/>
        </w:rPr>
        <w:t>.</w:t>
      </w:r>
    </w:p>
    <w:p w14:paraId="7F08595F"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Sumption’s Reasoning</w:t>
      </w:r>
      <w:r w:rsidRPr="004E1CAA">
        <w:rPr>
          <w:rFonts w:ascii="Times New Roman" w:hAnsi="Times New Roman"/>
          <w:lang w:val="en-HK"/>
        </w:rPr>
        <w:t>:</w:t>
      </w:r>
    </w:p>
    <w:p w14:paraId="7E597FBA"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liability of third parties is distinct from the primary liability of trustees and fiduciaries... It is essentially accessory in nature and subject to limitation periods" ([2014] UKSC 10, at [46]).</w:t>
      </w:r>
    </w:p>
    <w:p w14:paraId="4A860A44"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Implications:</w:t>
      </w:r>
    </w:p>
    <w:p w14:paraId="1344AABF" w14:textId="77777777" w:rsidR="004E1CAA" w:rsidRPr="004E1CAA" w:rsidRDefault="004E1CAA" w:rsidP="00CF31E6">
      <w:pPr>
        <w:numPr>
          <w:ilvl w:val="0"/>
          <w:numId w:val="31"/>
        </w:num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decision treats third-party liability as a personal remedy, aligning it more closely with common law principles.</w:t>
      </w:r>
    </w:p>
    <w:p w14:paraId="4C572545" w14:textId="77777777" w:rsidR="004E1CAA" w:rsidRPr="004E1CAA" w:rsidRDefault="004E1CAA" w:rsidP="00CF31E6">
      <w:pPr>
        <w:numPr>
          <w:ilvl w:val="0"/>
          <w:numId w:val="31"/>
        </w:numPr>
        <w:spacing w:before="100" w:beforeAutospacing="1" w:after="100" w:afterAutospacing="1" w:line="276" w:lineRule="auto"/>
        <w:rPr>
          <w:rFonts w:ascii="Times New Roman" w:hAnsi="Times New Roman"/>
          <w:lang w:val="en-HK"/>
        </w:rPr>
      </w:pPr>
      <w:r w:rsidRPr="004E1CAA">
        <w:rPr>
          <w:rFonts w:ascii="Times New Roman" w:hAnsi="Times New Roman"/>
          <w:lang w:val="en-HK"/>
        </w:rPr>
        <w:t>It effectively prioritizes certainty and finality in commercial transactions over equitable principles of deterrence and restitution.</w:t>
      </w:r>
    </w:p>
    <w:p w14:paraId="463DB7A2"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lastRenderedPageBreak/>
        <w:pict w14:anchorId="1AF5F9DB">
          <v:rect id="_x0000_i1038" alt="" style="width:451.3pt;height:.05pt;mso-width-percent:0;mso-height-percent:0;mso-width-percent:0;mso-height-percent:0" o:hralign="center" o:hrstd="t" o:hr="t" fillcolor="#a0a0a0" stroked="f"/>
        </w:pict>
      </w:r>
    </w:p>
    <w:p w14:paraId="48BAAD73"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4.3. The Erosion of Traditional Equity</w:t>
      </w:r>
    </w:p>
    <w:p w14:paraId="3C9CE853"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Criticism of Williams:</w:t>
      </w:r>
    </w:p>
    <w:p w14:paraId="6A897FEE" w14:textId="77777777" w:rsidR="004E1CAA" w:rsidRPr="004E1CAA" w:rsidRDefault="004E1CAA" w:rsidP="00CF31E6">
      <w:pPr>
        <w:numPr>
          <w:ilvl w:val="0"/>
          <w:numId w:val="32"/>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Doctrinal Inconsistency</w:t>
      </w:r>
      <w:r w:rsidRPr="004E1CAA">
        <w:rPr>
          <w:rFonts w:ascii="Times New Roman" w:hAnsi="Times New Roman"/>
          <w:lang w:val="en-HK"/>
        </w:rPr>
        <w:t>:</w:t>
      </w:r>
      <w:r w:rsidRPr="004E1CAA">
        <w:rPr>
          <w:rFonts w:ascii="Times New Roman" w:hAnsi="Times New Roman"/>
          <w:lang w:val="en-HK"/>
        </w:rPr>
        <w:br/>
        <w:t>Critics argue that the decision undermines equity’s fundamental principles.</w:t>
      </w:r>
    </w:p>
    <w:p w14:paraId="37FDCE1D"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Paul Davies (2014)</w:t>
      </w:r>
      <w:r w:rsidRPr="004E1CAA">
        <w:rPr>
          <w:rFonts w:ascii="Times New Roman" w:hAnsi="Times New Roman"/>
          <w:lang w:val="en-HK"/>
        </w:rPr>
        <w:t>:</w:t>
      </w:r>
    </w:p>
    <w:p w14:paraId="1ED903A8"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ruling disregards the traditional view that equity is immune from the constraints of limitation statutes, particularly in cases of fraudulent breaches."</w:t>
      </w:r>
    </w:p>
    <w:p w14:paraId="066E04B3" w14:textId="77777777" w:rsidR="004E1CAA" w:rsidRPr="004E1CAA" w:rsidRDefault="004E1CAA" w:rsidP="00CF31E6">
      <w:pPr>
        <w:numPr>
          <w:ilvl w:val="0"/>
          <w:numId w:val="32"/>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Distinction Between Trustees and Third Parties</w:t>
      </w:r>
      <w:r w:rsidRPr="004E1CAA">
        <w:rPr>
          <w:rFonts w:ascii="Times New Roman" w:hAnsi="Times New Roman"/>
          <w:lang w:val="en-HK"/>
        </w:rPr>
        <w:t>:</w:t>
      </w:r>
      <w:r w:rsidRPr="004E1CAA">
        <w:rPr>
          <w:rFonts w:ascii="Times New Roman" w:hAnsi="Times New Roman"/>
          <w:lang w:val="en-HK"/>
        </w:rPr>
        <w:br/>
        <w:t>By distinguishing third parties from primary trustees, the court creates a gap in equitable accountability.</w:t>
      </w:r>
    </w:p>
    <w:p w14:paraId="45B6F123"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Neuberger (dissenting)</w:t>
      </w:r>
      <w:r w:rsidRPr="004E1CAA">
        <w:rPr>
          <w:rFonts w:ascii="Times New Roman" w:hAnsi="Times New Roman"/>
          <w:lang w:val="en-HK"/>
        </w:rPr>
        <w:t>:</w:t>
      </w:r>
    </w:p>
    <w:p w14:paraId="164DA8B4"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principle that fraud unravels all must extend to dishonest assistants... Limiting this principle undermines the integrity of equity" ([2014] UKSC 10, at [56]).</w:t>
      </w:r>
    </w:p>
    <w:p w14:paraId="3C4DC4D4" w14:textId="77777777" w:rsidR="004E1CAA" w:rsidRPr="004E1CAA" w:rsidRDefault="004E1CAA" w:rsidP="00CF31E6">
      <w:pPr>
        <w:numPr>
          <w:ilvl w:val="0"/>
          <w:numId w:val="32"/>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Practical Challenges</w:t>
      </w:r>
      <w:r w:rsidRPr="004E1CAA">
        <w:rPr>
          <w:rFonts w:ascii="Times New Roman" w:hAnsi="Times New Roman"/>
          <w:lang w:val="en-HK"/>
        </w:rPr>
        <w:t>:</w:t>
      </w:r>
      <w:r w:rsidRPr="004E1CAA">
        <w:rPr>
          <w:rFonts w:ascii="Times New Roman" w:hAnsi="Times New Roman"/>
          <w:lang w:val="en-HK"/>
        </w:rPr>
        <w:br/>
        <w:t>The imposition of a strict limitation period may disincentivize beneficiaries from pursuing claims, particularly in complex fiduciary relationships where breaches may not be discovered for years.</w:t>
      </w:r>
    </w:p>
    <w:p w14:paraId="0E84BEC7"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697F1010">
          <v:rect id="_x0000_i1037" alt="" style="width:451.3pt;height:.05pt;mso-width-percent:0;mso-height-percent:0;mso-width-percent:0;mso-height-percent:0" o:hralign="center" o:hrstd="t" o:hr="t" fillcolor="#a0a0a0" stroked="f"/>
        </w:pict>
      </w:r>
    </w:p>
    <w:p w14:paraId="15978FE5"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4.4. Balancing Commercial Certainty and Equitable Principles</w:t>
      </w:r>
    </w:p>
    <w:p w14:paraId="7277EF1F"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judgment reflects the tension between ensuring commercial certainty and preserving equitable principles:</w:t>
      </w:r>
    </w:p>
    <w:p w14:paraId="7E1D7B88"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Commercial Certainty</w:t>
      </w:r>
      <w:r w:rsidRPr="004E1CAA">
        <w:rPr>
          <w:rFonts w:ascii="Times New Roman" w:hAnsi="Times New Roman"/>
          <w:lang w:val="en-HK"/>
        </w:rPr>
        <w:t>:</w:t>
      </w:r>
      <w:r w:rsidRPr="004E1CAA">
        <w:rPr>
          <w:rFonts w:ascii="Times New Roman" w:hAnsi="Times New Roman"/>
          <w:lang w:val="en-HK"/>
        </w:rPr>
        <w:br/>
        <w:t>The court prioritized finality in commercial dealings, emphasizing that indefinite exposure to liability would disrupt transactional security.</w:t>
      </w:r>
    </w:p>
    <w:p w14:paraId="4C191999"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Lord Sumption argued that "certainty in commercial transactions is a cornerstone of modern law" ([2014] UKSC 10, at [47]).</w:t>
      </w:r>
    </w:p>
    <w:p w14:paraId="79F7F2E5"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Equitable Principles</w:t>
      </w:r>
      <w:r w:rsidRPr="004E1CAA">
        <w:rPr>
          <w:rFonts w:ascii="Times New Roman" w:hAnsi="Times New Roman"/>
          <w:lang w:val="en-HK"/>
        </w:rPr>
        <w:t>:</w:t>
      </w:r>
      <w:r w:rsidRPr="004E1CAA">
        <w:rPr>
          <w:rFonts w:ascii="Times New Roman" w:hAnsi="Times New Roman"/>
          <w:lang w:val="en-HK"/>
        </w:rPr>
        <w:br/>
        <w:t>Equity traditionally operated outside the bounds of statutory limitations, ensuring beneficiaries could seek redress even after long delays, particularly in cases of fraud.</w:t>
      </w:r>
    </w:p>
    <w:p w14:paraId="382E461C"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lastRenderedPageBreak/>
        <w:t xml:space="preserve">In </w:t>
      </w:r>
      <w:r w:rsidRPr="004E1CAA">
        <w:rPr>
          <w:rFonts w:ascii="Times New Roman" w:hAnsi="Times New Roman"/>
          <w:b/>
          <w:bCs/>
          <w:lang w:val="en-HK"/>
        </w:rPr>
        <w:t>Armitage v Nurse [1998] Ch 241</w:t>
      </w:r>
      <w:r w:rsidRPr="004E1CAA">
        <w:rPr>
          <w:rFonts w:ascii="Times New Roman" w:hAnsi="Times New Roman"/>
          <w:lang w:val="en-HK"/>
        </w:rPr>
        <w:t>, Millett LJ emphasized that "the fiduciary nature of the trustee relationship imposes continuing obligations unaffected by statutory limitations."</w:t>
      </w:r>
    </w:p>
    <w:p w14:paraId="624470DE"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4A9816EB">
          <v:rect id="_x0000_i1036" alt="" style="width:451.3pt;height:.05pt;mso-width-percent:0;mso-height-percent:0;mso-width-percent:0;mso-height-percent:0" o:hralign="center" o:hrstd="t" o:hr="t" fillcolor="#a0a0a0" stroked="f"/>
        </w:pict>
      </w:r>
    </w:p>
    <w:p w14:paraId="76AAE689"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4.5. Scholarly Perspectives on Williams</w:t>
      </w:r>
    </w:p>
    <w:p w14:paraId="155B1992"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Support for the Decision:</w:t>
      </w:r>
    </w:p>
    <w:p w14:paraId="62F0BCFF" w14:textId="77777777" w:rsidR="004E1CAA" w:rsidRPr="004E1CAA" w:rsidRDefault="004E1CAA" w:rsidP="00CF31E6">
      <w:pPr>
        <w:numPr>
          <w:ilvl w:val="0"/>
          <w:numId w:val="34"/>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Rationalizing Liability</w:t>
      </w:r>
      <w:r w:rsidRPr="004E1CAA">
        <w:rPr>
          <w:rFonts w:ascii="Times New Roman" w:hAnsi="Times New Roman"/>
          <w:lang w:val="en-HK"/>
        </w:rPr>
        <w:t>:</w:t>
      </w:r>
      <w:r w:rsidRPr="004E1CAA">
        <w:rPr>
          <w:rFonts w:ascii="Times New Roman" w:hAnsi="Times New Roman"/>
          <w:lang w:val="en-HK"/>
        </w:rPr>
        <w:br/>
        <w:t>Some scholars argue that treating third-party liability as accessory ensures consistency with common law principles.</w:t>
      </w:r>
    </w:p>
    <w:p w14:paraId="488F5D00"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Worthington (2015)</w:t>
      </w:r>
      <w:r w:rsidRPr="004E1CAA">
        <w:rPr>
          <w:rFonts w:ascii="Times New Roman" w:hAnsi="Times New Roman"/>
          <w:lang w:val="en-HK"/>
        </w:rPr>
        <w:t>:</w:t>
      </w:r>
    </w:p>
    <w:p w14:paraId="3EEFA516"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judgment reflects the modern trend of aligning equitable and common law remedies to enhance legal coherence."</w:t>
      </w:r>
    </w:p>
    <w:p w14:paraId="0A9D1FE7" w14:textId="77777777" w:rsidR="004E1CAA" w:rsidRPr="004E1CAA" w:rsidRDefault="004E1CAA" w:rsidP="00CF31E6">
      <w:pPr>
        <w:numPr>
          <w:ilvl w:val="0"/>
          <w:numId w:val="34"/>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Economic Efficiency</w:t>
      </w:r>
      <w:r w:rsidRPr="004E1CAA">
        <w:rPr>
          <w:rFonts w:ascii="Times New Roman" w:hAnsi="Times New Roman"/>
          <w:lang w:val="en-HK"/>
        </w:rPr>
        <w:t>:</w:t>
      </w:r>
      <w:r w:rsidRPr="004E1CAA">
        <w:rPr>
          <w:rFonts w:ascii="Times New Roman" w:hAnsi="Times New Roman"/>
          <w:lang w:val="en-HK"/>
        </w:rPr>
        <w:br/>
        <w:t>Limiting third-party liability promotes economic efficiency by reducing uncertainty for commercial actors.</w:t>
      </w:r>
    </w:p>
    <w:p w14:paraId="48DD8B67"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Criticism of the Decision:</w:t>
      </w:r>
    </w:p>
    <w:p w14:paraId="35D29C8E" w14:textId="77777777" w:rsidR="004E1CAA" w:rsidRPr="00CF31E6" w:rsidRDefault="004E1CAA" w:rsidP="00CF31E6">
      <w:pPr>
        <w:numPr>
          <w:ilvl w:val="0"/>
          <w:numId w:val="35"/>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Undermining Equity’s Integrity</w:t>
      </w:r>
      <w:r w:rsidRPr="004E1CAA">
        <w:rPr>
          <w:rFonts w:ascii="Times New Roman" w:hAnsi="Times New Roman"/>
          <w:lang w:val="en-HK"/>
        </w:rPr>
        <w:t>:</w:t>
      </w:r>
    </w:p>
    <w:p w14:paraId="7639C7E1" w14:textId="658837D4"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By subjecting equitable claims to statutory limitations, the decision erodes equity’s distinctiveness.</w:t>
      </w:r>
    </w:p>
    <w:p w14:paraId="21B5FE4C" w14:textId="77777777" w:rsidR="004E1CAA" w:rsidRPr="004E1CAA" w:rsidRDefault="004E1CAA" w:rsidP="00CF31E6">
      <w:pPr>
        <w:spacing w:before="100" w:beforeAutospacing="1" w:after="100" w:afterAutospacing="1" w:line="276" w:lineRule="auto"/>
        <w:rPr>
          <w:rFonts w:ascii="Times New Roman" w:hAnsi="Times New Roman"/>
          <w:lang w:val="en-HK"/>
        </w:rPr>
      </w:pPr>
      <w:proofErr w:type="spellStart"/>
      <w:r w:rsidRPr="004E1CAA">
        <w:rPr>
          <w:rFonts w:ascii="Times New Roman" w:hAnsi="Times New Roman"/>
          <w:b/>
          <w:bCs/>
          <w:lang w:val="en-HK"/>
        </w:rPr>
        <w:t>Conaglen</w:t>
      </w:r>
      <w:proofErr w:type="spellEnd"/>
      <w:r w:rsidRPr="004E1CAA">
        <w:rPr>
          <w:rFonts w:ascii="Times New Roman" w:hAnsi="Times New Roman"/>
          <w:b/>
          <w:bCs/>
          <w:lang w:val="en-HK"/>
        </w:rPr>
        <w:t xml:space="preserve"> (2016)</w:t>
      </w:r>
      <w:r w:rsidRPr="004E1CAA">
        <w:rPr>
          <w:rFonts w:ascii="Times New Roman" w:hAnsi="Times New Roman"/>
          <w:lang w:val="en-HK"/>
        </w:rPr>
        <w:t>:</w:t>
      </w:r>
    </w:p>
    <w:p w14:paraId="5DE97150"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"Equity’s primary purpose is to enforce fiduciary standards, which should not be constrained by rigid statutory frameworks."</w:t>
      </w:r>
    </w:p>
    <w:p w14:paraId="75B99C40" w14:textId="77777777" w:rsidR="004E1CAA" w:rsidRPr="00CF31E6" w:rsidRDefault="004E1CAA" w:rsidP="00CF31E6">
      <w:pPr>
        <w:numPr>
          <w:ilvl w:val="0"/>
          <w:numId w:val="35"/>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Weakening Deterrence</w:t>
      </w:r>
      <w:r w:rsidRPr="004E1CAA">
        <w:rPr>
          <w:rFonts w:ascii="Times New Roman" w:hAnsi="Times New Roman"/>
          <w:lang w:val="en-HK"/>
        </w:rPr>
        <w:t>:</w:t>
      </w:r>
    </w:p>
    <w:p w14:paraId="5FAD03BF" w14:textId="2711ECE4"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ruling may embolden dishonest third parties by providing a clear temporal shield against liability.</w:t>
      </w:r>
    </w:p>
    <w:p w14:paraId="0B758FA1"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47B41ECC">
          <v:rect id="_x0000_i1035" alt="" style="width:451.3pt;height:.05pt;mso-width-percent:0;mso-height-percent:0;mso-width-percent:0;mso-height-percent:0" o:hralign="center" o:hrstd="t" o:hr="t" fillcolor="#a0a0a0" stroked="f"/>
        </w:pict>
      </w:r>
    </w:p>
    <w:p w14:paraId="3813D3C7"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4.6. Practical Implications</w:t>
      </w:r>
    </w:p>
    <w:p w14:paraId="6BB04D49"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Reduced Scope of Equitable Remedies:</w:t>
      </w:r>
    </w:p>
    <w:p w14:paraId="6591DB1C"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lastRenderedPageBreak/>
        <w:t>The decision narrows the applicability of equitable remedies, creating potential gaps in protection for beneficiaries.</w:t>
      </w:r>
    </w:p>
    <w:p w14:paraId="278FA919"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Increased Commercial Protection:</w:t>
      </w:r>
    </w:p>
    <w:p w14:paraId="4D56FB73"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By limiting liability, the ruling enhances the security of commercial transactions, benefiting third-party purchasers and financial institutions.</w:t>
      </w:r>
    </w:p>
    <w:p w14:paraId="1CF93CAD"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Future Developments:</w:t>
      </w:r>
    </w:p>
    <w:p w14:paraId="209980C8"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judgment leaves unanswered questions about the treatment of equitable proprietary claims, which may require separate consideration in future cases.</w:t>
      </w:r>
    </w:p>
    <w:p w14:paraId="3BEE3A85"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640E4163">
          <v:rect id="_x0000_i1034" alt="" style="width:451.3pt;height:.05pt;mso-width-percent:0;mso-height-percent:0;mso-width-percent:0;mso-height-percent:0" o:hralign="center" o:hrstd="t" o:hr="t" fillcolor="#a0a0a0" stroked="f"/>
        </w:pict>
      </w:r>
    </w:p>
    <w:p w14:paraId="3D47CD31"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4.7. Conclusion</w:t>
      </w:r>
    </w:p>
    <w:p w14:paraId="0697B895"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The decision in </w:t>
      </w:r>
      <w:r w:rsidRPr="004E1CAA">
        <w:rPr>
          <w:rFonts w:ascii="Times New Roman" w:hAnsi="Times New Roman"/>
          <w:b/>
          <w:bCs/>
          <w:lang w:val="en-HK"/>
        </w:rPr>
        <w:t>Williams v Central Bank of Nigeria</w:t>
      </w:r>
      <w:r w:rsidRPr="004E1CAA">
        <w:rPr>
          <w:rFonts w:ascii="Times New Roman" w:hAnsi="Times New Roman"/>
          <w:lang w:val="en-HK"/>
        </w:rPr>
        <w:t xml:space="preserve"> marks a significant shift in the treatment of third-party liability in equity. While it enhances commercial certainty and aligns equitable remedies with common law principles, it raises concerns about the erosion of equity’s foundational doctrines. The debate continues over whether this pragmatic approach strikes the right balance between commercial efficiency and fiduciary accountability.</w:t>
      </w:r>
    </w:p>
    <w:p w14:paraId="0590CF33"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11EF6589">
          <v:rect id="_x0000_i1033" alt="" style="width:451.3pt;height:.05pt;mso-width-percent:0;mso-height-percent:0;mso-width-percent:0;mso-height-percent:0" o:hralign="center" o:hrstd="t" o:hr="t" fillcolor="#a0a0a0" stroked="f"/>
        </w:pict>
      </w:r>
    </w:p>
    <w:p w14:paraId="12E917AF"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Section 5: Conclusion – The Commercialisation of Equity</w:t>
      </w:r>
    </w:p>
    <w:p w14:paraId="133E3D57"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This section synthesizes the document's analysis of how equity has evolved under the pressures of commercialisation. It critiques the judiciary’s increasing prioritisation of commercial pragmatism over doctrinal coherence, focusing on the implications for trust law and equitable principles. The section also addresses broader concerns about equity’s role in maintaining fairness in a commercialised legal environment.</w:t>
      </w:r>
    </w:p>
    <w:p w14:paraId="55C3DEE3"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63A599D4">
          <v:rect id="_x0000_i1032" alt="" style="width:451.3pt;height:.05pt;mso-width-percent:0;mso-height-percent:0;mso-width-percent:0;mso-height-percent:0" o:hralign="center" o:hrstd="t" o:hr="t" fillcolor="#a0a0a0" stroked="f"/>
        </w:pict>
      </w:r>
    </w:p>
    <w:p w14:paraId="564A91B7"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5.1. Commercialisation vs. Doctrinal Integrity</w:t>
      </w:r>
    </w:p>
    <w:p w14:paraId="05C4FEDD"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The authors conclude that the transformation of equity into a tool for commercial pragmatism </w:t>
      </w:r>
      <w:r w:rsidRPr="004E1CAA">
        <w:rPr>
          <w:rFonts w:ascii="Times New Roman" w:hAnsi="Times New Roman"/>
          <w:b/>
          <w:bCs/>
          <w:color w:val="FF0000"/>
          <w:lang w:val="en-HK"/>
        </w:rPr>
        <w:t>reflects a growing judicial trend toward accommodating the needs of modern commerce</w:t>
      </w:r>
      <w:r w:rsidRPr="004E1CAA">
        <w:rPr>
          <w:rFonts w:ascii="Times New Roman" w:hAnsi="Times New Roman"/>
          <w:lang w:val="en-HK"/>
        </w:rPr>
        <w:t>. This evolution often comes at the expense of equity's foundational principles of fiduciary accountability, fairness, and restitution.</w:t>
      </w:r>
    </w:p>
    <w:p w14:paraId="71720E8B"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Key Arguments:</w:t>
      </w:r>
    </w:p>
    <w:p w14:paraId="3FA4D56B" w14:textId="545E7299" w:rsidR="004E1CAA" w:rsidRPr="004E1CAA" w:rsidRDefault="004E1CAA" w:rsidP="00CF31E6">
      <w:pPr>
        <w:numPr>
          <w:ilvl w:val="0"/>
          <w:numId w:val="39"/>
        </w:numPr>
        <w:spacing w:before="100" w:beforeAutospacing="1" w:after="100" w:afterAutospacing="1" w:line="276" w:lineRule="auto"/>
        <w:rPr>
          <w:rFonts w:ascii="Times New Roman" w:hAnsi="Times New Roman"/>
          <w:b/>
          <w:bCs/>
          <w:color w:val="FF0000"/>
          <w:lang w:val="en-HK"/>
        </w:rPr>
      </w:pPr>
      <w:r w:rsidRPr="004E1CAA">
        <w:rPr>
          <w:rFonts w:ascii="Times New Roman" w:hAnsi="Times New Roman"/>
          <w:lang w:val="en-HK"/>
        </w:rPr>
        <w:lastRenderedPageBreak/>
        <w:t>Equity’s traditional principles, such as accountability and custodianship</w:t>
      </w:r>
      <w:r w:rsidRPr="00CF31E6">
        <w:rPr>
          <w:rFonts w:ascii="Times New Roman" w:eastAsia="Microsoft Jhenghei" w:hAnsi="Times New Roman"/>
          <w:color w:val="000000"/>
          <w:shd w:val="clear" w:color="auto" w:fill="EFF6FF"/>
        </w:rPr>
        <w:t>問責制和監護權</w:t>
      </w:r>
      <w:r w:rsidRPr="004E1CAA">
        <w:rPr>
          <w:rFonts w:ascii="Times New Roman" w:hAnsi="Times New Roman"/>
          <w:lang w:val="en-HK"/>
        </w:rPr>
        <w:t xml:space="preserve">, have been </w:t>
      </w:r>
      <w:r w:rsidRPr="004E1CAA">
        <w:rPr>
          <w:rFonts w:ascii="Times New Roman" w:hAnsi="Times New Roman"/>
          <w:b/>
          <w:bCs/>
          <w:color w:val="FF0000"/>
          <w:lang w:val="en-HK"/>
        </w:rPr>
        <w:t>eroded by the judiciary’s focus on transactional certainty.</w:t>
      </w:r>
    </w:p>
    <w:p w14:paraId="319C4B81" w14:textId="77777777" w:rsidR="004E1CAA" w:rsidRPr="004E1CAA" w:rsidRDefault="004E1CAA" w:rsidP="00CF31E6">
      <w:pPr>
        <w:numPr>
          <w:ilvl w:val="0"/>
          <w:numId w:val="39"/>
        </w:numPr>
        <w:spacing w:before="100" w:beforeAutospacing="1" w:after="100" w:afterAutospacing="1" w:line="276" w:lineRule="auto"/>
        <w:rPr>
          <w:rFonts w:ascii="Times New Roman" w:hAnsi="Times New Roman"/>
          <w:lang w:val="en-HK"/>
        </w:rPr>
      </w:pPr>
      <w:r w:rsidRPr="004E1CAA">
        <w:rPr>
          <w:rFonts w:ascii="Times New Roman" w:hAnsi="Times New Roman"/>
          <w:lang w:val="en-HK"/>
        </w:rPr>
        <w:t xml:space="preserve">Cases such as </w:t>
      </w:r>
      <w:r w:rsidRPr="004E1CAA">
        <w:rPr>
          <w:rFonts w:ascii="Times New Roman" w:hAnsi="Times New Roman"/>
          <w:b/>
          <w:bCs/>
          <w:lang w:val="en-HK"/>
        </w:rPr>
        <w:t xml:space="preserve">Target Holdings v </w:t>
      </w:r>
      <w:proofErr w:type="spellStart"/>
      <w:r w:rsidRPr="004E1CAA">
        <w:rPr>
          <w:rFonts w:ascii="Times New Roman" w:hAnsi="Times New Roman"/>
          <w:b/>
          <w:bCs/>
          <w:lang w:val="en-HK"/>
        </w:rPr>
        <w:t>Redferns</w:t>
      </w:r>
      <w:proofErr w:type="spellEnd"/>
      <w:r w:rsidRPr="004E1CAA">
        <w:rPr>
          <w:rFonts w:ascii="Times New Roman" w:hAnsi="Times New Roman"/>
          <w:b/>
          <w:bCs/>
          <w:lang w:val="en-HK"/>
        </w:rPr>
        <w:t xml:space="preserve"> [1996] AC 421</w:t>
      </w:r>
      <w:r w:rsidRPr="004E1CAA">
        <w:rPr>
          <w:rFonts w:ascii="Times New Roman" w:hAnsi="Times New Roman"/>
          <w:lang w:val="en-HK"/>
        </w:rPr>
        <w:t xml:space="preserve"> and </w:t>
      </w:r>
      <w:r w:rsidRPr="004E1CAA">
        <w:rPr>
          <w:rFonts w:ascii="Times New Roman" w:hAnsi="Times New Roman"/>
          <w:b/>
          <w:bCs/>
          <w:lang w:val="en-HK"/>
        </w:rPr>
        <w:t xml:space="preserve">AIB Group v Mark </w:t>
      </w:r>
      <w:proofErr w:type="spellStart"/>
      <w:r w:rsidRPr="004E1CAA">
        <w:rPr>
          <w:rFonts w:ascii="Times New Roman" w:hAnsi="Times New Roman"/>
          <w:b/>
          <w:bCs/>
          <w:lang w:val="en-HK"/>
        </w:rPr>
        <w:t>Redler</w:t>
      </w:r>
      <w:proofErr w:type="spellEnd"/>
      <w:r w:rsidRPr="004E1CAA">
        <w:rPr>
          <w:rFonts w:ascii="Times New Roman" w:hAnsi="Times New Roman"/>
          <w:b/>
          <w:bCs/>
          <w:lang w:val="en-HK"/>
        </w:rPr>
        <w:t xml:space="preserve"> &amp; Co Solicitors [2014] UKSC 58</w:t>
      </w:r>
      <w:r w:rsidRPr="004E1CAA">
        <w:rPr>
          <w:rFonts w:ascii="Times New Roman" w:hAnsi="Times New Roman"/>
          <w:lang w:val="en-HK"/>
        </w:rPr>
        <w:t xml:space="preserve"> exemplify the courts’ willingness to subordinate equitable doctrines to commercial efficiency.</w:t>
      </w:r>
    </w:p>
    <w:p w14:paraId="54096157"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Lord Neuberger’s Perspective:</w:t>
      </w:r>
    </w:p>
    <w:p w14:paraId="06E81968"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In his extrajudicial remarks (</w:t>
      </w:r>
      <w:proofErr w:type="spellStart"/>
      <w:r w:rsidRPr="004E1CAA">
        <w:rPr>
          <w:rFonts w:ascii="Times New Roman" w:hAnsi="Times New Roman"/>
          <w:lang w:val="en-HK"/>
        </w:rPr>
        <w:t>Lehane</w:t>
      </w:r>
      <w:proofErr w:type="spellEnd"/>
      <w:r w:rsidRPr="004E1CAA">
        <w:rPr>
          <w:rFonts w:ascii="Times New Roman" w:hAnsi="Times New Roman"/>
          <w:lang w:val="en-HK"/>
        </w:rPr>
        <w:t xml:space="preserve"> Lecture, 2014), Lord Neuberger stated:</w:t>
      </w:r>
    </w:p>
    <w:p w14:paraId="1123533F"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function of the law is to provide clear, practical rules which promote justice and certainty."</w:t>
      </w:r>
    </w:p>
    <w:p w14:paraId="133D4EAA"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authors argue that this focus on clarity and predictability risks reducing equity to a "mechanical" tool for resolving commercial disputes, stripping it of its normative and remedial significance.</w:t>
      </w:r>
    </w:p>
    <w:p w14:paraId="31FF7AC5"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630B3487">
          <v:rect id="_x0000_i1031" alt="" style="width:451.3pt;height:.05pt;mso-width-percent:0;mso-height-percent:0;mso-width-percent:0;mso-height-percent:0" o:hralign="center" o:hrstd="t" o:hr="t" fillcolor="#a0a0a0" stroked="f"/>
        </w:pict>
      </w:r>
    </w:p>
    <w:p w14:paraId="31159515"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5.2. Tension Between Equity and Commerce</w:t>
      </w:r>
    </w:p>
    <w:p w14:paraId="24052557"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authors identify two competing visions of equity:</w:t>
      </w:r>
    </w:p>
    <w:p w14:paraId="58434BF2" w14:textId="77777777" w:rsidR="004E1CAA" w:rsidRPr="00CF31E6" w:rsidRDefault="004E1CAA" w:rsidP="00CF31E6">
      <w:pPr>
        <w:numPr>
          <w:ilvl w:val="0"/>
          <w:numId w:val="40"/>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Traditional Equity</w:t>
      </w:r>
      <w:r w:rsidRPr="004E1CAA">
        <w:rPr>
          <w:rFonts w:ascii="Times New Roman" w:hAnsi="Times New Roman"/>
          <w:lang w:val="en-HK"/>
        </w:rPr>
        <w:t>:</w:t>
      </w:r>
    </w:p>
    <w:p w14:paraId="747644DB" w14:textId="21B28273" w:rsidR="004E1CAA" w:rsidRPr="004E1CAA" w:rsidRDefault="004E1CAA" w:rsidP="00CF31E6">
      <w:pPr>
        <w:spacing w:before="100" w:beforeAutospacing="1" w:after="100" w:afterAutospacing="1" w:line="276" w:lineRule="auto"/>
        <w:rPr>
          <w:rFonts w:ascii="Times New Roman" w:hAnsi="Times New Roman"/>
          <w:b/>
          <w:bCs/>
          <w:color w:val="FF0000"/>
          <w:lang w:val="en-HK"/>
        </w:rPr>
      </w:pPr>
      <w:r w:rsidRPr="004E1CAA">
        <w:rPr>
          <w:rFonts w:ascii="Times New Roman" w:hAnsi="Times New Roman"/>
          <w:lang w:val="en-HK"/>
        </w:rPr>
        <w:t xml:space="preserve">Rooted in fiduciary loyalty, fairness, and restitution, </w:t>
      </w:r>
      <w:r w:rsidRPr="004E1CAA">
        <w:rPr>
          <w:rFonts w:ascii="Times New Roman" w:hAnsi="Times New Roman"/>
          <w:b/>
          <w:bCs/>
          <w:color w:val="FF0000"/>
          <w:lang w:val="en-HK"/>
        </w:rPr>
        <w:t>this view emphasizes the need for equitable principles to operate independently of commercial norms.</w:t>
      </w:r>
    </w:p>
    <w:p w14:paraId="783C85FC" w14:textId="35DD7149"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Example</w:t>
      </w:r>
      <w:r w:rsidRPr="004E1CAA">
        <w:rPr>
          <w:rFonts w:ascii="Times New Roman" w:hAnsi="Times New Roman"/>
          <w:lang w:val="en-HK"/>
        </w:rPr>
        <w:t>: The doctrine of constructive trusts traditionally focuses on remedial principles, such as reconstitution of trust property, even in non-commercial contexts (e.g.,</w:t>
      </w:r>
      <w:r w:rsidRPr="00CF31E6">
        <w:rPr>
          <w:rFonts w:ascii="Times New Roman" w:hAnsi="Times New Roman"/>
          <w:lang w:val="en-HK"/>
        </w:rPr>
        <w:t xml:space="preserve"> </w:t>
      </w:r>
      <w:proofErr w:type="spellStart"/>
      <w:r w:rsidRPr="004E1CAA">
        <w:rPr>
          <w:rFonts w:ascii="Times New Roman" w:hAnsi="Times New Roman"/>
          <w:b/>
          <w:bCs/>
          <w:lang w:val="en-HK"/>
        </w:rPr>
        <w:t>Westdeutsche</w:t>
      </w:r>
      <w:proofErr w:type="spellEnd"/>
      <w:r w:rsidRPr="004E1CAA">
        <w:rPr>
          <w:rFonts w:ascii="Times New Roman" w:hAnsi="Times New Roman"/>
          <w:b/>
          <w:bCs/>
          <w:lang w:val="en-HK"/>
        </w:rPr>
        <w:t xml:space="preserve"> </w:t>
      </w:r>
      <w:proofErr w:type="spellStart"/>
      <w:r w:rsidRPr="004E1CAA">
        <w:rPr>
          <w:rFonts w:ascii="Times New Roman" w:hAnsi="Times New Roman"/>
          <w:b/>
          <w:bCs/>
          <w:lang w:val="en-HK"/>
        </w:rPr>
        <w:t>Landesbank</w:t>
      </w:r>
      <w:proofErr w:type="spellEnd"/>
      <w:r w:rsidRPr="004E1CAA">
        <w:rPr>
          <w:rFonts w:ascii="Times New Roman" w:hAnsi="Times New Roman"/>
          <w:b/>
          <w:bCs/>
          <w:lang w:val="en-HK"/>
        </w:rPr>
        <w:t xml:space="preserve"> </w:t>
      </w:r>
      <w:proofErr w:type="spellStart"/>
      <w:r w:rsidRPr="004E1CAA">
        <w:rPr>
          <w:rFonts w:ascii="Times New Roman" w:hAnsi="Times New Roman"/>
          <w:b/>
          <w:bCs/>
          <w:lang w:val="en-HK"/>
        </w:rPr>
        <w:t>Girozentrale</w:t>
      </w:r>
      <w:proofErr w:type="spellEnd"/>
      <w:r w:rsidRPr="004E1CAA">
        <w:rPr>
          <w:rFonts w:ascii="Times New Roman" w:hAnsi="Times New Roman"/>
          <w:b/>
          <w:bCs/>
          <w:lang w:val="en-HK"/>
        </w:rPr>
        <w:t xml:space="preserve"> v Islington LBC [1996] AC 669</w:t>
      </w:r>
      <w:r w:rsidRPr="004E1CAA">
        <w:rPr>
          <w:rFonts w:ascii="Times New Roman" w:hAnsi="Times New Roman"/>
          <w:lang w:val="en-HK"/>
        </w:rPr>
        <w:t>).</w:t>
      </w:r>
    </w:p>
    <w:p w14:paraId="61F5E3DC" w14:textId="77777777" w:rsidR="004E1CAA" w:rsidRPr="00CF31E6" w:rsidRDefault="004E1CAA" w:rsidP="00CF31E6">
      <w:pPr>
        <w:numPr>
          <w:ilvl w:val="0"/>
          <w:numId w:val="40"/>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Commercialised Equity</w:t>
      </w:r>
      <w:r w:rsidRPr="004E1CAA">
        <w:rPr>
          <w:rFonts w:ascii="Times New Roman" w:hAnsi="Times New Roman"/>
          <w:lang w:val="en-HK"/>
        </w:rPr>
        <w:t>:</w:t>
      </w:r>
    </w:p>
    <w:p w14:paraId="44ECFB20" w14:textId="1247A79D" w:rsidR="004E1CAA" w:rsidRPr="004E1CAA" w:rsidRDefault="004E1CAA" w:rsidP="00CF31E6">
      <w:pPr>
        <w:spacing w:before="100" w:beforeAutospacing="1" w:after="100" w:afterAutospacing="1" w:line="276" w:lineRule="auto"/>
        <w:rPr>
          <w:rFonts w:ascii="Times New Roman" w:hAnsi="Times New Roman"/>
          <w:b/>
          <w:bCs/>
          <w:color w:val="FF0000"/>
          <w:lang w:val="en-HK"/>
        </w:rPr>
      </w:pPr>
      <w:r w:rsidRPr="004E1CAA">
        <w:rPr>
          <w:rFonts w:ascii="Times New Roman" w:hAnsi="Times New Roman"/>
          <w:lang w:val="en-HK"/>
        </w:rPr>
        <w:t xml:space="preserve">Prioritizes </w:t>
      </w:r>
      <w:r w:rsidRPr="004E1CAA">
        <w:rPr>
          <w:rFonts w:ascii="Times New Roman" w:hAnsi="Times New Roman"/>
          <w:b/>
          <w:bCs/>
          <w:color w:val="FF0000"/>
          <w:lang w:val="en-HK"/>
        </w:rPr>
        <w:t>commercial certainty, efficiency, and predictability, often at the expense of doctrinal consistency.</w:t>
      </w:r>
    </w:p>
    <w:p w14:paraId="526AC7BA"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Example</w:t>
      </w:r>
      <w:r w:rsidRPr="004E1CAA">
        <w:rPr>
          <w:rFonts w:ascii="Times New Roman" w:hAnsi="Times New Roman"/>
          <w:lang w:val="en-HK"/>
        </w:rPr>
        <w:t xml:space="preserve">: The court’s decision in </w:t>
      </w:r>
      <w:r w:rsidRPr="004E1CAA">
        <w:rPr>
          <w:rFonts w:ascii="Times New Roman" w:hAnsi="Times New Roman"/>
          <w:b/>
          <w:bCs/>
          <w:lang w:val="en-HK"/>
        </w:rPr>
        <w:t>FHR European Ventures LLP v Cedar Capital Partners LLC [2014] UKSC 45</w:t>
      </w:r>
      <w:r w:rsidRPr="004E1CAA">
        <w:rPr>
          <w:rFonts w:ascii="Times New Roman" w:hAnsi="Times New Roman"/>
          <w:lang w:val="en-HK"/>
        </w:rPr>
        <w:t xml:space="preserve"> prioritised policy goals, such as deterrence and international consistency, over doctrinal clarity regarding proprietary relief.</w:t>
      </w:r>
    </w:p>
    <w:p w14:paraId="657D00E3"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3FEB0911">
          <v:rect id="_x0000_i1030" alt="" style="width:451.3pt;height:.05pt;mso-width-percent:0;mso-height-percent:0;mso-width-percent:0;mso-height-percent:0" o:hralign="center" o:hrstd="t" o:hr="t" fillcolor="#a0a0a0" stroked="f"/>
        </w:pict>
      </w:r>
    </w:p>
    <w:p w14:paraId="0797E7E6"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5.3. Challenges of Judicial Composition</w:t>
      </w:r>
    </w:p>
    <w:p w14:paraId="69A81774"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lastRenderedPageBreak/>
        <w:t>The authors reiterate concerns about the judiciary’s diminished Chancery expertise, which has facilitated the shift toward commercial pragmatism. They highlight how this impacts trust law and equitable remedies:</w:t>
      </w:r>
    </w:p>
    <w:p w14:paraId="7098A01E"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Lord Sumption’s View</w:t>
      </w:r>
      <w:r w:rsidRPr="004E1CAA">
        <w:rPr>
          <w:rFonts w:ascii="Times New Roman" w:hAnsi="Times New Roman"/>
          <w:lang w:val="en-HK"/>
        </w:rPr>
        <w:t>:</w:t>
      </w:r>
      <w:r w:rsidRPr="004E1CAA">
        <w:rPr>
          <w:rFonts w:ascii="Times New Roman" w:hAnsi="Times New Roman"/>
          <w:lang w:val="en-HK"/>
        </w:rPr>
        <w:br/>
        <w:t xml:space="preserve">Lord Sumption argued that equity </w:t>
      </w:r>
      <w:r w:rsidRPr="004E1CAA">
        <w:rPr>
          <w:rFonts w:ascii="Times New Roman" w:hAnsi="Times New Roman"/>
          <w:b/>
          <w:bCs/>
          <w:lang w:val="en-HK"/>
        </w:rPr>
        <w:t>should adapt to modern commercial realities, observing that "specialisation often impedes practical solutions</w:t>
      </w:r>
      <w:r w:rsidRPr="004E1CAA">
        <w:rPr>
          <w:rFonts w:ascii="Times New Roman" w:hAnsi="Times New Roman"/>
          <w:lang w:val="en-HK"/>
        </w:rPr>
        <w:t>" (</w:t>
      </w:r>
      <w:r w:rsidRPr="004E1CAA">
        <w:rPr>
          <w:rFonts w:ascii="Times New Roman" w:hAnsi="Times New Roman"/>
          <w:i/>
          <w:iCs/>
          <w:lang w:val="en-HK"/>
        </w:rPr>
        <w:t>Family Law at a Distance</w:t>
      </w:r>
      <w:r w:rsidRPr="004E1CAA">
        <w:rPr>
          <w:rFonts w:ascii="Times New Roman" w:hAnsi="Times New Roman"/>
          <w:lang w:val="en-HK"/>
        </w:rPr>
        <w:t>, 2016).</w:t>
      </w:r>
    </w:p>
    <w:p w14:paraId="2A439D14"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authors challenge this view, emphasizing the need for judicial appointments to balance commercial and equitable expertise.</w:t>
      </w:r>
    </w:p>
    <w:p w14:paraId="7EEDDD9B"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Scholarly Critique:</w:t>
      </w:r>
    </w:p>
    <w:p w14:paraId="065B7F3E" w14:textId="77777777" w:rsidR="004E1CAA" w:rsidRPr="004E1CAA" w:rsidRDefault="004E1CAA" w:rsidP="00CF31E6">
      <w:pPr>
        <w:spacing w:before="100" w:beforeAutospacing="1" w:after="100" w:afterAutospacing="1" w:line="276" w:lineRule="auto"/>
        <w:rPr>
          <w:rFonts w:ascii="Times New Roman" w:hAnsi="Times New Roman"/>
          <w:lang w:val="en-HK"/>
        </w:rPr>
      </w:pPr>
      <w:proofErr w:type="spellStart"/>
      <w:r w:rsidRPr="004E1CAA">
        <w:rPr>
          <w:rFonts w:ascii="Times New Roman" w:hAnsi="Times New Roman"/>
          <w:b/>
          <w:bCs/>
          <w:lang w:val="en-HK"/>
        </w:rPr>
        <w:t>Conaglen</w:t>
      </w:r>
      <w:proofErr w:type="spellEnd"/>
      <w:r w:rsidRPr="004E1CAA">
        <w:rPr>
          <w:rFonts w:ascii="Times New Roman" w:hAnsi="Times New Roman"/>
          <w:b/>
          <w:bCs/>
          <w:lang w:val="en-HK"/>
        </w:rPr>
        <w:t xml:space="preserve"> (2016)</w:t>
      </w:r>
      <w:r w:rsidRPr="004E1CAA">
        <w:rPr>
          <w:rFonts w:ascii="Times New Roman" w:hAnsi="Times New Roman"/>
          <w:lang w:val="en-HK"/>
        </w:rPr>
        <w:t>:</w:t>
      </w:r>
    </w:p>
    <w:p w14:paraId="7F2D31A1"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"The lack of Chancery expertise in higher courts risks marginalizing equity’s unique role in maintaining fairness and justice."</w:t>
      </w:r>
    </w:p>
    <w:p w14:paraId="03D5F1F7"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36C7ABD7">
          <v:rect id="_x0000_i1029" alt="" style="width:451.3pt;height:.05pt;mso-width-percent:0;mso-height-percent:0;mso-width-percent:0;mso-height-percent:0" o:hralign="center" o:hrstd="t" o:hr="t" fillcolor="#a0a0a0" stroked="f"/>
        </w:pict>
      </w:r>
    </w:p>
    <w:p w14:paraId="41B0499A"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5.4. Erosion of Fiduciary Principles</w:t>
      </w:r>
    </w:p>
    <w:p w14:paraId="23046D9E"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commercialisation of equity has weakened key fiduciary principles, particularly in cases involving compensatory liability and proprietary relief:</w:t>
      </w:r>
    </w:p>
    <w:p w14:paraId="7BEE039D"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 xml:space="preserve">AIB Group v Mark </w:t>
      </w:r>
      <w:proofErr w:type="spellStart"/>
      <w:r w:rsidRPr="004E1CAA">
        <w:rPr>
          <w:rFonts w:ascii="Times New Roman" w:hAnsi="Times New Roman"/>
          <w:b/>
          <w:bCs/>
          <w:lang w:val="en-HK"/>
        </w:rPr>
        <w:t>Redler</w:t>
      </w:r>
      <w:proofErr w:type="spellEnd"/>
      <w:r w:rsidRPr="004E1CAA">
        <w:rPr>
          <w:rFonts w:ascii="Times New Roman" w:hAnsi="Times New Roman"/>
          <w:lang w:val="en-HK"/>
        </w:rPr>
        <w:t>:</w:t>
      </w:r>
      <w:r w:rsidRPr="004E1CAA">
        <w:rPr>
          <w:rFonts w:ascii="Times New Roman" w:hAnsi="Times New Roman"/>
          <w:lang w:val="en-HK"/>
        </w:rPr>
        <w:br/>
        <w:t>Lord Toulson’s judgment aligned equitable compensation with common law damages, diluting the traditional principles of falsification and surcharging. The authors argue this shift undermines fiduciaries’ custodianship obligations.</w:t>
      </w:r>
    </w:p>
    <w:p w14:paraId="2F8C03B1" w14:textId="77777777" w:rsidR="004E1CAA" w:rsidRPr="00CF31E6"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Lord Toulson ([2014] UKSC 58, at [73]):</w:t>
      </w:r>
    </w:p>
    <w:p w14:paraId="2309E38A" w14:textId="3C6CA894"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"Equitable compensation serves a reparative function rather than reconstitution."</w:t>
      </w:r>
    </w:p>
    <w:p w14:paraId="4D6AD769"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FHR European Ventures</w:t>
      </w:r>
      <w:r w:rsidRPr="004E1CAA">
        <w:rPr>
          <w:rFonts w:ascii="Times New Roman" w:hAnsi="Times New Roman"/>
          <w:lang w:val="en-HK"/>
        </w:rPr>
        <w:t>:</w:t>
      </w:r>
      <w:r w:rsidRPr="004E1CAA">
        <w:rPr>
          <w:rFonts w:ascii="Times New Roman" w:hAnsi="Times New Roman"/>
          <w:lang w:val="en-HK"/>
        </w:rPr>
        <w:br/>
        <w:t>The expansion of proprietary remedies to include all fiduciary profits risks conflating equitable principles with policy-driven goals, reducing equity’s doctrinal distinctiveness.</w:t>
      </w:r>
    </w:p>
    <w:p w14:paraId="16D6AC6A"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251828B4">
          <v:rect id="_x0000_i1028" alt="" style="width:451.3pt;height:.05pt;mso-width-percent:0;mso-height-percent:0;mso-width-percent:0;mso-height-percent:0" o:hralign="center" o:hrstd="t" o:hr="t" fillcolor="#a0a0a0" stroked="f"/>
        </w:pict>
      </w:r>
    </w:p>
    <w:p w14:paraId="44A12D1C"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5.5. Broader Implications</w:t>
      </w:r>
    </w:p>
    <w:p w14:paraId="764C536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commercialisation of equity raises broader concerns about its role in maintaining fairness in a rapidly evolving legal landscape:</w:t>
      </w:r>
    </w:p>
    <w:p w14:paraId="10AC7C86" w14:textId="77777777" w:rsidR="004E1CAA" w:rsidRPr="00CF31E6" w:rsidRDefault="004E1CAA" w:rsidP="00CF31E6">
      <w:pPr>
        <w:numPr>
          <w:ilvl w:val="0"/>
          <w:numId w:val="44"/>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lastRenderedPageBreak/>
        <w:t>Doctrinal Clarity</w:t>
      </w:r>
      <w:r w:rsidRPr="004E1CAA">
        <w:rPr>
          <w:rFonts w:ascii="Times New Roman" w:hAnsi="Times New Roman"/>
          <w:lang w:val="en-HK"/>
        </w:rPr>
        <w:t>:</w:t>
      </w:r>
    </w:p>
    <w:p w14:paraId="69287427" w14:textId="59C25E6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erosion of traditional principles creates uncertainty, particularly for fiduciaries and beneficiaries.</w:t>
      </w:r>
    </w:p>
    <w:p w14:paraId="4FFCDEFF"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Example</w:t>
      </w:r>
      <w:r w:rsidRPr="004E1CAA">
        <w:rPr>
          <w:rFonts w:ascii="Times New Roman" w:hAnsi="Times New Roman"/>
          <w:lang w:val="en-HK"/>
        </w:rPr>
        <w:t xml:space="preserve">: In </w:t>
      </w:r>
      <w:r w:rsidRPr="004E1CAA">
        <w:rPr>
          <w:rFonts w:ascii="Times New Roman" w:hAnsi="Times New Roman"/>
          <w:b/>
          <w:bCs/>
          <w:lang w:val="en-HK"/>
        </w:rPr>
        <w:t>Williams v Central Bank of Nigeria [2014] UKSC 10</w:t>
      </w:r>
      <w:r w:rsidRPr="004E1CAA">
        <w:rPr>
          <w:rFonts w:ascii="Times New Roman" w:hAnsi="Times New Roman"/>
          <w:lang w:val="en-HK"/>
        </w:rPr>
        <w:t>, the court’s imposition of limitation periods for dishonest assistance claims marked a significant departure from the equitable principle that "fraud unravels all."</w:t>
      </w:r>
    </w:p>
    <w:p w14:paraId="154357F7" w14:textId="77777777" w:rsidR="004E1CAA" w:rsidRPr="00CF31E6" w:rsidRDefault="004E1CAA" w:rsidP="00CF31E6">
      <w:pPr>
        <w:numPr>
          <w:ilvl w:val="0"/>
          <w:numId w:val="44"/>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Access to Justice</w:t>
      </w:r>
      <w:r w:rsidRPr="00CF31E6">
        <w:rPr>
          <w:rFonts w:ascii="Times New Roman" w:hAnsi="Times New Roman"/>
          <w:lang w:val="en-HK"/>
        </w:rPr>
        <w:t>:</w:t>
      </w:r>
    </w:p>
    <w:p w14:paraId="3303CCE1" w14:textId="17182B57" w:rsidR="004E1CAA" w:rsidRPr="004E1CAA" w:rsidRDefault="004E1CAA" w:rsidP="00CF31E6">
      <w:pPr>
        <w:spacing w:before="100" w:beforeAutospacing="1" w:after="100" w:afterAutospacing="1" w:line="276" w:lineRule="auto"/>
        <w:rPr>
          <w:rFonts w:ascii="Times New Roman" w:hAnsi="Times New Roman"/>
          <w:lang w:val="en-HK"/>
        </w:rPr>
      </w:pPr>
      <w:proofErr w:type="spellStart"/>
      <w:r w:rsidRPr="004E1CAA">
        <w:rPr>
          <w:rFonts w:ascii="Times New Roman" w:hAnsi="Times New Roman"/>
          <w:lang w:val="en-HK"/>
        </w:rPr>
        <w:t>The</w:t>
      </w:r>
      <w:proofErr w:type="spellEnd"/>
      <w:r w:rsidRPr="004E1CAA">
        <w:rPr>
          <w:rFonts w:ascii="Times New Roman" w:hAnsi="Times New Roman"/>
          <w:lang w:val="en-HK"/>
        </w:rPr>
        <w:t xml:space="preserve"> prioritisation of commercial interests risks marginalising vulnerable parties who rely on equity to redress imbalances of power.</w:t>
      </w:r>
    </w:p>
    <w:p w14:paraId="0C5834DD" w14:textId="77777777" w:rsidR="004E1CAA" w:rsidRPr="00CF31E6" w:rsidRDefault="004E1CAA" w:rsidP="00CF31E6">
      <w:pPr>
        <w:numPr>
          <w:ilvl w:val="0"/>
          <w:numId w:val="44"/>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International Harmonisation</w:t>
      </w:r>
      <w:r w:rsidRPr="004E1CAA">
        <w:rPr>
          <w:rFonts w:ascii="Times New Roman" w:hAnsi="Times New Roman"/>
          <w:lang w:val="en-HK"/>
        </w:rPr>
        <w:t>:</w:t>
      </w:r>
    </w:p>
    <w:p w14:paraId="33D7B153" w14:textId="2E3D9A61"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judiciary’s focus on aligning English law with international norms reflects a globalised approach to equity. However, the authors caution against oversimplifying domestic principles to achieve this goal.</w:t>
      </w:r>
    </w:p>
    <w:p w14:paraId="74BA91F8"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2ADE53D0">
          <v:rect id="_x0000_i1027" alt="" style="width:451.3pt;height:.05pt;mso-width-percent:0;mso-height-percent:0;mso-width-percent:0;mso-height-percent:0" o:hralign="center" o:hrstd="t" o:hr="t" fillcolor="#a0a0a0" stroked="f"/>
        </w:pict>
      </w:r>
    </w:p>
    <w:p w14:paraId="347EC89C"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5.6. Recommendations for Reform</w:t>
      </w:r>
    </w:p>
    <w:p w14:paraId="7EE2E9B3"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authors propose several measures to address the challenges posed by the commercialisation of equity:</w:t>
      </w:r>
    </w:p>
    <w:p w14:paraId="787B109F" w14:textId="77777777" w:rsidR="004E1CAA" w:rsidRPr="00CF31E6" w:rsidRDefault="004E1CAA" w:rsidP="00CF31E6">
      <w:pPr>
        <w:numPr>
          <w:ilvl w:val="0"/>
          <w:numId w:val="45"/>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Judicial Appointments</w:t>
      </w:r>
      <w:r w:rsidRPr="004E1CAA">
        <w:rPr>
          <w:rFonts w:ascii="Times New Roman" w:hAnsi="Times New Roman"/>
          <w:lang w:val="en-HK"/>
        </w:rPr>
        <w:t>:</w:t>
      </w:r>
    </w:p>
    <w:p w14:paraId="622C80D8" w14:textId="222820B2"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Enhance Chancery expertise in the judiciary to ensure a balanced approach to equitable principles and commercial pragmatism.</w:t>
      </w:r>
    </w:p>
    <w:p w14:paraId="6BF148E9" w14:textId="77777777" w:rsidR="004E1CAA" w:rsidRPr="00CF31E6" w:rsidRDefault="004E1CAA" w:rsidP="00CF31E6">
      <w:pPr>
        <w:numPr>
          <w:ilvl w:val="0"/>
          <w:numId w:val="45"/>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Doctrinal Preservation</w:t>
      </w:r>
      <w:r w:rsidRPr="004E1CAA">
        <w:rPr>
          <w:rFonts w:ascii="Times New Roman" w:hAnsi="Times New Roman"/>
          <w:lang w:val="en-HK"/>
        </w:rPr>
        <w:t>:</w:t>
      </w:r>
    </w:p>
    <w:p w14:paraId="6057D23B" w14:textId="50E13D16"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Reinforce traditional equitable doctrines, such as falsification and surcharging, to maintain the integrity of fiduciary accountability.</w:t>
      </w:r>
    </w:p>
    <w:p w14:paraId="687F4D9C" w14:textId="77777777" w:rsidR="004E1CAA" w:rsidRPr="00CF31E6" w:rsidRDefault="004E1CAA" w:rsidP="00CF31E6">
      <w:pPr>
        <w:numPr>
          <w:ilvl w:val="0"/>
          <w:numId w:val="45"/>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Transparent Judicial Reasoning</w:t>
      </w:r>
      <w:r w:rsidRPr="004E1CAA">
        <w:rPr>
          <w:rFonts w:ascii="Times New Roman" w:hAnsi="Times New Roman"/>
          <w:lang w:val="en-HK"/>
        </w:rPr>
        <w:t>:</w:t>
      </w:r>
    </w:p>
    <w:p w14:paraId="242913A0" w14:textId="2FAF05D3"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Encourage courts to provide detailed reasoning when departing from traditional principles, ensuring accountability and clarity.</w:t>
      </w:r>
    </w:p>
    <w:p w14:paraId="02535638" w14:textId="77777777" w:rsidR="004E1CAA" w:rsidRPr="00CF31E6" w:rsidRDefault="004E1CAA" w:rsidP="00CF31E6">
      <w:pPr>
        <w:numPr>
          <w:ilvl w:val="0"/>
          <w:numId w:val="45"/>
        </w:num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Legislative Intervention</w:t>
      </w:r>
      <w:r w:rsidRPr="004E1CAA">
        <w:rPr>
          <w:rFonts w:ascii="Times New Roman" w:hAnsi="Times New Roman"/>
          <w:lang w:val="en-HK"/>
        </w:rPr>
        <w:t>:</w:t>
      </w:r>
    </w:p>
    <w:p w14:paraId="56E2B412" w14:textId="572A06CA"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Consider legislative reforms to codify key equitable principles, particularly in the context of fiduciary duties and third-party liability.</w:t>
      </w:r>
    </w:p>
    <w:p w14:paraId="5222F34D"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lastRenderedPageBreak/>
        <w:pict w14:anchorId="2E4224E9">
          <v:rect id="_x0000_i1026" alt="" style="width:451.3pt;height:.05pt;mso-width-percent:0;mso-height-percent:0;mso-width-percent:0;mso-height-percent:0" o:hralign="center" o:hrstd="t" o:hr="t" fillcolor="#a0a0a0" stroked="f"/>
        </w:pict>
      </w:r>
    </w:p>
    <w:p w14:paraId="21DCA5DE" w14:textId="77777777" w:rsidR="004E1CAA" w:rsidRPr="004E1CAA" w:rsidRDefault="004E1CAA" w:rsidP="00CF31E6">
      <w:pPr>
        <w:spacing w:before="100" w:beforeAutospacing="1" w:after="100" w:afterAutospacing="1" w:line="276" w:lineRule="auto"/>
        <w:outlineLvl w:val="2"/>
        <w:rPr>
          <w:rFonts w:ascii="Times New Roman" w:hAnsi="Times New Roman"/>
          <w:b/>
          <w:bCs/>
          <w:lang w:val="en-HK"/>
        </w:rPr>
      </w:pPr>
      <w:r w:rsidRPr="004E1CAA">
        <w:rPr>
          <w:rFonts w:ascii="Times New Roman" w:hAnsi="Times New Roman"/>
          <w:b/>
          <w:bCs/>
          <w:lang w:val="en-HK"/>
        </w:rPr>
        <w:t>5.7. Conclusion</w:t>
      </w:r>
    </w:p>
    <w:p w14:paraId="28D407C6"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lang w:val="en-HK"/>
        </w:rPr>
        <w:t>The authors conclude that while commercialisation has enhanced the efficiency and predictability of equity in modern commerce, it has also diluted its normative and remedial significance. They advocate for a more balanced approach that preserves equity’s foundational principles while accommodating the demands of a globalised legal environment.</w:t>
      </w:r>
    </w:p>
    <w:p w14:paraId="693AED66" w14:textId="77777777" w:rsidR="004E1CAA" w:rsidRPr="004E1CAA" w:rsidRDefault="004E1CAA" w:rsidP="00CF31E6">
      <w:pPr>
        <w:spacing w:before="100" w:beforeAutospacing="1" w:after="100" w:afterAutospacing="1" w:line="276" w:lineRule="auto"/>
        <w:outlineLvl w:val="3"/>
        <w:rPr>
          <w:rFonts w:ascii="Times New Roman" w:hAnsi="Times New Roman"/>
          <w:b/>
          <w:bCs/>
          <w:lang w:val="en-HK"/>
        </w:rPr>
      </w:pPr>
      <w:r w:rsidRPr="004E1CAA">
        <w:rPr>
          <w:rFonts w:ascii="Times New Roman" w:hAnsi="Times New Roman"/>
          <w:b/>
          <w:bCs/>
          <w:lang w:val="en-HK"/>
        </w:rPr>
        <w:t>Scholarly Summary:</w:t>
      </w:r>
    </w:p>
    <w:p w14:paraId="14B26448"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Millett (1998)</w:t>
      </w:r>
      <w:r w:rsidRPr="004E1CAA">
        <w:rPr>
          <w:rFonts w:ascii="Times New Roman" w:hAnsi="Times New Roman"/>
          <w:lang w:val="en-HK"/>
        </w:rPr>
        <w:t>:</w:t>
      </w:r>
    </w:p>
    <w:p w14:paraId="1ABDEC29"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w:t>
      </w:r>
      <w:r w:rsidRPr="004E1CAA">
        <w:rPr>
          <w:rFonts w:ascii="Times New Roman" w:hAnsi="Times New Roman"/>
          <w:b/>
          <w:bCs/>
          <w:color w:val="FF0000"/>
          <w:lang w:val="en-HK"/>
        </w:rPr>
        <w:t>Equity’s strength lies in its adaptability, but it must not sacrifice its principles at the altar of commercial pragmatism"</w:t>
      </w:r>
      <w:r w:rsidRPr="004E1CAA">
        <w:rPr>
          <w:rFonts w:ascii="Times New Roman" w:hAnsi="Times New Roman"/>
          <w:lang w:val="en-HK"/>
        </w:rPr>
        <w:t xml:space="preserve"> (</w:t>
      </w:r>
      <w:r w:rsidRPr="004E1CAA">
        <w:rPr>
          <w:rFonts w:ascii="Times New Roman" w:hAnsi="Times New Roman"/>
          <w:i/>
          <w:iCs/>
          <w:lang w:val="en-HK"/>
        </w:rPr>
        <w:t>Equity’s Place in the Law of Commerce</w:t>
      </w:r>
      <w:r w:rsidRPr="004E1CAA">
        <w:rPr>
          <w:rFonts w:ascii="Times New Roman" w:hAnsi="Times New Roman"/>
          <w:lang w:val="en-HK"/>
        </w:rPr>
        <w:t>).</w:t>
      </w:r>
    </w:p>
    <w:p w14:paraId="031997BF" w14:textId="77777777" w:rsidR="004E1CAA" w:rsidRPr="004E1CAA" w:rsidRDefault="004E1CAA" w:rsidP="00CF31E6">
      <w:pPr>
        <w:spacing w:before="100" w:beforeAutospacing="1" w:after="100" w:afterAutospacing="1" w:line="276" w:lineRule="auto"/>
        <w:rPr>
          <w:rFonts w:ascii="Times New Roman" w:hAnsi="Times New Roman"/>
          <w:lang w:val="en-HK"/>
        </w:rPr>
      </w:pPr>
      <w:r w:rsidRPr="004E1CAA">
        <w:rPr>
          <w:rFonts w:ascii="Times New Roman" w:hAnsi="Times New Roman"/>
          <w:b/>
          <w:bCs/>
          <w:lang w:val="en-HK"/>
        </w:rPr>
        <w:t>Edelman (2015)</w:t>
      </w:r>
      <w:r w:rsidRPr="004E1CAA">
        <w:rPr>
          <w:rFonts w:ascii="Times New Roman" w:hAnsi="Times New Roman"/>
          <w:lang w:val="en-HK"/>
        </w:rPr>
        <w:t>:</w:t>
      </w:r>
    </w:p>
    <w:p w14:paraId="07DF2C5E" w14:textId="77777777" w:rsidR="004E1CAA" w:rsidRPr="004E1CAA" w:rsidRDefault="004E1CAA" w:rsidP="00CF31E6">
      <w:pPr>
        <w:spacing w:beforeAutospacing="1" w:afterAutospacing="1" w:line="276" w:lineRule="auto"/>
        <w:rPr>
          <w:rFonts w:ascii="Times New Roman" w:hAnsi="Times New Roman"/>
          <w:lang w:val="en-HK"/>
        </w:rPr>
      </w:pPr>
      <w:r w:rsidRPr="004E1CAA">
        <w:rPr>
          <w:rFonts w:ascii="Times New Roman" w:hAnsi="Times New Roman"/>
          <w:lang w:val="en-HK"/>
        </w:rPr>
        <w:t>"Modern equity risks becoming indistinguishable from common law if it continues to prioritise commercial utility over doctrinal coherence."</w:t>
      </w:r>
    </w:p>
    <w:p w14:paraId="17B5CB8C" w14:textId="77777777" w:rsidR="004E1CAA" w:rsidRPr="004E1CAA" w:rsidRDefault="00D56F33" w:rsidP="00CF31E6">
      <w:pPr>
        <w:spacing w:line="276" w:lineRule="auto"/>
        <w:rPr>
          <w:rFonts w:ascii="Times New Roman" w:hAnsi="Times New Roman"/>
          <w:lang w:val="en-HK"/>
        </w:rPr>
      </w:pPr>
      <w:r w:rsidRPr="00D56F33">
        <w:rPr>
          <w:rFonts w:ascii="Times New Roman" w:hAnsi="Times New Roman"/>
          <w:noProof/>
          <w:lang w:val="en-HK"/>
          <w14:ligatures w14:val="standardContextual"/>
        </w:rPr>
        <w:pict w14:anchorId="3A8ECA06">
          <v:rect id="_x0000_i1025" alt="" style="width:451.3pt;height:.05pt;mso-width-percent:0;mso-height-percent:0;mso-width-percent:0;mso-height-percent:0" o:hralign="center" o:hrstd="t" o:hr="t" fillcolor="#a0a0a0" stroked="f"/>
        </w:pict>
      </w:r>
    </w:p>
    <w:p w14:paraId="5021F59E" w14:textId="77777777" w:rsidR="00CD39F1" w:rsidRPr="00CF31E6" w:rsidRDefault="00CD39F1" w:rsidP="00CF31E6">
      <w:pPr>
        <w:spacing w:line="276" w:lineRule="auto"/>
        <w:rPr>
          <w:rFonts w:ascii="Times New Roman" w:hAnsi="Times New Roman"/>
        </w:rPr>
      </w:pPr>
    </w:p>
    <w:sectPr w:rsidR="00CD39F1" w:rsidRPr="00CF3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17F9F"/>
    <w:multiLevelType w:val="multilevel"/>
    <w:tmpl w:val="7292B8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F15C22"/>
    <w:multiLevelType w:val="multilevel"/>
    <w:tmpl w:val="9402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59E2"/>
    <w:multiLevelType w:val="multilevel"/>
    <w:tmpl w:val="D2D2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661BA"/>
    <w:multiLevelType w:val="multilevel"/>
    <w:tmpl w:val="D1F8A5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C1A6A15"/>
    <w:multiLevelType w:val="multilevel"/>
    <w:tmpl w:val="ED1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E0BFD"/>
    <w:multiLevelType w:val="multilevel"/>
    <w:tmpl w:val="36D4D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179C1"/>
    <w:multiLevelType w:val="multilevel"/>
    <w:tmpl w:val="6FE068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E3E0E30"/>
    <w:multiLevelType w:val="multilevel"/>
    <w:tmpl w:val="ED30DDC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E4E7742"/>
    <w:multiLevelType w:val="multilevel"/>
    <w:tmpl w:val="E9E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B4346"/>
    <w:multiLevelType w:val="multilevel"/>
    <w:tmpl w:val="0C7A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87F23"/>
    <w:multiLevelType w:val="multilevel"/>
    <w:tmpl w:val="653C20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6783AF7"/>
    <w:multiLevelType w:val="multilevel"/>
    <w:tmpl w:val="C76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409B9"/>
    <w:multiLevelType w:val="multilevel"/>
    <w:tmpl w:val="4F30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45E9D"/>
    <w:multiLevelType w:val="multilevel"/>
    <w:tmpl w:val="10C0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03D3F"/>
    <w:multiLevelType w:val="multilevel"/>
    <w:tmpl w:val="D1484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D4A09"/>
    <w:multiLevelType w:val="multilevel"/>
    <w:tmpl w:val="EA905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03538"/>
    <w:multiLevelType w:val="multilevel"/>
    <w:tmpl w:val="BDC2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F7C77"/>
    <w:multiLevelType w:val="multilevel"/>
    <w:tmpl w:val="80D85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38D1CF3"/>
    <w:multiLevelType w:val="multilevel"/>
    <w:tmpl w:val="9326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C15FE"/>
    <w:multiLevelType w:val="multilevel"/>
    <w:tmpl w:val="A6081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281E83"/>
    <w:multiLevelType w:val="multilevel"/>
    <w:tmpl w:val="8E90C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75ADF"/>
    <w:multiLevelType w:val="multilevel"/>
    <w:tmpl w:val="C2C23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55E3B"/>
    <w:multiLevelType w:val="multilevel"/>
    <w:tmpl w:val="72F8F6E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D8E6EFA"/>
    <w:multiLevelType w:val="multilevel"/>
    <w:tmpl w:val="7DA6B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0D2178"/>
    <w:multiLevelType w:val="multilevel"/>
    <w:tmpl w:val="8108B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4002058"/>
    <w:multiLevelType w:val="multilevel"/>
    <w:tmpl w:val="04F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81D2C"/>
    <w:multiLevelType w:val="multilevel"/>
    <w:tmpl w:val="A500A4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D0A75EA"/>
    <w:multiLevelType w:val="multilevel"/>
    <w:tmpl w:val="E7229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21AB2"/>
    <w:multiLevelType w:val="multilevel"/>
    <w:tmpl w:val="95C0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67422"/>
    <w:multiLevelType w:val="multilevel"/>
    <w:tmpl w:val="FE221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4C57259"/>
    <w:multiLevelType w:val="multilevel"/>
    <w:tmpl w:val="3EAEF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67A80"/>
    <w:multiLevelType w:val="multilevel"/>
    <w:tmpl w:val="A47A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8B5197"/>
    <w:multiLevelType w:val="multilevel"/>
    <w:tmpl w:val="B78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872D1"/>
    <w:multiLevelType w:val="multilevel"/>
    <w:tmpl w:val="01A8FD7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DB31007"/>
    <w:multiLevelType w:val="multilevel"/>
    <w:tmpl w:val="FD542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01787"/>
    <w:multiLevelType w:val="multilevel"/>
    <w:tmpl w:val="7E8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B03252"/>
    <w:multiLevelType w:val="multilevel"/>
    <w:tmpl w:val="870E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364F28"/>
    <w:multiLevelType w:val="multilevel"/>
    <w:tmpl w:val="EF9235D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5805CB7"/>
    <w:multiLevelType w:val="multilevel"/>
    <w:tmpl w:val="4EDA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D0B24"/>
    <w:multiLevelType w:val="multilevel"/>
    <w:tmpl w:val="42F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F517A"/>
    <w:multiLevelType w:val="multilevel"/>
    <w:tmpl w:val="07164C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645A0CC1"/>
    <w:multiLevelType w:val="multilevel"/>
    <w:tmpl w:val="D2E8CE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672138DB"/>
    <w:multiLevelType w:val="multilevel"/>
    <w:tmpl w:val="D43E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874129"/>
    <w:multiLevelType w:val="multilevel"/>
    <w:tmpl w:val="17F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5B74DC"/>
    <w:multiLevelType w:val="multilevel"/>
    <w:tmpl w:val="FD100F3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6AEC3655"/>
    <w:multiLevelType w:val="multilevel"/>
    <w:tmpl w:val="540822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6B25480B"/>
    <w:multiLevelType w:val="multilevel"/>
    <w:tmpl w:val="29AE8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895AE2"/>
    <w:multiLevelType w:val="multilevel"/>
    <w:tmpl w:val="B1361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6F49167B"/>
    <w:multiLevelType w:val="multilevel"/>
    <w:tmpl w:val="3CC23E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115715B"/>
    <w:multiLevelType w:val="multilevel"/>
    <w:tmpl w:val="070E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1D0B9C"/>
    <w:multiLevelType w:val="multilevel"/>
    <w:tmpl w:val="28CE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4E194C"/>
    <w:multiLevelType w:val="multilevel"/>
    <w:tmpl w:val="3EE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0B6E48"/>
    <w:multiLevelType w:val="multilevel"/>
    <w:tmpl w:val="301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44E64"/>
    <w:multiLevelType w:val="multilevel"/>
    <w:tmpl w:val="5216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12678E"/>
    <w:multiLevelType w:val="multilevel"/>
    <w:tmpl w:val="FCB0B4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7B664F3F"/>
    <w:multiLevelType w:val="multilevel"/>
    <w:tmpl w:val="D890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673998">
    <w:abstractNumId w:val="14"/>
  </w:num>
  <w:num w:numId="2" w16cid:durableId="594628386">
    <w:abstractNumId w:val="35"/>
  </w:num>
  <w:num w:numId="3" w16cid:durableId="1160317583">
    <w:abstractNumId w:val="18"/>
  </w:num>
  <w:num w:numId="4" w16cid:durableId="60637689">
    <w:abstractNumId w:val="24"/>
  </w:num>
  <w:num w:numId="5" w16cid:durableId="137234023">
    <w:abstractNumId w:val="17"/>
  </w:num>
  <w:num w:numId="6" w16cid:durableId="2035374076">
    <w:abstractNumId w:val="29"/>
  </w:num>
  <w:num w:numId="7" w16cid:durableId="1880167385">
    <w:abstractNumId w:val="31"/>
  </w:num>
  <w:num w:numId="8" w16cid:durableId="595789287">
    <w:abstractNumId w:val="55"/>
  </w:num>
  <w:num w:numId="9" w16cid:durableId="1003238892">
    <w:abstractNumId w:val="3"/>
  </w:num>
  <w:num w:numId="10" w16cid:durableId="2069838900">
    <w:abstractNumId w:val="36"/>
  </w:num>
  <w:num w:numId="11" w16cid:durableId="32657277">
    <w:abstractNumId w:val="43"/>
  </w:num>
  <w:num w:numId="12" w16cid:durableId="1703894762">
    <w:abstractNumId w:val="37"/>
  </w:num>
  <w:num w:numId="13" w16cid:durableId="378820678">
    <w:abstractNumId w:val="22"/>
  </w:num>
  <w:num w:numId="14" w16cid:durableId="26613040">
    <w:abstractNumId w:val="10"/>
  </w:num>
  <w:num w:numId="15" w16cid:durableId="792214673">
    <w:abstractNumId w:val="4"/>
  </w:num>
  <w:num w:numId="16" w16cid:durableId="927034956">
    <w:abstractNumId w:val="28"/>
  </w:num>
  <w:num w:numId="17" w16cid:durableId="53357271">
    <w:abstractNumId w:val="19"/>
  </w:num>
  <w:num w:numId="18" w16cid:durableId="1800493607">
    <w:abstractNumId w:val="38"/>
  </w:num>
  <w:num w:numId="19" w16cid:durableId="1438604133">
    <w:abstractNumId w:val="32"/>
  </w:num>
  <w:num w:numId="20" w16cid:durableId="1925913690">
    <w:abstractNumId w:val="5"/>
  </w:num>
  <w:num w:numId="21" w16cid:durableId="657423539">
    <w:abstractNumId w:val="34"/>
  </w:num>
  <w:num w:numId="22" w16cid:durableId="1070999606">
    <w:abstractNumId w:val="21"/>
  </w:num>
  <w:num w:numId="23" w16cid:durableId="1451582433">
    <w:abstractNumId w:val="46"/>
  </w:num>
  <w:num w:numId="24" w16cid:durableId="2083328901">
    <w:abstractNumId w:val="49"/>
  </w:num>
  <w:num w:numId="25" w16cid:durableId="1082290190">
    <w:abstractNumId w:val="53"/>
  </w:num>
  <w:num w:numId="26" w16cid:durableId="2092773305">
    <w:abstractNumId w:val="23"/>
  </w:num>
  <w:num w:numId="27" w16cid:durableId="49618355">
    <w:abstractNumId w:val="15"/>
  </w:num>
  <w:num w:numId="28" w16cid:durableId="947588023">
    <w:abstractNumId w:val="45"/>
  </w:num>
  <w:num w:numId="29" w16cid:durableId="1633511758">
    <w:abstractNumId w:val="11"/>
  </w:num>
  <w:num w:numId="30" w16cid:durableId="686951849">
    <w:abstractNumId w:val="25"/>
  </w:num>
  <w:num w:numId="31" w16cid:durableId="92748847">
    <w:abstractNumId w:val="26"/>
  </w:num>
  <w:num w:numId="32" w16cid:durableId="1987395952">
    <w:abstractNumId w:val="6"/>
  </w:num>
  <w:num w:numId="33" w16cid:durableId="493568261">
    <w:abstractNumId w:val="27"/>
  </w:num>
  <w:num w:numId="34" w16cid:durableId="26682939">
    <w:abstractNumId w:val="7"/>
  </w:num>
  <w:num w:numId="35" w16cid:durableId="888537765">
    <w:abstractNumId w:val="44"/>
  </w:num>
  <w:num w:numId="36" w16cid:durableId="272395971">
    <w:abstractNumId w:val="52"/>
  </w:num>
  <w:num w:numId="37" w16cid:durableId="46534800">
    <w:abstractNumId w:val="51"/>
  </w:num>
  <w:num w:numId="38" w16cid:durableId="43718359">
    <w:abstractNumId w:val="8"/>
  </w:num>
  <w:num w:numId="39" w16cid:durableId="1735858592">
    <w:abstractNumId w:val="48"/>
  </w:num>
  <w:num w:numId="40" w16cid:durableId="1760171409">
    <w:abstractNumId w:val="41"/>
  </w:num>
  <w:num w:numId="41" w16cid:durableId="684405793">
    <w:abstractNumId w:val="2"/>
  </w:num>
  <w:num w:numId="42" w16cid:durableId="323289647">
    <w:abstractNumId w:val="16"/>
  </w:num>
  <w:num w:numId="43" w16cid:durableId="239944373">
    <w:abstractNumId w:val="50"/>
  </w:num>
  <w:num w:numId="44" w16cid:durableId="956371023">
    <w:abstractNumId w:val="54"/>
  </w:num>
  <w:num w:numId="45" w16cid:durableId="1689332657">
    <w:abstractNumId w:val="40"/>
  </w:num>
  <w:num w:numId="46" w16cid:durableId="1058866749">
    <w:abstractNumId w:val="39"/>
  </w:num>
  <w:num w:numId="47" w16cid:durableId="854228229">
    <w:abstractNumId w:val="9"/>
  </w:num>
  <w:num w:numId="48" w16cid:durableId="83845502">
    <w:abstractNumId w:val="0"/>
  </w:num>
  <w:num w:numId="49" w16cid:durableId="1629239709">
    <w:abstractNumId w:val="42"/>
  </w:num>
  <w:num w:numId="50" w16cid:durableId="233319777">
    <w:abstractNumId w:val="1"/>
  </w:num>
  <w:num w:numId="51" w16cid:durableId="55663116">
    <w:abstractNumId w:val="13"/>
  </w:num>
  <w:num w:numId="52" w16cid:durableId="1032610294">
    <w:abstractNumId w:val="33"/>
  </w:num>
  <w:num w:numId="53" w16cid:durableId="1642341699">
    <w:abstractNumId w:val="30"/>
  </w:num>
  <w:num w:numId="54" w16cid:durableId="2045014366">
    <w:abstractNumId w:val="20"/>
  </w:num>
  <w:num w:numId="55" w16cid:durableId="964039114">
    <w:abstractNumId w:val="47"/>
  </w:num>
  <w:num w:numId="56" w16cid:durableId="18132505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C52"/>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1725"/>
    <w:rsid w:val="000F3F73"/>
    <w:rsid w:val="00101CCF"/>
    <w:rsid w:val="001372F7"/>
    <w:rsid w:val="00175AB8"/>
    <w:rsid w:val="0019260C"/>
    <w:rsid w:val="001A41D2"/>
    <w:rsid w:val="001B0E31"/>
    <w:rsid w:val="001D360C"/>
    <w:rsid w:val="001E2584"/>
    <w:rsid w:val="001F4C71"/>
    <w:rsid w:val="002033A2"/>
    <w:rsid w:val="00204B6E"/>
    <w:rsid w:val="00223837"/>
    <w:rsid w:val="00243CED"/>
    <w:rsid w:val="00247BCC"/>
    <w:rsid w:val="00257540"/>
    <w:rsid w:val="0026510F"/>
    <w:rsid w:val="0028028D"/>
    <w:rsid w:val="00291F37"/>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0B8B"/>
    <w:rsid w:val="004B1048"/>
    <w:rsid w:val="004D01FE"/>
    <w:rsid w:val="004D582C"/>
    <w:rsid w:val="004D5B1A"/>
    <w:rsid w:val="004E1930"/>
    <w:rsid w:val="004E1CA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975B6"/>
    <w:rsid w:val="007B48C2"/>
    <w:rsid w:val="007C231D"/>
    <w:rsid w:val="007D68F0"/>
    <w:rsid w:val="007E1559"/>
    <w:rsid w:val="007E4AE6"/>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31E6"/>
    <w:rsid w:val="00CF74EF"/>
    <w:rsid w:val="00D01E71"/>
    <w:rsid w:val="00D02AC8"/>
    <w:rsid w:val="00D0623C"/>
    <w:rsid w:val="00D07271"/>
    <w:rsid w:val="00D16917"/>
    <w:rsid w:val="00D56F33"/>
    <w:rsid w:val="00D65735"/>
    <w:rsid w:val="00D73E2C"/>
    <w:rsid w:val="00D76D14"/>
    <w:rsid w:val="00DA31CB"/>
    <w:rsid w:val="00DA3D31"/>
    <w:rsid w:val="00DA4488"/>
    <w:rsid w:val="00DB2E35"/>
    <w:rsid w:val="00DC0040"/>
    <w:rsid w:val="00DC0B7B"/>
    <w:rsid w:val="00DC228E"/>
    <w:rsid w:val="00DC495B"/>
    <w:rsid w:val="00DC7181"/>
    <w:rsid w:val="00DD6F5C"/>
    <w:rsid w:val="00DE1BDA"/>
    <w:rsid w:val="00DE6C87"/>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4F6A"/>
    <w:rsid w:val="00EF3EF4"/>
    <w:rsid w:val="00F012E4"/>
    <w:rsid w:val="00F0631B"/>
    <w:rsid w:val="00F248D2"/>
    <w:rsid w:val="00F27F00"/>
    <w:rsid w:val="00F33570"/>
    <w:rsid w:val="00F60C52"/>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170D"/>
  <w15:chartTrackingRefBased/>
  <w15:docId w15:val="{502904A2-8536-2843-BF3E-E3CC9B3F8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60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0C5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60C5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0C5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60C5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0C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0C5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0C5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C52"/>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60C52"/>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60C52"/>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60C52"/>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60C52"/>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60C52"/>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60C52"/>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60C52"/>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60C52"/>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60C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C52"/>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60C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C52"/>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60C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0C52"/>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60C52"/>
    <w:pPr>
      <w:ind w:left="720"/>
      <w:contextualSpacing/>
    </w:pPr>
  </w:style>
  <w:style w:type="character" w:styleId="IntenseEmphasis">
    <w:name w:val="Intense Emphasis"/>
    <w:basedOn w:val="DefaultParagraphFont"/>
    <w:uiPriority w:val="21"/>
    <w:qFormat/>
    <w:rsid w:val="00F60C52"/>
    <w:rPr>
      <w:i/>
      <w:iCs/>
      <w:color w:val="2F5496" w:themeColor="accent1" w:themeShade="BF"/>
    </w:rPr>
  </w:style>
  <w:style w:type="paragraph" w:styleId="IntenseQuote">
    <w:name w:val="Intense Quote"/>
    <w:basedOn w:val="Normal"/>
    <w:next w:val="Normal"/>
    <w:link w:val="IntenseQuoteChar"/>
    <w:uiPriority w:val="30"/>
    <w:qFormat/>
    <w:rsid w:val="00F60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C52"/>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60C52"/>
    <w:rPr>
      <w:b/>
      <w:bCs/>
      <w:smallCaps/>
      <w:color w:val="2F5496" w:themeColor="accent1" w:themeShade="BF"/>
      <w:spacing w:val="5"/>
    </w:rPr>
  </w:style>
  <w:style w:type="paragraph" w:styleId="NormalWeb">
    <w:name w:val="Normal (Web)"/>
    <w:basedOn w:val="Normal"/>
    <w:uiPriority w:val="99"/>
    <w:semiHidden/>
    <w:unhideWhenUsed/>
    <w:rsid w:val="004E1CAA"/>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4E1CAA"/>
    <w:rPr>
      <w:b/>
      <w:bCs/>
    </w:rPr>
  </w:style>
  <w:style w:type="character" w:styleId="Emphasis">
    <w:name w:val="Emphasis"/>
    <w:basedOn w:val="DefaultParagraphFont"/>
    <w:uiPriority w:val="20"/>
    <w:qFormat/>
    <w:rsid w:val="004E1C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775281">
      <w:bodyDiv w:val="1"/>
      <w:marLeft w:val="0"/>
      <w:marRight w:val="0"/>
      <w:marTop w:val="0"/>
      <w:marBottom w:val="0"/>
      <w:divBdr>
        <w:top w:val="none" w:sz="0" w:space="0" w:color="auto"/>
        <w:left w:val="none" w:sz="0" w:space="0" w:color="auto"/>
        <w:bottom w:val="none" w:sz="0" w:space="0" w:color="auto"/>
        <w:right w:val="none" w:sz="0" w:space="0" w:color="auto"/>
      </w:divBdr>
    </w:div>
    <w:div w:id="1634096366">
      <w:bodyDiv w:val="1"/>
      <w:marLeft w:val="0"/>
      <w:marRight w:val="0"/>
      <w:marTop w:val="0"/>
      <w:marBottom w:val="0"/>
      <w:divBdr>
        <w:top w:val="none" w:sz="0" w:space="0" w:color="auto"/>
        <w:left w:val="none" w:sz="0" w:space="0" w:color="auto"/>
        <w:bottom w:val="none" w:sz="0" w:space="0" w:color="auto"/>
        <w:right w:val="none" w:sz="0" w:space="0" w:color="auto"/>
      </w:divBdr>
      <w:divsChild>
        <w:div w:id="880941456">
          <w:blockQuote w:val="1"/>
          <w:marLeft w:val="720"/>
          <w:marRight w:val="720"/>
          <w:marTop w:val="100"/>
          <w:marBottom w:val="100"/>
          <w:divBdr>
            <w:top w:val="none" w:sz="0" w:space="0" w:color="auto"/>
            <w:left w:val="none" w:sz="0" w:space="0" w:color="auto"/>
            <w:bottom w:val="none" w:sz="0" w:space="0" w:color="auto"/>
            <w:right w:val="none" w:sz="0" w:space="0" w:color="auto"/>
          </w:divBdr>
        </w:div>
        <w:div w:id="841704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465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26831">
          <w:blockQuote w:val="1"/>
          <w:marLeft w:val="720"/>
          <w:marRight w:val="720"/>
          <w:marTop w:val="100"/>
          <w:marBottom w:val="100"/>
          <w:divBdr>
            <w:top w:val="none" w:sz="0" w:space="0" w:color="auto"/>
            <w:left w:val="none" w:sz="0" w:space="0" w:color="auto"/>
            <w:bottom w:val="none" w:sz="0" w:space="0" w:color="auto"/>
            <w:right w:val="none" w:sz="0" w:space="0" w:color="auto"/>
          </w:divBdr>
        </w:div>
        <w:div w:id="380832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132305">
      <w:bodyDiv w:val="1"/>
      <w:marLeft w:val="0"/>
      <w:marRight w:val="0"/>
      <w:marTop w:val="0"/>
      <w:marBottom w:val="0"/>
      <w:divBdr>
        <w:top w:val="none" w:sz="0" w:space="0" w:color="auto"/>
        <w:left w:val="none" w:sz="0" w:space="0" w:color="auto"/>
        <w:bottom w:val="none" w:sz="0" w:space="0" w:color="auto"/>
        <w:right w:val="none" w:sz="0" w:space="0" w:color="auto"/>
      </w:divBdr>
      <w:divsChild>
        <w:div w:id="484590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374151">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27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446788">
          <w:blockQuote w:val="1"/>
          <w:marLeft w:val="720"/>
          <w:marRight w:val="720"/>
          <w:marTop w:val="100"/>
          <w:marBottom w:val="100"/>
          <w:divBdr>
            <w:top w:val="none" w:sz="0" w:space="0" w:color="auto"/>
            <w:left w:val="none" w:sz="0" w:space="0" w:color="auto"/>
            <w:bottom w:val="none" w:sz="0" w:space="0" w:color="auto"/>
            <w:right w:val="none" w:sz="0" w:space="0" w:color="auto"/>
          </w:divBdr>
        </w:div>
        <w:div w:id="41617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454110">
      <w:bodyDiv w:val="1"/>
      <w:marLeft w:val="0"/>
      <w:marRight w:val="0"/>
      <w:marTop w:val="0"/>
      <w:marBottom w:val="0"/>
      <w:divBdr>
        <w:top w:val="none" w:sz="0" w:space="0" w:color="auto"/>
        <w:left w:val="none" w:sz="0" w:space="0" w:color="auto"/>
        <w:bottom w:val="none" w:sz="0" w:space="0" w:color="auto"/>
        <w:right w:val="none" w:sz="0" w:space="0" w:color="auto"/>
      </w:divBdr>
      <w:divsChild>
        <w:div w:id="1902790222">
          <w:blockQuote w:val="1"/>
          <w:marLeft w:val="720"/>
          <w:marRight w:val="720"/>
          <w:marTop w:val="100"/>
          <w:marBottom w:val="100"/>
          <w:divBdr>
            <w:top w:val="none" w:sz="0" w:space="0" w:color="auto"/>
            <w:left w:val="none" w:sz="0" w:space="0" w:color="auto"/>
            <w:bottom w:val="none" w:sz="0" w:space="0" w:color="auto"/>
            <w:right w:val="none" w:sz="0" w:space="0" w:color="auto"/>
          </w:divBdr>
        </w:div>
        <w:div w:id="95487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9027602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395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921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96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651022">
      <w:bodyDiv w:val="1"/>
      <w:marLeft w:val="0"/>
      <w:marRight w:val="0"/>
      <w:marTop w:val="0"/>
      <w:marBottom w:val="0"/>
      <w:divBdr>
        <w:top w:val="none" w:sz="0" w:space="0" w:color="auto"/>
        <w:left w:val="none" w:sz="0" w:space="0" w:color="auto"/>
        <w:bottom w:val="none" w:sz="0" w:space="0" w:color="auto"/>
        <w:right w:val="none" w:sz="0" w:space="0" w:color="auto"/>
      </w:divBdr>
      <w:divsChild>
        <w:div w:id="843206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057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78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74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380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815483">
      <w:bodyDiv w:val="1"/>
      <w:marLeft w:val="0"/>
      <w:marRight w:val="0"/>
      <w:marTop w:val="0"/>
      <w:marBottom w:val="0"/>
      <w:divBdr>
        <w:top w:val="none" w:sz="0" w:space="0" w:color="auto"/>
        <w:left w:val="none" w:sz="0" w:space="0" w:color="auto"/>
        <w:bottom w:val="none" w:sz="0" w:space="0" w:color="auto"/>
        <w:right w:val="none" w:sz="0" w:space="0" w:color="auto"/>
      </w:divBdr>
      <w:divsChild>
        <w:div w:id="55169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423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25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443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22</Pages>
  <Words>5497</Words>
  <Characters>31335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2025-01-27T16:23:00Z</dcterms:created>
  <dcterms:modified xsi:type="dcterms:W3CDTF">2025-01-27T17:07:00Z</dcterms:modified>
</cp:coreProperties>
</file>