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916C5" w14:textId="21CD73D4"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BC3846">
        <w:rPr>
          <w:rFonts w:ascii="Times New Roman" w:hAnsi="Times New Roman"/>
          <w:b/>
          <w:bCs/>
          <w:sz w:val="27"/>
          <w:szCs w:val="27"/>
          <w:lang w:val="en-HK"/>
        </w:rPr>
        <w:t xml:space="preserve">Section </w:t>
      </w:r>
      <w:r w:rsidRPr="00D31E07">
        <w:rPr>
          <w:rFonts w:ascii="Times New Roman" w:hAnsi="Times New Roman"/>
          <w:b/>
          <w:bCs/>
          <w:sz w:val="27"/>
          <w:szCs w:val="27"/>
          <w:lang w:val="en-HK"/>
        </w:rPr>
        <w:t>1: Introduction</w:t>
      </w:r>
    </w:p>
    <w:p w14:paraId="0FFB7A1B"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Key Theme</w:t>
      </w:r>
    </w:p>
    <w:p w14:paraId="3D881EE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Luke Broadway begins by addressing the critical interplay between </w:t>
      </w:r>
      <w:r w:rsidRPr="00D31E07">
        <w:rPr>
          <w:rFonts w:ascii="Times New Roman" w:hAnsi="Times New Roman"/>
          <w:b/>
          <w:bCs/>
          <w:lang w:val="en-HK"/>
        </w:rPr>
        <w:t>socially responsible investment (SRI)</w:t>
      </w:r>
      <w:r w:rsidRPr="00D31E07">
        <w:rPr>
          <w:rFonts w:ascii="Times New Roman" w:hAnsi="Times New Roman"/>
          <w:lang w:val="en-HK"/>
        </w:rPr>
        <w:t xml:space="preserve"> and </w:t>
      </w:r>
      <w:r w:rsidRPr="00D31E07">
        <w:rPr>
          <w:rFonts w:ascii="Times New Roman" w:hAnsi="Times New Roman"/>
          <w:b/>
          <w:bCs/>
          <w:lang w:val="en-HK"/>
        </w:rPr>
        <w:t>trust law</w:t>
      </w:r>
      <w:r w:rsidRPr="00D31E07">
        <w:rPr>
          <w:rFonts w:ascii="Times New Roman" w:hAnsi="Times New Roman"/>
          <w:lang w:val="en-HK"/>
        </w:rPr>
        <w:t xml:space="preserve">, asserting that while equity's moral conscience suggests a natural compatibility, trust law inadequately facilitates SRI. This inadequacy creates tension between </w:t>
      </w:r>
      <w:r w:rsidRPr="00D31E07">
        <w:rPr>
          <w:rFonts w:ascii="Times New Roman" w:hAnsi="Times New Roman"/>
          <w:b/>
          <w:bCs/>
          <w:lang w:val="en-HK"/>
        </w:rPr>
        <w:t>equity’s normative ideals</w:t>
      </w:r>
      <w:r w:rsidRPr="00D31E07">
        <w:rPr>
          <w:rFonts w:ascii="Times New Roman" w:hAnsi="Times New Roman"/>
          <w:lang w:val="en-HK"/>
        </w:rPr>
        <w:t xml:space="preserve"> and the strict requirements imposed by trust law.</w:t>
      </w:r>
    </w:p>
    <w:p w14:paraId="2A1717A8"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8ACB233">
          <v:rect id="_x0000_i1070" alt="" style="width:451.3pt;height:.05pt;mso-width-percent:0;mso-height-percent:0;mso-width-percent:0;mso-height-percent:0" o:hralign="center" o:hrstd="t" o:hr="t" fillcolor="#a0a0a0" stroked="f"/>
        </w:pict>
      </w:r>
    </w:p>
    <w:p w14:paraId="52F34C4A"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Defining SRI</w:t>
      </w:r>
    </w:p>
    <w:p w14:paraId="5AC29EEE"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7C22D0">
        <w:rPr>
          <w:rFonts w:ascii="Times New Roman" w:hAnsi="Times New Roman"/>
          <w:color w:val="FF0000"/>
          <w:lang w:val="en-HK"/>
        </w:rPr>
        <w:t xml:space="preserve">SRI refers to investment strategies aiming to achieve </w:t>
      </w:r>
      <w:r w:rsidRPr="007C22D0">
        <w:rPr>
          <w:rFonts w:ascii="Times New Roman" w:hAnsi="Times New Roman"/>
          <w:b/>
          <w:bCs/>
          <w:color w:val="FF0000"/>
          <w:lang w:val="en-HK"/>
        </w:rPr>
        <w:t>both financial returns and broader societal benefits</w:t>
      </w:r>
      <w:r w:rsidRPr="00D31E07">
        <w:rPr>
          <w:rFonts w:ascii="Times New Roman" w:hAnsi="Times New Roman"/>
          <w:lang w:val="en-HK"/>
        </w:rPr>
        <w:t>, such as promoting sustainability, ethical practices, or social change. However, its definition is elusive:</w:t>
      </w:r>
    </w:p>
    <w:p w14:paraId="7757E773"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Gerard McCormack notes that SRI “is not capable of easy definition partly because social investing may take different [. . .] forms” (1998).</w:t>
      </w:r>
    </w:p>
    <w:p w14:paraId="02572290"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lang w:val="en-HK"/>
        </w:rPr>
        <w:t>Krosinsky</w:t>
      </w:r>
      <w:proofErr w:type="spellEnd"/>
      <w:r w:rsidRPr="00D31E07">
        <w:rPr>
          <w:rFonts w:ascii="Times New Roman" w:hAnsi="Times New Roman"/>
          <w:lang w:val="en-HK"/>
        </w:rPr>
        <w:t xml:space="preserve"> and Robins (2008): SRI is commonly associated with terms like “‘ethical’, ‘green’, ‘responsible’, and ‘sustainable’.”</w:t>
      </w:r>
    </w:p>
    <w:p w14:paraId="63D5A47C"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lang w:val="en-HK"/>
        </w:rPr>
        <w:t>Langbein</w:t>
      </w:r>
      <w:proofErr w:type="spellEnd"/>
      <w:r w:rsidRPr="00D31E07">
        <w:rPr>
          <w:rFonts w:ascii="Times New Roman" w:hAnsi="Times New Roman"/>
          <w:lang w:val="en-HK"/>
        </w:rPr>
        <w:t xml:space="preserve"> and Posner (1980): SRI promotes “nonfinancial social goals as well” as financial outcomes, emphasizing the dual purpose of this investment approach.</w:t>
      </w:r>
    </w:p>
    <w:p w14:paraId="16140F67"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043D1796">
          <v:rect id="_x0000_i1069" alt="" style="width:451.3pt;height:.05pt;mso-width-percent:0;mso-height-percent:0;mso-width-percent:0;mso-height-percent:0" o:hralign="center" o:hrstd="t" o:hr="t" fillcolor="#a0a0a0" stroked="f"/>
        </w:pict>
      </w:r>
    </w:p>
    <w:p w14:paraId="1A9FB18B"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Trust Law’s Role</w:t>
      </w:r>
    </w:p>
    <w:p w14:paraId="7B6AF42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 law significantly impacts investment decisions, especially given its prevalence in managing substantial institutional funds:</w:t>
      </w:r>
    </w:p>
    <w:p w14:paraId="5124F05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Statistical Example</w:t>
      </w:r>
      <w:r w:rsidRPr="00D31E07">
        <w:rPr>
          <w:rFonts w:ascii="Times New Roman" w:hAnsi="Times New Roman"/>
          <w:lang w:val="en-HK"/>
        </w:rPr>
        <w:t>: UK pension trusts held $3.16 trillion in assets in 2019, representing a massive economic influence on market trends and potential social change.</w:t>
      </w:r>
    </w:p>
    <w:p w14:paraId="1124ABE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Law Commission Report</w:t>
      </w:r>
      <w:r w:rsidRPr="00D31E07">
        <w:rPr>
          <w:rFonts w:ascii="Times New Roman" w:hAnsi="Times New Roman"/>
          <w:lang w:val="en-HK"/>
        </w:rPr>
        <w:t xml:space="preserve">: </w:t>
      </w:r>
      <w:r w:rsidRPr="00D31E07">
        <w:rPr>
          <w:rFonts w:ascii="Times New Roman" w:hAnsi="Times New Roman"/>
          <w:i/>
          <w:iCs/>
          <w:lang w:val="en-HK"/>
        </w:rPr>
        <w:t>Fiduciary Duties of Investment Intermediaries (Law Com No. 350, 2014)</w:t>
      </w:r>
      <w:r w:rsidRPr="00D31E07">
        <w:rPr>
          <w:rFonts w:ascii="Times New Roman" w:hAnsi="Times New Roman"/>
          <w:lang w:val="en-HK"/>
        </w:rPr>
        <w:t xml:space="preserve"> highlights trust law's foundational role in guiding fiduciary investment decisions, underscoring the need for legal clarity regarding SRI policies.</w:t>
      </w:r>
    </w:p>
    <w:p w14:paraId="46E340D0"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36BE8CCA">
          <v:rect id="_x0000_i1068" alt="" style="width:451.3pt;height:.05pt;mso-width-percent:0;mso-height-percent:0;mso-width-percent:0;mso-height-percent:0" o:hralign="center" o:hrstd="t" o:hr="t" fillcolor="#a0a0a0" stroked="f"/>
        </w:pict>
      </w:r>
    </w:p>
    <w:p w14:paraId="173A567D"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Challenges to SRI in Trust Law</w:t>
      </w:r>
    </w:p>
    <w:p w14:paraId="3414B49B" w14:textId="77777777" w:rsidR="00D31E07" w:rsidRPr="00D31E07" w:rsidRDefault="00D31E07" w:rsidP="00BC3846">
      <w:pPr>
        <w:numPr>
          <w:ilvl w:val="0"/>
          <w:numId w:val="3"/>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Uncertainty Surrounding SRI’s Lawfulness</w:t>
      </w:r>
      <w:r w:rsidRPr="00D31E07">
        <w:rPr>
          <w:rFonts w:ascii="Times New Roman" w:hAnsi="Times New Roman"/>
          <w:lang w:val="en-HK"/>
        </w:rPr>
        <w:t>:</w:t>
      </w:r>
    </w:p>
    <w:p w14:paraId="196164D2"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 xml:space="preserve">Trustees are often deterred from pursuing SRI due to the risk of </w:t>
      </w:r>
      <w:r w:rsidRPr="00D31E07">
        <w:rPr>
          <w:rFonts w:ascii="Times New Roman" w:hAnsi="Times New Roman"/>
          <w:b/>
          <w:bCs/>
          <w:lang w:val="en-HK"/>
        </w:rPr>
        <w:t>maladministration</w:t>
      </w:r>
      <w:r w:rsidRPr="00D31E07">
        <w:rPr>
          <w:rFonts w:ascii="Times New Roman" w:hAnsi="Times New Roman"/>
          <w:lang w:val="en-HK"/>
        </w:rPr>
        <w:t xml:space="preserve"> claims. Legal ambiguity fosters caution among trustees who fear violating duties like prudence or diversification.</w:t>
      </w:r>
    </w:p>
    <w:p w14:paraId="48657CD8"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i/>
          <w:iCs/>
          <w:lang w:val="en-HK"/>
        </w:rPr>
        <w:t>Langbein</w:t>
      </w:r>
      <w:proofErr w:type="spellEnd"/>
      <w:r w:rsidRPr="00D31E07">
        <w:rPr>
          <w:rFonts w:ascii="Times New Roman" w:hAnsi="Times New Roman"/>
          <w:i/>
          <w:iCs/>
          <w:lang w:val="en-HK"/>
        </w:rPr>
        <w:t xml:space="preserve"> and Posner</w:t>
      </w:r>
      <w:r w:rsidRPr="00D31E07">
        <w:rPr>
          <w:rFonts w:ascii="Times New Roman" w:hAnsi="Times New Roman"/>
          <w:lang w:val="en-HK"/>
        </w:rPr>
        <w:t>: “</w:t>
      </w:r>
      <w:r w:rsidRPr="00D31E07">
        <w:rPr>
          <w:rFonts w:ascii="Times New Roman" w:hAnsi="Times New Roman"/>
          <w:b/>
          <w:bCs/>
          <w:lang w:val="en-HK"/>
        </w:rPr>
        <w:t>Anything less than complete legal certainty</w:t>
      </w:r>
      <w:r w:rsidRPr="00D31E07">
        <w:rPr>
          <w:rFonts w:ascii="Times New Roman" w:hAnsi="Times New Roman"/>
          <w:lang w:val="en-HK"/>
        </w:rPr>
        <w:t xml:space="preserve"> will thwart SRI’s implementation.”</w:t>
      </w:r>
    </w:p>
    <w:p w14:paraId="787338EA" w14:textId="77777777" w:rsidR="00D31E07" w:rsidRPr="00D31E07" w:rsidRDefault="00D31E07" w:rsidP="00BC3846">
      <w:pPr>
        <w:numPr>
          <w:ilvl w:val="0"/>
          <w:numId w:val="3"/>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Conventional Investment Principles</w:t>
      </w:r>
      <w:r w:rsidRPr="00D31E07">
        <w:rPr>
          <w:rFonts w:ascii="Times New Roman" w:hAnsi="Times New Roman"/>
          <w:lang w:val="en-HK"/>
        </w:rPr>
        <w:t>:</w:t>
      </w:r>
    </w:p>
    <w:p w14:paraId="775B7007"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Traditional investment focuses solely on maximizing financial returns for beneficiaries, based on the principle that trustees must act “</w:t>
      </w:r>
      <w:r w:rsidRPr="00D31E07">
        <w:rPr>
          <w:rFonts w:ascii="Times New Roman" w:hAnsi="Times New Roman"/>
          <w:b/>
          <w:bCs/>
          <w:lang w:val="en-HK"/>
        </w:rPr>
        <w:t>for the benefit of the beneficiaries</w:t>
      </w:r>
      <w:r w:rsidRPr="00D31E07">
        <w:rPr>
          <w:rFonts w:ascii="Times New Roman" w:hAnsi="Times New Roman"/>
          <w:lang w:val="en-HK"/>
        </w:rPr>
        <w:t>” (</w:t>
      </w:r>
      <w:r w:rsidRPr="00D31E07">
        <w:rPr>
          <w:rFonts w:ascii="Times New Roman" w:hAnsi="Times New Roman"/>
          <w:i/>
          <w:iCs/>
          <w:lang w:val="en-HK"/>
        </w:rPr>
        <w:t>Trustee Act 2000, s.1</w:t>
      </w:r>
      <w:r w:rsidRPr="00D31E07">
        <w:rPr>
          <w:rFonts w:ascii="Times New Roman" w:hAnsi="Times New Roman"/>
          <w:lang w:val="en-HK"/>
        </w:rPr>
        <w:t>).</w:t>
      </w:r>
    </w:p>
    <w:p w14:paraId="09E5A28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Equity, by contrast, espouses a </w:t>
      </w:r>
      <w:r w:rsidRPr="00D31E07">
        <w:rPr>
          <w:rFonts w:ascii="Times New Roman" w:hAnsi="Times New Roman"/>
          <w:b/>
          <w:bCs/>
          <w:lang w:val="en-HK"/>
        </w:rPr>
        <w:t>moral dimension</w:t>
      </w:r>
      <w:r w:rsidRPr="00D31E07">
        <w:rPr>
          <w:rFonts w:ascii="Times New Roman" w:hAnsi="Times New Roman"/>
          <w:lang w:val="en-HK"/>
        </w:rPr>
        <w:t xml:space="preserve"> that arguably supports SRI, creating a conflict between the traditional approach and equity’s ideals.</w:t>
      </w:r>
    </w:p>
    <w:p w14:paraId="4998AA66"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472BFD2B">
          <v:rect id="_x0000_i1067" alt="" style="width:451.3pt;height:.05pt;mso-width-percent:0;mso-height-percent:0;mso-width-percent:0;mso-height-percent:0" o:hralign="center" o:hrstd="t" o:hr="t" fillcolor="#a0a0a0" stroked="f"/>
        </w:pict>
      </w:r>
    </w:p>
    <w:p w14:paraId="00CDDBFB"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Equity’s Moral Conscience</w:t>
      </w:r>
    </w:p>
    <w:p w14:paraId="747CE640"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Broadway highlights that equity has always been a </w:t>
      </w:r>
      <w:r w:rsidRPr="00D31E07">
        <w:rPr>
          <w:rFonts w:ascii="Times New Roman" w:hAnsi="Times New Roman"/>
          <w:b/>
          <w:bCs/>
          <w:lang w:val="en-HK"/>
        </w:rPr>
        <w:t>morally normative system</w:t>
      </w:r>
      <w:r w:rsidRPr="00D31E07">
        <w:rPr>
          <w:rFonts w:ascii="Times New Roman" w:hAnsi="Times New Roman"/>
          <w:lang w:val="en-HK"/>
        </w:rPr>
        <w:t>, emphasizing justice and fairness. This foundation makes equity inherently aligned with SRI’s objectives:</w:t>
      </w:r>
    </w:p>
    <w:p w14:paraId="769A1CA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Earl of Oxford's Case (1615)</w:t>
      </w:r>
      <w:r w:rsidRPr="00D31E07">
        <w:rPr>
          <w:rFonts w:ascii="Times New Roman" w:hAnsi="Times New Roman"/>
          <w:lang w:val="en-HK"/>
        </w:rPr>
        <w:t>: The Chancellor’s duty is to act “to correct [. . .] Consciences,” reflecting equity's overarching concern for morality and justice.</w:t>
      </w:r>
    </w:p>
    <w:p w14:paraId="114B5F7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Judicial Perspective</w:t>
      </w:r>
      <w:r w:rsidRPr="00D31E07">
        <w:rPr>
          <w:rFonts w:ascii="Times New Roman" w:hAnsi="Times New Roman"/>
          <w:lang w:val="en-HK"/>
        </w:rPr>
        <w:t>:</w:t>
      </w:r>
    </w:p>
    <w:p w14:paraId="139ADFE8"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Lord Browne-Wilkinson</w:t>
      </w:r>
      <w:r w:rsidRPr="00D31E07">
        <w:rPr>
          <w:rFonts w:ascii="Times New Roman" w:hAnsi="Times New Roman"/>
          <w:lang w:val="en-HK"/>
        </w:rPr>
        <w:t xml:space="preserve"> in </w:t>
      </w:r>
      <w:proofErr w:type="spellStart"/>
      <w:r w:rsidRPr="00D31E07">
        <w:rPr>
          <w:rFonts w:ascii="Times New Roman" w:hAnsi="Times New Roman"/>
          <w:i/>
          <w:iCs/>
          <w:lang w:val="en-HK"/>
        </w:rPr>
        <w:t>Westdeutsche</w:t>
      </w:r>
      <w:proofErr w:type="spellEnd"/>
      <w:r w:rsidRPr="00D31E07">
        <w:rPr>
          <w:rFonts w:ascii="Times New Roman" w:hAnsi="Times New Roman"/>
          <w:i/>
          <w:iCs/>
          <w:lang w:val="en-HK"/>
        </w:rPr>
        <w:t xml:space="preserve"> </w:t>
      </w:r>
      <w:proofErr w:type="spellStart"/>
      <w:r w:rsidRPr="00D31E07">
        <w:rPr>
          <w:rFonts w:ascii="Times New Roman" w:hAnsi="Times New Roman"/>
          <w:i/>
          <w:iCs/>
          <w:lang w:val="en-HK"/>
        </w:rPr>
        <w:t>Landesbank</w:t>
      </w:r>
      <w:proofErr w:type="spellEnd"/>
      <w:r w:rsidRPr="00D31E07">
        <w:rPr>
          <w:rFonts w:ascii="Times New Roman" w:hAnsi="Times New Roman"/>
          <w:i/>
          <w:iCs/>
          <w:lang w:val="en-HK"/>
        </w:rPr>
        <w:t xml:space="preserve"> </w:t>
      </w:r>
      <w:proofErr w:type="spellStart"/>
      <w:r w:rsidRPr="00D31E07">
        <w:rPr>
          <w:rFonts w:ascii="Times New Roman" w:hAnsi="Times New Roman"/>
          <w:i/>
          <w:iCs/>
          <w:lang w:val="en-HK"/>
        </w:rPr>
        <w:t>Girozentrale</w:t>
      </w:r>
      <w:proofErr w:type="spellEnd"/>
      <w:r w:rsidRPr="00D31E07">
        <w:rPr>
          <w:rFonts w:ascii="Times New Roman" w:hAnsi="Times New Roman"/>
          <w:i/>
          <w:iCs/>
          <w:lang w:val="en-HK"/>
        </w:rPr>
        <w:t xml:space="preserve"> v Islington London Borough Council</w:t>
      </w:r>
      <w:r w:rsidRPr="00D31E07">
        <w:rPr>
          <w:rFonts w:ascii="Times New Roman" w:hAnsi="Times New Roman"/>
          <w:lang w:val="en-HK"/>
        </w:rPr>
        <w:t xml:space="preserve"> [1996] AC 669: "Equity operates on the conscience of the owner of the legal interest.”</w:t>
      </w:r>
    </w:p>
    <w:p w14:paraId="378C822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These precedents highlight equity’s inherent concern for morally sound conduct, including trustees’ duties.</w:t>
      </w:r>
    </w:p>
    <w:p w14:paraId="246AC959"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7D9C4803">
          <v:rect id="_x0000_i1066" alt="" style="width:451.3pt;height:.05pt;mso-width-percent:0;mso-height-percent:0;mso-width-percent:0;mso-height-percent:0" o:hralign="center" o:hrstd="t" o:hr="t" fillcolor="#a0a0a0" stroked="f"/>
        </w:pict>
      </w:r>
    </w:p>
    <w:p w14:paraId="2FBB1C5F"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Institutional Implications</w:t>
      </w:r>
    </w:p>
    <w:p w14:paraId="383C3577"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Broadway underscores the transformative potential of institutional SRI, given the sheer economic power of trusts:</w:t>
      </w:r>
    </w:p>
    <w:p w14:paraId="78DBDE9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Trustees who adopt SRI can influence industries toward ethical and sustainable practices, leveraging their investments as a tool for systemic change.</w:t>
      </w:r>
    </w:p>
    <w:p w14:paraId="25F7F25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However, current legal constraints stifle this potential. By failing to explicitly facilitate SRI, trust law prioritizes financial performance at the expense of broader societal benefits.</w:t>
      </w:r>
    </w:p>
    <w:p w14:paraId="3418F48F"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6F83A2C8">
          <v:rect id="_x0000_i1065" alt="" style="width:451.3pt;height:.05pt;mso-width-percent:0;mso-height-percent:0;mso-width-percent:0;mso-height-percent:0" o:hralign="center" o:hrstd="t" o:hr="t" fillcolor="#a0a0a0" stroked="f"/>
        </w:pict>
      </w:r>
    </w:p>
    <w:p w14:paraId="3C6ADC94"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Scholarly Criticism of the Status Quo</w:t>
      </w:r>
    </w:p>
    <w:p w14:paraId="6A9CF04E" w14:textId="77777777" w:rsidR="00D31E07" w:rsidRPr="00D31E07" w:rsidRDefault="00D31E07" w:rsidP="00BC3846">
      <w:pPr>
        <w:numPr>
          <w:ilvl w:val="0"/>
          <w:numId w:val="6"/>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Luke Broadway</w:t>
      </w:r>
      <w:r w:rsidRPr="00D31E07">
        <w:rPr>
          <w:rFonts w:ascii="Times New Roman" w:hAnsi="Times New Roman"/>
          <w:lang w:val="en-HK"/>
        </w:rPr>
        <w:t>:</w:t>
      </w:r>
    </w:p>
    <w:p w14:paraId="21BBD8A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 law’s silence on SRI is problematic because it discourages trustees from exploring innovative, socially conscious investment strategies.</w:t>
      </w:r>
    </w:p>
    <w:p w14:paraId="3E740D62" w14:textId="77777777" w:rsidR="00D31E07" w:rsidRPr="00D31E07" w:rsidRDefault="00D31E07" w:rsidP="00BC3846">
      <w:pPr>
        <w:numPr>
          <w:ilvl w:val="0"/>
          <w:numId w:val="6"/>
        </w:num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b/>
          <w:bCs/>
          <w:lang w:val="en-HK"/>
        </w:rPr>
        <w:t>Langbein</w:t>
      </w:r>
      <w:proofErr w:type="spellEnd"/>
      <w:r w:rsidRPr="00D31E07">
        <w:rPr>
          <w:rFonts w:ascii="Times New Roman" w:hAnsi="Times New Roman"/>
          <w:b/>
          <w:bCs/>
          <w:lang w:val="en-HK"/>
        </w:rPr>
        <w:t xml:space="preserve"> and Posner (1980)</w:t>
      </w:r>
      <w:r w:rsidRPr="00D31E07">
        <w:rPr>
          <w:rFonts w:ascii="Times New Roman" w:hAnsi="Times New Roman"/>
          <w:lang w:val="en-HK"/>
        </w:rPr>
        <w:t>:</w:t>
      </w:r>
    </w:p>
    <w:p w14:paraId="05324CB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Trustees face a dilemma where socially responsible choices might breach their duty to maximize financial returns for beneficiaries, creating “significant uncertainty” and “discouraging progressive policies.”</w:t>
      </w:r>
    </w:p>
    <w:p w14:paraId="75B58901"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808D110">
          <v:rect id="_x0000_i1064" alt="" style="width:451.3pt;height:.05pt;mso-width-percent:0;mso-height-percent:0;mso-width-percent:0;mso-height-percent:0" o:hralign="center" o:hrstd="t" o:hr="t" fillcolor="#a0a0a0" stroked="f"/>
        </w:pict>
      </w:r>
    </w:p>
    <w:p w14:paraId="7C5B528E" w14:textId="77777777" w:rsidR="00D31E07" w:rsidRPr="007C22D0" w:rsidRDefault="00D31E07" w:rsidP="00BC3846">
      <w:pPr>
        <w:spacing w:before="100" w:beforeAutospacing="1" w:after="100" w:afterAutospacing="1" w:line="276" w:lineRule="auto"/>
        <w:outlineLvl w:val="2"/>
        <w:rPr>
          <w:rFonts w:ascii="Times New Roman" w:hAnsi="Times New Roman"/>
          <w:b/>
          <w:bCs/>
          <w:color w:val="FF0000"/>
          <w:sz w:val="27"/>
          <w:szCs w:val="27"/>
          <w:u w:val="single"/>
          <w:lang w:val="en-HK"/>
        </w:rPr>
      </w:pPr>
      <w:r w:rsidRPr="007C22D0">
        <w:rPr>
          <w:rFonts w:ascii="Times New Roman" w:hAnsi="Times New Roman"/>
          <w:b/>
          <w:bCs/>
          <w:color w:val="FF0000"/>
          <w:sz w:val="27"/>
          <w:szCs w:val="27"/>
          <w:u w:val="single"/>
          <w:lang w:val="en-HK"/>
        </w:rPr>
        <w:t>Section 2: Portfolio Theory</w:t>
      </w:r>
    </w:p>
    <w:p w14:paraId="567B09EB"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Key Issue</w:t>
      </w:r>
    </w:p>
    <w:p w14:paraId="156C37F5" w14:textId="7EA6A63D"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Section 2 delves into the applicability of </w:t>
      </w:r>
      <w:r w:rsidRPr="00D31E07">
        <w:rPr>
          <w:rFonts w:ascii="Times New Roman" w:hAnsi="Times New Roman"/>
          <w:b/>
          <w:bCs/>
          <w:lang w:val="en-HK"/>
        </w:rPr>
        <w:t>portfolio theory</w:t>
      </w:r>
      <w:r w:rsidRPr="00D31E07">
        <w:rPr>
          <w:rFonts w:ascii="Times New Roman" w:hAnsi="Times New Roman"/>
          <w:lang w:val="en-HK"/>
        </w:rPr>
        <w:t xml:space="preserve"> within the realm of trust law and its implications for </w:t>
      </w:r>
      <w:r w:rsidRPr="00D31E07">
        <w:rPr>
          <w:rFonts w:ascii="Times New Roman" w:hAnsi="Times New Roman"/>
          <w:b/>
          <w:bCs/>
          <w:lang w:val="en-HK"/>
        </w:rPr>
        <w:t>socially responsible investment (SRI)</w:t>
      </w:r>
      <w:r w:rsidRPr="00D31E07">
        <w:rPr>
          <w:rFonts w:ascii="Times New Roman" w:hAnsi="Times New Roman"/>
          <w:lang w:val="en-HK"/>
        </w:rPr>
        <w:t xml:space="preserve">. Luke Broadway explores whether SRI can coexist with the trustee’s duty to diversify investments under the </w:t>
      </w:r>
      <w:r w:rsidRPr="00D31E07">
        <w:rPr>
          <w:rFonts w:ascii="Times New Roman" w:hAnsi="Times New Roman"/>
          <w:b/>
          <w:bCs/>
          <w:lang w:val="en-HK"/>
        </w:rPr>
        <w:t>Trustee Act 2000</w:t>
      </w:r>
      <w:r w:rsidRPr="00D31E07">
        <w:rPr>
          <w:rFonts w:ascii="Times New Roman" w:hAnsi="Times New Roman"/>
          <w:lang w:val="en-HK"/>
        </w:rPr>
        <w:t>.</w:t>
      </w:r>
    </w:p>
    <w:p w14:paraId="73AB7F41"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Trustee Act 2000 and Investment Authority</w:t>
      </w:r>
    </w:p>
    <w:p w14:paraId="153DC4D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Statutory Authority</w:t>
      </w:r>
      <w:r w:rsidRPr="00D31E07">
        <w:rPr>
          <w:rFonts w:ascii="Times New Roman" w:hAnsi="Times New Roman"/>
          <w:lang w:val="en-HK"/>
        </w:rPr>
        <w:t>:</w:t>
      </w:r>
    </w:p>
    <w:p w14:paraId="7DB653D5"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Trustee Act 2000, s.3(1)</w:t>
      </w:r>
      <w:r w:rsidRPr="00D31E07">
        <w:rPr>
          <w:rFonts w:ascii="Times New Roman" w:hAnsi="Times New Roman"/>
          <w:lang w:val="en-HK"/>
        </w:rPr>
        <w:t>: "A trustee may make any kind of investment that he could make if he were absolutely entitled to the assets of the trust."</w:t>
      </w:r>
    </w:p>
    <w:p w14:paraId="56BB14C1"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Section 4(2)</w:t>
      </w:r>
      <w:r w:rsidRPr="00D31E07">
        <w:rPr>
          <w:rFonts w:ascii="Times New Roman" w:hAnsi="Times New Roman"/>
          <w:lang w:val="en-HK"/>
        </w:rPr>
        <w:t>: Trustees must diversify “the investments of the trust, in so far as is appropriate to the circumstances of the trust.”</w:t>
      </w:r>
    </w:p>
    <w:p w14:paraId="62180C0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Judicial Interpretation</w:t>
      </w:r>
      <w:r w:rsidRPr="00D31E07">
        <w:rPr>
          <w:rFonts w:ascii="Times New Roman" w:hAnsi="Times New Roman"/>
          <w:lang w:val="en-HK"/>
        </w:rPr>
        <w:t>:</w:t>
      </w:r>
    </w:p>
    <w:p w14:paraId="4F9323B1"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Nestlé v National Westminster Bank</w:t>
      </w:r>
      <w:r w:rsidRPr="00D31E07">
        <w:rPr>
          <w:rFonts w:ascii="Times New Roman" w:hAnsi="Times New Roman"/>
          <w:lang w:val="en-HK"/>
        </w:rPr>
        <w:t xml:space="preserve"> [1988] 10(1) Trust Law International 113, 115 (EWHC): The case established that diversification focuses on the risk of the entire portfolio, not individual investments.</w:t>
      </w:r>
    </w:p>
    <w:p w14:paraId="5ACD1664"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43E1F981">
          <v:rect id="_x0000_i1063" alt="" style="width:451.3pt;height:.05pt;mso-width-percent:0;mso-height-percent:0;mso-width-percent:0;mso-height-percent:0" o:hralign="center" o:hrstd="t" o:hr="t" fillcolor="#a0a0a0" stroked="f"/>
        </w:pict>
      </w:r>
    </w:p>
    <w:p w14:paraId="08E0D30C"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lastRenderedPageBreak/>
        <w:t>Application of Modern Portfolio Theory (MPT)</w:t>
      </w:r>
    </w:p>
    <w:p w14:paraId="340D293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Core Principle</w:t>
      </w:r>
      <w:r w:rsidRPr="00D31E07">
        <w:rPr>
          <w:rFonts w:ascii="Times New Roman" w:hAnsi="Times New Roman"/>
          <w:lang w:val="en-HK"/>
        </w:rPr>
        <w:t>:</w:t>
      </w:r>
    </w:p>
    <w:p w14:paraId="77F3AD4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MPT emphasizes the collective risk of a portfolio rather than isolated investments. Diversification is achieved when assets do not move in perfect unison, thereby reducing risk.</w:t>
      </w:r>
    </w:p>
    <w:p w14:paraId="5A4B456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Scholarly Perspective</w:t>
      </w:r>
      <w:r w:rsidRPr="00D31E07">
        <w:rPr>
          <w:rFonts w:ascii="Times New Roman" w:hAnsi="Times New Roman"/>
          <w:lang w:val="en-HK"/>
        </w:rPr>
        <w:t>:</w:t>
      </w:r>
    </w:p>
    <w:p w14:paraId="14B2345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Edwin Elton et al., in </w:t>
      </w:r>
      <w:r w:rsidRPr="00D31E07">
        <w:rPr>
          <w:rFonts w:ascii="Times New Roman" w:hAnsi="Times New Roman"/>
          <w:i/>
          <w:iCs/>
          <w:lang w:val="en-HK"/>
        </w:rPr>
        <w:t>Modern Portfolio Theory and Investment Analysis</w:t>
      </w:r>
      <w:r w:rsidRPr="00D31E07">
        <w:rPr>
          <w:rFonts w:ascii="Times New Roman" w:hAnsi="Times New Roman"/>
          <w:lang w:val="en-HK"/>
        </w:rPr>
        <w:t xml:space="preserve"> (8th </w:t>
      </w:r>
      <w:proofErr w:type="spellStart"/>
      <w:r w:rsidRPr="00D31E07">
        <w:rPr>
          <w:rFonts w:ascii="Times New Roman" w:hAnsi="Times New Roman"/>
          <w:lang w:val="en-HK"/>
        </w:rPr>
        <w:t>edn</w:t>
      </w:r>
      <w:proofErr w:type="spellEnd"/>
      <w:r w:rsidRPr="00D31E07">
        <w:rPr>
          <w:rFonts w:ascii="Times New Roman" w:hAnsi="Times New Roman"/>
          <w:lang w:val="en-HK"/>
        </w:rPr>
        <w:t>), suggest that “there is a risk reduction from holding a portfolio of assets if assets do not move in perfect unison.”</w:t>
      </w:r>
    </w:p>
    <w:p w14:paraId="138EE917"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4F2DA62D">
          <v:rect id="_x0000_i1062" alt="" style="width:451.3pt;height:.05pt;mso-width-percent:0;mso-height-percent:0;mso-width-percent:0;mso-height-percent:0" o:hralign="center" o:hrstd="t" o:hr="t" fillcolor="#a0a0a0" stroked="f"/>
        </w:pict>
      </w:r>
    </w:p>
    <w:p w14:paraId="6C90D804"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Critique of SRI under Portfolio Theory</w:t>
      </w:r>
    </w:p>
    <w:p w14:paraId="0BBC084B" w14:textId="77777777" w:rsidR="00D31E07" w:rsidRPr="00D31E07" w:rsidRDefault="00D31E07" w:rsidP="00BC3846">
      <w:pPr>
        <w:numPr>
          <w:ilvl w:val="0"/>
          <w:numId w:val="9"/>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Under-diversification Risk</w:t>
      </w:r>
      <w:r w:rsidRPr="00D31E07">
        <w:rPr>
          <w:rFonts w:ascii="Times New Roman" w:hAnsi="Times New Roman"/>
          <w:lang w:val="en-HK"/>
        </w:rPr>
        <w:t>:</w:t>
      </w:r>
    </w:p>
    <w:p w14:paraId="4796DBDE"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lang w:val="en-HK"/>
        </w:rPr>
        <w:t>Langbein</w:t>
      </w:r>
      <w:proofErr w:type="spellEnd"/>
      <w:r w:rsidRPr="00D31E07">
        <w:rPr>
          <w:rFonts w:ascii="Times New Roman" w:hAnsi="Times New Roman"/>
          <w:lang w:val="en-HK"/>
        </w:rPr>
        <w:t xml:space="preserve"> and Posner argue that SRI could lead to under-diversification, as it might exclude significant sectors like </w:t>
      </w:r>
      <w:proofErr w:type="spellStart"/>
      <w:r w:rsidRPr="00D31E07">
        <w:rPr>
          <w:rFonts w:ascii="Times New Roman" w:hAnsi="Times New Roman"/>
          <w:lang w:val="en-HK"/>
        </w:rPr>
        <w:t>defense</w:t>
      </w:r>
      <w:proofErr w:type="spellEnd"/>
      <w:r w:rsidRPr="00D31E07">
        <w:rPr>
          <w:rFonts w:ascii="Times New Roman" w:hAnsi="Times New Roman"/>
          <w:lang w:val="en-HK"/>
        </w:rPr>
        <w:t>, tobacco, alcohol, and fossil fuels. They state:</w:t>
      </w:r>
    </w:p>
    <w:p w14:paraId="017DBD74" w14:textId="31676EF6"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“Such divestment would result in a seriously </w:t>
      </w:r>
      <w:r w:rsidR="00066672" w:rsidRPr="00D31E07">
        <w:rPr>
          <w:rFonts w:ascii="Times New Roman" w:hAnsi="Times New Roman"/>
          <w:lang w:val="en-HK"/>
        </w:rPr>
        <w:t>under diversified</w:t>
      </w:r>
      <w:r w:rsidRPr="00D31E07">
        <w:rPr>
          <w:rFonts w:ascii="Times New Roman" w:hAnsi="Times New Roman"/>
          <w:lang w:val="en-HK"/>
        </w:rPr>
        <w:t xml:space="preserve"> portfolio” (</w:t>
      </w:r>
      <w:r w:rsidRPr="00D31E07">
        <w:rPr>
          <w:rFonts w:ascii="Times New Roman" w:hAnsi="Times New Roman"/>
          <w:i/>
          <w:iCs/>
          <w:lang w:val="en-HK"/>
        </w:rPr>
        <w:t>Social Investing and the Law of Trusts</w:t>
      </w:r>
      <w:r w:rsidRPr="00D31E07">
        <w:rPr>
          <w:rFonts w:ascii="Times New Roman" w:hAnsi="Times New Roman"/>
          <w:lang w:val="en-HK"/>
        </w:rPr>
        <w:t>, 1980).</w:t>
      </w:r>
    </w:p>
    <w:p w14:paraId="4FD9AA8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Excluding large firms, often </w:t>
      </w:r>
      <w:proofErr w:type="spellStart"/>
      <w:r w:rsidRPr="00D31E07">
        <w:rPr>
          <w:rFonts w:ascii="Times New Roman" w:hAnsi="Times New Roman"/>
          <w:lang w:val="en-HK"/>
        </w:rPr>
        <w:t>labeled</w:t>
      </w:r>
      <w:proofErr w:type="spellEnd"/>
      <w:r w:rsidRPr="00D31E07">
        <w:rPr>
          <w:rFonts w:ascii="Times New Roman" w:hAnsi="Times New Roman"/>
          <w:lang w:val="en-HK"/>
        </w:rPr>
        <w:t xml:space="preserve"> as socially irresponsible, could result in missing out on substantial market performance:</w:t>
      </w:r>
    </w:p>
    <w:p w14:paraId="6C7027B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“Larger firms have a greater weight in the performance of the market as a whole, and it is that overall performance that one is seeking, through diversification, to track as closely as possible” (</w:t>
      </w:r>
      <w:proofErr w:type="spellStart"/>
      <w:r w:rsidRPr="00D31E07">
        <w:rPr>
          <w:rFonts w:ascii="Times New Roman" w:hAnsi="Times New Roman"/>
          <w:lang w:val="en-HK"/>
        </w:rPr>
        <w:t>Langbein</w:t>
      </w:r>
      <w:proofErr w:type="spellEnd"/>
      <w:r w:rsidRPr="00D31E07">
        <w:rPr>
          <w:rFonts w:ascii="Times New Roman" w:hAnsi="Times New Roman"/>
          <w:lang w:val="en-HK"/>
        </w:rPr>
        <w:t xml:space="preserve"> and Posner).</w:t>
      </w:r>
    </w:p>
    <w:p w14:paraId="25B10DB2" w14:textId="77777777" w:rsidR="00D31E07" w:rsidRPr="00D31E07" w:rsidRDefault="00D31E07" w:rsidP="00BC3846">
      <w:pPr>
        <w:numPr>
          <w:ilvl w:val="0"/>
          <w:numId w:val="9"/>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Judicial Analysis</w:t>
      </w:r>
      <w:r w:rsidRPr="00D31E07">
        <w:rPr>
          <w:rFonts w:ascii="Times New Roman" w:hAnsi="Times New Roman"/>
          <w:lang w:val="en-HK"/>
        </w:rPr>
        <w:t>:</w:t>
      </w:r>
    </w:p>
    <w:p w14:paraId="14673A90" w14:textId="77777777" w:rsidR="00D31E07" w:rsidRPr="00D31E07" w:rsidRDefault="00D31E07" w:rsidP="00BC3846">
      <w:pPr>
        <w:spacing w:before="100" w:beforeAutospacing="1" w:after="100" w:afterAutospacing="1" w:line="276" w:lineRule="auto"/>
        <w:rPr>
          <w:rFonts w:ascii="Times New Roman" w:hAnsi="Times New Roman"/>
          <w:b/>
          <w:bCs/>
          <w:lang w:val="en-HK"/>
        </w:rPr>
      </w:pPr>
      <w:r w:rsidRPr="00D31E07">
        <w:rPr>
          <w:rFonts w:ascii="Times New Roman" w:hAnsi="Times New Roman"/>
          <w:i/>
          <w:iCs/>
          <w:lang w:val="en-HK"/>
        </w:rPr>
        <w:t>Nestlé v National Westminster Bank</w:t>
      </w:r>
      <w:r w:rsidRPr="00D31E07">
        <w:rPr>
          <w:rFonts w:ascii="Times New Roman" w:hAnsi="Times New Roman"/>
          <w:lang w:val="en-HK"/>
        </w:rPr>
        <w:t xml:space="preserve"> reaffirmed </w:t>
      </w:r>
      <w:r w:rsidRPr="00D31E07">
        <w:rPr>
          <w:rFonts w:ascii="Times New Roman" w:hAnsi="Times New Roman"/>
          <w:b/>
          <w:bCs/>
          <w:lang w:val="en-HK"/>
        </w:rPr>
        <w:t>that lack of diversification does not necessarily constitute a breach of trust if the trustee’s conduct remains prudent.</w:t>
      </w:r>
    </w:p>
    <w:p w14:paraId="573E5212"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“[A]</w:t>
      </w:r>
      <w:proofErr w:type="spellStart"/>
      <w:r w:rsidRPr="00D31E07">
        <w:rPr>
          <w:rFonts w:ascii="Times New Roman" w:hAnsi="Times New Roman"/>
          <w:lang w:val="en-HK"/>
        </w:rPr>
        <w:t>ny</w:t>
      </w:r>
      <w:proofErr w:type="spellEnd"/>
      <w:r w:rsidRPr="00D31E07">
        <w:rPr>
          <w:rFonts w:ascii="Times New Roman" w:hAnsi="Times New Roman"/>
          <w:lang w:val="en-HK"/>
        </w:rPr>
        <w:t xml:space="preserve"> failure to diversify [. . .] was a course which no prudent trustee would have followed” (</w:t>
      </w:r>
      <w:r w:rsidRPr="00D31E07">
        <w:rPr>
          <w:rFonts w:ascii="Times New Roman" w:hAnsi="Times New Roman"/>
          <w:i/>
          <w:iCs/>
          <w:lang w:val="en-HK"/>
        </w:rPr>
        <w:t>Nestlé</w:t>
      </w:r>
      <w:r w:rsidRPr="00D31E07">
        <w:rPr>
          <w:rFonts w:ascii="Times New Roman" w:hAnsi="Times New Roman"/>
          <w:lang w:val="en-HK"/>
        </w:rPr>
        <w:t>, 1993, EWCA).</w:t>
      </w:r>
    </w:p>
    <w:p w14:paraId="0CDF5961"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Prudence is contextual and must balance the trust’s specific needs with broader investment risks (</w:t>
      </w:r>
      <w:r w:rsidRPr="00D31E07">
        <w:rPr>
          <w:rFonts w:ascii="Times New Roman" w:hAnsi="Times New Roman"/>
          <w:i/>
          <w:iCs/>
          <w:lang w:val="en-HK"/>
        </w:rPr>
        <w:t>Re Whiteley</w:t>
      </w:r>
      <w:r w:rsidRPr="00D31E07">
        <w:rPr>
          <w:rFonts w:ascii="Times New Roman" w:hAnsi="Times New Roman"/>
          <w:lang w:val="en-HK"/>
        </w:rPr>
        <w:t xml:space="preserve"> (1886) 33 Ch D 347).</w:t>
      </w:r>
    </w:p>
    <w:p w14:paraId="6F7493BC"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54CDDCC">
          <v:rect id="_x0000_i1061" alt="" style="width:451.3pt;height:.05pt;mso-width-percent:0;mso-height-percent:0;mso-width-percent:0;mso-height-percent:0" o:hralign="center" o:hrstd="t" o:hr="t" fillcolor="#a0a0a0" stroked="f"/>
        </w:pict>
      </w:r>
    </w:p>
    <w:p w14:paraId="665487A9"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Rebuttal to Under-diversification Argument</w:t>
      </w:r>
    </w:p>
    <w:p w14:paraId="53E53BAE" w14:textId="77777777" w:rsidR="00D31E07" w:rsidRPr="00D31E07" w:rsidRDefault="00D31E07" w:rsidP="00BC3846">
      <w:pPr>
        <w:numPr>
          <w:ilvl w:val="0"/>
          <w:numId w:val="10"/>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lastRenderedPageBreak/>
        <w:t>Empirical Support</w:t>
      </w:r>
      <w:r w:rsidRPr="00D31E07">
        <w:rPr>
          <w:rFonts w:ascii="Times New Roman" w:hAnsi="Times New Roman"/>
          <w:lang w:val="en-HK"/>
        </w:rPr>
        <w:t>:</w:t>
      </w:r>
    </w:p>
    <w:p w14:paraId="1C2F618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Contemporary SRI indices, such as the MSCI KLD 400 Social Index, demonstrate substantial diversity across sectors like technology, healthcare, and finance.</w:t>
      </w:r>
    </w:p>
    <w:p w14:paraId="60BD06F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Broadway challenges the notion that SRI inherently limits diversification</w:t>
      </w:r>
      <w:r w:rsidRPr="00D31E07">
        <w:rPr>
          <w:rFonts w:ascii="Times New Roman" w:hAnsi="Times New Roman"/>
          <w:lang w:val="en-HK"/>
        </w:rPr>
        <w:t>, noting that major firms in SRI indices include Microsoft, Alphabet, Tesla, and Mastercard—entities that are “among the largest companies on earth by market capitalization.”</w:t>
      </w:r>
    </w:p>
    <w:p w14:paraId="4EC09E19" w14:textId="77777777" w:rsidR="00D31E07" w:rsidRPr="00D31E07" w:rsidRDefault="00D31E07" w:rsidP="00BC3846">
      <w:pPr>
        <w:numPr>
          <w:ilvl w:val="0"/>
          <w:numId w:val="10"/>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Judicial Flexibility</w:t>
      </w:r>
      <w:r w:rsidRPr="00D31E07">
        <w:rPr>
          <w:rFonts w:ascii="Times New Roman" w:hAnsi="Times New Roman"/>
          <w:lang w:val="en-HK"/>
        </w:rPr>
        <w:t>:</w:t>
      </w:r>
    </w:p>
    <w:p w14:paraId="4E7E0EA8"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Courts in England and Wales do not mandate absolute diversification but rather emphasize a balanced, prudent approach:</w:t>
      </w:r>
    </w:p>
    <w:p w14:paraId="55051A3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Bartlett v Barclays Trust Co (No. 1)</w:t>
      </w:r>
      <w:r w:rsidRPr="00D31E07">
        <w:rPr>
          <w:rFonts w:ascii="Times New Roman" w:hAnsi="Times New Roman"/>
          <w:lang w:val="en-HK"/>
        </w:rPr>
        <w:t xml:space="preserve"> [1980] Ch 515, 531: “Sufficient diversification is not binary, but a matter of degree, and so long as the level of risk remains prudently managed, there will be no breach.”</w:t>
      </w:r>
    </w:p>
    <w:p w14:paraId="3FCCCD3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The Law Commission’s </w:t>
      </w:r>
      <w:r w:rsidRPr="00D31E07">
        <w:rPr>
          <w:rFonts w:ascii="Times New Roman" w:hAnsi="Times New Roman"/>
          <w:i/>
          <w:iCs/>
          <w:lang w:val="en-HK"/>
        </w:rPr>
        <w:t>Fiduciary Duties of Investment Intermediaries</w:t>
      </w:r>
      <w:r w:rsidRPr="00D31E07">
        <w:rPr>
          <w:rFonts w:ascii="Times New Roman" w:hAnsi="Times New Roman"/>
          <w:lang w:val="en-HK"/>
        </w:rPr>
        <w:t xml:space="preserve"> (2014) also supports this nuanced approach, recognizing that diversification is “a matter of degree” (para 3.80).</w:t>
      </w:r>
    </w:p>
    <w:p w14:paraId="2EE960CB"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10E59F99">
          <v:rect id="_x0000_i1060" alt="" style="width:451.3pt;height:.05pt;mso-width-percent:0;mso-height-percent:0;mso-width-percent:0;mso-height-percent:0" o:hralign="center" o:hrstd="t" o:hr="t" fillcolor="#a0a0a0" stroked="f"/>
        </w:pict>
      </w:r>
    </w:p>
    <w:p w14:paraId="4A330CDC"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 xml:space="preserve">Scholarly </w:t>
      </w:r>
      <w:proofErr w:type="spellStart"/>
      <w:r w:rsidRPr="00D31E07">
        <w:rPr>
          <w:rFonts w:ascii="Times New Roman" w:hAnsi="Times New Roman"/>
          <w:b/>
          <w:bCs/>
          <w:lang w:val="en-HK"/>
        </w:rPr>
        <w:t>Defense</w:t>
      </w:r>
      <w:proofErr w:type="spellEnd"/>
      <w:r w:rsidRPr="00D31E07">
        <w:rPr>
          <w:rFonts w:ascii="Times New Roman" w:hAnsi="Times New Roman"/>
          <w:b/>
          <w:bCs/>
          <w:lang w:val="en-HK"/>
        </w:rPr>
        <w:t xml:space="preserve"> of SRI</w:t>
      </w:r>
    </w:p>
    <w:p w14:paraId="238127D8" w14:textId="77777777" w:rsidR="00D31E07" w:rsidRPr="00D31E07" w:rsidRDefault="00D31E07" w:rsidP="00BC3846">
      <w:pPr>
        <w:numPr>
          <w:ilvl w:val="0"/>
          <w:numId w:val="11"/>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Broad Spectrum of SRI</w:t>
      </w:r>
      <w:r w:rsidRPr="00D31E07">
        <w:rPr>
          <w:rFonts w:ascii="Times New Roman" w:hAnsi="Times New Roman"/>
          <w:lang w:val="en-HK"/>
        </w:rPr>
        <w:t>:</w:t>
      </w:r>
    </w:p>
    <w:p w14:paraId="2CE24DBB"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Hickman, Teets, and Kohls (1999) in </w:t>
      </w:r>
      <w:r w:rsidRPr="00D31E07">
        <w:rPr>
          <w:rFonts w:ascii="Times New Roman" w:hAnsi="Times New Roman"/>
          <w:i/>
          <w:iCs/>
          <w:lang w:val="en-HK"/>
        </w:rPr>
        <w:t>Social Investing and Modern Portfolio Theory</w:t>
      </w:r>
      <w:r w:rsidRPr="00D31E07">
        <w:rPr>
          <w:rFonts w:ascii="Times New Roman" w:hAnsi="Times New Roman"/>
          <w:lang w:val="en-HK"/>
        </w:rPr>
        <w:t xml:space="preserve"> assert that SRI “may have relatively low correlations with the market,” enhancing diversification benefits.</w:t>
      </w:r>
    </w:p>
    <w:p w14:paraId="00CCC49F" w14:textId="77777777" w:rsidR="00D31E07" w:rsidRPr="00D31E07" w:rsidRDefault="00D31E07" w:rsidP="00BC3846">
      <w:pPr>
        <w:numPr>
          <w:ilvl w:val="0"/>
          <w:numId w:val="11"/>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Long-term Benefits</w:t>
      </w:r>
      <w:r w:rsidRPr="00D31E07">
        <w:rPr>
          <w:rFonts w:ascii="Times New Roman" w:hAnsi="Times New Roman"/>
          <w:lang w:val="en-HK"/>
        </w:rPr>
        <w:t>:</w:t>
      </w:r>
    </w:p>
    <w:p w14:paraId="4A9FB86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Smaller firms included in SRI portfolios are often noted for providing “larger average returns than large firms even after adjusting for risk” (Richard Roll, </w:t>
      </w:r>
      <w:r w:rsidRPr="00D31E07">
        <w:rPr>
          <w:rFonts w:ascii="Times New Roman" w:hAnsi="Times New Roman"/>
          <w:i/>
          <w:iCs/>
          <w:lang w:val="en-HK"/>
        </w:rPr>
        <w:t>Journal of Finance</w:t>
      </w:r>
      <w:r w:rsidRPr="00D31E07">
        <w:rPr>
          <w:rFonts w:ascii="Times New Roman" w:hAnsi="Times New Roman"/>
          <w:lang w:val="en-HK"/>
        </w:rPr>
        <w:t>, 1981).</w:t>
      </w:r>
    </w:p>
    <w:p w14:paraId="6C71A9BF"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542864CE">
          <v:rect id="_x0000_i1059" alt="" style="width:451.3pt;height:.05pt;mso-width-percent:0;mso-height-percent:0;mso-width-percent:0;mso-height-percent:0" o:hralign="center" o:hrstd="t" o:hr="t" fillcolor="#a0a0a0" stroked="f"/>
        </w:pict>
      </w:r>
    </w:p>
    <w:p w14:paraId="5F89EC63"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Conclusion of the Section</w:t>
      </w:r>
    </w:p>
    <w:p w14:paraId="493E704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Broadway concludes that, under modern portfolio theory, SRI can indeed be accommodated within trustee duties, provided trustees maintain a diversified and prudent portfolio. However, the debate over the potential for under-diversification and the appropriate standard of prudence remains contentious, reflecting broader tensions in trust law’s facilitation of socially responsible investments.</w:t>
      </w:r>
    </w:p>
    <w:p w14:paraId="7B6707BF"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lastRenderedPageBreak/>
        <w:pict w14:anchorId="2CB023D4">
          <v:rect id="_x0000_i1058" alt="" style="width:451.3pt;height:.05pt;mso-width-percent:0;mso-height-percent:0;mso-width-percent:0;mso-height-percent:0" o:hralign="center" o:hrstd="t" o:hr="t" fillcolor="#a0a0a0" stroked="f"/>
        </w:pict>
      </w:r>
    </w:p>
    <w:p w14:paraId="12D6ED4B"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Section 3: Ex Post Success and "Quiet SRI"</w:t>
      </w:r>
    </w:p>
    <w:p w14:paraId="4D7875C1" w14:textId="74632DD7" w:rsidR="00D31E07" w:rsidRPr="00D31E07" w:rsidRDefault="00D31E07" w:rsidP="00BC3846">
      <w:pPr>
        <w:spacing w:line="276" w:lineRule="auto"/>
        <w:rPr>
          <w:rFonts w:ascii="Times New Roman" w:hAnsi="Times New Roman"/>
          <w:lang w:val="en-HK"/>
        </w:rPr>
      </w:pPr>
      <w:r w:rsidRPr="00D31E07">
        <w:rPr>
          <w:rFonts w:ascii="Times New Roman" w:hAnsi="Times New Roman"/>
          <w:lang w:val="en-HK"/>
        </w:rPr>
        <w:t>This section explores how trustees might justify socially responsible investment (SRI) decisions retrospectively</w:t>
      </w:r>
      <w:r w:rsidRPr="00BC3846">
        <w:rPr>
          <w:rFonts w:ascii="Times New Roman" w:hAnsi="Times New Roman"/>
          <w:lang w:val="en-HK"/>
        </w:rPr>
        <w:t xml:space="preserve"> </w:t>
      </w:r>
      <w:r w:rsidRPr="00BC3846">
        <w:rPr>
          <w:rFonts w:ascii="Times New Roman" w:eastAsia="Microsoft JhengHei" w:hAnsi="Times New Roman"/>
          <w:sz w:val="18"/>
          <w:szCs w:val="18"/>
          <w:lang w:val="en-HK"/>
        </w:rPr>
        <w:t>回</w:t>
      </w:r>
      <w:r w:rsidRPr="00BC3846">
        <w:rPr>
          <w:rFonts w:ascii="Times New Roman" w:eastAsia="PingFang TC" w:hAnsi="Times New Roman"/>
          <w:sz w:val="18"/>
          <w:szCs w:val="18"/>
          <w:lang w:val="en-HK"/>
        </w:rPr>
        <w:t>顧</w:t>
      </w:r>
      <w:r w:rsidRPr="00D31E07">
        <w:rPr>
          <w:rFonts w:ascii="Times New Roman" w:hAnsi="Times New Roman"/>
          <w:sz w:val="18"/>
          <w:szCs w:val="18"/>
          <w:lang w:val="en-HK"/>
        </w:rPr>
        <w:t xml:space="preserve"> </w:t>
      </w:r>
      <w:r w:rsidRPr="00D31E07">
        <w:rPr>
          <w:rFonts w:ascii="Times New Roman" w:hAnsi="Times New Roman"/>
          <w:lang w:val="en-HK"/>
        </w:rPr>
        <w:t xml:space="preserve">(ex post) and discusses the concept of "Quiet SRI," where trustees discreetly integrate SRI policies without overtly </w:t>
      </w:r>
      <w:proofErr w:type="spellStart"/>
      <w:r w:rsidRPr="00D31E07">
        <w:rPr>
          <w:rFonts w:ascii="Times New Roman" w:hAnsi="Times New Roman"/>
          <w:lang w:val="en-HK"/>
        </w:rPr>
        <w:t>labeling</w:t>
      </w:r>
      <w:proofErr w:type="spellEnd"/>
      <w:r w:rsidRPr="00D31E07">
        <w:rPr>
          <w:rFonts w:ascii="Times New Roman" w:hAnsi="Times New Roman"/>
          <w:lang w:val="en-HK"/>
        </w:rPr>
        <w:t xml:space="preserve"> their actions as such</w:t>
      </w:r>
      <w:r w:rsidRPr="00BC3846">
        <w:rPr>
          <w:rFonts w:ascii="Times New Roman" w:hAnsi="Times New Roman"/>
          <w:lang w:val="en-HK"/>
        </w:rPr>
        <w:t xml:space="preserve"> </w:t>
      </w:r>
      <w:r w:rsidRPr="00BC3846">
        <w:rPr>
          <w:rFonts w:ascii="Times New Roman" w:eastAsia="Microsoft JhengHei" w:hAnsi="Times New Roman"/>
          <w:color w:val="000000"/>
          <w:sz w:val="18"/>
          <w:szCs w:val="18"/>
          <w:shd w:val="clear" w:color="auto" w:fill="EFF6FF"/>
        </w:rPr>
        <w:t>謹慎地集成</w:t>
      </w:r>
      <w:r w:rsidRPr="00BC3846">
        <w:rPr>
          <w:rFonts w:ascii="Times New Roman" w:eastAsia="Microsoft JhengHei" w:hAnsi="Times New Roman"/>
          <w:color w:val="000000"/>
          <w:sz w:val="18"/>
          <w:szCs w:val="18"/>
          <w:shd w:val="clear" w:color="auto" w:fill="EFF6FF"/>
        </w:rPr>
        <w:t xml:space="preserve"> SRI </w:t>
      </w:r>
      <w:r w:rsidRPr="00BC3846">
        <w:rPr>
          <w:rFonts w:ascii="Times New Roman" w:eastAsia="Microsoft JhengHei" w:hAnsi="Times New Roman"/>
          <w:color w:val="000000"/>
          <w:sz w:val="18"/>
          <w:szCs w:val="18"/>
          <w:shd w:val="clear" w:color="auto" w:fill="EFF6FF"/>
        </w:rPr>
        <w:t>策略，而不公開標記其操作</w:t>
      </w:r>
      <w:r w:rsidRPr="00BC3846">
        <w:rPr>
          <w:rFonts w:ascii="Times New Roman" w:eastAsia="Microsoft JhengHei" w:hAnsi="Times New Roman"/>
          <w:color w:val="000000"/>
          <w:sz w:val="18"/>
          <w:szCs w:val="18"/>
          <w:shd w:val="clear" w:color="auto" w:fill="EFF6FF"/>
          <w:lang w:val="en-US"/>
        </w:rPr>
        <w:t>.</w:t>
      </w:r>
      <w:r w:rsidRPr="00D31E07">
        <w:rPr>
          <w:rFonts w:ascii="Times New Roman" w:hAnsi="Times New Roman"/>
          <w:lang w:val="en-HK"/>
        </w:rPr>
        <w:t xml:space="preserve"> Despite potential compatibility, these approaches are ultimately seen as inadequate for a robust framework supporting SRI.</w:t>
      </w:r>
    </w:p>
    <w:p w14:paraId="214A520B"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Ex Post Success</w:t>
      </w:r>
    </w:p>
    <w:p w14:paraId="3B3A3D2C"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Legal Framework and Precedents</w:t>
      </w:r>
    </w:p>
    <w:p w14:paraId="44499E45" w14:textId="77777777" w:rsidR="00D31E07" w:rsidRPr="00D31E07" w:rsidRDefault="00D31E07" w:rsidP="00BC3846">
      <w:pPr>
        <w:numPr>
          <w:ilvl w:val="0"/>
          <w:numId w:val="12"/>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Decision-Making Scrutiny</w:t>
      </w:r>
      <w:r w:rsidRPr="00D31E07">
        <w:rPr>
          <w:rFonts w:ascii="Times New Roman" w:hAnsi="Times New Roman"/>
          <w:lang w:val="en-HK"/>
        </w:rPr>
        <w:t>:</w:t>
      </w:r>
    </w:p>
    <w:p w14:paraId="57499C60"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Trust law traditionally examines the </w:t>
      </w:r>
      <w:r w:rsidRPr="00D31E07">
        <w:rPr>
          <w:rFonts w:ascii="Times New Roman" w:hAnsi="Times New Roman"/>
          <w:b/>
          <w:bCs/>
          <w:color w:val="FF0000"/>
          <w:lang w:val="en-HK"/>
        </w:rPr>
        <w:t>decision-making process</w:t>
      </w:r>
      <w:r w:rsidRPr="00D31E07">
        <w:rPr>
          <w:rFonts w:ascii="Times New Roman" w:hAnsi="Times New Roman"/>
          <w:color w:val="FF0000"/>
          <w:lang w:val="en-HK"/>
        </w:rPr>
        <w:t xml:space="preserve"> </w:t>
      </w:r>
      <w:r w:rsidRPr="00D31E07">
        <w:rPr>
          <w:rFonts w:ascii="Times New Roman" w:hAnsi="Times New Roman"/>
          <w:lang w:val="en-HK"/>
        </w:rPr>
        <w:t xml:space="preserve">of trustees rather than the </w:t>
      </w:r>
      <w:r w:rsidRPr="00D31E07">
        <w:rPr>
          <w:rFonts w:ascii="Times New Roman" w:hAnsi="Times New Roman"/>
          <w:b/>
          <w:bCs/>
          <w:lang w:val="en-HK"/>
        </w:rPr>
        <w:t>outcomes</w:t>
      </w:r>
      <w:r w:rsidRPr="00D31E07">
        <w:rPr>
          <w:rFonts w:ascii="Times New Roman" w:hAnsi="Times New Roman"/>
          <w:lang w:val="en-HK"/>
        </w:rPr>
        <w:t xml:space="preserve"> of their investment decisions.</w:t>
      </w:r>
    </w:p>
    <w:p w14:paraId="3E00EA83"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Martin v City of Edinburgh District Council</w:t>
      </w:r>
      <w:r w:rsidRPr="00D31E07">
        <w:rPr>
          <w:rFonts w:ascii="Times New Roman" w:hAnsi="Times New Roman"/>
          <w:lang w:val="en-HK"/>
        </w:rPr>
        <w:t xml:space="preserve"> (1988): Trustees must not “fetter their investment discretion by any ab ante decision.” Trustees must instead evaluate investments as they arise and decide with open judgment.</w:t>
      </w:r>
    </w:p>
    <w:p w14:paraId="4431830C" w14:textId="77777777" w:rsidR="00D31E07" w:rsidRPr="00D31E07" w:rsidRDefault="00D31E07" w:rsidP="00BC3846">
      <w:pPr>
        <w:numPr>
          <w:ilvl w:val="0"/>
          <w:numId w:val="12"/>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Retrospective Justification</w:t>
      </w:r>
      <w:r w:rsidRPr="00D31E07">
        <w:rPr>
          <w:rFonts w:ascii="Times New Roman" w:hAnsi="Times New Roman"/>
          <w:lang w:val="en-HK"/>
        </w:rPr>
        <w:t>:</w:t>
      </w:r>
    </w:p>
    <w:p w14:paraId="3A7D4CE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Cowan v Scargill</w:t>
      </w:r>
      <w:r w:rsidRPr="00D31E07">
        <w:rPr>
          <w:rFonts w:ascii="Times New Roman" w:hAnsi="Times New Roman"/>
          <w:lang w:val="en-HK"/>
        </w:rPr>
        <w:t xml:space="preserve"> [1985] Ch 270:</w:t>
      </w:r>
    </w:p>
    <w:p w14:paraId="73FD440A"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lang w:val="en-HK"/>
        </w:rPr>
        <w:t>Megarry</w:t>
      </w:r>
      <w:proofErr w:type="spellEnd"/>
      <w:r w:rsidRPr="00D31E07">
        <w:rPr>
          <w:rFonts w:ascii="Times New Roman" w:hAnsi="Times New Roman"/>
          <w:lang w:val="en-HK"/>
        </w:rPr>
        <w:t xml:space="preserve"> VC held that a trustee's decision made "upon wholly wrong grounds" may still avoid liability if the investment is later proven successful.</w:t>
      </w:r>
    </w:p>
    <w:p w14:paraId="56281DF4"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b/>
          <w:bCs/>
          <w:lang w:val="en-HK"/>
        </w:rPr>
        <w:t>Megarry</w:t>
      </w:r>
      <w:proofErr w:type="spellEnd"/>
      <w:r w:rsidRPr="00D31E07">
        <w:rPr>
          <w:rFonts w:ascii="Times New Roman" w:hAnsi="Times New Roman"/>
          <w:b/>
          <w:bCs/>
          <w:lang w:val="en-HK"/>
        </w:rPr>
        <w:t xml:space="preserve"> VC’s Quote</w:t>
      </w:r>
      <w:r w:rsidRPr="00D31E07">
        <w:rPr>
          <w:rFonts w:ascii="Times New Roman" w:hAnsi="Times New Roman"/>
          <w:lang w:val="en-HK"/>
        </w:rPr>
        <w:t>: "If a trustee makes a decision upon wholly wrong grounds, and yet it subsequently appears that there are in fact good and sufficient reasons for supporting their decisions, they would not incur any liability [. . .]; for the decision itself was right.”</w:t>
      </w:r>
    </w:p>
    <w:p w14:paraId="5C121040"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Scholarly Critique</w:t>
      </w:r>
    </w:p>
    <w:p w14:paraId="3C0655B2"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Rosie Thornton</w:t>
      </w:r>
      <w:r w:rsidRPr="00D31E07">
        <w:rPr>
          <w:rFonts w:ascii="Times New Roman" w:hAnsi="Times New Roman"/>
          <w:lang w:val="en-HK"/>
        </w:rPr>
        <w:t>:</w:t>
      </w:r>
    </w:p>
    <w:p w14:paraId="5A125D7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Criticizes </w:t>
      </w:r>
      <w:proofErr w:type="spellStart"/>
      <w:r w:rsidRPr="00D31E07">
        <w:rPr>
          <w:rFonts w:ascii="Times New Roman" w:hAnsi="Times New Roman"/>
          <w:lang w:val="en-HK"/>
        </w:rPr>
        <w:t>Megarry</w:t>
      </w:r>
      <w:proofErr w:type="spellEnd"/>
      <w:r w:rsidRPr="00D31E07">
        <w:rPr>
          <w:rFonts w:ascii="Times New Roman" w:hAnsi="Times New Roman"/>
          <w:lang w:val="en-HK"/>
        </w:rPr>
        <w:t xml:space="preserve"> VC’s stance, arguing that a trustee’s </w:t>
      </w:r>
      <w:r w:rsidRPr="00D31E07">
        <w:rPr>
          <w:rFonts w:ascii="Times New Roman" w:hAnsi="Times New Roman"/>
          <w:b/>
          <w:bCs/>
          <w:lang w:val="en-HK"/>
        </w:rPr>
        <w:t>decision-making process</w:t>
      </w:r>
      <w:r w:rsidRPr="00D31E07">
        <w:rPr>
          <w:rFonts w:ascii="Times New Roman" w:hAnsi="Times New Roman"/>
          <w:lang w:val="en-HK"/>
        </w:rPr>
        <w:t>, not the result, is the basis for evaluating whether a breach has occurred.</w:t>
      </w:r>
    </w:p>
    <w:p w14:paraId="0D9862DE" w14:textId="77777777" w:rsidR="00D31E07" w:rsidRPr="00D31E07" w:rsidRDefault="00D31E07" w:rsidP="00BC3846">
      <w:pPr>
        <w:spacing w:before="100" w:beforeAutospacing="1" w:after="100" w:afterAutospacing="1" w:line="276" w:lineRule="auto"/>
        <w:rPr>
          <w:rFonts w:ascii="Times New Roman" w:hAnsi="Times New Roman"/>
          <w:b/>
          <w:bCs/>
          <w:lang w:val="en-HK"/>
        </w:rPr>
      </w:pPr>
      <w:r w:rsidRPr="00D31E07">
        <w:rPr>
          <w:rFonts w:ascii="Times New Roman" w:hAnsi="Times New Roman"/>
          <w:b/>
          <w:bCs/>
          <w:highlight w:val="yellow"/>
          <w:lang w:val="en-HK"/>
        </w:rPr>
        <w:t>Thornton asserts, “it is still the decision itself [. . .] which constitutes the breach, and not the performance.”</w:t>
      </w:r>
    </w:p>
    <w:p w14:paraId="2A15A0D0"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Law Commission Report No. 350</w:t>
      </w:r>
      <w:r w:rsidRPr="00D31E07">
        <w:rPr>
          <w:rFonts w:ascii="Times New Roman" w:hAnsi="Times New Roman"/>
          <w:lang w:val="en-HK"/>
        </w:rPr>
        <w:t>:</w:t>
      </w:r>
    </w:p>
    <w:p w14:paraId="1AC70DF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 xml:space="preserve">Highlights the traditional focus of trust law on </w:t>
      </w:r>
      <w:r w:rsidRPr="00D31E07">
        <w:rPr>
          <w:rFonts w:ascii="Times New Roman" w:hAnsi="Times New Roman"/>
          <w:b/>
          <w:bCs/>
          <w:lang w:val="en-HK"/>
        </w:rPr>
        <w:t>prospective decision-making</w:t>
      </w:r>
      <w:r w:rsidRPr="00D31E07">
        <w:rPr>
          <w:rFonts w:ascii="Times New Roman" w:hAnsi="Times New Roman"/>
          <w:lang w:val="en-HK"/>
        </w:rPr>
        <w:t>, emphasizing that trustees are not under a duty to achieve specific results but must act prudently and reasonably based on the information available at the time.</w:t>
      </w:r>
    </w:p>
    <w:p w14:paraId="616EFA91"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Practical Implications</w:t>
      </w:r>
    </w:p>
    <w:p w14:paraId="798F7DF7"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While ex post success might shield trustees from liability in some cases, the framework is </w:t>
      </w:r>
      <w:r w:rsidRPr="00D31E07">
        <w:rPr>
          <w:rFonts w:ascii="Times New Roman" w:hAnsi="Times New Roman"/>
          <w:b/>
          <w:bCs/>
          <w:lang w:val="en-HK"/>
        </w:rPr>
        <w:t>inconsistent</w:t>
      </w:r>
      <w:r w:rsidRPr="00D31E07">
        <w:rPr>
          <w:rFonts w:ascii="Times New Roman" w:hAnsi="Times New Roman"/>
          <w:lang w:val="en-HK"/>
        </w:rPr>
        <w:t xml:space="preserve"> with equity’s broader principles:</w:t>
      </w:r>
    </w:p>
    <w:p w14:paraId="10E05F2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Courts often shift focus toward loss identification when considering breaches of trust. For example:</w:t>
      </w:r>
    </w:p>
    <w:p w14:paraId="0AAEF65F" w14:textId="77777777" w:rsidR="00D31E07" w:rsidRPr="00D31E07" w:rsidRDefault="00D31E07" w:rsidP="00BC3846">
      <w:pPr>
        <w:numPr>
          <w:ilvl w:val="2"/>
          <w:numId w:val="14"/>
        </w:num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Nestlé v National Westminster Bank plc</w:t>
      </w:r>
      <w:r w:rsidRPr="00D31E07">
        <w:rPr>
          <w:rFonts w:ascii="Times New Roman" w:hAnsi="Times New Roman"/>
          <w:lang w:val="en-HK"/>
        </w:rPr>
        <w:t xml:space="preserve"> [1993] 1 WLR 1260: Leggatt LJ held that “a breach of duty will not be actionable, and therefore will be immaterial, if it does not cause loss.”</w:t>
      </w:r>
    </w:p>
    <w:p w14:paraId="752E4B83" w14:textId="77777777" w:rsidR="00D31E07" w:rsidRPr="00D31E07" w:rsidRDefault="00D31E07" w:rsidP="00BC3846">
      <w:pPr>
        <w:numPr>
          <w:ilvl w:val="2"/>
          <w:numId w:val="14"/>
        </w:num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 xml:space="preserve">Target Holdings v </w:t>
      </w:r>
      <w:proofErr w:type="spellStart"/>
      <w:r w:rsidRPr="00D31E07">
        <w:rPr>
          <w:rFonts w:ascii="Times New Roman" w:hAnsi="Times New Roman"/>
          <w:i/>
          <w:iCs/>
          <w:lang w:val="en-HK"/>
        </w:rPr>
        <w:t>Redferns</w:t>
      </w:r>
      <w:proofErr w:type="spellEnd"/>
      <w:r w:rsidRPr="00D31E07">
        <w:rPr>
          <w:rFonts w:ascii="Times New Roman" w:hAnsi="Times New Roman"/>
          <w:lang w:val="en-HK"/>
        </w:rPr>
        <w:t xml:space="preserve"> [1996] AC 421: Browne-Wilkinson LJ emphasized the need for a </w:t>
      </w:r>
      <w:r w:rsidRPr="00D31E07">
        <w:rPr>
          <w:rFonts w:ascii="Times New Roman" w:hAnsi="Times New Roman"/>
          <w:b/>
          <w:bCs/>
          <w:lang w:val="en-HK"/>
        </w:rPr>
        <w:t>causal link</w:t>
      </w:r>
      <w:r w:rsidRPr="00D31E07">
        <w:rPr>
          <w:rFonts w:ascii="Times New Roman" w:hAnsi="Times New Roman"/>
          <w:lang w:val="en-HK"/>
        </w:rPr>
        <w:t xml:space="preserve"> between breach and trust losses.</w:t>
      </w:r>
    </w:p>
    <w:p w14:paraId="0C13D8DA" w14:textId="7FDF3BE2"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Despite this, ex post success does not align with modern SRI objectives, which aim to </w:t>
      </w:r>
      <w:r w:rsidRPr="00D31E07">
        <w:rPr>
          <w:rFonts w:ascii="Times New Roman" w:hAnsi="Times New Roman"/>
          <w:b/>
          <w:bCs/>
          <w:lang w:val="en-HK"/>
        </w:rPr>
        <w:t>proactively</w:t>
      </w:r>
      <w:r w:rsidRPr="00D31E07">
        <w:rPr>
          <w:rFonts w:ascii="Times New Roman" w:hAnsi="Times New Roman"/>
          <w:lang w:val="en-HK"/>
        </w:rPr>
        <w:t xml:space="preserve"> affect social change rather than rely on retroactive justifications.</w:t>
      </w:r>
      <w:r w:rsidRPr="00BC3846">
        <w:rPr>
          <w:rFonts w:ascii="Times New Roman" w:hAnsi="Times New Roman"/>
          <w:lang w:val="en-HK"/>
        </w:rPr>
        <w:t xml:space="preserve"> </w:t>
      </w:r>
      <w:r w:rsidRPr="00BC3846">
        <w:rPr>
          <w:rFonts w:ascii="Times New Roman" w:eastAsia="Microsoft JhengHei" w:hAnsi="Times New Roman"/>
          <w:color w:val="000000"/>
          <w:sz w:val="18"/>
          <w:szCs w:val="18"/>
          <w:shd w:val="clear" w:color="auto" w:fill="EFF6FF"/>
        </w:rPr>
        <w:t>儘管如此，事後成功與現代</w:t>
      </w:r>
      <w:r w:rsidRPr="00BC3846">
        <w:rPr>
          <w:rFonts w:ascii="Times New Roman" w:eastAsia="Microsoft JhengHei" w:hAnsi="Times New Roman"/>
          <w:color w:val="000000"/>
          <w:sz w:val="18"/>
          <w:szCs w:val="18"/>
          <w:shd w:val="clear" w:color="auto" w:fill="EFF6FF"/>
        </w:rPr>
        <w:t xml:space="preserve"> SRI </w:t>
      </w:r>
      <w:r w:rsidRPr="00BC3846">
        <w:rPr>
          <w:rFonts w:ascii="Times New Roman" w:eastAsia="Microsoft JhengHei" w:hAnsi="Times New Roman"/>
          <w:color w:val="000000"/>
          <w:sz w:val="18"/>
          <w:szCs w:val="18"/>
          <w:shd w:val="clear" w:color="auto" w:fill="EFF6FF"/>
        </w:rPr>
        <w:t>目標並不一致，現代</w:t>
      </w:r>
      <w:r w:rsidRPr="00BC3846">
        <w:rPr>
          <w:rFonts w:ascii="Times New Roman" w:eastAsia="Microsoft JhengHei" w:hAnsi="Times New Roman"/>
          <w:color w:val="000000"/>
          <w:sz w:val="18"/>
          <w:szCs w:val="18"/>
          <w:shd w:val="clear" w:color="auto" w:fill="EFF6FF"/>
        </w:rPr>
        <w:t xml:space="preserve"> SRI </w:t>
      </w:r>
      <w:r w:rsidRPr="00BC3846">
        <w:rPr>
          <w:rFonts w:ascii="Times New Roman" w:eastAsia="Microsoft JhengHei" w:hAnsi="Times New Roman"/>
          <w:color w:val="000000"/>
          <w:sz w:val="18"/>
          <w:szCs w:val="18"/>
          <w:shd w:val="clear" w:color="auto" w:fill="EFF6FF"/>
        </w:rPr>
        <w:t>目標旨在積極影響社會變革，而不是依賴追溯性理由。</w:t>
      </w:r>
    </w:p>
    <w:p w14:paraId="7072EB33"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366422D8">
          <v:rect id="_x0000_i1057" alt="" style="width:451.3pt;height:.05pt;mso-width-percent:0;mso-height-percent:0;mso-width-percent:0;mso-height-percent:0" o:hralign="center" o:hrstd="t" o:hr="t" fillcolor="#a0a0a0" stroked="f"/>
        </w:pict>
      </w:r>
    </w:p>
    <w:p w14:paraId="03B5F2BA"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Quiet SRI</w:t>
      </w:r>
    </w:p>
    <w:p w14:paraId="762D6BF6"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Concept and Mechanism</w:t>
      </w:r>
    </w:p>
    <w:p w14:paraId="4793A48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Quiet SRI</w:t>
      </w:r>
      <w:r w:rsidRPr="00D31E07">
        <w:rPr>
          <w:rFonts w:ascii="Times New Roman" w:hAnsi="Times New Roman"/>
          <w:lang w:val="en-HK"/>
        </w:rPr>
        <w:t xml:space="preserve">: Refers to trustees </w:t>
      </w:r>
      <w:r w:rsidRPr="00D31E07">
        <w:rPr>
          <w:rFonts w:ascii="Times New Roman" w:hAnsi="Times New Roman"/>
          <w:b/>
          <w:bCs/>
          <w:lang w:val="en-HK"/>
        </w:rPr>
        <w:t>subtly incorporating social, moral, or ethical considerations</w:t>
      </w:r>
      <w:r w:rsidRPr="00D31E07">
        <w:rPr>
          <w:rFonts w:ascii="Times New Roman" w:hAnsi="Times New Roman"/>
          <w:lang w:val="en-HK"/>
        </w:rPr>
        <w:t xml:space="preserve"> into their investments </w:t>
      </w:r>
      <w:r w:rsidRPr="00D31E07">
        <w:rPr>
          <w:rFonts w:ascii="Times New Roman" w:hAnsi="Times New Roman"/>
          <w:b/>
          <w:bCs/>
          <w:lang w:val="en-HK"/>
        </w:rPr>
        <w:t>without explicitly framing their actions as part of an SRI policy</w:t>
      </w:r>
      <w:r w:rsidRPr="00D31E07">
        <w:rPr>
          <w:rFonts w:ascii="Times New Roman" w:hAnsi="Times New Roman"/>
          <w:lang w:val="en-HK"/>
        </w:rPr>
        <w:t>.</w:t>
      </w:r>
    </w:p>
    <w:p w14:paraId="061B483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Judicial Foundation</w:t>
      </w:r>
      <w:r w:rsidRPr="00D31E07">
        <w:rPr>
          <w:rFonts w:ascii="Times New Roman" w:hAnsi="Times New Roman"/>
          <w:lang w:val="en-HK"/>
        </w:rPr>
        <w:t>:</w:t>
      </w:r>
    </w:p>
    <w:p w14:paraId="5FAE9E9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As described in </w:t>
      </w:r>
      <w:r w:rsidRPr="00D31E07">
        <w:rPr>
          <w:rFonts w:ascii="Times New Roman" w:hAnsi="Times New Roman"/>
          <w:i/>
          <w:iCs/>
          <w:lang w:val="en-HK"/>
        </w:rPr>
        <w:t>Underhill and Hayton's Law of Trusts and Trustees</w:t>
      </w:r>
      <w:r w:rsidRPr="00D31E07">
        <w:rPr>
          <w:rFonts w:ascii="Times New Roman" w:hAnsi="Times New Roman"/>
          <w:lang w:val="en-HK"/>
        </w:rPr>
        <w:t>: Trustees can “quietly take into account the moral, social and political views of beneficiaries and of themselves.”</w:t>
      </w:r>
    </w:p>
    <w:p w14:paraId="4907695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This allows trustees to integrate SRI without exposing themselves to challenges based on an alleged improper motive.</w:t>
      </w:r>
    </w:p>
    <w:p w14:paraId="3C61F272"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Challenges for Beneficiaries</w:t>
      </w:r>
    </w:p>
    <w:p w14:paraId="149EDB3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Beneficiaries often lack evidence to prove a trustee’s motives for adopting SRI policies if the investment appears financially sound.</w:t>
      </w:r>
    </w:p>
    <w:p w14:paraId="2D4C20E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Nobles (1993): Trustees should avoid making their “moral and political views known” to avoid beneficiary claims.</w:t>
      </w:r>
    </w:p>
    <w:p w14:paraId="5C97DF11"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Example: If SRI investments perform as well as or better than conventional options, beneficiaries cannot claim financial harm.</w:t>
      </w:r>
    </w:p>
    <w:p w14:paraId="49556724"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Financial Merits of Quiet SRI</w:t>
      </w:r>
    </w:p>
    <w:p w14:paraId="6C62B35B" w14:textId="77777777" w:rsidR="00D31E07" w:rsidRPr="00D31E07" w:rsidRDefault="00D31E07" w:rsidP="00BC3846">
      <w:pPr>
        <w:numPr>
          <w:ilvl w:val="0"/>
          <w:numId w:val="17"/>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Performance Evidence</w:t>
      </w:r>
      <w:r w:rsidRPr="00D31E07">
        <w:rPr>
          <w:rFonts w:ascii="Times New Roman" w:hAnsi="Times New Roman"/>
          <w:lang w:val="en-HK"/>
        </w:rPr>
        <w:t>:</w:t>
      </w:r>
    </w:p>
    <w:p w14:paraId="21879DC0"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Studies show that SRI portfolios typically match or outperform conventional investments.</w:t>
      </w:r>
    </w:p>
    <w:p w14:paraId="6ABB939B"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Hickman, Teets, and Kohls (1999)</w:t>
      </w:r>
      <w:r w:rsidRPr="00D31E07">
        <w:rPr>
          <w:rFonts w:ascii="Times New Roman" w:hAnsi="Times New Roman"/>
          <w:lang w:val="en-HK"/>
        </w:rPr>
        <w:t>: Found “no significant underperformance for socially responsible stocks.”</w:t>
      </w:r>
    </w:p>
    <w:p w14:paraId="391A9EBD" w14:textId="77777777" w:rsidR="00D31E07" w:rsidRPr="00D31E07" w:rsidRDefault="00D31E07" w:rsidP="00BC3846">
      <w:pPr>
        <w:numPr>
          <w:ilvl w:val="0"/>
          <w:numId w:val="17"/>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Practical Feasibility</w:t>
      </w:r>
      <w:r w:rsidRPr="00D31E07">
        <w:rPr>
          <w:rFonts w:ascii="Times New Roman" w:hAnsi="Times New Roman"/>
          <w:lang w:val="en-HK"/>
        </w:rPr>
        <w:t>:</w:t>
      </w:r>
    </w:p>
    <w:p w14:paraId="4D48950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Table 1 in the document provides a </w:t>
      </w:r>
      <w:r w:rsidRPr="00D31E07">
        <w:rPr>
          <w:rFonts w:ascii="Times New Roman" w:hAnsi="Times New Roman"/>
          <w:b/>
          <w:bCs/>
          <w:lang w:val="en-HK"/>
        </w:rPr>
        <w:t>meta-analysis</w:t>
      </w:r>
      <w:r w:rsidRPr="00D31E07">
        <w:rPr>
          <w:rFonts w:ascii="Times New Roman" w:hAnsi="Times New Roman"/>
          <w:lang w:val="en-HK"/>
        </w:rPr>
        <w:t xml:space="preserve"> of 50 studies on SRI financial performance:</w:t>
      </w:r>
    </w:p>
    <w:p w14:paraId="748AC5C6" w14:textId="77777777" w:rsidR="00D31E07" w:rsidRPr="00D31E07" w:rsidRDefault="00D31E07" w:rsidP="00BC3846">
      <w:pPr>
        <w:numPr>
          <w:ilvl w:val="2"/>
          <w:numId w:val="17"/>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24% of studies</w:t>
      </w:r>
      <w:r w:rsidRPr="00D31E07">
        <w:rPr>
          <w:rFonts w:ascii="Times New Roman" w:hAnsi="Times New Roman"/>
          <w:lang w:val="en-HK"/>
        </w:rPr>
        <w:t xml:space="preserve"> found SRI outperforming conventional investments.</w:t>
      </w:r>
    </w:p>
    <w:p w14:paraId="0AD223A9" w14:textId="77777777" w:rsidR="00D31E07" w:rsidRPr="00D31E07" w:rsidRDefault="00D31E07" w:rsidP="00BC3846">
      <w:pPr>
        <w:numPr>
          <w:ilvl w:val="2"/>
          <w:numId w:val="17"/>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48% of studies</w:t>
      </w:r>
      <w:r w:rsidRPr="00D31E07">
        <w:rPr>
          <w:rFonts w:ascii="Times New Roman" w:hAnsi="Times New Roman"/>
          <w:lang w:val="en-HK"/>
        </w:rPr>
        <w:t xml:space="preserve"> found SRI matching traditional investments.</w:t>
      </w:r>
    </w:p>
    <w:p w14:paraId="3AAEBF12" w14:textId="77777777" w:rsidR="00D31E07" w:rsidRPr="00D31E07" w:rsidRDefault="00D31E07" w:rsidP="00BC3846">
      <w:pPr>
        <w:numPr>
          <w:ilvl w:val="2"/>
          <w:numId w:val="17"/>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28% of studies</w:t>
      </w:r>
      <w:r w:rsidRPr="00D31E07">
        <w:rPr>
          <w:rFonts w:ascii="Times New Roman" w:hAnsi="Times New Roman"/>
          <w:lang w:val="en-HK"/>
        </w:rPr>
        <w:t xml:space="preserve"> found SRI underperforming.</w:t>
      </w:r>
    </w:p>
    <w:p w14:paraId="5CE4E39D"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Criticism of Quiet SRI</w:t>
      </w:r>
    </w:p>
    <w:p w14:paraId="53FCE237"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Rosie Thornton</w:t>
      </w:r>
      <w:r w:rsidRPr="00D31E07">
        <w:rPr>
          <w:rFonts w:ascii="Times New Roman" w:hAnsi="Times New Roman"/>
          <w:lang w:val="en-HK"/>
        </w:rPr>
        <w:t>:</w:t>
      </w:r>
    </w:p>
    <w:p w14:paraId="277F2C3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Describes "quiet SRI" as an inadequate mechanism that forces trustees to "keep their heads down."</w:t>
      </w:r>
    </w:p>
    <w:p w14:paraId="54CF80A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Argues that quiet, covert implementation is far removed from the </w:t>
      </w:r>
      <w:r w:rsidRPr="00D31E07">
        <w:rPr>
          <w:rFonts w:ascii="Times New Roman" w:hAnsi="Times New Roman"/>
          <w:b/>
          <w:bCs/>
          <w:lang w:val="en-HK"/>
        </w:rPr>
        <w:t>modern objectives of SRI</w:t>
      </w:r>
      <w:r w:rsidRPr="00D31E07">
        <w:rPr>
          <w:rFonts w:ascii="Times New Roman" w:hAnsi="Times New Roman"/>
          <w:lang w:val="en-HK"/>
        </w:rPr>
        <w:t xml:space="preserve">, which aim to openly influence corporate and societal </w:t>
      </w:r>
      <w:proofErr w:type="spellStart"/>
      <w:r w:rsidRPr="00D31E07">
        <w:rPr>
          <w:rFonts w:ascii="Times New Roman" w:hAnsi="Times New Roman"/>
          <w:lang w:val="en-HK"/>
        </w:rPr>
        <w:t>behavior</w:t>
      </w:r>
      <w:proofErr w:type="spellEnd"/>
      <w:r w:rsidRPr="00D31E07">
        <w:rPr>
          <w:rFonts w:ascii="Times New Roman" w:hAnsi="Times New Roman"/>
          <w:lang w:val="en-HK"/>
        </w:rPr>
        <w:t>.</w:t>
      </w:r>
    </w:p>
    <w:p w14:paraId="3787AEF5"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Broadway’s Critique</w:t>
      </w:r>
      <w:r w:rsidRPr="00D31E07">
        <w:rPr>
          <w:rFonts w:ascii="Times New Roman" w:hAnsi="Times New Roman"/>
          <w:lang w:val="en-HK"/>
        </w:rPr>
        <w:t>:</w:t>
      </w:r>
    </w:p>
    <w:p w14:paraId="6B4FC57E"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The secretive nature of Quiet SRI undermines its legitimacy and potential for broader impact. While it allows trustees to align their practices with social values discreetly, it fails to address the systemic barriers preventing explicit SRI adoption.</w:t>
      </w:r>
    </w:p>
    <w:p w14:paraId="6E586077"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3A998FFC">
          <v:rect id="_x0000_i1056" alt="" style="width:451.3pt;height:.05pt;mso-width-percent:0;mso-height-percent:0;mso-width-percent:0;mso-height-percent:0" o:hralign="center" o:hrstd="t" o:hr="t" fillcolor="#a0a0a0" stroked="f"/>
        </w:pict>
      </w:r>
    </w:p>
    <w:p w14:paraId="4F79B26F"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Conclusion of the Section</w:t>
      </w:r>
    </w:p>
    <w:p w14:paraId="0ABF3A3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 xml:space="preserve">Broadway acknowledges that </w:t>
      </w:r>
      <w:r w:rsidRPr="00D31E07">
        <w:rPr>
          <w:rFonts w:ascii="Times New Roman" w:hAnsi="Times New Roman"/>
          <w:b/>
          <w:bCs/>
          <w:lang w:val="en-HK"/>
        </w:rPr>
        <w:t>ex post success</w:t>
      </w:r>
      <w:r w:rsidRPr="00D31E07">
        <w:rPr>
          <w:rFonts w:ascii="Times New Roman" w:hAnsi="Times New Roman"/>
          <w:lang w:val="en-HK"/>
        </w:rPr>
        <w:t xml:space="preserve"> and </w:t>
      </w:r>
      <w:r w:rsidRPr="00D31E07">
        <w:rPr>
          <w:rFonts w:ascii="Times New Roman" w:hAnsi="Times New Roman"/>
          <w:b/>
          <w:bCs/>
          <w:lang w:val="en-HK"/>
        </w:rPr>
        <w:t>quiet SRI</w:t>
      </w:r>
      <w:r w:rsidRPr="00D31E07">
        <w:rPr>
          <w:rFonts w:ascii="Times New Roman" w:hAnsi="Times New Roman"/>
          <w:lang w:val="en-HK"/>
        </w:rPr>
        <w:t xml:space="preserve"> provide limited avenues for incorporating socially responsible practices within trust investments. However, these approaches remain </w:t>
      </w:r>
      <w:r w:rsidRPr="00D31E07">
        <w:rPr>
          <w:rFonts w:ascii="Times New Roman" w:hAnsi="Times New Roman"/>
          <w:b/>
          <w:bCs/>
          <w:lang w:val="en-HK"/>
        </w:rPr>
        <w:t>inadequate</w:t>
      </w:r>
      <w:r w:rsidRPr="00D31E07">
        <w:rPr>
          <w:rFonts w:ascii="Times New Roman" w:hAnsi="Times New Roman"/>
          <w:lang w:val="en-HK"/>
        </w:rPr>
        <w:t xml:space="preserve"> in addressing trust law's broader inability to facilitate SRI.</w:t>
      </w:r>
    </w:p>
    <w:p w14:paraId="652A4845" w14:textId="77777777" w:rsidR="00D31E07" w:rsidRPr="00D31E07" w:rsidRDefault="00D31E07" w:rsidP="00BC3846">
      <w:pPr>
        <w:numPr>
          <w:ilvl w:val="0"/>
          <w:numId w:val="19"/>
        </w:numPr>
        <w:spacing w:before="100" w:beforeAutospacing="1" w:after="100" w:afterAutospacing="1" w:line="276" w:lineRule="auto"/>
        <w:rPr>
          <w:rFonts w:ascii="Times New Roman" w:hAnsi="Times New Roman"/>
          <w:lang w:val="en-HK"/>
        </w:rPr>
      </w:pPr>
      <w:r w:rsidRPr="00D31E07">
        <w:rPr>
          <w:rFonts w:ascii="Times New Roman" w:hAnsi="Times New Roman"/>
          <w:lang w:val="en-HK"/>
        </w:rPr>
        <w:t>Ex post success relies too heavily on retrospective justifications, which do not align with proactive SRI objectives.</w:t>
      </w:r>
    </w:p>
    <w:p w14:paraId="2223608D" w14:textId="77777777" w:rsidR="00D31E07" w:rsidRPr="00D31E07" w:rsidRDefault="00D31E07" w:rsidP="00BC3846">
      <w:pPr>
        <w:numPr>
          <w:ilvl w:val="0"/>
          <w:numId w:val="19"/>
        </w:numPr>
        <w:spacing w:before="100" w:beforeAutospacing="1" w:after="100" w:afterAutospacing="1" w:line="276" w:lineRule="auto"/>
        <w:rPr>
          <w:rFonts w:ascii="Times New Roman" w:hAnsi="Times New Roman"/>
          <w:lang w:val="en-HK"/>
        </w:rPr>
      </w:pPr>
      <w:r w:rsidRPr="00D31E07">
        <w:rPr>
          <w:rFonts w:ascii="Times New Roman" w:hAnsi="Times New Roman"/>
          <w:lang w:val="en-HK"/>
        </w:rPr>
        <w:t>Quiet SRI, while legally feasible, forces trustees into secrecy, contradicting the open and transformative goals of modern SRI.</w:t>
      </w:r>
    </w:p>
    <w:p w14:paraId="423BC0C3"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This section underscores the need for clearer legal mechanisms and statutory reforms to make SRI an integral part of trustee duties, rather than an exception or covert practice.</w:t>
      </w:r>
    </w:p>
    <w:p w14:paraId="095ED3E2"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30359662">
          <v:rect id="_x0000_i1055" alt="" style="width:451.3pt;height:.05pt;mso-width-percent:0;mso-height-percent:0;mso-width-percent:0;mso-height-percent:0" o:hralign="center" o:hrstd="t" o:hr="t" fillcolor="#a0a0a0" stroked="f"/>
        </w:pict>
      </w:r>
    </w:p>
    <w:p w14:paraId="2B4865FD"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Section 4: Respective Interests of Beneficiaries</w:t>
      </w:r>
    </w:p>
    <w:p w14:paraId="137D680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This section delves into trustees’ duties to balance the competing interests of different classes of beneficiaries—life tenants (entitled to income during their lives) and remaindermen (entitled to the trust's capital after the life tenant's death). It explores how these duties intersect with socially responsible investment (SRI), particularly when SRI policies may prioritize long-term social or economic impacts.</w:t>
      </w:r>
    </w:p>
    <w:p w14:paraId="4D0C1168"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4995FA54">
          <v:rect id="_x0000_i1054" alt="" style="width:451.3pt;height:.05pt;mso-width-percent:0;mso-height-percent:0;mso-width-percent:0;mso-height-percent:0" o:hralign="center" o:hrstd="t" o:hr="t" fillcolor="#a0a0a0" stroked="f"/>
        </w:pict>
      </w:r>
    </w:p>
    <w:p w14:paraId="6304A636"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Trustees' Duties in Balancing Beneficiaries' Interests</w:t>
      </w:r>
    </w:p>
    <w:p w14:paraId="446940E1"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Statutory Framework</w:t>
      </w:r>
    </w:p>
    <w:p w14:paraId="14EADAB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Trustee Act 2000, s.4(3)(a):</w:t>
      </w:r>
      <w:r w:rsidRPr="00D31E07">
        <w:rPr>
          <w:rFonts w:ascii="Times New Roman" w:hAnsi="Times New Roman"/>
          <w:lang w:val="en-HK"/>
        </w:rPr>
        <w:t xml:space="preserve"> Trustees must “have regard to the suitability of investments” for the trust’s purposes and for the beneficiaries as a whole.</w:t>
      </w:r>
    </w:p>
    <w:p w14:paraId="10D59CA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Trustee Act 2000, s.1(1):</w:t>
      </w:r>
      <w:r w:rsidRPr="00D31E07">
        <w:rPr>
          <w:rFonts w:ascii="Times New Roman" w:hAnsi="Times New Roman"/>
          <w:lang w:val="en-HK"/>
        </w:rPr>
        <w:t xml:space="preserve"> Imposes a duty of care, requiring trustees to act with “such care and skill as is reasonable in the circumstances.”</w:t>
      </w:r>
    </w:p>
    <w:p w14:paraId="6DE7D4B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Trustee Act 1925, s.31(1):</w:t>
      </w:r>
      <w:r w:rsidRPr="00D31E07">
        <w:rPr>
          <w:rFonts w:ascii="Times New Roman" w:hAnsi="Times New Roman"/>
          <w:lang w:val="en-HK"/>
        </w:rPr>
        <w:t xml:space="preserve"> Permits trustees to apply income for the benefit of a life tenant, ensuring they receive a reasonable return.</w:t>
      </w:r>
    </w:p>
    <w:p w14:paraId="71D92C3A"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Judicial Interpretation</w:t>
      </w:r>
    </w:p>
    <w:p w14:paraId="3382978B" w14:textId="77777777" w:rsidR="00D31E07" w:rsidRPr="00D31E07" w:rsidRDefault="00D31E07" w:rsidP="00BC3846">
      <w:pPr>
        <w:numPr>
          <w:ilvl w:val="0"/>
          <w:numId w:val="21"/>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 xml:space="preserve">Whiteley v </w:t>
      </w:r>
      <w:proofErr w:type="spellStart"/>
      <w:r w:rsidRPr="00D31E07">
        <w:rPr>
          <w:rFonts w:ascii="Times New Roman" w:hAnsi="Times New Roman"/>
          <w:b/>
          <w:bCs/>
          <w:lang w:val="en-HK"/>
        </w:rPr>
        <w:t>Learoyd</w:t>
      </w:r>
      <w:proofErr w:type="spellEnd"/>
      <w:r w:rsidRPr="00D31E07">
        <w:rPr>
          <w:rFonts w:ascii="Times New Roman" w:hAnsi="Times New Roman"/>
          <w:b/>
          <w:bCs/>
          <w:lang w:val="en-HK"/>
        </w:rPr>
        <w:t xml:space="preserve"> (1886) 33 Ch D 347:</w:t>
      </w:r>
    </w:p>
    <w:p w14:paraId="33FC8DA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Trustees must “take such care as an ordinary prudent man would take if he were minded to make an investment for the benefit of other people for whom he felt morally bound to provide.”</w:t>
      </w:r>
    </w:p>
    <w:p w14:paraId="7AD4326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 xml:space="preserve">This standard requires balancing </w:t>
      </w:r>
      <w:r w:rsidRPr="00D31E07">
        <w:rPr>
          <w:rFonts w:ascii="Times New Roman" w:hAnsi="Times New Roman"/>
          <w:b/>
          <w:bCs/>
          <w:lang w:val="en-HK"/>
        </w:rPr>
        <w:t>income generation</w:t>
      </w:r>
      <w:r w:rsidRPr="00D31E07">
        <w:rPr>
          <w:rFonts w:ascii="Times New Roman" w:hAnsi="Times New Roman"/>
          <w:lang w:val="en-HK"/>
        </w:rPr>
        <w:t xml:space="preserve"> for life tenants with the </w:t>
      </w:r>
      <w:r w:rsidRPr="00D31E07">
        <w:rPr>
          <w:rFonts w:ascii="Times New Roman" w:hAnsi="Times New Roman"/>
          <w:b/>
          <w:bCs/>
          <w:lang w:val="en-HK"/>
        </w:rPr>
        <w:t>preservation of capital</w:t>
      </w:r>
      <w:r w:rsidRPr="00D31E07">
        <w:rPr>
          <w:rFonts w:ascii="Times New Roman" w:hAnsi="Times New Roman"/>
          <w:lang w:val="en-HK"/>
        </w:rPr>
        <w:t xml:space="preserve"> for remaindermen.</w:t>
      </w:r>
    </w:p>
    <w:p w14:paraId="399EDD0E" w14:textId="77777777" w:rsidR="00D31E07" w:rsidRPr="00D31E07" w:rsidRDefault="00D31E07" w:rsidP="00BC3846">
      <w:pPr>
        <w:numPr>
          <w:ilvl w:val="0"/>
          <w:numId w:val="21"/>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Cowan v Scargill [1985] Ch 270:</w:t>
      </w:r>
    </w:p>
    <w:p w14:paraId="1E93461E"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lang w:val="en-HK"/>
        </w:rPr>
        <w:t>Megarry</w:t>
      </w:r>
      <w:proofErr w:type="spellEnd"/>
      <w:r w:rsidRPr="00D31E07">
        <w:rPr>
          <w:rFonts w:ascii="Times New Roman" w:hAnsi="Times New Roman"/>
          <w:lang w:val="en-HK"/>
        </w:rPr>
        <w:t xml:space="preserve"> VC ruled that trustees must act in the best financial interests of the beneficiaries, considering the trust as a whole. He stated:</w:t>
      </w:r>
    </w:p>
    <w:p w14:paraId="12F5B32F" w14:textId="77777777" w:rsidR="00D31E07" w:rsidRPr="00D31E07" w:rsidRDefault="00D31E07" w:rsidP="00BC3846">
      <w:pPr>
        <w:spacing w:beforeAutospacing="1" w:afterAutospacing="1" w:line="276" w:lineRule="auto"/>
        <w:rPr>
          <w:rFonts w:ascii="Times New Roman" w:hAnsi="Times New Roman"/>
          <w:lang w:val="en-HK"/>
        </w:rPr>
      </w:pPr>
      <w:r w:rsidRPr="00D31E07">
        <w:rPr>
          <w:rFonts w:ascii="Times New Roman" w:hAnsi="Times New Roman"/>
          <w:lang w:val="en-HK"/>
        </w:rPr>
        <w:t xml:space="preserve">"The starting point is that </w:t>
      </w:r>
      <w:r w:rsidRPr="00D31E07">
        <w:rPr>
          <w:rFonts w:ascii="Times New Roman" w:hAnsi="Times New Roman"/>
          <w:b/>
          <w:bCs/>
          <w:highlight w:val="yellow"/>
          <w:lang w:val="en-HK"/>
        </w:rPr>
        <w:t>the power of investment must be exercised so as to yield the best return judged by the standards of the ordinary prudent man of business."</w:t>
      </w:r>
    </w:p>
    <w:p w14:paraId="76E7D415"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While trustees may consider non-financial factors, these cannot undermine financial interests.</w:t>
      </w:r>
    </w:p>
    <w:p w14:paraId="36C02ACE"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Challenges in SRI Context</w:t>
      </w:r>
    </w:p>
    <w:p w14:paraId="05370060"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Trustees face a tension between immediate financial returns and the long-term societal or environmental benefits of SRI:</w:t>
      </w:r>
    </w:p>
    <w:p w14:paraId="2A1606B1"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Life Tenants vs. Remaindermen</w:t>
      </w:r>
      <w:r w:rsidRPr="00D31E07">
        <w:rPr>
          <w:rFonts w:ascii="Times New Roman" w:hAnsi="Times New Roman"/>
          <w:lang w:val="en-HK"/>
        </w:rPr>
        <w:t>:</w:t>
      </w:r>
    </w:p>
    <w:p w14:paraId="2A0B876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Life tenants prioritize income generation, which may conflict with SRI strategies that focus on long-term capital growth or environmental preservation.</w:t>
      </w:r>
    </w:p>
    <w:p w14:paraId="1756186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Remaindermen, on the other hand, may benefit from SRI policies that ensure sustainability and </w:t>
      </w:r>
      <w:r w:rsidRPr="00D31E07">
        <w:rPr>
          <w:rFonts w:ascii="Times New Roman" w:hAnsi="Times New Roman"/>
          <w:b/>
          <w:bCs/>
          <w:lang w:val="en-HK"/>
        </w:rPr>
        <w:t>long-term economic stability</w:t>
      </w:r>
      <w:r w:rsidRPr="00D31E07">
        <w:rPr>
          <w:rFonts w:ascii="Times New Roman" w:hAnsi="Times New Roman"/>
          <w:lang w:val="en-HK"/>
        </w:rPr>
        <w:t>.</w:t>
      </w:r>
    </w:p>
    <w:p w14:paraId="5CF280FA"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19B13CF6">
          <v:rect id="_x0000_i1053" alt="" style="width:451.3pt;height:.05pt;mso-width-percent:0;mso-height-percent:0;mso-width-percent:0;mso-height-percent:0" o:hralign="center" o:hrstd="t" o:hr="t" fillcolor="#a0a0a0" stroked="f"/>
        </w:pict>
      </w:r>
    </w:p>
    <w:p w14:paraId="5E4AF00E"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Case Analysis: Application of Balancing Duties</w:t>
      </w:r>
    </w:p>
    <w:p w14:paraId="7BE81EE0" w14:textId="77777777" w:rsidR="00D31E07" w:rsidRPr="00D31E07" w:rsidRDefault="00D31E07" w:rsidP="00BC3846">
      <w:pPr>
        <w:numPr>
          <w:ilvl w:val="0"/>
          <w:numId w:val="23"/>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Nestlé v National Westminster Bank plc [1993] 1 WLR 1260:</w:t>
      </w:r>
    </w:p>
    <w:p w14:paraId="12F576C2" w14:textId="77777777" w:rsidR="00D31E07" w:rsidRPr="00D31E07" w:rsidRDefault="00D31E07" w:rsidP="00BC3846">
      <w:pPr>
        <w:spacing w:before="100" w:beforeAutospacing="1" w:after="100" w:afterAutospacing="1" w:line="276" w:lineRule="auto"/>
        <w:rPr>
          <w:rFonts w:ascii="Times New Roman" w:hAnsi="Times New Roman"/>
          <w:b/>
          <w:bCs/>
          <w:lang w:val="en-HK"/>
        </w:rPr>
      </w:pPr>
      <w:r w:rsidRPr="00D31E07">
        <w:rPr>
          <w:rFonts w:ascii="Times New Roman" w:hAnsi="Times New Roman"/>
          <w:lang w:val="en-HK"/>
        </w:rPr>
        <w:t xml:space="preserve">This case emphasized trustees’ duty to balance the interests of all beneficiaries and the need to adopt </w:t>
      </w:r>
      <w:r w:rsidRPr="00D31E07">
        <w:rPr>
          <w:rFonts w:ascii="Times New Roman" w:hAnsi="Times New Roman"/>
          <w:b/>
          <w:bCs/>
          <w:lang w:val="en-HK"/>
        </w:rPr>
        <w:t>a portfolio approach.</w:t>
      </w:r>
    </w:p>
    <w:p w14:paraId="6DD99BD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Leggatt LJ’s Quote</w:t>
      </w:r>
      <w:r w:rsidRPr="00D31E07">
        <w:rPr>
          <w:rFonts w:ascii="Times New Roman" w:hAnsi="Times New Roman"/>
          <w:lang w:val="en-HK"/>
        </w:rPr>
        <w:t>: "The trustee must strike a fair balance between the different classes of beneficiaries."</w:t>
      </w:r>
    </w:p>
    <w:p w14:paraId="503D2747" w14:textId="77777777" w:rsidR="00D31E07" w:rsidRPr="00D31E07" w:rsidRDefault="00D31E07" w:rsidP="00BC3846">
      <w:pPr>
        <w:numPr>
          <w:ilvl w:val="0"/>
          <w:numId w:val="23"/>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Withers v Teachers' Retirement System [1978] 447 US 167 (US Example):</w:t>
      </w:r>
    </w:p>
    <w:p w14:paraId="5518BF42"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Trustees justified investing in unmarketable bonds to protect future beneficiaries, demonstrating how trustees can prioritize sustainability when consistent with the trust's long-term interests.</w:t>
      </w:r>
    </w:p>
    <w:p w14:paraId="316E3978"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This approach mirrors how SRI might align with preserving the economic well-being of remaindermen.</w:t>
      </w:r>
    </w:p>
    <w:p w14:paraId="6C9F790C"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3F7C780B">
          <v:rect id="_x0000_i1052" alt="" style="width:451.3pt;height:.05pt;mso-width-percent:0;mso-height-percent:0;mso-width-percent:0;mso-height-percent:0" o:hralign="center" o:hrstd="t" o:hr="t" fillcolor="#a0a0a0" stroked="f"/>
        </w:pict>
      </w:r>
    </w:p>
    <w:p w14:paraId="3CF3B400"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Economic Risks of Socially Irresponsible Investments</w:t>
      </w:r>
    </w:p>
    <w:p w14:paraId="6C4D3A6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Broadway argues that </w:t>
      </w:r>
      <w:r w:rsidRPr="00D31E07">
        <w:rPr>
          <w:rFonts w:ascii="Times New Roman" w:hAnsi="Times New Roman"/>
          <w:b/>
          <w:bCs/>
          <w:lang w:val="en-HK"/>
        </w:rPr>
        <w:t>socially irresponsible investments</w:t>
      </w:r>
      <w:r w:rsidRPr="00D31E07">
        <w:rPr>
          <w:rFonts w:ascii="Times New Roman" w:hAnsi="Times New Roman"/>
          <w:lang w:val="en-HK"/>
        </w:rPr>
        <w:t xml:space="preserve"> (e.g., those in industries contributing to environmental degradation or public health crises) can harm future economic conditions, indirectly disadvantaging remaindermen:</w:t>
      </w:r>
    </w:p>
    <w:p w14:paraId="69C5F8B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Scholarly Perspective</w:t>
      </w:r>
      <w:r w:rsidRPr="00D31E07">
        <w:rPr>
          <w:rFonts w:ascii="Times New Roman" w:hAnsi="Times New Roman"/>
          <w:lang w:val="en-HK"/>
        </w:rPr>
        <w:t>:</w:t>
      </w:r>
    </w:p>
    <w:p w14:paraId="6AE3CEB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Thornton (2008):</w:t>
      </w:r>
      <w:r w:rsidRPr="00D31E07">
        <w:rPr>
          <w:rFonts w:ascii="Times New Roman" w:hAnsi="Times New Roman"/>
          <w:lang w:val="en-HK"/>
        </w:rPr>
        <w:t xml:space="preserve"> SRI mitigates risks of investing in industries that face potential future regulation, lawsuits, or reputational harm.</w:t>
      </w:r>
    </w:p>
    <w:p w14:paraId="407DFF7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Thornton highlights the example of tobacco, stating: “Firms in socially irresponsible sectors risk substantial financial penalties, which trustees must factor into their duty of prudence.”</w:t>
      </w:r>
    </w:p>
    <w:p w14:paraId="3CBE9940"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Empirical Evidence</w:t>
      </w:r>
      <w:r w:rsidRPr="00D31E07">
        <w:rPr>
          <w:rFonts w:ascii="Times New Roman" w:hAnsi="Times New Roman"/>
          <w:lang w:val="en-HK"/>
        </w:rPr>
        <w:t>:</w:t>
      </w:r>
    </w:p>
    <w:p w14:paraId="770A135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The document cites studies showing that socially irresponsible industries, while profitable in the short term, are increasingly subject to volatility and long-term risks, such as the fossil fuel industry amid climate change regulation.</w:t>
      </w:r>
    </w:p>
    <w:p w14:paraId="58953B23"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5160D33">
          <v:rect id="_x0000_i1051" alt="" style="width:451.3pt;height:.05pt;mso-width-percent:0;mso-height-percent:0;mso-width-percent:0;mso-height-percent:0" o:hralign="center" o:hrstd="t" o:hr="t" fillcolor="#a0a0a0" stroked="f"/>
        </w:pict>
      </w:r>
    </w:p>
    <w:p w14:paraId="700A86A7"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Reconciling SRI with Beneficiaries' Interests</w:t>
      </w:r>
    </w:p>
    <w:p w14:paraId="5EDCA5CF"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Equity’s Conscience and the Long-Term View</w:t>
      </w:r>
    </w:p>
    <w:p w14:paraId="51D1DAA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Trustees’ duties, as framed by equity, extend beyond immediate financial returns to encompass </w:t>
      </w:r>
      <w:r w:rsidRPr="00D31E07">
        <w:rPr>
          <w:rFonts w:ascii="Times New Roman" w:hAnsi="Times New Roman"/>
          <w:b/>
          <w:bCs/>
          <w:lang w:val="en-HK"/>
        </w:rPr>
        <w:t>moral and ethical dimensions</w:t>
      </w:r>
      <w:r w:rsidRPr="00D31E07">
        <w:rPr>
          <w:rFonts w:ascii="Times New Roman" w:hAnsi="Times New Roman"/>
          <w:lang w:val="en-HK"/>
        </w:rPr>
        <w:t>:</w:t>
      </w:r>
    </w:p>
    <w:p w14:paraId="7ABF0EF0"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Lord Browne-Wilkinson</w:t>
      </w:r>
      <w:r w:rsidRPr="00D31E07">
        <w:rPr>
          <w:rFonts w:ascii="Times New Roman" w:hAnsi="Times New Roman"/>
          <w:lang w:val="en-HK"/>
        </w:rPr>
        <w:t xml:space="preserve"> in </w:t>
      </w:r>
      <w:proofErr w:type="spellStart"/>
      <w:r w:rsidRPr="00D31E07">
        <w:rPr>
          <w:rFonts w:ascii="Times New Roman" w:hAnsi="Times New Roman"/>
          <w:i/>
          <w:iCs/>
          <w:lang w:val="en-HK"/>
        </w:rPr>
        <w:t>Westdeutsche</w:t>
      </w:r>
      <w:proofErr w:type="spellEnd"/>
      <w:r w:rsidRPr="00D31E07">
        <w:rPr>
          <w:rFonts w:ascii="Times New Roman" w:hAnsi="Times New Roman"/>
          <w:i/>
          <w:iCs/>
          <w:lang w:val="en-HK"/>
        </w:rPr>
        <w:t xml:space="preserve"> </w:t>
      </w:r>
      <w:proofErr w:type="spellStart"/>
      <w:r w:rsidRPr="00D31E07">
        <w:rPr>
          <w:rFonts w:ascii="Times New Roman" w:hAnsi="Times New Roman"/>
          <w:i/>
          <w:iCs/>
          <w:lang w:val="en-HK"/>
        </w:rPr>
        <w:t>Landesbank</w:t>
      </w:r>
      <w:proofErr w:type="spellEnd"/>
      <w:r w:rsidRPr="00D31E07">
        <w:rPr>
          <w:rFonts w:ascii="Times New Roman" w:hAnsi="Times New Roman"/>
          <w:i/>
          <w:iCs/>
          <w:lang w:val="en-HK"/>
        </w:rPr>
        <w:t xml:space="preserve"> </w:t>
      </w:r>
      <w:proofErr w:type="spellStart"/>
      <w:r w:rsidRPr="00D31E07">
        <w:rPr>
          <w:rFonts w:ascii="Times New Roman" w:hAnsi="Times New Roman"/>
          <w:i/>
          <w:iCs/>
          <w:lang w:val="en-HK"/>
        </w:rPr>
        <w:t>Girozentrale</w:t>
      </w:r>
      <w:proofErr w:type="spellEnd"/>
      <w:r w:rsidRPr="00D31E07">
        <w:rPr>
          <w:rFonts w:ascii="Times New Roman" w:hAnsi="Times New Roman"/>
          <w:i/>
          <w:iCs/>
          <w:lang w:val="en-HK"/>
        </w:rPr>
        <w:t xml:space="preserve"> v Islington LBC [1996] AC 669</w:t>
      </w:r>
      <w:r w:rsidRPr="00D31E07">
        <w:rPr>
          <w:rFonts w:ascii="Times New Roman" w:hAnsi="Times New Roman"/>
          <w:lang w:val="en-HK"/>
        </w:rPr>
        <w:t>:</w:t>
      </w:r>
    </w:p>
    <w:p w14:paraId="0EAD0334" w14:textId="77777777" w:rsidR="00D31E07" w:rsidRPr="00D31E07" w:rsidRDefault="00D31E07" w:rsidP="00BC3846">
      <w:pPr>
        <w:spacing w:beforeAutospacing="1" w:afterAutospacing="1" w:line="276" w:lineRule="auto"/>
        <w:rPr>
          <w:rFonts w:ascii="Times New Roman" w:hAnsi="Times New Roman"/>
          <w:lang w:val="en-HK"/>
        </w:rPr>
      </w:pPr>
      <w:r w:rsidRPr="00D31E07">
        <w:rPr>
          <w:rFonts w:ascii="Times New Roman" w:hAnsi="Times New Roman"/>
          <w:lang w:val="en-HK"/>
        </w:rPr>
        <w:t>"Equity acts upon the conscience of the trustee, imposing duties that are inherently fiduciary in nature."</w:t>
      </w:r>
    </w:p>
    <w:p w14:paraId="1E6098A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Broadway argues that SRI aligns with equity’s moral foundation by ensuring investments reflect broader ethical considerations while safeguarding remaindermen's future interests.</w:t>
      </w:r>
    </w:p>
    <w:p w14:paraId="7ACD8320"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"Benefit as a Whole"</w:t>
      </w:r>
    </w:p>
    <w:p w14:paraId="392C6CDE"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 xml:space="preserve">Trustees must ensure that the trust benefits </w:t>
      </w:r>
      <w:r w:rsidRPr="00D31E07">
        <w:rPr>
          <w:rFonts w:ascii="Times New Roman" w:hAnsi="Times New Roman"/>
          <w:b/>
          <w:bCs/>
          <w:lang w:val="en-HK"/>
        </w:rPr>
        <w:t>all beneficiaries collectively</w:t>
      </w:r>
      <w:r w:rsidRPr="00D31E07">
        <w:rPr>
          <w:rFonts w:ascii="Times New Roman" w:hAnsi="Times New Roman"/>
          <w:lang w:val="en-HK"/>
        </w:rPr>
        <w:t>:</w:t>
      </w:r>
    </w:p>
    <w:p w14:paraId="78595F6E"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i/>
          <w:iCs/>
          <w:lang w:val="en-HK"/>
        </w:rPr>
        <w:t>Cowan v Scargill</w:t>
      </w:r>
      <w:r w:rsidRPr="00D31E07">
        <w:rPr>
          <w:rFonts w:ascii="Times New Roman" w:hAnsi="Times New Roman"/>
          <w:lang w:val="en-HK"/>
        </w:rPr>
        <w:t>: Non-financial factors are valid only if they do not diminish the trust's overall value.</w:t>
      </w:r>
    </w:p>
    <w:p w14:paraId="17AEF68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SRI strategies must be justified as compatible with maintaining or enhancing the trust's total financial performance over time.</w:t>
      </w:r>
    </w:p>
    <w:p w14:paraId="2E352ECE"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5A0510C7">
          <v:rect id="_x0000_i1050" alt="" style="width:451.3pt;height:.05pt;mso-width-percent:0;mso-height-percent:0;mso-width-percent:0;mso-height-percent:0" o:hralign="center" o:hrstd="t" o:hr="t" fillcolor="#a0a0a0" stroked="f"/>
        </w:pict>
      </w:r>
    </w:p>
    <w:p w14:paraId="4951556D"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Conclusion of the Section</w:t>
      </w:r>
    </w:p>
    <w:p w14:paraId="5047001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Broadway highlights that trustees can, and should, incorporate SRI into their investment decisions where it aligns with their duties to balance the respective interests of life tenants and remaindermen. By focusing on long-term sustainability and mitigating risks associated with socially irresponsible investments, trustees can </w:t>
      </w:r>
      <w:proofErr w:type="spellStart"/>
      <w:r w:rsidRPr="00D31E07">
        <w:rPr>
          <w:rFonts w:ascii="Times New Roman" w:hAnsi="Times New Roman"/>
          <w:lang w:val="en-HK"/>
        </w:rPr>
        <w:t>fulfill</w:t>
      </w:r>
      <w:proofErr w:type="spellEnd"/>
      <w:r w:rsidRPr="00D31E07">
        <w:rPr>
          <w:rFonts w:ascii="Times New Roman" w:hAnsi="Times New Roman"/>
          <w:lang w:val="en-HK"/>
        </w:rPr>
        <w:t xml:space="preserve"> their fiduciary obligations to act prudently and in the best interests of all beneficiaries. However, the legal framework remains unclear, necessitating statutory reform to explicitly recognize SRI as a valid investment strategy under trust law.</w:t>
      </w:r>
    </w:p>
    <w:p w14:paraId="4EDBC68D"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0F61856D">
          <v:rect id="_x0000_i1049" alt="" style="width:451.3pt;height:.05pt;mso-width-percent:0;mso-height-percent:0;mso-width-percent:0;mso-height-percent:0" o:hralign="center" o:hrstd="t" o:hr="t" fillcolor="#a0a0a0" stroked="f"/>
        </w:pict>
      </w:r>
    </w:p>
    <w:p w14:paraId="28B36F18"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Section 5: Equity’s Conscience and Moral Basis</w:t>
      </w:r>
    </w:p>
    <w:p w14:paraId="06B9C5DC"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This section explores the moral underpinnings of equity and its application to trust law. Broadway highlights how equity’s foundational concern for conscience and justice supports the inclusion of socially responsible investment (SRI) in trustees’ duties. However, the legal framework fails to fully integrate equity’s moral conscience into trust law’s rigid fiduciary obligations.</w:t>
      </w:r>
    </w:p>
    <w:p w14:paraId="1FE8501B"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370DF2E7">
          <v:rect id="_x0000_i1048" alt="" style="width:451.3pt;height:.05pt;mso-width-percent:0;mso-height-percent:0;mso-width-percent:0;mso-height-percent:0" o:hralign="center" o:hrstd="t" o:hr="t" fillcolor="#a0a0a0" stroked="f"/>
        </w:pict>
      </w:r>
    </w:p>
    <w:p w14:paraId="2E55E4B7"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Equity’s Moral Conscience</w:t>
      </w:r>
    </w:p>
    <w:p w14:paraId="30341035"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t>Historical and Legal Context</w:t>
      </w:r>
    </w:p>
    <w:p w14:paraId="585E7EEB"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Equity has historically been a system rooted in moral principles, aimed at ensuring justice and fairness.</w:t>
      </w:r>
    </w:p>
    <w:p w14:paraId="3C37EA05"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Earl of Oxford’s Case (1615) 1 Ch Rep 1:</w:t>
      </w:r>
      <w:r w:rsidRPr="00D31E07">
        <w:rPr>
          <w:rFonts w:ascii="Times New Roman" w:hAnsi="Times New Roman"/>
          <w:lang w:val="en-HK"/>
        </w:rPr>
        <w:t xml:space="preserve"> Equity intervened to address deficiencies in common law, ensuring fairness by appealing to the moral conscience of individuals.</w:t>
      </w:r>
    </w:p>
    <w:p w14:paraId="481983D4" w14:textId="77777777" w:rsidR="00D31E07" w:rsidRPr="00D31E07" w:rsidRDefault="00D31E07" w:rsidP="00BC3846">
      <w:pPr>
        <w:spacing w:before="100" w:beforeAutospacing="1" w:after="100" w:afterAutospacing="1" w:line="276" w:lineRule="auto"/>
        <w:rPr>
          <w:rFonts w:ascii="Times New Roman" w:hAnsi="Times New Roman"/>
          <w:b/>
          <w:bCs/>
          <w:lang w:val="en-HK"/>
        </w:rPr>
      </w:pPr>
      <w:r w:rsidRPr="00D31E07">
        <w:rPr>
          <w:rFonts w:ascii="Times New Roman" w:hAnsi="Times New Roman"/>
          <w:b/>
          <w:bCs/>
          <w:lang w:val="en-HK"/>
        </w:rPr>
        <w:t>Lord Ellesmere LC’s Judgment</w:t>
      </w:r>
      <w:r w:rsidRPr="00D31E07">
        <w:rPr>
          <w:rFonts w:ascii="Times New Roman" w:hAnsi="Times New Roman"/>
          <w:lang w:val="en-HK"/>
        </w:rPr>
        <w:t>: “</w:t>
      </w:r>
      <w:r w:rsidRPr="00D31E07">
        <w:rPr>
          <w:rFonts w:ascii="Times New Roman" w:hAnsi="Times New Roman"/>
          <w:b/>
          <w:bCs/>
          <w:highlight w:val="yellow"/>
          <w:lang w:val="en-HK"/>
        </w:rPr>
        <w:t>Equity’s role is to correct men’s consciences for frauds, breaches of trust, and wrongs.”</w:t>
      </w:r>
    </w:p>
    <w:p w14:paraId="15E336D5" w14:textId="77777777" w:rsidR="00D31E07" w:rsidRPr="00D31E07" w:rsidRDefault="00D31E07" w:rsidP="00BC3846">
      <w:pPr>
        <w:spacing w:before="100" w:beforeAutospacing="1" w:after="100" w:afterAutospacing="1" w:line="276" w:lineRule="auto"/>
        <w:outlineLvl w:val="3"/>
        <w:rPr>
          <w:rFonts w:ascii="Times New Roman" w:hAnsi="Times New Roman"/>
          <w:b/>
          <w:bCs/>
          <w:lang w:val="en-HK"/>
        </w:rPr>
      </w:pPr>
      <w:r w:rsidRPr="00D31E07">
        <w:rPr>
          <w:rFonts w:ascii="Times New Roman" w:hAnsi="Times New Roman"/>
          <w:b/>
          <w:bCs/>
          <w:lang w:val="en-HK"/>
        </w:rPr>
        <w:lastRenderedPageBreak/>
        <w:t>Equity and the Trustee’s Role</w:t>
      </w:r>
    </w:p>
    <w:p w14:paraId="48BB428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Trustees are fiduciaries, </w:t>
      </w:r>
      <w:r w:rsidRPr="00D31E07">
        <w:rPr>
          <w:rFonts w:ascii="Times New Roman" w:hAnsi="Times New Roman"/>
          <w:b/>
          <w:bCs/>
          <w:color w:val="FF0000"/>
          <w:lang w:val="en-HK"/>
        </w:rPr>
        <w:t>bound by duties of loyalty, prudence, and impartiality</w:t>
      </w:r>
      <w:r w:rsidRPr="00D31E07">
        <w:rPr>
          <w:rFonts w:ascii="Times New Roman" w:hAnsi="Times New Roman"/>
          <w:lang w:val="en-HK"/>
        </w:rPr>
        <w:t>. Equity’s conscience plays a central role in shaping these obligations:</w:t>
      </w:r>
    </w:p>
    <w:p w14:paraId="52F4E567" w14:textId="77777777" w:rsidR="00D31E07" w:rsidRPr="00BC3846" w:rsidRDefault="00D31E07" w:rsidP="00BC3846">
      <w:pPr>
        <w:pStyle w:val="ListParagraph"/>
        <w:numPr>
          <w:ilvl w:val="0"/>
          <w:numId w:val="33"/>
        </w:numPr>
        <w:spacing w:before="100" w:beforeAutospacing="1" w:after="100" w:afterAutospacing="1" w:line="276" w:lineRule="auto"/>
        <w:rPr>
          <w:rFonts w:ascii="Times New Roman" w:hAnsi="Times New Roman"/>
          <w:lang w:val="en-HK"/>
        </w:rPr>
      </w:pPr>
      <w:r w:rsidRPr="00BC3846">
        <w:rPr>
          <w:rFonts w:ascii="Times New Roman" w:hAnsi="Times New Roman"/>
          <w:lang w:val="en-HK"/>
        </w:rPr>
        <w:t>Trustees must act honestly and in good faith, reflecting the moral foundation of equity.</w:t>
      </w:r>
    </w:p>
    <w:p w14:paraId="18117384" w14:textId="77777777" w:rsidR="00D31E07" w:rsidRPr="00BC3846" w:rsidRDefault="00D31E07" w:rsidP="00BC3846">
      <w:pPr>
        <w:pStyle w:val="ListParagraph"/>
        <w:numPr>
          <w:ilvl w:val="0"/>
          <w:numId w:val="33"/>
        </w:numPr>
        <w:spacing w:before="100" w:beforeAutospacing="1" w:after="100" w:afterAutospacing="1" w:line="276" w:lineRule="auto"/>
        <w:rPr>
          <w:rFonts w:ascii="Times New Roman" w:hAnsi="Times New Roman"/>
          <w:lang w:val="en-HK"/>
        </w:rPr>
      </w:pPr>
      <w:r w:rsidRPr="00BC3846">
        <w:rPr>
          <w:rFonts w:ascii="Times New Roman" w:hAnsi="Times New Roman"/>
          <w:i/>
          <w:iCs/>
          <w:lang w:val="en-HK"/>
        </w:rPr>
        <w:t>Armitage v Nurse</w:t>
      </w:r>
      <w:r w:rsidRPr="00BC3846">
        <w:rPr>
          <w:rFonts w:ascii="Times New Roman" w:hAnsi="Times New Roman"/>
          <w:lang w:val="en-HK"/>
        </w:rPr>
        <w:t xml:space="preserve"> [1998] Ch 241: Millett LJ emphasized that the “irreducible core” of trusteeship includes duties of honesty, good faith, and loyalty.</w:t>
      </w:r>
    </w:p>
    <w:p w14:paraId="70895349" w14:textId="77777777" w:rsidR="00D31E07" w:rsidRPr="00BC3846" w:rsidRDefault="00D31E07" w:rsidP="00BC3846">
      <w:pPr>
        <w:pStyle w:val="ListParagraph"/>
        <w:numPr>
          <w:ilvl w:val="0"/>
          <w:numId w:val="33"/>
        </w:numPr>
        <w:spacing w:before="100" w:beforeAutospacing="1" w:after="100" w:afterAutospacing="1" w:line="276" w:lineRule="auto"/>
        <w:rPr>
          <w:rFonts w:ascii="Times New Roman" w:hAnsi="Times New Roman"/>
          <w:lang w:val="en-HK"/>
        </w:rPr>
      </w:pPr>
      <w:r w:rsidRPr="00BC3846">
        <w:rPr>
          <w:rFonts w:ascii="Times New Roman" w:hAnsi="Times New Roman"/>
          <w:lang w:val="en-HK"/>
        </w:rPr>
        <w:t>Equity’s moral dimension requires trustees to act not only in financial interests but also in a way that upholds broader ethical principles.</w:t>
      </w:r>
    </w:p>
    <w:p w14:paraId="5F4D0A88"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D2C5F49">
          <v:rect id="_x0000_i1047" alt="" style="width:451.3pt;height:.05pt;mso-width-percent:0;mso-height-percent:0;mso-width-percent:0;mso-height-percent:0" o:hralign="center" o:hrstd="t" o:hr="t" fillcolor="#a0a0a0" stroked="f"/>
        </w:pict>
      </w:r>
    </w:p>
    <w:p w14:paraId="2999FCB8"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Judicial Perspectives on Equity’s Conscience</w:t>
      </w:r>
    </w:p>
    <w:p w14:paraId="1380D53F" w14:textId="77777777" w:rsidR="00D31E07" w:rsidRPr="00D31E07" w:rsidRDefault="00D31E07" w:rsidP="00BC3846">
      <w:pPr>
        <w:numPr>
          <w:ilvl w:val="0"/>
          <w:numId w:val="29"/>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Lord Browne-Wilkinson</w:t>
      </w:r>
      <w:r w:rsidRPr="00D31E07">
        <w:rPr>
          <w:rFonts w:ascii="Times New Roman" w:hAnsi="Times New Roman"/>
          <w:lang w:val="en-HK"/>
        </w:rPr>
        <w:t xml:space="preserve"> in </w:t>
      </w:r>
      <w:proofErr w:type="spellStart"/>
      <w:r w:rsidRPr="00D31E07">
        <w:rPr>
          <w:rFonts w:ascii="Times New Roman" w:hAnsi="Times New Roman"/>
          <w:i/>
          <w:iCs/>
          <w:lang w:val="en-HK"/>
        </w:rPr>
        <w:t>Westdeutsche</w:t>
      </w:r>
      <w:proofErr w:type="spellEnd"/>
      <w:r w:rsidRPr="00D31E07">
        <w:rPr>
          <w:rFonts w:ascii="Times New Roman" w:hAnsi="Times New Roman"/>
          <w:i/>
          <w:iCs/>
          <w:lang w:val="en-HK"/>
        </w:rPr>
        <w:t xml:space="preserve"> </w:t>
      </w:r>
      <w:proofErr w:type="spellStart"/>
      <w:r w:rsidRPr="00D31E07">
        <w:rPr>
          <w:rFonts w:ascii="Times New Roman" w:hAnsi="Times New Roman"/>
          <w:i/>
          <w:iCs/>
          <w:lang w:val="en-HK"/>
        </w:rPr>
        <w:t>Landesbank</w:t>
      </w:r>
      <w:proofErr w:type="spellEnd"/>
      <w:r w:rsidRPr="00D31E07">
        <w:rPr>
          <w:rFonts w:ascii="Times New Roman" w:hAnsi="Times New Roman"/>
          <w:i/>
          <w:iCs/>
          <w:lang w:val="en-HK"/>
        </w:rPr>
        <w:t xml:space="preserve"> </w:t>
      </w:r>
      <w:proofErr w:type="spellStart"/>
      <w:r w:rsidRPr="00D31E07">
        <w:rPr>
          <w:rFonts w:ascii="Times New Roman" w:hAnsi="Times New Roman"/>
          <w:i/>
          <w:iCs/>
          <w:lang w:val="en-HK"/>
        </w:rPr>
        <w:t>Girozentrale</w:t>
      </w:r>
      <w:proofErr w:type="spellEnd"/>
      <w:r w:rsidRPr="00D31E07">
        <w:rPr>
          <w:rFonts w:ascii="Times New Roman" w:hAnsi="Times New Roman"/>
          <w:i/>
          <w:iCs/>
          <w:lang w:val="en-HK"/>
        </w:rPr>
        <w:t xml:space="preserve"> v Islington London Borough Council</w:t>
      </w:r>
      <w:r w:rsidRPr="00D31E07">
        <w:rPr>
          <w:rFonts w:ascii="Times New Roman" w:hAnsi="Times New Roman"/>
          <w:lang w:val="en-HK"/>
        </w:rPr>
        <w:t xml:space="preserve"> [1996] AC 669:</w:t>
      </w:r>
    </w:p>
    <w:p w14:paraId="5081806B"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Equity operates on the conscience of the owner of the legal interest.</w:t>
      </w:r>
    </w:p>
    <w:p w14:paraId="13285AF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Judgment Quote</w:t>
      </w:r>
      <w:r w:rsidRPr="00D31E07">
        <w:rPr>
          <w:rFonts w:ascii="Times New Roman" w:hAnsi="Times New Roman"/>
          <w:lang w:val="en-HK"/>
        </w:rPr>
        <w:t xml:space="preserve">: "The equitable jurisdiction </w:t>
      </w:r>
      <w:r w:rsidRPr="00D31E07">
        <w:rPr>
          <w:rFonts w:ascii="Times New Roman" w:hAnsi="Times New Roman"/>
          <w:b/>
          <w:bCs/>
          <w:color w:val="FF0000"/>
          <w:lang w:val="en-HK"/>
        </w:rPr>
        <w:t>operates on the conscience of the owner of the legal interest, ensuring that their obligations reflect the demands of honesty and good faith</w:t>
      </w:r>
      <w:r w:rsidRPr="00D31E07">
        <w:rPr>
          <w:rFonts w:ascii="Times New Roman" w:hAnsi="Times New Roman"/>
          <w:lang w:val="en-HK"/>
        </w:rPr>
        <w:t>."</w:t>
      </w:r>
    </w:p>
    <w:p w14:paraId="0E379F1D"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This highlights equity’s ability to impose duties beyond strict legal obligations, suggesting trustees could incorporate moral considerations, such as SRI.</w:t>
      </w:r>
    </w:p>
    <w:p w14:paraId="06DFD10A" w14:textId="77777777" w:rsidR="00D31E07" w:rsidRPr="00D31E07" w:rsidRDefault="00D31E07" w:rsidP="00BC3846">
      <w:pPr>
        <w:numPr>
          <w:ilvl w:val="0"/>
          <w:numId w:val="29"/>
        </w:num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b/>
          <w:bCs/>
          <w:lang w:val="en-HK"/>
        </w:rPr>
        <w:t>Megarry</w:t>
      </w:r>
      <w:proofErr w:type="spellEnd"/>
      <w:r w:rsidRPr="00D31E07">
        <w:rPr>
          <w:rFonts w:ascii="Times New Roman" w:hAnsi="Times New Roman"/>
          <w:b/>
          <w:bCs/>
          <w:lang w:val="en-HK"/>
        </w:rPr>
        <w:t xml:space="preserve"> VC</w:t>
      </w:r>
      <w:r w:rsidRPr="00D31E07">
        <w:rPr>
          <w:rFonts w:ascii="Times New Roman" w:hAnsi="Times New Roman"/>
          <w:lang w:val="en-HK"/>
        </w:rPr>
        <w:t xml:space="preserve"> in </w:t>
      </w:r>
      <w:r w:rsidRPr="00D31E07">
        <w:rPr>
          <w:rFonts w:ascii="Times New Roman" w:hAnsi="Times New Roman"/>
          <w:i/>
          <w:iCs/>
          <w:lang w:val="en-HK"/>
        </w:rPr>
        <w:t>Cowan v Scargill</w:t>
      </w:r>
      <w:r w:rsidRPr="00D31E07">
        <w:rPr>
          <w:rFonts w:ascii="Times New Roman" w:hAnsi="Times New Roman"/>
          <w:lang w:val="en-HK"/>
        </w:rPr>
        <w:t xml:space="preserve"> [1985] Ch 270:</w:t>
      </w:r>
    </w:p>
    <w:p w14:paraId="53631445"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A trustee’s duty is to act in the beneficiaries’ best financial interests, but this does not preclude moral considerations, provided they align with financial goals.</w:t>
      </w:r>
    </w:p>
    <w:p w14:paraId="1B0D7848" w14:textId="77777777" w:rsidR="00D31E07" w:rsidRPr="00D31E07" w:rsidRDefault="00D31E07" w:rsidP="00BC3846">
      <w:p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b/>
          <w:bCs/>
          <w:lang w:val="en-HK"/>
        </w:rPr>
        <w:t>Megarry</w:t>
      </w:r>
      <w:proofErr w:type="spellEnd"/>
      <w:r w:rsidRPr="00D31E07">
        <w:rPr>
          <w:rFonts w:ascii="Times New Roman" w:hAnsi="Times New Roman"/>
          <w:b/>
          <w:bCs/>
          <w:lang w:val="en-HK"/>
        </w:rPr>
        <w:t xml:space="preserve"> VC’s Judgment</w:t>
      </w:r>
      <w:r w:rsidRPr="00D31E07">
        <w:rPr>
          <w:rFonts w:ascii="Times New Roman" w:hAnsi="Times New Roman"/>
          <w:lang w:val="en-HK"/>
        </w:rPr>
        <w:t>: “Moral or ethical considerations cannot override the interests of beneficiaries but may complement them if prudently integrated.”</w:t>
      </w:r>
    </w:p>
    <w:p w14:paraId="6ECC1422"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1A50456B">
          <v:rect id="_x0000_i1046" alt="" style="width:451.3pt;height:.05pt;mso-width-percent:0;mso-height-percent:0;mso-width-percent:0;mso-height-percent:0" o:hralign="center" o:hrstd="t" o:hr="t" fillcolor="#a0a0a0" stroked="f"/>
        </w:pict>
      </w:r>
    </w:p>
    <w:p w14:paraId="262D3C1D"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Scholarly Perspectives on Equity’s Conscience</w:t>
      </w:r>
    </w:p>
    <w:p w14:paraId="3067DD42" w14:textId="77777777" w:rsidR="00D31E07" w:rsidRPr="00D31E07" w:rsidRDefault="00D31E07" w:rsidP="00BC3846">
      <w:pPr>
        <w:numPr>
          <w:ilvl w:val="0"/>
          <w:numId w:val="30"/>
        </w:numPr>
        <w:spacing w:before="100" w:beforeAutospacing="1" w:after="100" w:afterAutospacing="1" w:line="276" w:lineRule="auto"/>
        <w:rPr>
          <w:rFonts w:ascii="Times New Roman" w:hAnsi="Times New Roman"/>
          <w:lang w:val="en-HK"/>
        </w:rPr>
      </w:pPr>
      <w:proofErr w:type="spellStart"/>
      <w:r w:rsidRPr="00D31E07">
        <w:rPr>
          <w:rFonts w:ascii="Times New Roman" w:hAnsi="Times New Roman"/>
          <w:b/>
          <w:bCs/>
          <w:lang w:val="en-HK"/>
        </w:rPr>
        <w:t>Irit</w:t>
      </w:r>
      <w:proofErr w:type="spellEnd"/>
      <w:r w:rsidRPr="00D31E07">
        <w:rPr>
          <w:rFonts w:ascii="Times New Roman" w:hAnsi="Times New Roman"/>
          <w:b/>
          <w:bCs/>
          <w:lang w:val="en-HK"/>
        </w:rPr>
        <w:t xml:space="preserve"> </w:t>
      </w:r>
      <w:proofErr w:type="spellStart"/>
      <w:r w:rsidRPr="00D31E07">
        <w:rPr>
          <w:rFonts w:ascii="Times New Roman" w:hAnsi="Times New Roman"/>
          <w:b/>
          <w:bCs/>
          <w:lang w:val="en-HK"/>
        </w:rPr>
        <w:t>Samet</w:t>
      </w:r>
      <w:proofErr w:type="spellEnd"/>
      <w:r w:rsidRPr="00D31E07">
        <w:rPr>
          <w:rFonts w:ascii="Times New Roman" w:hAnsi="Times New Roman"/>
          <w:lang w:val="en-HK"/>
        </w:rPr>
        <w:t xml:space="preserve"> (</w:t>
      </w:r>
      <w:r w:rsidRPr="00D31E07">
        <w:rPr>
          <w:rFonts w:ascii="Times New Roman" w:hAnsi="Times New Roman"/>
          <w:i/>
          <w:iCs/>
          <w:lang w:val="en-HK"/>
        </w:rPr>
        <w:t>Guarding the Fiduciary’s Conscience</w:t>
      </w:r>
      <w:r w:rsidRPr="00D31E07">
        <w:rPr>
          <w:rFonts w:ascii="Times New Roman" w:hAnsi="Times New Roman"/>
          <w:lang w:val="en-HK"/>
        </w:rPr>
        <w:t xml:space="preserve"> (2011)):</w:t>
      </w:r>
    </w:p>
    <w:p w14:paraId="1B9FF3B6"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Argues that fiduciary duties have a “distinctive ethical quality,” grounded in equity’s moral conscience.</w:t>
      </w:r>
    </w:p>
    <w:p w14:paraId="62555293"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lastRenderedPageBreak/>
        <w:t>Trustees’ obligations to act in good faith and loyalty inherently include an ethical dimension, which provides room for incorporating SRI.</w:t>
      </w:r>
    </w:p>
    <w:p w14:paraId="7E4DB9D9" w14:textId="77777777" w:rsidR="00D31E07" w:rsidRPr="00D31E07" w:rsidRDefault="00D31E07" w:rsidP="00BC3846">
      <w:pPr>
        <w:numPr>
          <w:ilvl w:val="0"/>
          <w:numId w:val="30"/>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 xml:space="preserve">Matthew </w:t>
      </w:r>
      <w:proofErr w:type="spellStart"/>
      <w:r w:rsidRPr="00D31E07">
        <w:rPr>
          <w:rFonts w:ascii="Times New Roman" w:hAnsi="Times New Roman"/>
          <w:b/>
          <w:bCs/>
          <w:lang w:val="en-HK"/>
        </w:rPr>
        <w:t>Conaglen</w:t>
      </w:r>
      <w:proofErr w:type="spellEnd"/>
      <w:r w:rsidRPr="00D31E07">
        <w:rPr>
          <w:rFonts w:ascii="Times New Roman" w:hAnsi="Times New Roman"/>
          <w:lang w:val="en-HK"/>
        </w:rPr>
        <w:t xml:space="preserve"> (</w:t>
      </w:r>
      <w:r w:rsidRPr="00D31E07">
        <w:rPr>
          <w:rFonts w:ascii="Times New Roman" w:hAnsi="Times New Roman"/>
          <w:i/>
          <w:iCs/>
          <w:lang w:val="en-HK"/>
        </w:rPr>
        <w:t>The Nature and Function of Fiduciary Loyalty</w:t>
      </w:r>
      <w:r w:rsidRPr="00D31E07">
        <w:rPr>
          <w:rFonts w:ascii="Times New Roman" w:hAnsi="Times New Roman"/>
          <w:lang w:val="en-HK"/>
        </w:rPr>
        <w:t xml:space="preserve"> (2010)):</w:t>
      </w:r>
    </w:p>
    <w:p w14:paraId="06DFC1FB"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 xml:space="preserve">Equity’s moral underpinnings aim to prevent trustees from prioritizing self-interest or engaging in opportunistic </w:t>
      </w:r>
      <w:proofErr w:type="spellStart"/>
      <w:r w:rsidRPr="00D31E07">
        <w:rPr>
          <w:rFonts w:ascii="Times New Roman" w:hAnsi="Times New Roman"/>
          <w:lang w:val="en-HK"/>
        </w:rPr>
        <w:t>behavior</w:t>
      </w:r>
      <w:proofErr w:type="spellEnd"/>
      <w:r w:rsidRPr="00D31E07">
        <w:rPr>
          <w:rFonts w:ascii="Times New Roman" w:hAnsi="Times New Roman"/>
          <w:lang w:val="en-HK"/>
        </w:rPr>
        <w:t>. This ethical framework supports trustees considering the broader impact of their decisions, including social and environmental factors.</w:t>
      </w:r>
    </w:p>
    <w:p w14:paraId="51216F4F" w14:textId="77777777" w:rsidR="00D31E07" w:rsidRPr="00D31E07" w:rsidRDefault="00D31E07" w:rsidP="00BC3846">
      <w:pPr>
        <w:numPr>
          <w:ilvl w:val="0"/>
          <w:numId w:val="30"/>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Broadway’s Argument</w:t>
      </w:r>
      <w:r w:rsidRPr="00D31E07">
        <w:rPr>
          <w:rFonts w:ascii="Times New Roman" w:hAnsi="Times New Roman"/>
          <w:lang w:val="en-HK"/>
        </w:rPr>
        <w:t>:</w:t>
      </w:r>
    </w:p>
    <w:p w14:paraId="0AB7FB3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Trustees’ discretionary powers should reflect equity’s conscience by embracing SRI as a way to align with ethical and moral values.</w:t>
      </w:r>
    </w:p>
    <w:p w14:paraId="4F2D852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Broadway critiques the rigidity of trust law for sidelining equity’s moral dimension, arguing that this undermines the trust’s ability to contribute positively to society.</w:t>
      </w:r>
    </w:p>
    <w:p w14:paraId="205A4C5D"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1483E1CE">
          <v:rect id="_x0000_i1045" alt="" style="width:451.3pt;height:.05pt;mso-width-percent:0;mso-height-percent:0;mso-width-percent:0;mso-height-percent:0" o:hralign="center" o:hrstd="t" o:hr="t" fillcolor="#a0a0a0" stroked="f"/>
        </w:pict>
      </w:r>
    </w:p>
    <w:p w14:paraId="433056CA"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The Relationship Between Equity and SRI</w:t>
      </w:r>
    </w:p>
    <w:p w14:paraId="307E5668" w14:textId="77777777" w:rsidR="00D31E07" w:rsidRPr="00D31E07" w:rsidRDefault="00D31E07" w:rsidP="00BC3846">
      <w:pPr>
        <w:numPr>
          <w:ilvl w:val="0"/>
          <w:numId w:val="31"/>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Moral Justification for SRI</w:t>
      </w:r>
      <w:r w:rsidRPr="00D31E07">
        <w:rPr>
          <w:rFonts w:ascii="Times New Roman" w:hAnsi="Times New Roman"/>
          <w:lang w:val="en-HK"/>
        </w:rPr>
        <w:t>:</w:t>
      </w:r>
    </w:p>
    <w:p w14:paraId="79C59125"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Equity’s conscience provides a legal and moral basis for SRI, enabling trustees to act in ways that promote both financial and ethical objectives.</w:t>
      </w:r>
    </w:p>
    <w:p w14:paraId="2B5E2F9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For example, investing in sustainable industries can ensure long-term economic benefits while aligning with moral principles of environmental stewardship.</w:t>
      </w:r>
    </w:p>
    <w:p w14:paraId="57541343" w14:textId="77777777" w:rsidR="00D31E07" w:rsidRPr="00D31E07" w:rsidRDefault="00D31E07" w:rsidP="00BC3846">
      <w:pPr>
        <w:numPr>
          <w:ilvl w:val="0"/>
          <w:numId w:val="31"/>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Challenges in Application</w:t>
      </w:r>
      <w:r w:rsidRPr="00D31E07">
        <w:rPr>
          <w:rFonts w:ascii="Times New Roman" w:hAnsi="Times New Roman"/>
          <w:lang w:val="en-HK"/>
        </w:rPr>
        <w:t>:</w:t>
      </w:r>
    </w:p>
    <w:p w14:paraId="4F73CAA7"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Current legal frameworks restrict trustees from fully embracing equity’s moral conscience, as financial returns often take precedence over ethical considerations.</w:t>
      </w:r>
    </w:p>
    <w:p w14:paraId="2832564A" w14:textId="77777777" w:rsidR="00D31E07" w:rsidRPr="00D31E07" w:rsidRDefault="00D31E07" w:rsidP="00BC3846">
      <w:pPr>
        <w:spacing w:before="100" w:beforeAutospacing="1" w:after="100" w:afterAutospacing="1" w:line="276" w:lineRule="auto"/>
        <w:rPr>
          <w:rFonts w:ascii="Times New Roman" w:hAnsi="Times New Roman"/>
          <w:b/>
          <w:bCs/>
          <w:lang w:val="en-HK"/>
        </w:rPr>
      </w:pPr>
      <w:r w:rsidRPr="00D31E07">
        <w:rPr>
          <w:rFonts w:ascii="Times New Roman" w:hAnsi="Times New Roman"/>
          <w:i/>
          <w:iCs/>
          <w:lang w:val="en-HK"/>
        </w:rPr>
        <w:t>Cowan v Scargill</w:t>
      </w:r>
      <w:r w:rsidRPr="00D31E07">
        <w:rPr>
          <w:rFonts w:ascii="Times New Roman" w:hAnsi="Times New Roman"/>
          <w:lang w:val="en-HK"/>
        </w:rPr>
        <w:t xml:space="preserve">: </w:t>
      </w:r>
      <w:r w:rsidRPr="00D31E07">
        <w:rPr>
          <w:rFonts w:ascii="Times New Roman" w:hAnsi="Times New Roman"/>
          <w:b/>
          <w:bCs/>
          <w:lang w:val="en-HK"/>
        </w:rPr>
        <w:t xml:space="preserve">Trustees may consider ethical factors only if they </w:t>
      </w:r>
      <w:r w:rsidRPr="00D31E07">
        <w:rPr>
          <w:rFonts w:ascii="Times New Roman" w:hAnsi="Times New Roman"/>
          <w:b/>
          <w:bCs/>
          <w:color w:val="FF0000"/>
          <w:lang w:val="en-HK"/>
        </w:rPr>
        <w:t xml:space="preserve">do not conflict </w:t>
      </w:r>
      <w:r w:rsidRPr="00D31E07">
        <w:rPr>
          <w:rFonts w:ascii="Times New Roman" w:hAnsi="Times New Roman"/>
          <w:b/>
          <w:bCs/>
          <w:lang w:val="en-HK"/>
        </w:rPr>
        <w:t>with beneficiaries’ financial interests.</w:t>
      </w:r>
    </w:p>
    <w:p w14:paraId="2E2524C2" w14:textId="77777777" w:rsidR="00D31E07" w:rsidRPr="00D31E07" w:rsidRDefault="00D31E07" w:rsidP="00BC3846">
      <w:pPr>
        <w:numPr>
          <w:ilvl w:val="0"/>
          <w:numId w:val="31"/>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Reconciling Equity and Fiduciary Duties</w:t>
      </w:r>
      <w:r w:rsidRPr="00D31E07">
        <w:rPr>
          <w:rFonts w:ascii="Times New Roman" w:hAnsi="Times New Roman"/>
          <w:lang w:val="en-HK"/>
        </w:rPr>
        <w:t>:</w:t>
      </w:r>
    </w:p>
    <w:p w14:paraId="61FFF214"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Broadway argues for a broader interpretation of trustees’ duties, one that explicitly incorporates equity’s moral conscience. This would allow SRI to be pursued as part of trustees’ fiduciary obligations, rather than an exception to them.</w:t>
      </w:r>
    </w:p>
    <w:p w14:paraId="32F6CDAC"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27A5DB3">
          <v:rect id="_x0000_i1044" alt="" style="width:451.3pt;height:.05pt;mso-width-percent:0;mso-height-percent:0;mso-width-percent:0;mso-height-percent:0" o:hralign="center" o:hrstd="t" o:hr="t" fillcolor="#a0a0a0" stroked="f"/>
        </w:pict>
      </w:r>
    </w:p>
    <w:p w14:paraId="413D023F"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lastRenderedPageBreak/>
        <w:t>Practical Implications of Equity’s Conscience</w:t>
      </w:r>
    </w:p>
    <w:p w14:paraId="5C8BFEA8" w14:textId="77777777" w:rsidR="00D31E07" w:rsidRPr="00D31E07" w:rsidRDefault="00D31E07" w:rsidP="00BC3846">
      <w:pPr>
        <w:numPr>
          <w:ilvl w:val="0"/>
          <w:numId w:val="32"/>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Broader Ethical Impact</w:t>
      </w:r>
      <w:r w:rsidRPr="00D31E07">
        <w:rPr>
          <w:rFonts w:ascii="Times New Roman" w:hAnsi="Times New Roman"/>
          <w:lang w:val="en-HK"/>
        </w:rPr>
        <w:t>:</w:t>
      </w:r>
    </w:p>
    <w:p w14:paraId="01B54FB9"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Trustees can use equity’s conscience as a justification for investments that align with societal values, such as combating climate change or promoting social equity.</w:t>
      </w:r>
    </w:p>
    <w:p w14:paraId="23C013C5"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Broadway highlights that failing to consider such factors may harm long-term trust performance, indirectly violating fiduciary duties.</w:t>
      </w:r>
    </w:p>
    <w:p w14:paraId="1AC342D0" w14:textId="77777777" w:rsidR="00D31E07" w:rsidRPr="00D31E07" w:rsidRDefault="00D31E07" w:rsidP="00BC3846">
      <w:pPr>
        <w:numPr>
          <w:ilvl w:val="0"/>
          <w:numId w:val="32"/>
        </w:numPr>
        <w:spacing w:before="100" w:beforeAutospacing="1" w:after="100" w:afterAutospacing="1" w:line="276" w:lineRule="auto"/>
        <w:rPr>
          <w:rFonts w:ascii="Times New Roman" w:hAnsi="Times New Roman"/>
          <w:lang w:val="en-HK"/>
        </w:rPr>
      </w:pPr>
      <w:r w:rsidRPr="00D31E07">
        <w:rPr>
          <w:rFonts w:ascii="Times New Roman" w:hAnsi="Times New Roman"/>
          <w:b/>
          <w:bCs/>
          <w:lang w:val="en-HK"/>
        </w:rPr>
        <w:t>Judicial Ambiguity</w:t>
      </w:r>
      <w:r w:rsidRPr="00D31E07">
        <w:rPr>
          <w:rFonts w:ascii="Times New Roman" w:hAnsi="Times New Roman"/>
          <w:lang w:val="en-HK"/>
        </w:rPr>
        <w:t>:</w:t>
      </w:r>
    </w:p>
    <w:p w14:paraId="4FE6F2AA"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Courts have been inconsistent in applying equity’s moral principles to trustee decisions, creating uncertainty around the permissibility of SRI.</w:t>
      </w:r>
    </w:p>
    <w:p w14:paraId="69F83A13"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Broadway calls for statutory reform to provide clearer guidance on how equity’s conscience can inform trustees’ investment strategies.</w:t>
      </w:r>
    </w:p>
    <w:p w14:paraId="72D8CE54"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4B6968E7">
          <v:rect id="_x0000_i1043" alt="" style="width:451.3pt;height:.05pt;mso-width-percent:0;mso-height-percent:0;mso-width-percent:0;mso-height-percent:0" o:hralign="center" o:hrstd="t" o:hr="t" fillcolor="#a0a0a0" stroked="f"/>
        </w:pict>
      </w:r>
    </w:p>
    <w:p w14:paraId="02706E25" w14:textId="77777777" w:rsidR="00D31E07" w:rsidRPr="00D31E07" w:rsidRDefault="00D31E07" w:rsidP="00BC3846">
      <w:pPr>
        <w:spacing w:before="100" w:beforeAutospacing="1" w:after="100" w:afterAutospacing="1" w:line="276" w:lineRule="auto"/>
        <w:outlineLvl w:val="2"/>
        <w:rPr>
          <w:rFonts w:ascii="Times New Roman" w:hAnsi="Times New Roman"/>
          <w:b/>
          <w:bCs/>
          <w:sz w:val="27"/>
          <w:szCs w:val="27"/>
          <w:lang w:val="en-HK"/>
        </w:rPr>
      </w:pPr>
      <w:r w:rsidRPr="00D31E07">
        <w:rPr>
          <w:rFonts w:ascii="Times New Roman" w:hAnsi="Times New Roman"/>
          <w:b/>
          <w:bCs/>
          <w:sz w:val="27"/>
          <w:szCs w:val="27"/>
          <w:lang w:val="en-HK"/>
        </w:rPr>
        <w:t>Conclusion of the Section</w:t>
      </w:r>
    </w:p>
    <w:p w14:paraId="2E3E3E0F" w14:textId="77777777" w:rsidR="00D31E07" w:rsidRPr="00D31E07" w:rsidRDefault="00D31E07" w:rsidP="00BC3846">
      <w:pPr>
        <w:spacing w:before="100" w:beforeAutospacing="1" w:after="100" w:afterAutospacing="1" w:line="276" w:lineRule="auto"/>
        <w:rPr>
          <w:rFonts w:ascii="Times New Roman" w:hAnsi="Times New Roman"/>
          <w:lang w:val="en-HK"/>
        </w:rPr>
      </w:pPr>
      <w:r w:rsidRPr="00D31E07">
        <w:rPr>
          <w:rFonts w:ascii="Times New Roman" w:hAnsi="Times New Roman"/>
          <w:lang w:val="en-HK"/>
        </w:rPr>
        <w:t>Equity’s conscience forms a foundational aspect of trust law, emphasizing moral and ethical considerations in fiduciary duties. Broadway argues that this moral framework supports the inclusion of SRI in trustee decisions. However, the current legal landscape limits trustees’ ability to fully embrace equity’s moral dimension. To resolve this tension, Broadway advocates for legal reforms that explicitly recognize SRI as part of trustees’ fiduciary obligations, ensuring that equity’s conscience is not sidelined in modern trust law.</w:t>
      </w:r>
    </w:p>
    <w:p w14:paraId="24DF9D45" w14:textId="77777777" w:rsidR="00D31E07" w:rsidRPr="00D31E07"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5EA4DB2">
          <v:rect id="_x0000_i1042" alt="" style="width:451.3pt;height:.05pt;mso-width-percent:0;mso-height-percent:0;mso-width-percent:0;mso-height-percent:0" o:hralign="center" o:hrstd="t" o:hr="t" fillcolor="#a0a0a0" stroked="f"/>
        </w:pict>
      </w:r>
    </w:p>
    <w:p w14:paraId="77DA51BB" w14:textId="77777777" w:rsidR="005475F6" w:rsidRPr="005475F6" w:rsidRDefault="005475F6" w:rsidP="00BC3846">
      <w:pPr>
        <w:spacing w:before="100" w:beforeAutospacing="1" w:after="100" w:afterAutospacing="1" w:line="276" w:lineRule="auto"/>
        <w:outlineLvl w:val="2"/>
        <w:rPr>
          <w:rFonts w:ascii="Times New Roman" w:hAnsi="Times New Roman"/>
          <w:b/>
          <w:bCs/>
          <w:sz w:val="27"/>
          <w:szCs w:val="27"/>
          <w:lang w:val="en-HK"/>
        </w:rPr>
      </w:pPr>
      <w:r w:rsidRPr="005475F6">
        <w:rPr>
          <w:rFonts w:ascii="Times New Roman" w:hAnsi="Times New Roman"/>
          <w:b/>
          <w:bCs/>
          <w:sz w:val="27"/>
          <w:szCs w:val="27"/>
          <w:lang w:val="en-HK"/>
        </w:rPr>
        <w:t>Section 6: Challenges and Limitations</w:t>
      </w:r>
    </w:p>
    <w:p w14:paraId="0D7E7BC2"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This section examines the practical, legal, and structural barriers to implementing socially responsible investment (SRI) within the framework of trust law. Luke Broadway critiques trust law’s restrictive approach to SRI, highlighting specific legal principles, judicial precedents, and practical obstacles that hinder trustees from pursuing ethical and sustainable investment strategies.</w:t>
      </w:r>
    </w:p>
    <w:p w14:paraId="485E6884"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534CEFA">
          <v:rect id="_x0000_i1041" alt="" style="width:451.3pt;height:.05pt;mso-width-percent:0;mso-height-percent:0;mso-width-percent:0;mso-height-percent:0" o:hralign="center" o:hrstd="t" o:hr="t" fillcolor="#a0a0a0" stroked="f"/>
        </w:pict>
      </w:r>
    </w:p>
    <w:p w14:paraId="68DC5BC7" w14:textId="77777777" w:rsidR="005475F6" w:rsidRPr="005475F6" w:rsidRDefault="005475F6" w:rsidP="00BC3846">
      <w:pPr>
        <w:spacing w:before="100" w:beforeAutospacing="1" w:after="100" w:afterAutospacing="1" w:line="276" w:lineRule="auto"/>
        <w:outlineLvl w:val="2"/>
        <w:rPr>
          <w:rFonts w:ascii="Times New Roman" w:hAnsi="Times New Roman"/>
          <w:b/>
          <w:bCs/>
          <w:sz w:val="27"/>
          <w:szCs w:val="27"/>
          <w:lang w:val="en-HK"/>
        </w:rPr>
      </w:pPr>
      <w:r w:rsidRPr="005475F6">
        <w:rPr>
          <w:rFonts w:ascii="Times New Roman" w:hAnsi="Times New Roman"/>
          <w:b/>
          <w:bCs/>
          <w:sz w:val="27"/>
          <w:szCs w:val="27"/>
          <w:lang w:val="en-HK"/>
        </w:rPr>
        <w:t>Challenges in Achieving SRI Under Trust Law</w:t>
      </w:r>
    </w:p>
    <w:p w14:paraId="68B9DA9A"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1. Requirement for Beneficiary Consent</w:t>
      </w:r>
    </w:p>
    <w:p w14:paraId="3D0422B5" w14:textId="77777777" w:rsidR="005475F6" w:rsidRPr="005475F6" w:rsidRDefault="005475F6" w:rsidP="00BC3846">
      <w:pPr>
        <w:numPr>
          <w:ilvl w:val="0"/>
          <w:numId w:val="34"/>
        </w:num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lastRenderedPageBreak/>
        <w:t xml:space="preserve">Saunders v </w:t>
      </w:r>
      <w:proofErr w:type="spellStart"/>
      <w:r w:rsidRPr="005475F6">
        <w:rPr>
          <w:rFonts w:ascii="Times New Roman" w:hAnsi="Times New Roman"/>
          <w:b/>
          <w:bCs/>
          <w:lang w:val="en-HK"/>
        </w:rPr>
        <w:t>Vautier</w:t>
      </w:r>
      <w:proofErr w:type="spellEnd"/>
      <w:r w:rsidRPr="005475F6">
        <w:rPr>
          <w:rFonts w:ascii="Times New Roman" w:hAnsi="Times New Roman"/>
          <w:lang w:val="en-HK"/>
        </w:rPr>
        <w:t xml:space="preserve"> (1841) 4 </w:t>
      </w:r>
      <w:proofErr w:type="spellStart"/>
      <w:r w:rsidRPr="005475F6">
        <w:rPr>
          <w:rFonts w:ascii="Times New Roman" w:hAnsi="Times New Roman"/>
          <w:lang w:val="en-HK"/>
        </w:rPr>
        <w:t>Beav</w:t>
      </w:r>
      <w:proofErr w:type="spellEnd"/>
      <w:r w:rsidRPr="005475F6">
        <w:rPr>
          <w:rFonts w:ascii="Times New Roman" w:hAnsi="Times New Roman"/>
          <w:lang w:val="en-HK"/>
        </w:rPr>
        <w:t xml:space="preserve"> 115:</w:t>
      </w:r>
    </w:p>
    <w:p w14:paraId="62B44EA5"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Trustees can only deviate from strict financial objectives if all beneficiaries unanimously consent.</w:t>
      </w:r>
    </w:p>
    <w:p w14:paraId="3A3A086D"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Lord Langdale MR’s Judgment</w:t>
      </w:r>
      <w:r w:rsidRPr="005475F6">
        <w:rPr>
          <w:rFonts w:ascii="Times New Roman" w:hAnsi="Times New Roman"/>
          <w:lang w:val="en-HK"/>
        </w:rPr>
        <w:t>: Beneficiaries who are “absolutely entitled” to the trust property can terminate the trust or direct trustees to act differently.</w:t>
      </w:r>
    </w:p>
    <w:p w14:paraId="5F621A6F"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This unanimity requirement is often impractical, especially in large or multi-generational trusts with diverse beneficiaries.</w:t>
      </w:r>
    </w:p>
    <w:p w14:paraId="519CF030" w14:textId="77777777" w:rsidR="005475F6" w:rsidRPr="005475F6" w:rsidRDefault="005475F6" w:rsidP="00BC3846">
      <w:pPr>
        <w:numPr>
          <w:ilvl w:val="0"/>
          <w:numId w:val="34"/>
        </w:num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Implication for SRI</w:t>
      </w:r>
      <w:r w:rsidRPr="005475F6">
        <w:rPr>
          <w:rFonts w:ascii="Times New Roman" w:hAnsi="Times New Roman"/>
          <w:lang w:val="en-HK"/>
        </w:rPr>
        <w:t>:</w:t>
      </w:r>
    </w:p>
    <w:p w14:paraId="0CB72F71"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Trustees seeking to adopt an SRI approach would need consent from all beneficiaries, a nearly impossible task in many institutional or pension trusts.</w:t>
      </w:r>
    </w:p>
    <w:p w14:paraId="6AA3B8E5"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75F51EDD">
          <v:rect id="_x0000_i1040" alt="" style="width:451.3pt;height:.05pt;mso-width-percent:0;mso-height-percent:0;mso-width-percent:0;mso-height-percent:0" o:hralign="center" o:hrstd="t" o:hr="t" fillcolor="#a0a0a0" stroked="f"/>
        </w:pict>
      </w:r>
    </w:p>
    <w:p w14:paraId="25F927E6"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2. Judicial Narrowing of SRI</w:t>
      </w:r>
    </w:p>
    <w:p w14:paraId="627C5BF3"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Courts have consistently prioritized financial returns over ethical considerations in trustee decision-making:</w:t>
      </w:r>
    </w:p>
    <w:p w14:paraId="57E0585C"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Cowan v Scargill [1985] Ch 270</w:t>
      </w:r>
      <w:r w:rsidRPr="005475F6">
        <w:rPr>
          <w:rFonts w:ascii="Times New Roman" w:hAnsi="Times New Roman"/>
          <w:lang w:val="en-HK"/>
        </w:rPr>
        <w:t>:</w:t>
      </w:r>
    </w:p>
    <w:p w14:paraId="54AAAE84" w14:textId="77777777" w:rsidR="005475F6" w:rsidRPr="005475F6" w:rsidRDefault="005475F6" w:rsidP="00BC3846">
      <w:pPr>
        <w:spacing w:before="100" w:beforeAutospacing="1" w:after="100" w:afterAutospacing="1" w:line="276" w:lineRule="auto"/>
        <w:rPr>
          <w:rFonts w:ascii="Times New Roman" w:hAnsi="Times New Roman"/>
          <w:lang w:val="en-HK"/>
        </w:rPr>
      </w:pPr>
      <w:proofErr w:type="spellStart"/>
      <w:r w:rsidRPr="005475F6">
        <w:rPr>
          <w:rFonts w:ascii="Times New Roman" w:hAnsi="Times New Roman"/>
          <w:lang w:val="en-HK"/>
        </w:rPr>
        <w:t>Megarry</w:t>
      </w:r>
      <w:proofErr w:type="spellEnd"/>
      <w:r w:rsidRPr="005475F6">
        <w:rPr>
          <w:rFonts w:ascii="Times New Roman" w:hAnsi="Times New Roman"/>
          <w:lang w:val="en-HK"/>
        </w:rPr>
        <w:t xml:space="preserve"> VC held that trustees’ overriding duty is to act in the beneficiaries’ best financial interests.</w:t>
      </w:r>
    </w:p>
    <w:p w14:paraId="32F5E9C7" w14:textId="77777777" w:rsidR="005475F6" w:rsidRPr="005475F6" w:rsidRDefault="005475F6" w:rsidP="00BC3846">
      <w:pPr>
        <w:spacing w:before="100" w:beforeAutospacing="1" w:after="100" w:afterAutospacing="1" w:line="276" w:lineRule="auto"/>
        <w:rPr>
          <w:rFonts w:ascii="Times New Roman" w:hAnsi="Times New Roman"/>
          <w:lang w:val="en-HK"/>
        </w:rPr>
      </w:pPr>
      <w:proofErr w:type="spellStart"/>
      <w:r w:rsidRPr="005475F6">
        <w:rPr>
          <w:rFonts w:ascii="Times New Roman" w:hAnsi="Times New Roman"/>
          <w:b/>
          <w:bCs/>
          <w:lang w:val="en-HK"/>
        </w:rPr>
        <w:t>Megarry</w:t>
      </w:r>
      <w:proofErr w:type="spellEnd"/>
      <w:r w:rsidRPr="005475F6">
        <w:rPr>
          <w:rFonts w:ascii="Times New Roman" w:hAnsi="Times New Roman"/>
          <w:b/>
          <w:bCs/>
          <w:lang w:val="en-HK"/>
        </w:rPr>
        <w:t xml:space="preserve"> VC’s Quote</w:t>
      </w:r>
      <w:r w:rsidRPr="005475F6">
        <w:rPr>
          <w:rFonts w:ascii="Times New Roman" w:hAnsi="Times New Roman"/>
          <w:lang w:val="en-HK"/>
        </w:rPr>
        <w:t>: “When the purpose of the trust is to provide financial benefits, the best interests of the beneficiaries are normally their best financial interests.”</w:t>
      </w:r>
    </w:p>
    <w:p w14:paraId="1F163962"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Ethical or moral considerations, such as SRI, are only permissible if they align with financial goals.</w:t>
      </w:r>
    </w:p>
    <w:p w14:paraId="32A42005"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Example: Trustees cannot exclude investments in fossil fuels or tobacco purely on moral grounds unless doing so demonstrably improves financial returns.</w:t>
      </w:r>
    </w:p>
    <w:p w14:paraId="5D6D3B3A"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Martin v City of Edinburgh District Council</w:t>
      </w:r>
      <w:r w:rsidRPr="005475F6">
        <w:rPr>
          <w:rFonts w:ascii="Times New Roman" w:hAnsi="Times New Roman"/>
          <w:lang w:val="en-HK"/>
        </w:rPr>
        <w:t xml:space="preserve"> [1988] SLT 329:</w:t>
      </w:r>
    </w:p>
    <w:p w14:paraId="428610FD"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Trustees breached their duties by pre-committing to an ethical investment policy without considering each decision individually.</w:t>
      </w:r>
    </w:p>
    <w:p w14:paraId="2C46897C"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Lord Murray’s Judgment</w:t>
      </w:r>
      <w:r w:rsidRPr="005475F6">
        <w:rPr>
          <w:rFonts w:ascii="Times New Roman" w:hAnsi="Times New Roman"/>
          <w:lang w:val="en-HK"/>
        </w:rPr>
        <w:t>: Trustees must exercise discretion on a case-by-case basis, without being fettered by broad ethical policies.</w:t>
      </w:r>
    </w:p>
    <w:p w14:paraId="29153024"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This restricts trustees from adopting systematic SRI strategies.</w:t>
      </w:r>
    </w:p>
    <w:p w14:paraId="2CE4A39B"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lastRenderedPageBreak/>
        <w:pict w14:anchorId="57AE0084">
          <v:rect id="_x0000_i1039" alt="" style="width:451.3pt;height:.05pt;mso-width-percent:0;mso-height-percent:0;mso-width-percent:0;mso-height-percent:0" o:hralign="center" o:hrstd="t" o:hr="t" fillcolor="#a0a0a0" stroked="f"/>
        </w:pict>
      </w:r>
    </w:p>
    <w:p w14:paraId="5A653292"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3. Focus on Immediate Financial Risk</w:t>
      </w:r>
    </w:p>
    <w:p w14:paraId="7751ECE4"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 xml:space="preserve">Judicial decisions focus on </w:t>
      </w:r>
      <w:r w:rsidRPr="005475F6">
        <w:rPr>
          <w:rFonts w:ascii="Times New Roman" w:hAnsi="Times New Roman"/>
          <w:b/>
          <w:bCs/>
          <w:lang w:val="en-HK"/>
        </w:rPr>
        <w:t>immediate risks</w:t>
      </w:r>
      <w:r w:rsidRPr="005475F6">
        <w:rPr>
          <w:rFonts w:ascii="Times New Roman" w:hAnsi="Times New Roman"/>
          <w:lang w:val="en-HK"/>
        </w:rPr>
        <w:t xml:space="preserve"> rather than long-term sustainability:</w:t>
      </w:r>
    </w:p>
    <w:p w14:paraId="1CF9EF93"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i/>
          <w:iCs/>
          <w:lang w:val="en-HK"/>
        </w:rPr>
        <w:t>Cowan v Scargill</w:t>
      </w:r>
      <w:r w:rsidRPr="005475F6">
        <w:rPr>
          <w:rFonts w:ascii="Times New Roman" w:hAnsi="Times New Roman"/>
          <w:lang w:val="en-HK"/>
        </w:rPr>
        <w:t xml:space="preserve">: </w:t>
      </w:r>
      <w:proofErr w:type="spellStart"/>
      <w:r w:rsidRPr="005475F6">
        <w:rPr>
          <w:rFonts w:ascii="Times New Roman" w:hAnsi="Times New Roman"/>
          <w:lang w:val="en-HK"/>
        </w:rPr>
        <w:t>Megarry</w:t>
      </w:r>
      <w:proofErr w:type="spellEnd"/>
      <w:r w:rsidRPr="005475F6">
        <w:rPr>
          <w:rFonts w:ascii="Times New Roman" w:hAnsi="Times New Roman"/>
          <w:lang w:val="en-HK"/>
        </w:rPr>
        <w:t xml:space="preserve"> VC emphasized the short-term financial benefits over speculative future risks or benefits.</w:t>
      </w:r>
    </w:p>
    <w:p w14:paraId="3B68A0E9"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Critique</w:t>
      </w:r>
      <w:r w:rsidRPr="005475F6">
        <w:rPr>
          <w:rFonts w:ascii="Times New Roman" w:hAnsi="Times New Roman"/>
          <w:lang w:val="en-HK"/>
        </w:rPr>
        <w:t>:</w:t>
      </w:r>
    </w:p>
    <w:p w14:paraId="37F1E190"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 xml:space="preserve">Broadway argues that such a </w:t>
      </w:r>
      <w:r w:rsidRPr="005475F6">
        <w:rPr>
          <w:rFonts w:ascii="Times New Roman" w:hAnsi="Times New Roman"/>
          <w:b/>
          <w:bCs/>
          <w:lang w:val="en-HK"/>
        </w:rPr>
        <w:t>narrow focus on immediate financial returns ignores the broader economic risks posed by socially irresponsible investments</w:t>
      </w:r>
      <w:r w:rsidRPr="005475F6">
        <w:rPr>
          <w:rFonts w:ascii="Times New Roman" w:hAnsi="Times New Roman"/>
          <w:lang w:val="en-HK"/>
        </w:rPr>
        <w:t xml:space="preserve"> (e.g., climate change, environmental degradation, or regulatory penalties).</w:t>
      </w:r>
    </w:p>
    <w:p w14:paraId="55671FC3"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4956A7F0">
          <v:rect id="_x0000_i1038" alt="" style="width:451.3pt;height:.05pt;mso-width-percent:0;mso-height-percent:0;mso-width-percent:0;mso-height-percent:0" o:hralign="center" o:hrstd="t" o:hr="t" fillcolor="#a0a0a0" stroked="f"/>
        </w:pict>
      </w:r>
    </w:p>
    <w:p w14:paraId="703A5C7F"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4. Lack of Statutory Support for SRI</w:t>
      </w:r>
    </w:p>
    <w:p w14:paraId="09FB5A1E"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Trustee Act 2000</w:t>
      </w:r>
      <w:r w:rsidRPr="005475F6">
        <w:rPr>
          <w:rFonts w:ascii="Times New Roman" w:hAnsi="Times New Roman"/>
          <w:lang w:val="en-HK"/>
        </w:rPr>
        <w:t>:</w:t>
      </w:r>
    </w:p>
    <w:p w14:paraId="0ABCEC9F"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The Act is silent on SRI, focusing instead on prudence, diversification (s.4(2)), and suitability (s.4(3)).</w:t>
      </w:r>
    </w:p>
    <w:p w14:paraId="0CCE3A53"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Broadway’s Critique</w:t>
      </w:r>
      <w:r w:rsidRPr="005475F6">
        <w:rPr>
          <w:rFonts w:ascii="Times New Roman" w:hAnsi="Times New Roman"/>
          <w:lang w:val="en-HK"/>
        </w:rPr>
        <w:t>:</w:t>
      </w:r>
    </w:p>
    <w:p w14:paraId="5EA03C38"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The lack of explicit statutory recognition for SRI creates uncertainty for trustees, discouraging them from pursuing socially responsible strategies.</w:t>
      </w:r>
    </w:p>
    <w:p w14:paraId="443327C8"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b/>
          <w:bCs/>
          <w:lang w:val="en-HK"/>
        </w:rPr>
        <w:t>Law Commission Report No. 350 (2014)</w:t>
      </w:r>
      <w:r w:rsidRPr="005475F6">
        <w:rPr>
          <w:rFonts w:ascii="Times New Roman" w:hAnsi="Times New Roman"/>
          <w:lang w:val="en-HK"/>
        </w:rPr>
        <w:t>:</w:t>
      </w:r>
    </w:p>
    <w:p w14:paraId="7989EBA9"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Acknowledged that trustees may consider non-financial factors if:</w:t>
      </w:r>
    </w:p>
    <w:p w14:paraId="3B22A197" w14:textId="77777777" w:rsidR="005475F6" w:rsidRPr="005475F6" w:rsidRDefault="005475F6" w:rsidP="00BC3846">
      <w:pPr>
        <w:numPr>
          <w:ilvl w:val="2"/>
          <w:numId w:val="38"/>
        </w:numPr>
        <w:spacing w:before="100" w:beforeAutospacing="1" w:after="100" w:afterAutospacing="1" w:line="276" w:lineRule="auto"/>
        <w:ind w:left="2160" w:hanging="360"/>
        <w:rPr>
          <w:rFonts w:ascii="Times New Roman" w:hAnsi="Times New Roman"/>
          <w:lang w:val="en-HK"/>
        </w:rPr>
      </w:pPr>
      <w:r w:rsidRPr="005475F6">
        <w:rPr>
          <w:rFonts w:ascii="Times New Roman" w:hAnsi="Times New Roman"/>
          <w:lang w:val="en-HK"/>
        </w:rPr>
        <w:t>They have good reason to believe the beneficiaries share the concern, and</w:t>
      </w:r>
    </w:p>
    <w:p w14:paraId="3A9DE69D" w14:textId="77777777" w:rsidR="005475F6" w:rsidRPr="005475F6" w:rsidRDefault="005475F6" w:rsidP="00BC3846">
      <w:pPr>
        <w:numPr>
          <w:ilvl w:val="2"/>
          <w:numId w:val="38"/>
        </w:numPr>
        <w:spacing w:before="100" w:beforeAutospacing="1" w:after="100" w:afterAutospacing="1" w:line="276" w:lineRule="auto"/>
        <w:ind w:left="2160" w:hanging="360"/>
        <w:rPr>
          <w:rFonts w:ascii="Times New Roman" w:hAnsi="Times New Roman"/>
          <w:lang w:val="en-HK"/>
        </w:rPr>
      </w:pPr>
      <w:r w:rsidRPr="005475F6">
        <w:rPr>
          <w:rFonts w:ascii="Times New Roman" w:hAnsi="Times New Roman"/>
          <w:lang w:val="en-HK"/>
        </w:rPr>
        <w:t>The decision does not risk significant financial detriment.</w:t>
      </w:r>
    </w:p>
    <w:p w14:paraId="56A4D6D2"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However, this guidance is not legally binding, further limiting trustees’ confidence in implementing SRI.</w:t>
      </w:r>
    </w:p>
    <w:p w14:paraId="0CD22290"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1C756FD1">
          <v:rect id="_x0000_i1037" alt="" style="width:451.3pt;height:.05pt;mso-width-percent:0;mso-height-percent:0;mso-width-percent:0;mso-height-percent:0" o:hralign="center" o:hrstd="t" o:hr="t" fillcolor="#a0a0a0" stroked="f"/>
        </w:pict>
      </w:r>
    </w:p>
    <w:p w14:paraId="7484B3D8" w14:textId="77777777" w:rsidR="005475F6" w:rsidRPr="005475F6" w:rsidRDefault="005475F6" w:rsidP="00BC3846">
      <w:pPr>
        <w:spacing w:before="100" w:beforeAutospacing="1" w:after="100" w:afterAutospacing="1" w:line="276" w:lineRule="auto"/>
        <w:outlineLvl w:val="2"/>
        <w:rPr>
          <w:rFonts w:ascii="Times New Roman" w:hAnsi="Times New Roman"/>
          <w:b/>
          <w:bCs/>
          <w:sz w:val="27"/>
          <w:szCs w:val="27"/>
          <w:lang w:val="en-HK"/>
        </w:rPr>
      </w:pPr>
      <w:r w:rsidRPr="005475F6">
        <w:rPr>
          <w:rFonts w:ascii="Times New Roman" w:hAnsi="Times New Roman"/>
          <w:b/>
          <w:bCs/>
          <w:sz w:val="27"/>
          <w:szCs w:val="27"/>
          <w:lang w:val="en-HK"/>
        </w:rPr>
        <w:t>Practical Barriers to SRI</w:t>
      </w:r>
    </w:p>
    <w:p w14:paraId="21F454E4"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1. Risk of Litigation</w:t>
      </w:r>
    </w:p>
    <w:p w14:paraId="35696633"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lastRenderedPageBreak/>
        <w:t>Beneficiaries may sue trustees if SRI policies result in perceived underperformance:</w:t>
      </w:r>
    </w:p>
    <w:p w14:paraId="27829549"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i/>
          <w:iCs/>
          <w:lang w:val="en-HK"/>
        </w:rPr>
        <w:t>Nestlé v National Westminster Bank plc</w:t>
      </w:r>
      <w:r w:rsidRPr="005475F6">
        <w:rPr>
          <w:rFonts w:ascii="Times New Roman" w:hAnsi="Times New Roman"/>
          <w:lang w:val="en-HK"/>
        </w:rPr>
        <w:t xml:space="preserve"> [1993] 1 WLR 1260:</w:t>
      </w:r>
    </w:p>
    <w:p w14:paraId="57A5D46E" w14:textId="77777777" w:rsidR="005475F6" w:rsidRPr="005475F6" w:rsidRDefault="005475F6" w:rsidP="00BC3846">
      <w:pPr>
        <w:numPr>
          <w:ilvl w:val="2"/>
          <w:numId w:val="39"/>
        </w:numPr>
        <w:spacing w:before="100" w:beforeAutospacing="1" w:after="100" w:afterAutospacing="1" w:line="276" w:lineRule="auto"/>
        <w:rPr>
          <w:rFonts w:ascii="Times New Roman" w:hAnsi="Times New Roman"/>
          <w:lang w:val="en-HK"/>
        </w:rPr>
      </w:pPr>
      <w:r w:rsidRPr="005475F6">
        <w:rPr>
          <w:rFonts w:ascii="Times New Roman" w:hAnsi="Times New Roman"/>
          <w:lang w:val="en-HK"/>
        </w:rPr>
        <w:t>Beneficiaries alleged trustees had failed to maximize returns.</w:t>
      </w:r>
    </w:p>
    <w:p w14:paraId="0FD361AC" w14:textId="77777777" w:rsidR="005475F6" w:rsidRPr="005475F6" w:rsidRDefault="005475F6" w:rsidP="00BC3846">
      <w:pPr>
        <w:numPr>
          <w:ilvl w:val="2"/>
          <w:numId w:val="39"/>
        </w:numPr>
        <w:spacing w:before="100" w:beforeAutospacing="1" w:after="100" w:afterAutospacing="1" w:line="276" w:lineRule="auto"/>
        <w:rPr>
          <w:rFonts w:ascii="Times New Roman" w:hAnsi="Times New Roman"/>
          <w:lang w:val="en-HK"/>
        </w:rPr>
      </w:pPr>
      <w:r w:rsidRPr="005475F6">
        <w:rPr>
          <w:rFonts w:ascii="Times New Roman" w:hAnsi="Times New Roman"/>
          <w:lang w:val="en-HK"/>
        </w:rPr>
        <w:t xml:space="preserve">The court emphasized that </w:t>
      </w:r>
      <w:r w:rsidRPr="005475F6">
        <w:rPr>
          <w:rFonts w:ascii="Times New Roman" w:hAnsi="Times New Roman"/>
          <w:b/>
          <w:bCs/>
          <w:color w:val="FF0000"/>
          <w:lang w:val="en-HK"/>
        </w:rPr>
        <w:t>trustees must “act prudently and avoid speculative decisions.”</w:t>
      </w:r>
    </w:p>
    <w:p w14:paraId="3B56B191"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Fear of litigation discourages trustees from considering SRI, even when it aligns with beneficiaries’ long-term interests.</w:t>
      </w:r>
    </w:p>
    <w:p w14:paraId="07E6D65B"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2. Institutional Resistance</w:t>
      </w:r>
    </w:p>
    <w:p w14:paraId="3DBA09E5"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 xml:space="preserve">Many institutional trustees remain reluctant to adopt SRI due to entrenched norms </w:t>
      </w:r>
      <w:proofErr w:type="spellStart"/>
      <w:r w:rsidRPr="005475F6">
        <w:rPr>
          <w:rFonts w:ascii="Times New Roman" w:hAnsi="Times New Roman"/>
          <w:lang w:val="en-HK"/>
        </w:rPr>
        <w:t>favoring</w:t>
      </w:r>
      <w:proofErr w:type="spellEnd"/>
      <w:r w:rsidRPr="005475F6">
        <w:rPr>
          <w:rFonts w:ascii="Times New Roman" w:hAnsi="Times New Roman"/>
          <w:lang w:val="en-HK"/>
        </w:rPr>
        <w:t xml:space="preserve"> traditional financial metrics over ethical considerations:</w:t>
      </w:r>
    </w:p>
    <w:p w14:paraId="251A6FCF"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Broadway notes that pension funds and large trusts often prioritize conventional financial performance benchmarks, creating inertia against adopting SRI strategies.</w:t>
      </w:r>
    </w:p>
    <w:p w14:paraId="024014F8"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3. Complexity of SRI Metrics</w:t>
      </w:r>
    </w:p>
    <w:p w14:paraId="6F712D7B"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Measuring the success of SRI policies is inherently complex, as it requires balancing financial returns with social impact:</w:t>
      </w:r>
    </w:p>
    <w:p w14:paraId="63EABB26"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Broadway highlights the lack of standardized metrics for assessing SRI performance, making it harder for trustees to justify such decisions under legal scrutiny.</w:t>
      </w:r>
    </w:p>
    <w:p w14:paraId="3F1A8E20"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604F5F4B">
          <v:rect id="_x0000_i1036" alt="" style="width:451.3pt;height:.05pt;mso-width-percent:0;mso-height-percent:0;mso-width-percent:0;mso-height-percent:0" o:hralign="center" o:hrstd="t" o:hr="t" fillcolor="#a0a0a0" stroked="f"/>
        </w:pict>
      </w:r>
    </w:p>
    <w:p w14:paraId="78CB3BFC" w14:textId="77777777" w:rsidR="005475F6" w:rsidRPr="005475F6" w:rsidRDefault="005475F6" w:rsidP="00BC3846">
      <w:pPr>
        <w:spacing w:before="100" w:beforeAutospacing="1" w:after="100" w:afterAutospacing="1" w:line="276" w:lineRule="auto"/>
        <w:outlineLvl w:val="2"/>
        <w:rPr>
          <w:rFonts w:ascii="Times New Roman" w:hAnsi="Times New Roman"/>
          <w:b/>
          <w:bCs/>
          <w:sz w:val="27"/>
          <w:szCs w:val="27"/>
          <w:lang w:val="en-HK"/>
        </w:rPr>
      </w:pPr>
      <w:r w:rsidRPr="005475F6">
        <w:rPr>
          <w:rFonts w:ascii="Times New Roman" w:hAnsi="Times New Roman"/>
          <w:b/>
          <w:bCs/>
          <w:sz w:val="27"/>
          <w:szCs w:val="27"/>
          <w:lang w:val="en-HK"/>
        </w:rPr>
        <w:t>Scholarly Critiques of Existing Limitations</w:t>
      </w:r>
    </w:p>
    <w:p w14:paraId="27C93500"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Thornton (2008):</w:t>
      </w:r>
    </w:p>
    <w:p w14:paraId="6D02FD9D"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Thornton argues that judicial and statutory restrictions on SRI are outdated, failing to account for the growing recognition of the financial materiality of social and environmental factors.</w:t>
      </w:r>
    </w:p>
    <w:p w14:paraId="26C86E37"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Thornton notes: “Trust law’s myopic focus on immediate returns undermines its ability to address systemic risks posed by socially irresponsible investments.”</w:t>
      </w:r>
    </w:p>
    <w:p w14:paraId="72390952"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Broadway’s Perspective:</w:t>
      </w:r>
    </w:p>
    <w:p w14:paraId="11278AB9"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Broadway critiques the law’s failure to reconcile trustees’ duties with equity’s moral conscience:</w:t>
      </w:r>
    </w:p>
    <w:p w14:paraId="35019F51"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lastRenderedPageBreak/>
        <w:t>Trustees are discouraged from considering the broader societal and environmental impacts of their investments.</w:t>
      </w:r>
    </w:p>
    <w:p w14:paraId="1A49C48A"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This creates a disconnect between equity’s moral ideals and the rigid financial priorities imposed by trust law.</w:t>
      </w:r>
    </w:p>
    <w:p w14:paraId="1B059B02"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6007AD31">
          <v:rect id="_x0000_i1035" alt="" style="width:451.3pt;height:.05pt;mso-width-percent:0;mso-height-percent:0;mso-width-percent:0;mso-height-percent:0" o:hralign="center" o:hrstd="t" o:hr="t" fillcolor="#a0a0a0" stroked="f"/>
        </w:pict>
      </w:r>
    </w:p>
    <w:p w14:paraId="41184A08" w14:textId="77777777" w:rsidR="005475F6" w:rsidRPr="005475F6" w:rsidRDefault="005475F6" w:rsidP="00BC3846">
      <w:pPr>
        <w:spacing w:before="100" w:beforeAutospacing="1" w:after="100" w:afterAutospacing="1" w:line="276" w:lineRule="auto"/>
        <w:outlineLvl w:val="2"/>
        <w:rPr>
          <w:rFonts w:ascii="Times New Roman" w:hAnsi="Times New Roman"/>
          <w:b/>
          <w:bCs/>
          <w:sz w:val="27"/>
          <w:szCs w:val="27"/>
          <w:lang w:val="en-HK"/>
        </w:rPr>
      </w:pPr>
      <w:r w:rsidRPr="005475F6">
        <w:rPr>
          <w:rFonts w:ascii="Times New Roman" w:hAnsi="Times New Roman"/>
          <w:b/>
          <w:bCs/>
          <w:sz w:val="27"/>
          <w:szCs w:val="27"/>
          <w:lang w:val="en-HK"/>
        </w:rPr>
        <w:t>Proposals for Reform</w:t>
      </w:r>
    </w:p>
    <w:p w14:paraId="5BDCF87C"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1. Statutory Recognition of SRI</w:t>
      </w:r>
    </w:p>
    <w:p w14:paraId="4735963F"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Broadway calls for amendments to the Trustee Act 2000 to explicitly recognize SRI as a legitimate investment strategy.</w:t>
      </w:r>
    </w:p>
    <w:p w14:paraId="6DD1C99F" w14:textId="77777777" w:rsidR="005475F6" w:rsidRPr="005475F6" w:rsidRDefault="005475F6" w:rsidP="00BC3846">
      <w:pPr>
        <w:spacing w:before="100" w:beforeAutospacing="1" w:after="100" w:afterAutospacing="1" w:line="276" w:lineRule="auto"/>
        <w:rPr>
          <w:rFonts w:ascii="Times New Roman" w:hAnsi="Times New Roman"/>
          <w:b/>
          <w:bCs/>
          <w:lang w:val="en-HK"/>
        </w:rPr>
      </w:pPr>
      <w:r w:rsidRPr="005475F6">
        <w:rPr>
          <w:rFonts w:ascii="Times New Roman" w:hAnsi="Times New Roman"/>
          <w:b/>
          <w:bCs/>
          <w:lang w:val="en-HK"/>
        </w:rPr>
        <w:t>Proposed criteria for SRI under statutory reform:</w:t>
      </w:r>
    </w:p>
    <w:p w14:paraId="2430D7B1" w14:textId="77777777" w:rsidR="005475F6" w:rsidRPr="005475F6" w:rsidRDefault="005475F6" w:rsidP="00BC3846">
      <w:pPr>
        <w:numPr>
          <w:ilvl w:val="1"/>
          <w:numId w:val="44"/>
        </w:numPr>
        <w:spacing w:before="100" w:beforeAutospacing="1" w:after="100" w:afterAutospacing="1" w:line="276" w:lineRule="auto"/>
        <w:rPr>
          <w:rFonts w:ascii="Times New Roman" w:hAnsi="Times New Roman"/>
          <w:b/>
          <w:bCs/>
          <w:lang w:val="en-HK"/>
        </w:rPr>
      </w:pPr>
      <w:r w:rsidRPr="005475F6">
        <w:rPr>
          <w:rFonts w:ascii="Times New Roman" w:hAnsi="Times New Roman"/>
          <w:b/>
          <w:bCs/>
          <w:lang w:val="en-HK"/>
        </w:rPr>
        <w:t>Alignment with beneficiaries’ shared values.</w:t>
      </w:r>
    </w:p>
    <w:p w14:paraId="00CF6F9B" w14:textId="77777777" w:rsidR="005475F6" w:rsidRPr="005475F6" w:rsidRDefault="005475F6" w:rsidP="00BC3846">
      <w:pPr>
        <w:numPr>
          <w:ilvl w:val="1"/>
          <w:numId w:val="44"/>
        </w:numPr>
        <w:spacing w:before="100" w:beforeAutospacing="1" w:after="100" w:afterAutospacing="1" w:line="276" w:lineRule="auto"/>
        <w:rPr>
          <w:rFonts w:ascii="Times New Roman" w:hAnsi="Times New Roman"/>
          <w:b/>
          <w:bCs/>
          <w:lang w:val="en-HK"/>
        </w:rPr>
      </w:pPr>
      <w:r w:rsidRPr="005475F6">
        <w:rPr>
          <w:rFonts w:ascii="Times New Roman" w:hAnsi="Times New Roman"/>
          <w:b/>
          <w:bCs/>
          <w:lang w:val="en-HK"/>
        </w:rPr>
        <w:t>Consideration of long-term financial impacts.</w:t>
      </w:r>
    </w:p>
    <w:p w14:paraId="30F939AB" w14:textId="77777777" w:rsidR="005475F6" w:rsidRPr="005475F6" w:rsidRDefault="005475F6" w:rsidP="00BC3846">
      <w:pPr>
        <w:numPr>
          <w:ilvl w:val="1"/>
          <w:numId w:val="44"/>
        </w:numPr>
        <w:spacing w:before="100" w:beforeAutospacing="1" w:after="100" w:afterAutospacing="1" w:line="276" w:lineRule="auto"/>
        <w:rPr>
          <w:rFonts w:ascii="Times New Roman" w:hAnsi="Times New Roman"/>
          <w:b/>
          <w:bCs/>
          <w:lang w:val="en-HK"/>
        </w:rPr>
      </w:pPr>
      <w:r w:rsidRPr="005475F6">
        <w:rPr>
          <w:rFonts w:ascii="Times New Roman" w:hAnsi="Times New Roman"/>
          <w:b/>
          <w:bCs/>
          <w:lang w:val="en-HK"/>
        </w:rPr>
        <w:t>Transparency in decision-making processes.</w:t>
      </w:r>
    </w:p>
    <w:p w14:paraId="64261CFA" w14:textId="77777777" w:rsidR="005475F6" w:rsidRPr="005475F6" w:rsidRDefault="005475F6" w:rsidP="00BC3846">
      <w:pPr>
        <w:spacing w:before="100" w:beforeAutospacing="1" w:after="100" w:afterAutospacing="1" w:line="276" w:lineRule="auto"/>
        <w:outlineLvl w:val="3"/>
        <w:rPr>
          <w:rFonts w:ascii="Times New Roman" w:hAnsi="Times New Roman"/>
          <w:b/>
          <w:bCs/>
          <w:lang w:val="en-HK"/>
        </w:rPr>
      </w:pPr>
      <w:r w:rsidRPr="005475F6">
        <w:rPr>
          <w:rFonts w:ascii="Times New Roman" w:hAnsi="Times New Roman"/>
          <w:b/>
          <w:bCs/>
          <w:lang w:val="en-HK"/>
        </w:rPr>
        <w:t>2. Inspiration from Charity Law</w:t>
      </w:r>
    </w:p>
    <w:p w14:paraId="25328F95"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Broadway suggests looking to charity law as a model for integrating SRI:</w:t>
      </w:r>
    </w:p>
    <w:p w14:paraId="1FBB0074" w14:textId="77777777" w:rsidR="005475F6" w:rsidRPr="005475F6" w:rsidRDefault="005475F6" w:rsidP="00BC3846">
      <w:pPr>
        <w:spacing w:before="100" w:beforeAutospacing="1" w:after="100" w:afterAutospacing="1" w:line="276" w:lineRule="auto"/>
        <w:rPr>
          <w:rFonts w:ascii="Times New Roman" w:hAnsi="Times New Roman"/>
          <w:b/>
          <w:bCs/>
          <w:lang w:val="en-HK"/>
        </w:rPr>
      </w:pPr>
      <w:r w:rsidRPr="005475F6">
        <w:rPr>
          <w:rFonts w:ascii="Times New Roman" w:hAnsi="Times New Roman"/>
          <w:b/>
          <w:bCs/>
          <w:i/>
          <w:iCs/>
          <w:lang w:val="en-HK"/>
        </w:rPr>
        <w:t>Harries v Church Commissioners for England</w:t>
      </w:r>
      <w:r w:rsidRPr="005475F6">
        <w:rPr>
          <w:rFonts w:ascii="Times New Roman" w:hAnsi="Times New Roman"/>
          <w:b/>
          <w:bCs/>
          <w:lang w:val="en-HK"/>
        </w:rPr>
        <w:t xml:space="preserve"> [1992] 1 WLR 1241:</w:t>
      </w:r>
    </w:p>
    <w:p w14:paraId="640D13E4" w14:textId="77777777" w:rsidR="005475F6" w:rsidRPr="005475F6" w:rsidRDefault="005475F6" w:rsidP="00BC3846">
      <w:pPr>
        <w:spacing w:before="100" w:beforeAutospacing="1" w:after="100" w:afterAutospacing="1" w:line="276" w:lineRule="auto"/>
        <w:rPr>
          <w:rFonts w:ascii="Times New Roman" w:hAnsi="Times New Roman"/>
          <w:b/>
          <w:bCs/>
          <w:color w:val="FF0000"/>
          <w:lang w:val="en-HK"/>
        </w:rPr>
      </w:pPr>
      <w:r w:rsidRPr="005475F6">
        <w:rPr>
          <w:rFonts w:ascii="Times New Roman" w:hAnsi="Times New Roman"/>
          <w:b/>
          <w:bCs/>
          <w:color w:val="FF0000"/>
          <w:lang w:val="en-HK"/>
        </w:rPr>
        <w:t>Charity trustees were permitted to exclude investments that conflicted with the charity’s mission, even if they generated high returns.</w:t>
      </w:r>
    </w:p>
    <w:p w14:paraId="64C1030B"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This principle could be adapted to trust law, allowing trustees to align investments with beneficiaries’ ethical preferences.</w:t>
      </w:r>
    </w:p>
    <w:p w14:paraId="5B9EA871"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18C0EB0">
          <v:rect id="_x0000_i1034" alt="" style="width:451.3pt;height:.05pt;mso-width-percent:0;mso-height-percent:0;mso-width-percent:0;mso-height-percent:0" o:hralign="center" o:hrstd="t" o:hr="t" fillcolor="#a0a0a0" stroked="f"/>
        </w:pict>
      </w:r>
    </w:p>
    <w:p w14:paraId="70B0E305" w14:textId="77777777" w:rsidR="005475F6" w:rsidRPr="005475F6" w:rsidRDefault="005475F6" w:rsidP="00BC3846">
      <w:pPr>
        <w:spacing w:before="100" w:beforeAutospacing="1" w:after="100" w:afterAutospacing="1" w:line="276" w:lineRule="auto"/>
        <w:outlineLvl w:val="2"/>
        <w:rPr>
          <w:rFonts w:ascii="Times New Roman" w:hAnsi="Times New Roman"/>
          <w:b/>
          <w:bCs/>
          <w:sz w:val="27"/>
          <w:szCs w:val="27"/>
          <w:lang w:val="en-HK"/>
        </w:rPr>
      </w:pPr>
      <w:r w:rsidRPr="005475F6">
        <w:rPr>
          <w:rFonts w:ascii="Times New Roman" w:hAnsi="Times New Roman"/>
          <w:b/>
          <w:bCs/>
          <w:sz w:val="27"/>
          <w:szCs w:val="27"/>
          <w:lang w:val="en-HK"/>
        </w:rPr>
        <w:t>Conclusion of the Section</w:t>
      </w:r>
    </w:p>
    <w:p w14:paraId="4D022D34" w14:textId="77777777" w:rsidR="005475F6" w:rsidRPr="005475F6" w:rsidRDefault="005475F6" w:rsidP="00BC3846">
      <w:pPr>
        <w:spacing w:before="100" w:beforeAutospacing="1" w:after="100" w:afterAutospacing="1" w:line="276" w:lineRule="auto"/>
        <w:rPr>
          <w:rFonts w:ascii="Times New Roman" w:hAnsi="Times New Roman"/>
          <w:lang w:val="en-HK"/>
        </w:rPr>
      </w:pPr>
      <w:r w:rsidRPr="005475F6">
        <w:rPr>
          <w:rFonts w:ascii="Times New Roman" w:hAnsi="Times New Roman"/>
          <w:lang w:val="en-HK"/>
        </w:rPr>
        <w:t>The challenges and limitations outlined by Broadway underscore the inadequacy of current trust law in supporting SRI. Trustees are constrained by legal principles prioritizing short-term financial returns, the impracticality of obtaining unanimous beneficiary consent, and the absence of statutory guidance. These barriers stifle innovation and prevent trust law from aligning with modern societal values. Broadway advocates for legal reforms that explicitly incorporate SRI into trustees’ duties, ensuring that trust law evolves to meet contemporary ethical and economic challenges.</w:t>
      </w:r>
    </w:p>
    <w:p w14:paraId="678CFD6E" w14:textId="77777777" w:rsidR="005475F6" w:rsidRPr="005475F6"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lastRenderedPageBreak/>
        <w:pict w14:anchorId="151C4045">
          <v:rect id="_x0000_i1033" alt="" style="width:451.3pt;height:.05pt;mso-width-percent:0;mso-height-percent:0;mso-width-percent:0;mso-height-percent:0" o:hralign="center" o:hrstd="t" o:hr="t" fillcolor="#a0a0a0" stroked="f"/>
        </w:pict>
      </w:r>
    </w:p>
    <w:p w14:paraId="06678BE8" w14:textId="77777777" w:rsidR="002F73D8" w:rsidRPr="002F73D8" w:rsidRDefault="002F73D8" w:rsidP="00BC3846">
      <w:pPr>
        <w:spacing w:before="100" w:beforeAutospacing="1" w:after="100" w:afterAutospacing="1" w:line="276" w:lineRule="auto"/>
        <w:outlineLvl w:val="2"/>
        <w:rPr>
          <w:rFonts w:ascii="Times New Roman" w:hAnsi="Times New Roman"/>
          <w:b/>
          <w:bCs/>
          <w:sz w:val="27"/>
          <w:szCs w:val="27"/>
          <w:lang w:val="en-HK"/>
        </w:rPr>
      </w:pPr>
      <w:r w:rsidRPr="002F73D8">
        <w:rPr>
          <w:rFonts w:ascii="Times New Roman" w:hAnsi="Times New Roman"/>
          <w:b/>
          <w:bCs/>
          <w:sz w:val="27"/>
          <w:szCs w:val="27"/>
          <w:lang w:val="en-HK"/>
        </w:rPr>
        <w:t>Section 7: Proposed Reform</w:t>
      </w:r>
    </w:p>
    <w:p w14:paraId="4D6EEEF7"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This section outlines Broadway’s proposals to reform trust law to explicitly support socially responsible investment (SRI). It focuses on the inadequacies of the current framework and suggests amendments to statutory provisions, drawing on comparative insights from other areas of law, such as charity law. Broadway argues for a holistic reform to integrate equity’s moral conscience with modern investment strategies.</w:t>
      </w:r>
    </w:p>
    <w:p w14:paraId="33D24F99"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66CC9C4A">
          <v:rect id="_x0000_i1032" alt="" style="width:451.3pt;height:.05pt;mso-width-percent:0;mso-height-percent:0;mso-width-percent:0;mso-height-percent:0" o:hralign="center" o:hrstd="t" o:hr="t" fillcolor="#a0a0a0" stroked="f"/>
        </w:pict>
      </w:r>
    </w:p>
    <w:p w14:paraId="26448091" w14:textId="77777777" w:rsidR="002F73D8" w:rsidRPr="002F73D8" w:rsidRDefault="002F73D8" w:rsidP="00BC3846">
      <w:pPr>
        <w:spacing w:before="100" w:beforeAutospacing="1" w:after="100" w:afterAutospacing="1" w:line="276" w:lineRule="auto"/>
        <w:outlineLvl w:val="2"/>
        <w:rPr>
          <w:rFonts w:ascii="Times New Roman" w:hAnsi="Times New Roman"/>
          <w:b/>
          <w:bCs/>
          <w:sz w:val="27"/>
          <w:szCs w:val="27"/>
          <w:lang w:val="en-HK"/>
        </w:rPr>
      </w:pPr>
      <w:r w:rsidRPr="002F73D8">
        <w:rPr>
          <w:rFonts w:ascii="Times New Roman" w:hAnsi="Times New Roman"/>
          <w:b/>
          <w:bCs/>
          <w:sz w:val="27"/>
          <w:szCs w:val="27"/>
          <w:lang w:val="en-HK"/>
        </w:rPr>
        <w:t>1. The Case for Reform</w:t>
      </w:r>
    </w:p>
    <w:p w14:paraId="2D05084E"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Broadway’s Argument</w:t>
      </w:r>
    </w:p>
    <w:p w14:paraId="351C52B5" w14:textId="77777777" w:rsidR="002F73D8" w:rsidRPr="002F73D8" w:rsidRDefault="002F73D8" w:rsidP="00BC3846">
      <w:pPr>
        <w:numPr>
          <w:ilvl w:val="0"/>
          <w:numId w:val="46"/>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Trust law’s current failure to explicitly address SRI creates ambiguity for trustees, discouraging its adoption. Broadway argues that the law must evolve to provide trustees with the confidence to integrate ethical considerations into their investment decisions.</w:t>
      </w:r>
    </w:p>
    <w:p w14:paraId="1A9DB057" w14:textId="77777777" w:rsidR="002F73D8" w:rsidRPr="002F73D8" w:rsidRDefault="002F73D8" w:rsidP="00BC3846">
      <w:pPr>
        <w:numPr>
          <w:ilvl w:val="0"/>
          <w:numId w:val="46"/>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Without reform, trustees remain overly reliant on judicial interpretations that prioritize financial returns over broader societal benefits (</w:t>
      </w:r>
      <w:r w:rsidRPr="002F73D8">
        <w:rPr>
          <w:rFonts w:ascii="Times New Roman" w:hAnsi="Times New Roman"/>
          <w:i/>
          <w:iCs/>
          <w:lang w:val="en-HK"/>
        </w:rPr>
        <w:t>Cowan v Scargill</w:t>
      </w:r>
      <w:r w:rsidRPr="002F73D8">
        <w:rPr>
          <w:rFonts w:ascii="Times New Roman" w:hAnsi="Times New Roman"/>
          <w:lang w:val="en-HK"/>
        </w:rPr>
        <w:t xml:space="preserve"> [1985]).</w:t>
      </w:r>
    </w:p>
    <w:p w14:paraId="2E82B121"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Judicial Critique</w:t>
      </w:r>
    </w:p>
    <w:p w14:paraId="66D20951"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lang w:val="en-HK"/>
        </w:rPr>
        <w:t>Cowan v Scargill [1985] Ch 270</w:t>
      </w:r>
      <w:r w:rsidRPr="002F73D8">
        <w:rPr>
          <w:rFonts w:ascii="Times New Roman" w:hAnsi="Times New Roman"/>
          <w:lang w:val="en-HK"/>
        </w:rPr>
        <w:t>:</w:t>
      </w:r>
    </w:p>
    <w:p w14:paraId="22BC4976" w14:textId="77777777" w:rsidR="002F73D8" w:rsidRPr="002F73D8" w:rsidRDefault="002F73D8" w:rsidP="00BC3846">
      <w:pPr>
        <w:spacing w:before="100" w:beforeAutospacing="1" w:after="100" w:afterAutospacing="1" w:line="276" w:lineRule="auto"/>
        <w:rPr>
          <w:rFonts w:ascii="Times New Roman" w:hAnsi="Times New Roman"/>
          <w:lang w:val="en-HK"/>
        </w:rPr>
      </w:pPr>
      <w:proofErr w:type="spellStart"/>
      <w:r w:rsidRPr="002F73D8">
        <w:rPr>
          <w:rFonts w:ascii="Times New Roman" w:hAnsi="Times New Roman"/>
          <w:lang w:val="en-HK"/>
        </w:rPr>
        <w:t>Megarry</w:t>
      </w:r>
      <w:proofErr w:type="spellEnd"/>
      <w:r w:rsidRPr="002F73D8">
        <w:rPr>
          <w:rFonts w:ascii="Times New Roman" w:hAnsi="Times New Roman"/>
          <w:lang w:val="en-HK"/>
        </w:rPr>
        <w:t xml:space="preserve"> VC ruled that trustees must focus on financial interests, stating:</w:t>
      </w:r>
    </w:p>
    <w:p w14:paraId="2C5AEFF6" w14:textId="77777777" w:rsidR="002F73D8" w:rsidRPr="002F73D8" w:rsidRDefault="002F73D8" w:rsidP="00BC3846">
      <w:pPr>
        <w:spacing w:beforeAutospacing="1" w:afterAutospacing="1" w:line="276" w:lineRule="auto"/>
        <w:rPr>
          <w:rFonts w:ascii="Times New Roman" w:hAnsi="Times New Roman"/>
          <w:lang w:val="en-HK"/>
        </w:rPr>
      </w:pPr>
      <w:r w:rsidRPr="002F73D8">
        <w:rPr>
          <w:rFonts w:ascii="Times New Roman" w:hAnsi="Times New Roman"/>
          <w:lang w:val="en-HK"/>
        </w:rPr>
        <w:t>“When the purpose of the trust is to provide financial benefits, the best interests of the beneficiaries are normally their best financial interests.”</w:t>
      </w:r>
    </w:p>
    <w:p w14:paraId="37B47DC5"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critiques this approach, highlighting its failure to account for long-term risks posed by socially irresponsible investments (e.g., climate change, regulatory penalties).</w:t>
      </w:r>
    </w:p>
    <w:p w14:paraId="2249BA65"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lang w:val="en-HK"/>
        </w:rPr>
        <w:t>Harries v Church Commissioners for England [1992] 1 WLR 1241</w:t>
      </w:r>
      <w:r w:rsidRPr="002F73D8">
        <w:rPr>
          <w:rFonts w:ascii="Times New Roman" w:hAnsi="Times New Roman"/>
          <w:lang w:val="en-HK"/>
        </w:rPr>
        <w:t>:</w:t>
      </w:r>
    </w:p>
    <w:p w14:paraId="018087A4"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Charity trustees were allowed to exclude investments that conflicted with the charity’s mission. Broadway suggests this principle could guide reforms in trust law to allow trustees to reflect beneficiaries’ ethical preferences.</w:t>
      </w:r>
    </w:p>
    <w:p w14:paraId="3AE054FA"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Statutory Silence</w:t>
      </w:r>
    </w:p>
    <w:p w14:paraId="4B28CFB7" w14:textId="77777777" w:rsidR="002F73D8" w:rsidRPr="002F73D8" w:rsidRDefault="002F73D8" w:rsidP="00BC3846">
      <w:pPr>
        <w:spacing w:before="100" w:beforeAutospacing="1" w:after="100" w:afterAutospacing="1" w:line="276" w:lineRule="auto"/>
        <w:rPr>
          <w:rFonts w:ascii="Times New Roman" w:hAnsi="Times New Roman"/>
          <w:color w:val="FF0000"/>
          <w:lang w:val="en-HK"/>
        </w:rPr>
      </w:pPr>
      <w:r w:rsidRPr="002F73D8">
        <w:rPr>
          <w:rFonts w:ascii="Times New Roman" w:hAnsi="Times New Roman"/>
          <w:b/>
          <w:bCs/>
          <w:color w:val="FF0000"/>
          <w:lang w:val="en-HK"/>
        </w:rPr>
        <w:t>Trustee Act 2000</w:t>
      </w:r>
      <w:r w:rsidRPr="002F73D8">
        <w:rPr>
          <w:rFonts w:ascii="Times New Roman" w:hAnsi="Times New Roman"/>
          <w:color w:val="FF0000"/>
          <w:lang w:val="en-HK"/>
        </w:rPr>
        <w:t>:</w:t>
      </w:r>
    </w:p>
    <w:p w14:paraId="77B57D10"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lang w:val="en-HK"/>
        </w:rPr>
        <w:lastRenderedPageBreak/>
        <w:t>The Act does not explicitly recognize SRI</w:t>
      </w:r>
      <w:r w:rsidRPr="002F73D8">
        <w:rPr>
          <w:rFonts w:ascii="Times New Roman" w:hAnsi="Times New Roman"/>
          <w:lang w:val="en-HK"/>
        </w:rPr>
        <w:t>, focusing instead on the duties of prudence (s.1), suitability (s.4(3)), and diversification (s.4(2)).</w:t>
      </w:r>
    </w:p>
    <w:p w14:paraId="088BCA00"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argues that the lack of statutory guidance perpetuates uncertainty, leaving trustees hesitant to pursue SRI.</w:t>
      </w:r>
    </w:p>
    <w:p w14:paraId="75D106C9"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5294BF7D">
          <v:rect id="_x0000_i1031" alt="" style="width:451.3pt;height:.05pt;mso-width-percent:0;mso-height-percent:0;mso-width-percent:0;mso-height-percent:0" o:hralign="center" o:hrstd="t" o:hr="t" fillcolor="#a0a0a0" stroked="f"/>
        </w:pict>
      </w:r>
    </w:p>
    <w:p w14:paraId="6EFE5456" w14:textId="77777777" w:rsidR="002F73D8" w:rsidRPr="002F73D8" w:rsidRDefault="002F73D8" w:rsidP="00BC3846">
      <w:pPr>
        <w:spacing w:before="100" w:beforeAutospacing="1" w:after="100" w:afterAutospacing="1" w:line="276" w:lineRule="auto"/>
        <w:outlineLvl w:val="2"/>
        <w:rPr>
          <w:rFonts w:ascii="Times New Roman" w:hAnsi="Times New Roman"/>
          <w:b/>
          <w:bCs/>
          <w:sz w:val="27"/>
          <w:szCs w:val="27"/>
          <w:lang w:val="en-HK"/>
        </w:rPr>
      </w:pPr>
      <w:r w:rsidRPr="002F73D8">
        <w:rPr>
          <w:rFonts w:ascii="Times New Roman" w:hAnsi="Times New Roman"/>
          <w:b/>
          <w:bCs/>
          <w:sz w:val="27"/>
          <w:szCs w:val="27"/>
          <w:lang w:val="en-HK"/>
        </w:rPr>
        <w:t>2. Proposed Amendments to Trust Law</w:t>
      </w:r>
    </w:p>
    <w:p w14:paraId="2DF66918"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Explicit Recognition of SRI</w:t>
      </w:r>
    </w:p>
    <w:p w14:paraId="612A8F50"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proposes amending the Trustee Act 2000 to explicitly permit trustees to consider ethical and social factors when making investment decisions. Suggested statutory language:</w:t>
      </w:r>
    </w:p>
    <w:p w14:paraId="38C8E8D9" w14:textId="77777777" w:rsidR="002F73D8" w:rsidRPr="002F73D8" w:rsidRDefault="002F73D8" w:rsidP="00BC3846">
      <w:p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Trustees may pursue investments that align with ethical or social goals, provided they:</w:t>
      </w:r>
    </w:p>
    <w:p w14:paraId="0E999F2E" w14:textId="77777777" w:rsidR="002F73D8" w:rsidRPr="002F73D8" w:rsidRDefault="002F73D8" w:rsidP="00BC3846">
      <w:pPr>
        <w:numPr>
          <w:ilvl w:val="2"/>
          <w:numId w:val="49"/>
        </w:num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Do not cause significant financial detriment to the trust.</w:t>
      </w:r>
    </w:p>
    <w:p w14:paraId="367C7317" w14:textId="77777777" w:rsidR="002F73D8" w:rsidRPr="002F73D8" w:rsidRDefault="002F73D8" w:rsidP="00BC3846">
      <w:pPr>
        <w:numPr>
          <w:ilvl w:val="2"/>
          <w:numId w:val="49"/>
        </w:num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Reflect the shared values of the beneficiaries.</w:t>
      </w:r>
    </w:p>
    <w:p w14:paraId="5F5808DA" w14:textId="77777777" w:rsidR="002F73D8" w:rsidRPr="002F73D8" w:rsidRDefault="002F73D8" w:rsidP="00BC3846">
      <w:pPr>
        <w:numPr>
          <w:ilvl w:val="2"/>
          <w:numId w:val="49"/>
        </w:num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Are justified as prudent and suitable under the circumstances.</w:t>
      </w:r>
    </w:p>
    <w:p w14:paraId="4F5888AF" w14:textId="77777777" w:rsidR="002F73D8" w:rsidRPr="002F73D8" w:rsidRDefault="002F73D8" w:rsidP="00BC3846">
      <w:p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Law Commission’s Two-Limbed Test (2014):</w:t>
      </w:r>
    </w:p>
    <w:p w14:paraId="12807439" w14:textId="77777777" w:rsidR="002F73D8" w:rsidRPr="002F73D8" w:rsidRDefault="002F73D8" w:rsidP="00BC3846">
      <w:p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Trustees may consider non-financial factors if:</w:t>
      </w:r>
    </w:p>
    <w:p w14:paraId="64F76F98" w14:textId="77777777" w:rsidR="002F73D8" w:rsidRPr="002F73D8" w:rsidRDefault="002F73D8" w:rsidP="00BC3846">
      <w:pPr>
        <w:numPr>
          <w:ilvl w:val="2"/>
          <w:numId w:val="58"/>
        </w:num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They have good reason to believe the beneficiaries share the concern.</w:t>
      </w:r>
    </w:p>
    <w:p w14:paraId="0380FF9A" w14:textId="77777777" w:rsidR="002F73D8" w:rsidRPr="002F73D8" w:rsidRDefault="002F73D8" w:rsidP="00BC3846">
      <w:pPr>
        <w:numPr>
          <w:ilvl w:val="2"/>
          <w:numId w:val="58"/>
        </w:numPr>
        <w:spacing w:before="100" w:beforeAutospacing="1" w:after="100" w:afterAutospacing="1" w:line="276" w:lineRule="auto"/>
        <w:rPr>
          <w:rFonts w:ascii="Times New Roman" w:hAnsi="Times New Roman"/>
          <w:b/>
          <w:bCs/>
          <w:color w:val="FF0000"/>
          <w:lang w:val="en-HK"/>
        </w:rPr>
      </w:pPr>
      <w:r w:rsidRPr="002F73D8">
        <w:rPr>
          <w:rFonts w:ascii="Times New Roman" w:hAnsi="Times New Roman"/>
          <w:b/>
          <w:bCs/>
          <w:color w:val="FF0000"/>
          <w:lang w:val="en-HK"/>
        </w:rPr>
        <w:t>The decision does not risk significant financial detriment.</w:t>
      </w:r>
    </w:p>
    <w:p w14:paraId="06DA6135"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argues for incorporating this test into legislation to provide clarity and confidence to trustees.</w:t>
      </w:r>
    </w:p>
    <w:p w14:paraId="02CFF2D1"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F82FADF">
          <v:rect id="_x0000_i1030" alt="" style="width:451.3pt;height:.05pt;mso-width-percent:0;mso-height-percent:0;mso-width-percent:0;mso-height-percent:0" o:hralign="center" o:hrstd="t" o:hr="t" fillcolor="#a0a0a0" stroked="f"/>
        </w:pict>
      </w:r>
    </w:p>
    <w:p w14:paraId="7EA2F71E"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Balancing Short-Term and Long-Term Interests</w:t>
      </w:r>
    </w:p>
    <w:p w14:paraId="4CEF26C5"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Reform should address the tension between life tenants and remaindermen:</w:t>
      </w:r>
    </w:p>
    <w:p w14:paraId="0DAF417D"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Trustees should be permitted to prioritize long-term sustainability over short-term income generation if it benefits the trust as a whole.</w:t>
      </w:r>
    </w:p>
    <w:p w14:paraId="17701DCC"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lang w:val="en-HK"/>
        </w:rPr>
        <w:t>Nestlé v National Westminster Bank plc [1993] 1 WLR 1260</w:t>
      </w:r>
      <w:r w:rsidRPr="002F73D8">
        <w:rPr>
          <w:rFonts w:ascii="Times New Roman" w:hAnsi="Times New Roman"/>
          <w:lang w:val="en-HK"/>
        </w:rPr>
        <w:t>:</w:t>
      </w:r>
    </w:p>
    <w:p w14:paraId="4333D63A"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Leggatt LJ emphasized that trustees must balance the interests of all beneficiaries and act in the trust’s long-term interests.</w:t>
      </w:r>
    </w:p>
    <w:p w14:paraId="36AE54F9"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lastRenderedPageBreak/>
        <w:t>Broadway suggests codifying this principle to enable trustees to adopt SRI strategies that mitigate long-term risks.</w:t>
      </w:r>
    </w:p>
    <w:p w14:paraId="58FEAF7E"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4EDF1C65">
          <v:rect id="_x0000_i1029" alt="" style="width:451.3pt;height:.05pt;mso-width-percent:0;mso-height-percent:0;mso-width-percent:0;mso-height-percent:0" o:hralign="center" o:hrstd="t" o:hr="t" fillcolor="#a0a0a0" stroked="f"/>
        </w:pict>
      </w:r>
    </w:p>
    <w:p w14:paraId="3D9F6936"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Inspiration from Charity Law</w:t>
      </w:r>
    </w:p>
    <w:p w14:paraId="279420CC"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draws parallels between trust law and charity law, highlighting the flexibility afforded to charity trustees:</w:t>
      </w:r>
    </w:p>
    <w:p w14:paraId="78BB0653"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lang w:val="en-HK"/>
        </w:rPr>
        <w:t>Harries v Church Commissioners for England [1992] 1 WLR 1241</w:t>
      </w:r>
      <w:r w:rsidRPr="002F73D8">
        <w:rPr>
          <w:rFonts w:ascii="Times New Roman" w:hAnsi="Times New Roman"/>
          <w:lang w:val="en-HK"/>
        </w:rPr>
        <w:t>:</w:t>
      </w:r>
    </w:p>
    <w:p w14:paraId="39EEA4A6" w14:textId="77777777" w:rsidR="002F73D8" w:rsidRPr="002F73D8" w:rsidRDefault="002F73D8" w:rsidP="00BC3846">
      <w:pPr>
        <w:numPr>
          <w:ilvl w:val="2"/>
          <w:numId w:val="51"/>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Charity trustees were permitted to avoid investments that conflicted with their mission, even at the expense of higher financial returns.</w:t>
      </w:r>
    </w:p>
    <w:p w14:paraId="132F4FF2" w14:textId="77777777" w:rsidR="002F73D8" w:rsidRPr="002F73D8" w:rsidRDefault="002F73D8" w:rsidP="00BC3846">
      <w:pPr>
        <w:numPr>
          <w:ilvl w:val="2"/>
          <w:numId w:val="51"/>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suggests adopting a similar approach in trust law, allowing trustees to reflect beneficiaries’ ethical concerns, provided the trust’s financial health is not significantly compromised.</w:t>
      </w:r>
    </w:p>
    <w:p w14:paraId="191AB003"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lang w:val="en-HK"/>
        </w:rPr>
        <w:t>Charity Commission Guidance (2011)</w:t>
      </w:r>
      <w:r w:rsidRPr="002F73D8">
        <w:rPr>
          <w:rFonts w:ascii="Times New Roman" w:hAnsi="Times New Roman"/>
          <w:lang w:val="en-HK"/>
        </w:rPr>
        <w:t>:</w:t>
      </w:r>
    </w:p>
    <w:p w14:paraId="2FDF264D"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highlight w:val="yellow"/>
          <w:lang w:val="en-HK"/>
        </w:rPr>
        <w:t>Charity trustees are explicitly allowed to consider ethical factors</w:t>
      </w:r>
      <w:r w:rsidRPr="002F73D8">
        <w:rPr>
          <w:rFonts w:ascii="Times New Roman" w:hAnsi="Times New Roman"/>
          <w:lang w:val="en-HK"/>
        </w:rPr>
        <w:t>, such as avoiding investments in tobacco companies if the charity’s mission promotes public health.</w:t>
      </w:r>
    </w:p>
    <w:p w14:paraId="1ECD2F31"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argues for similar clarity in trust law to facilitate SRI.</w:t>
      </w:r>
    </w:p>
    <w:p w14:paraId="40982EC3"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6051314C">
          <v:rect id="_x0000_i1028" alt="" style="width:451.3pt;height:.05pt;mso-width-percent:0;mso-height-percent:0;mso-width-percent:0;mso-height-percent:0" o:hralign="center" o:hrstd="t" o:hr="t" fillcolor="#a0a0a0" stroked="f"/>
        </w:pict>
      </w:r>
    </w:p>
    <w:p w14:paraId="2946BF04"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Enhanced Fiduciary Guidance</w:t>
      </w:r>
    </w:p>
    <w:p w14:paraId="1A1ABD92"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Proposed reforms should provide trustees with detailed guidelines on how to balance fiduciary duties with SRI:</w:t>
      </w:r>
    </w:p>
    <w:p w14:paraId="0EE73799"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Trustees should be required to document their decision-making process, demonstrating how SRI aligns with their duty of care and loyalty.</w:t>
      </w:r>
    </w:p>
    <w:p w14:paraId="574CACD7"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This documentation could include:</w:t>
      </w:r>
    </w:p>
    <w:p w14:paraId="338FA027" w14:textId="77777777" w:rsidR="002F73D8" w:rsidRPr="002F73D8" w:rsidRDefault="002F73D8" w:rsidP="00BC3846">
      <w:pPr>
        <w:numPr>
          <w:ilvl w:val="2"/>
          <w:numId w:val="52"/>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Evidence of beneficiary support for ethical investments.</w:t>
      </w:r>
    </w:p>
    <w:p w14:paraId="27FFCF29" w14:textId="77777777" w:rsidR="002F73D8" w:rsidRPr="002F73D8" w:rsidRDefault="002F73D8" w:rsidP="00BC3846">
      <w:pPr>
        <w:numPr>
          <w:ilvl w:val="2"/>
          <w:numId w:val="52"/>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Analysis of financial impacts.</w:t>
      </w:r>
    </w:p>
    <w:p w14:paraId="1BBB2D51" w14:textId="77777777" w:rsidR="002F73D8" w:rsidRPr="002F73D8" w:rsidRDefault="002F73D8" w:rsidP="00BC3846">
      <w:pPr>
        <w:numPr>
          <w:ilvl w:val="2"/>
          <w:numId w:val="52"/>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Assessment of long-term risks and benefits.</w:t>
      </w:r>
    </w:p>
    <w:p w14:paraId="76C63299"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5DD0BF3">
          <v:rect id="_x0000_i1027" alt="" style="width:451.3pt;height:.05pt;mso-width-percent:0;mso-height-percent:0;mso-width-percent:0;mso-height-percent:0" o:hralign="center" o:hrstd="t" o:hr="t" fillcolor="#a0a0a0" stroked="f"/>
        </w:pict>
      </w:r>
    </w:p>
    <w:p w14:paraId="2C8FFDF0" w14:textId="77777777" w:rsidR="002F73D8" w:rsidRPr="002F73D8" w:rsidRDefault="002F73D8" w:rsidP="00BC3846">
      <w:pPr>
        <w:spacing w:before="100" w:beforeAutospacing="1" w:after="100" w:afterAutospacing="1" w:line="276" w:lineRule="auto"/>
        <w:outlineLvl w:val="2"/>
        <w:rPr>
          <w:rFonts w:ascii="Times New Roman" w:hAnsi="Times New Roman"/>
          <w:b/>
          <w:bCs/>
          <w:sz w:val="27"/>
          <w:szCs w:val="27"/>
          <w:lang w:val="en-HK"/>
        </w:rPr>
      </w:pPr>
      <w:r w:rsidRPr="002F73D8">
        <w:rPr>
          <w:rFonts w:ascii="Times New Roman" w:hAnsi="Times New Roman"/>
          <w:b/>
          <w:bCs/>
          <w:sz w:val="27"/>
          <w:szCs w:val="27"/>
          <w:lang w:val="en-HK"/>
        </w:rPr>
        <w:t>3. Potential Benefits of Reform</w:t>
      </w:r>
    </w:p>
    <w:p w14:paraId="2B0D984F"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lastRenderedPageBreak/>
        <w:t>Alignment with Equity’s Moral Conscience</w:t>
      </w:r>
    </w:p>
    <w:p w14:paraId="4398EA69"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Reform would align trust law with equity’s moral foundation, ensuring that trustees’ duties reflect broader societal values.</w:t>
      </w:r>
    </w:p>
    <w:p w14:paraId="5C65A492"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b/>
          <w:bCs/>
          <w:lang w:val="en-HK"/>
        </w:rPr>
        <w:t>Lord Browne-Wilkinson</w:t>
      </w:r>
      <w:r w:rsidRPr="002F73D8">
        <w:rPr>
          <w:rFonts w:ascii="Times New Roman" w:hAnsi="Times New Roman"/>
          <w:lang w:val="en-HK"/>
        </w:rPr>
        <w:t xml:space="preserve"> in </w:t>
      </w:r>
      <w:proofErr w:type="spellStart"/>
      <w:r w:rsidRPr="002F73D8">
        <w:rPr>
          <w:rFonts w:ascii="Times New Roman" w:hAnsi="Times New Roman"/>
          <w:i/>
          <w:iCs/>
          <w:lang w:val="en-HK"/>
        </w:rPr>
        <w:t>Westdeutsche</w:t>
      </w:r>
      <w:proofErr w:type="spellEnd"/>
      <w:r w:rsidRPr="002F73D8">
        <w:rPr>
          <w:rFonts w:ascii="Times New Roman" w:hAnsi="Times New Roman"/>
          <w:i/>
          <w:iCs/>
          <w:lang w:val="en-HK"/>
        </w:rPr>
        <w:t xml:space="preserve"> </w:t>
      </w:r>
      <w:proofErr w:type="spellStart"/>
      <w:r w:rsidRPr="002F73D8">
        <w:rPr>
          <w:rFonts w:ascii="Times New Roman" w:hAnsi="Times New Roman"/>
          <w:i/>
          <w:iCs/>
          <w:lang w:val="en-HK"/>
        </w:rPr>
        <w:t>Landesbank</w:t>
      </w:r>
      <w:proofErr w:type="spellEnd"/>
      <w:r w:rsidRPr="002F73D8">
        <w:rPr>
          <w:rFonts w:ascii="Times New Roman" w:hAnsi="Times New Roman"/>
          <w:i/>
          <w:iCs/>
          <w:lang w:val="en-HK"/>
        </w:rPr>
        <w:t xml:space="preserve"> </w:t>
      </w:r>
      <w:proofErr w:type="spellStart"/>
      <w:r w:rsidRPr="002F73D8">
        <w:rPr>
          <w:rFonts w:ascii="Times New Roman" w:hAnsi="Times New Roman"/>
          <w:i/>
          <w:iCs/>
          <w:lang w:val="en-HK"/>
        </w:rPr>
        <w:t>Girozentrale</w:t>
      </w:r>
      <w:proofErr w:type="spellEnd"/>
      <w:r w:rsidRPr="002F73D8">
        <w:rPr>
          <w:rFonts w:ascii="Times New Roman" w:hAnsi="Times New Roman"/>
          <w:i/>
          <w:iCs/>
          <w:lang w:val="en-HK"/>
        </w:rPr>
        <w:t xml:space="preserve"> v Islington LBC [1996] AC 669</w:t>
      </w:r>
      <w:r w:rsidRPr="002F73D8">
        <w:rPr>
          <w:rFonts w:ascii="Times New Roman" w:hAnsi="Times New Roman"/>
          <w:lang w:val="en-HK"/>
        </w:rPr>
        <w:t>:</w:t>
      </w:r>
    </w:p>
    <w:p w14:paraId="42675A7E" w14:textId="77777777" w:rsidR="002F73D8" w:rsidRPr="002F73D8" w:rsidRDefault="002F73D8" w:rsidP="00BC3846">
      <w:pPr>
        <w:spacing w:beforeAutospacing="1" w:afterAutospacing="1" w:line="276" w:lineRule="auto"/>
        <w:rPr>
          <w:rFonts w:ascii="Times New Roman" w:hAnsi="Times New Roman"/>
          <w:lang w:val="en-HK"/>
        </w:rPr>
      </w:pPr>
      <w:r w:rsidRPr="002F73D8">
        <w:rPr>
          <w:rFonts w:ascii="Times New Roman" w:hAnsi="Times New Roman"/>
          <w:lang w:val="en-HK"/>
        </w:rPr>
        <w:t>"Equity acts upon the conscience of the trustee, imposing duties that are inherently fiduciary in nature."</w:t>
      </w:r>
    </w:p>
    <w:p w14:paraId="12076B5E"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argues that explicitly recognizing SRI would reflect equity’s concern for morality and justice.</w:t>
      </w:r>
    </w:p>
    <w:p w14:paraId="41AEB596"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Mitigation of Long-Term Risks</w:t>
      </w:r>
    </w:p>
    <w:p w14:paraId="66791D6C"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Allowing trustees to pursue SRI would mitigate risks associated with socially irresponsible investments:</w:t>
      </w:r>
    </w:p>
    <w:p w14:paraId="4F6AA195"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Examples include industries subject to regulatory penalties, reputational harm, or environmental liabilities (e.g., fossil fuels, tobacco).</w:t>
      </w:r>
    </w:p>
    <w:p w14:paraId="48C5B9CE"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Increased Flexibility for Trustees</w:t>
      </w:r>
    </w:p>
    <w:p w14:paraId="6475E428" w14:textId="77777777" w:rsidR="002F73D8" w:rsidRPr="002F73D8" w:rsidRDefault="002F73D8" w:rsidP="00BC3846">
      <w:pPr>
        <w:numPr>
          <w:ilvl w:val="0"/>
          <w:numId w:val="55"/>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Statutory reform would reduce trustees’ reliance on judicial interpretation, providing them with clearer guidelines for incorporating SRI.</w:t>
      </w:r>
    </w:p>
    <w:p w14:paraId="19BEC7F2" w14:textId="77777777" w:rsidR="002F73D8" w:rsidRPr="002F73D8" w:rsidRDefault="002F73D8" w:rsidP="00BC3846">
      <w:pPr>
        <w:numPr>
          <w:ilvl w:val="0"/>
          <w:numId w:val="55"/>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This would encourage innovation in trust management and promote the adoption of sustainable investment strategies.</w:t>
      </w:r>
    </w:p>
    <w:p w14:paraId="47095A97"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2C202CDD">
          <v:rect id="_x0000_i1026" alt="" style="width:451.3pt;height:.05pt;mso-width-percent:0;mso-height-percent:0;mso-width-percent:0;mso-height-percent:0" o:hralign="center" o:hrstd="t" o:hr="t" fillcolor="#a0a0a0" stroked="f"/>
        </w:pict>
      </w:r>
    </w:p>
    <w:p w14:paraId="4CE53E3A" w14:textId="77777777" w:rsidR="002F73D8" w:rsidRPr="002F73D8" w:rsidRDefault="002F73D8" w:rsidP="00BC3846">
      <w:pPr>
        <w:spacing w:before="100" w:beforeAutospacing="1" w:after="100" w:afterAutospacing="1" w:line="276" w:lineRule="auto"/>
        <w:outlineLvl w:val="2"/>
        <w:rPr>
          <w:rFonts w:ascii="Times New Roman" w:hAnsi="Times New Roman"/>
          <w:b/>
          <w:bCs/>
          <w:sz w:val="27"/>
          <w:szCs w:val="27"/>
          <w:lang w:val="en-HK"/>
        </w:rPr>
      </w:pPr>
      <w:r w:rsidRPr="002F73D8">
        <w:rPr>
          <w:rFonts w:ascii="Times New Roman" w:hAnsi="Times New Roman"/>
          <w:b/>
          <w:bCs/>
          <w:sz w:val="27"/>
          <w:szCs w:val="27"/>
          <w:lang w:val="en-HK"/>
        </w:rPr>
        <w:t>4. Challenges to Reform</w:t>
      </w:r>
    </w:p>
    <w:p w14:paraId="11911C14"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Resistance from Beneficiaries</w:t>
      </w:r>
    </w:p>
    <w:p w14:paraId="06EED90D" w14:textId="77777777" w:rsidR="002F73D8" w:rsidRPr="002F73D8" w:rsidRDefault="002F73D8" w:rsidP="00BC3846">
      <w:pPr>
        <w:numPr>
          <w:ilvl w:val="0"/>
          <w:numId w:val="56"/>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Some beneficiaries may prioritize short-term financial returns over long-term sustainability, opposing SRI reforms.</w:t>
      </w:r>
    </w:p>
    <w:p w14:paraId="14097A87" w14:textId="77777777" w:rsidR="002F73D8" w:rsidRPr="002F73D8" w:rsidRDefault="002F73D8" w:rsidP="00BC3846">
      <w:pPr>
        <w:numPr>
          <w:ilvl w:val="0"/>
          <w:numId w:val="56"/>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suggests that statutory reforms should require trustees to demonstrate how SRI benefits the trust as a whole.</w:t>
      </w:r>
    </w:p>
    <w:p w14:paraId="4AAE465D" w14:textId="77777777" w:rsidR="002F73D8" w:rsidRPr="002F73D8" w:rsidRDefault="002F73D8" w:rsidP="00BC3846">
      <w:pPr>
        <w:spacing w:before="100" w:beforeAutospacing="1" w:after="100" w:afterAutospacing="1" w:line="276" w:lineRule="auto"/>
        <w:outlineLvl w:val="3"/>
        <w:rPr>
          <w:rFonts w:ascii="Times New Roman" w:hAnsi="Times New Roman"/>
          <w:b/>
          <w:bCs/>
          <w:lang w:val="en-HK"/>
        </w:rPr>
      </w:pPr>
      <w:r w:rsidRPr="002F73D8">
        <w:rPr>
          <w:rFonts w:ascii="Times New Roman" w:hAnsi="Times New Roman"/>
          <w:b/>
          <w:bCs/>
          <w:lang w:val="en-HK"/>
        </w:rPr>
        <w:t>Judicial Conservatism</w:t>
      </w:r>
    </w:p>
    <w:p w14:paraId="1ACE35E7" w14:textId="77777777" w:rsidR="002F73D8" w:rsidRPr="002F73D8" w:rsidRDefault="002F73D8" w:rsidP="00BC3846">
      <w:pPr>
        <w:numPr>
          <w:ilvl w:val="0"/>
          <w:numId w:val="57"/>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t>Courts have historically been reluctant to expand trustees’ duties beyond financial objectives (</w:t>
      </w:r>
      <w:r w:rsidRPr="002F73D8">
        <w:rPr>
          <w:rFonts w:ascii="Times New Roman" w:hAnsi="Times New Roman"/>
          <w:i/>
          <w:iCs/>
          <w:lang w:val="en-HK"/>
        </w:rPr>
        <w:t>Cowan v Scargill</w:t>
      </w:r>
      <w:r w:rsidRPr="002F73D8">
        <w:rPr>
          <w:rFonts w:ascii="Times New Roman" w:hAnsi="Times New Roman"/>
          <w:lang w:val="en-HK"/>
        </w:rPr>
        <w:t>).</w:t>
      </w:r>
    </w:p>
    <w:p w14:paraId="73F6A9C5" w14:textId="77777777" w:rsidR="002F73D8" w:rsidRPr="002F73D8" w:rsidRDefault="002F73D8" w:rsidP="00BC3846">
      <w:pPr>
        <w:numPr>
          <w:ilvl w:val="0"/>
          <w:numId w:val="57"/>
        </w:numPr>
        <w:spacing w:before="100" w:beforeAutospacing="1" w:after="100" w:afterAutospacing="1" w:line="276" w:lineRule="auto"/>
        <w:rPr>
          <w:rFonts w:ascii="Times New Roman" w:hAnsi="Times New Roman"/>
          <w:lang w:val="en-HK"/>
        </w:rPr>
      </w:pPr>
      <w:r w:rsidRPr="002F73D8">
        <w:rPr>
          <w:rFonts w:ascii="Times New Roman" w:hAnsi="Times New Roman"/>
          <w:lang w:val="en-HK"/>
        </w:rPr>
        <w:lastRenderedPageBreak/>
        <w:t>Broadway argues that legislative reform is necessary to overcome this judicial conservatism.</w:t>
      </w:r>
    </w:p>
    <w:p w14:paraId="58DBD603" w14:textId="77777777" w:rsidR="002F73D8" w:rsidRPr="002F73D8" w:rsidRDefault="003D48F7" w:rsidP="00BC3846">
      <w:pPr>
        <w:spacing w:line="276" w:lineRule="auto"/>
        <w:rPr>
          <w:rFonts w:ascii="Times New Roman" w:hAnsi="Times New Roman"/>
          <w:lang w:val="en-HK"/>
        </w:rPr>
      </w:pPr>
      <w:r w:rsidRPr="003D48F7">
        <w:rPr>
          <w:rFonts w:ascii="Times New Roman" w:hAnsi="Times New Roman"/>
          <w:noProof/>
          <w:lang w:val="en-HK"/>
          <w14:ligatures w14:val="standardContextual"/>
        </w:rPr>
        <w:pict w14:anchorId="6965EDFA">
          <v:rect id="_x0000_i1025" alt="" style="width:451.3pt;height:.05pt;mso-width-percent:0;mso-height-percent:0;mso-width-percent:0;mso-height-percent:0" o:hralign="center" o:hrstd="t" o:hr="t" fillcolor="#a0a0a0" stroked="f"/>
        </w:pict>
      </w:r>
    </w:p>
    <w:p w14:paraId="04AE1D11" w14:textId="77777777" w:rsidR="002F73D8" w:rsidRPr="002F73D8" w:rsidRDefault="002F73D8" w:rsidP="00BC3846">
      <w:pPr>
        <w:spacing w:before="100" w:beforeAutospacing="1" w:after="100" w:afterAutospacing="1" w:line="276" w:lineRule="auto"/>
        <w:outlineLvl w:val="2"/>
        <w:rPr>
          <w:rFonts w:ascii="Times New Roman" w:hAnsi="Times New Roman"/>
          <w:b/>
          <w:bCs/>
          <w:sz w:val="27"/>
          <w:szCs w:val="27"/>
          <w:lang w:val="en-HK"/>
        </w:rPr>
      </w:pPr>
      <w:r w:rsidRPr="002F73D8">
        <w:rPr>
          <w:rFonts w:ascii="Times New Roman" w:hAnsi="Times New Roman"/>
          <w:b/>
          <w:bCs/>
          <w:sz w:val="27"/>
          <w:szCs w:val="27"/>
          <w:lang w:val="en-HK"/>
        </w:rPr>
        <w:t>Conclusion of the Section</w:t>
      </w:r>
    </w:p>
    <w:p w14:paraId="269DBED6" w14:textId="77777777" w:rsidR="002F73D8" w:rsidRPr="002F73D8" w:rsidRDefault="002F73D8" w:rsidP="00BC3846">
      <w:pPr>
        <w:spacing w:before="100" w:beforeAutospacing="1" w:after="100" w:afterAutospacing="1" w:line="276" w:lineRule="auto"/>
        <w:rPr>
          <w:rFonts w:ascii="Times New Roman" w:hAnsi="Times New Roman"/>
          <w:lang w:val="en-HK"/>
        </w:rPr>
      </w:pPr>
      <w:r w:rsidRPr="002F73D8">
        <w:rPr>
          <w:rFonts w:ascii="Times New Roman" w:hAnsi="Times New Roman"/>
          <w:lang w:val="en-HK"/>
        </w:rPr>
        <w:t>Broadway advocates for comprehensive reform of trust law to explicitly recognize and facilitate SRI. By amending the Trustee Act 2000 and drawing inspiration from charity law, the proposed reforms would provide trustees with the legal confidence to incorporate ethical and social factors into their investment decisions. This would align trust law with equity’s moral conscience, promote long-term sustainability, and reflect the evolving expectations of beneficiaries and society.</w:t>
      </w:r>
    </w:p>
    <w:p w14:paraId="7DF0C723" w14:textId="7CF2A6EC" w:rsidR="00CD39F1" w:rsidRPr="00BC3846" w:rsidRDefault="00CD39F1" w:rsidP="00BC3846">
      <w:pPr>
        <w:spacing w:line="276" w:lineRule="auto"/>
        <w:rPr>
          <w:rFonts w:ascii="Times New Roman" w:hAnsi="Times New Roman"/>
        </w:rPr>
      </w:pPr>
    </w:p>
    <w:sectPr w:rsidR="00CD39F1" w:rsidRPr="00BC3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E290D"/>
    <w:multiLevelType w:val="multilevel"/>
    <w:tmpl w:val="11E4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0166"/>
    <w:multiLevelType w:val="multilevel"/>
    <w:tmpl w:val="5EA6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068"/>
        </w:tabs>
        <w:ind w:left="1068"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E2100"/>
    <w:multiLevelType w:val="multilevel"/>
    <w:tmpl w:val="6D20027C"/>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12F5C37"/>
    <w:multiLevelType w:val="multilevel"/>
    <w:tmpl w:val="D62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C741F"/>
    <w:multiLevelType w:val="multilevel"/>
    <w:tmpl w:val="419A3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EF7210"/>
    <w:multiLevelType w:val="multilevel"/>
    <w:tmpl w:val="60CE4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E16FC"/>
    <w:multiLevelType w:val="multilevel"/>
    <w:tmpl w:val="118C6E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E8B78FE"/>
    <w:multiLevelType w:val="multilevel"/>
    <w:tmpl w:val="D68A29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FD02928"/>
    <w:multiLevelType w:val="multilevel"/>
    <w:tmpl w:val="43A69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B0100"/>
    <w:multiLevelType w:val="multilevel"/>
    <w:tmpl w:val="177C3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F13CB"/>
    <w:multiLevelType w:val="multilevel"/>
    <w:tmpl w:val="1B783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01D24"/>
    <w:multiLevelType w:val="multilevel"/>
    <w:tmpl w:val="2EB06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34F00"/>
    <w:multiLevelType w:val="multilevel"/>
    <w:tmpl w:val="0B2E4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A5989"/>
    <w:multiLevelType w:val="multilevel"/>
    <w:tmpl w:val="5EA6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068"/>
        </w:tabs>
        <w:ind w:left="1068"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41224"/>
    <w:multiLevelType w:val="multilevel"/>
    <w:tmpl w:val="3DF2D5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F2E33C2"/>
    <w:multiLevelType w:val="hybridMultilevel"/>
    <w:tmpl w:val="889C5892"/>
    <w:lvl w:ilvl="0" w:tplc="DACEA69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FA63A2F"/>
    <w:multiLevelType w:val="multilevel"/>
    <w:tmpl w:val="A0A2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C6600"/>
    <w:multiLevelType w:val="multilevel"/>
    <w:tmpl w:val="B6CAE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26A0D"/>
    <w:multiLevelType w:val="multilevel"/>
    <w:tmpl w:val="6B3EC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350B2"/>
    <w:multiLevelType w:val="multilevel"/>
    <w:tmpl w:val="0AF82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3EB0A5F"/>
    <w:multiLevelType w:val="multilevel"/>
    <w:tmpl w:val="13B2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210"/>
        </w:tabs>
        <w:ind w:left="121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56E53"/>
    <w:multiLevelType w:val="multilevel"/>
    <w:tmpl w:val="90AC9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7483B"/>
    <w:multiLevelType w:val="multilevel"/>
    <w:tmpl w:val="96468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D6708"/>
    <w:multiLevelType w:val="multilevel"/>
    <w:tmpl w:val="BCB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87365"/>
    <w:multiLevelType w:val="multilevel"/>
    <w:tmpl w:val="890C09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EDA775A"/>
    <w:multiLevelType w:val="multilevel"/>
    <w:tmpl w:val="2CB21F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08B5D53"/>
    <w:multiLevelType w:val="multilevel"/>
    <w:tmpl w:val="E5E4D8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16E5858"/>
    <w:multiLevelType w:val="multilevel"/>
    <w:tmpl w:val="C954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A3BB2"/>
    <w:multiLevelType w:val="multilevel"/>
    <w:tmpl w:val="BD5CFB4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48A2FBE"/>
    <w:multiLevelType w:val="multilevel"/>
    <w:tmpl w:val="B686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11F72"/>
    <w:multiLevelType w:val="multilevel"/>
    <w:tmpl w:val="0FC8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B21FC"/>
    <w:multiLevelType w:val="multilevel"/>
    <w:tmpl w:val="D11E1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72E6D"/>
    <w:multiLevelType w:val="multilevel"/>
    <w:tmpl w:val="6E38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41342"/>
    <w:multiLevelType w:val="multilevel"/>
    <w:tmpl w:val="F5BA6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75314"/>
    <w:multiLevelType w:val="multilevel"/>
    <w:tmpl w:val="D1EC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43E9F"/>
    <w:multiLevelType w:val="multilevel"/>
    <w:tmpl w:val="1A849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5421F"/>
    <w:multiLevelType w:val="multilevel"/>
    <w:tmpl w:val="B3508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F1C0A"/>
    <w:multiLevelType w:val="multilevel"/>
    <w:tmpl w:val="D2909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75550"/>
    <w:multiLevelType w:val="multilevel"/>
    <w:tmpl w:val="65ECA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46A0A"/>
    <w:multiLevelType w:val="multilevel"/>
    <w:tmpl w:val="891A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806DE"/>
    <w:multiLevelType w:val="multilevel"/>
    <w:tmpl w:val="43FC70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53EE0EEA"/>
    <w:multiLevelType w:val="multilevel"/>
    <w:tmpl w:val="A83A55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56D02E86"/>
    <w:multiLevelType w:val="multilevel"/>
    <w:tmpl w:val="015208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BF16BE9"/>
    <w:multiLevelType w:val="multilevel"/>
    <w:tmpl w:val="2436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0859FC"/>
    <w:multiLevelType w:val="multilevel"/>
    <w:tmpl w:val="A61E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01304"/>
    <w:multiLevelType w:val="multilevel"/>
    <w:tmpl w:val="444A4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3D108CF"/>
    <w:multiLevelType w:val="multilevel"/>
    <w:tmpl w:val="5EDEE8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657E5C7F"/>
    <w:multiLevelType w:val="multilevel"/>
    <w:tmpl w:val="677C5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373FB"/>
    <w:multiLevelType w:val="multilevel"/>
    <w:tmpl w:val="5BAC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B2FE3"/>
    <w:multiLevelType w:val="multilevel"/>
    <w:tmpl w:val="C208200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6AB15835"/>
    <w:multiLevelType w:val="multilevel"/>
    <w:tmpl w:val="41BE8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90A6E"/>
    <w:multiLevelType w:val="multilevel"/>
    <w:tmpl w:val="9E526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17D70"/>
    <w:multiLevelType w:val="multilevel"/>
    <w:tmpl w:val="23083B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93C36D3"/>
    <w:multiLevelType w:val="multilevel"/>
    <w:tmpl w:val="D0F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62B78"/>
    <w:multiLevelType w:val="multilevel"/>
    <w:tmpl w:val="BBFC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F260AC"/>
    <w:multiLevelType w:val="multilevel"/>
    <w:tmpl w:val="D8CA3D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7FCA46C0"/>
    <w:multiLevelType w:val="multilevel"/>
    <w:tmpl w:val="0A04AC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89382757">
    <w:abstractNumId w:val="32"/>
  </w:num>
  <w:num w:numId="2" w16cid:durableId="672102268">
    <w:abstractNumId w:val="23"/>
  </w:num>
  <w:num w:numId="3" w16cid:durableId="620301388">
    <w:abstractNumId w:val="14"/>
  </w:num>
  <w:num w:numId="4" w16cid:durableId="441189560">
    <w:abstractNumId w:val="47"/>
  </w:num>
  <w:num w:numId="5" w16cid:durableId="541478883">
    <w:abstractNumId w:val="29"/>
  </w:num>
  <w:num w:numId="6" w16cid:durableId="1203053593">
    <w:abstractNumId w:val="52"/>
  </w:num>
  <w:num w:numId="7" w16cid:durableId="5595408">
    <w:abstractNumId w:val="10"/>
  </w:num>
  <w:num w:numId="8" w16cid:durableId="998965544">
    <w:abstractNumId w:val="51"/>
  </w:num>
  <w:num w:numId="9" w16cid:durableId="917710868">
    <w:abstractNumId w:val="56"/>
  </w:num>
  <w:num w:numId="10" w16cid:durableId="716322943">
    <w:abstractNumId w:val="26"/>
  </w:num>
  <w:num w:numId="11" w16cid:durableId="361127526">
    <w:abstractNumId w:val="6"/>
  </w:num>
  <w:num w:numId="12" w16cid:durableId="655106685">
    <w:abstractNumId w:val="55"/>
  </w:num>
  <w:num w:numId="13" w16cid:durableId="279844212">
    <w:abstractNumId w:val="31"/>
  </w:num>
  <w:num w:numId="14" w16cid:durableId="2108039468">
    <w:abstractNumId w:val="20"/>
  </w:num>
  <w:num w:numId="15" w16cid:durableId="2069648964">
    <w:abstractNumId w:val="36"/>
  </w:num>
  <w:num w:numId="16" w16cid:durableId="2015764545">
    <w:abstractNumId w:val="17"/>
  </w:num>
  <w:num w:numId="17" w16cid:durableId="834607810">
    <w:abstractNumId w:val="7"/>
  </w:num>
  <w:num w:numId="18" w16cid:durableId="760612465">
    <w:abstractNumId w:val="18"/>
  </w:num>
  <w:num w:numId="19" w16cid:durableId="690690027">
    <w:abstractNumId w:val="42"/>
  </w:num>
  <w:num w:numId="20" w16cid:durableId="377752761">
    <w:abstractNumId w:val="53"/>
  </w:num>
  <w:num w:numId="21" w16cid:durableId="1782993940">
    <w:abstractNumId w:val="40"/>
  </w:num>
  <w:num w:numId="22" w16cid:durableId="2131510057">
    <w:abstractNumId w:val="33"/>
  </w:num>
  <w:num w:numId="23" w16cid:durableId="722023773">
    <w:abstractNumId w:val="28"/>
  </w:num>
  <w:num w:numId="24" w16cid:durableId="1302154930">
    <w:abstractNumId w:val="44"/>
  </w:num>
  <w:num w:numId="25" w16cid:durableId="1303541980">
    <w:abstractNumId w:val="37"/>
  </w:num>
  <w:num w:numId="26" w16cid:durableId="2028747380">
    <w:abstractNumId w:val="5"/>
  </w:num>
  <w:num w:numId="27" w16cid:durableId="716440170">
    <w:abstractNumId w:val="39"/>
  </w:num>
  <w:num w:numId="28" w16cid:durableId="293564806">
    <w:abstractNumId w:val="43"/>
  </w:num>
  <w:num w:numId="29" w16cid:durableId="2056150418">
    <w:abstractNumId w:val="46"/>
  </w:num>
  <w:num w:numId="30" w16cid:durableId="1518227503">
    <w:abstractNumId w:val="49"/>
  </w:num>
  <w:num w:numId="31" w16cid:durableId="100731168">
    <w:abstractNumId w:val="41"/>
  </w:num>
  <w:num w:numId="32" w16cid:durableId="1768113109">
    <w:abstractNumId w:val="25"/>
  </w:num>
  <w:num w:numId="33" w16cid:durableId="2017685719">
    <w:abstractNumId w:val="15"/>
  </w:num>
  <w:num w:numId="34" w16cid:durableId="841821114">
    <w:abstractNumId w:val="2"/>
  </w:num>
  <w:num w:numId="35" w16cid:durableId="1455366080">
    <w:abstractNumId w:val="12"/>
  </w:num>
  <w:num w:numId="36" w16cid:durableId="188379882">
    <w:abstractNumId w:val="38"/>
  </w:num>
  <w:num w:numId="37" w16cid:durableId="330790113">
    <w:abstractNumId w:val="27"/>
  </w:num>
  <w:num w:numId="38" w16cid:durableId="333147739">
    <w:abstractNumId w:val="27"/>
    <w:lvlOverride w:ilvl="2">
      <w:lvl w:ilvl="2">
        <w:numFmt w:val="decimal"/>
        <w:lvlText w:val="%3."/>
        <w:lvlJc w:val="left"/>
      </w:lvl>
    </w:lvlOverride>
  </w:num>
  <w:num w:numId="39" w16cid:durableId="1659730457">
    <w:abstractNumId w:val="54"/>
  </w:num>
  <w:num w:numId="40" w16cid:durableId="406995922">
    <w:abstractNumId w:val="48"/>
  </w:num>
  <w:num w:numId="41" w16cid:durableId="1579049843">
    <w:abstractNumId w:val="8"/>
  </w:num>
  <w:num w:numId="42" w16cid:durableId="557087276">
    <w:abstractNumId w:val="3"/>
  </w:num>
  <w:num w:numId="43" w16cid:durableId="34742958">
    <w:abstractNumId w:val="34"/>
  </w:num>
  <w:num w:numId="44" w16cid:durableId="1943339687">
    <w:abstractNumId w:val="22"/>
  </w:num>
  <w:num w:numId="45" w16cid:durableId="1916158261">
    <w:abstractNumId w:val="50"/>
  </w:num>
  <w:num w:numId="46" w16cid:durableId="1695811538">
    <w:abstractNumId w:val="24"/>
  </w:num>
  <w:num w:numId="47" w16cid:durableId="1578394877">
    <w:abstractNumId w:val="16"/>
  </w:num>
  <w:num w:numId="48" w16cid:durableId="709498121">
    <w:abstractNumId w:val="21"/>
  </w:num>
  <w:num w:numId="49" w16cid:durableId="169374102">
    <w:abstractNumId w:val="13"/>
  </w:num>
  <w:num w:numId="50" w16cid:durableId="353504334">
    <w:abstractNumId w:val="30"/>
  </w:num>
  <w:num w:numId="51" w16cid:durableId="969364876">
    <w:abstractNumId w:val="35"/>
  </w:num>
  <w:num w:numId="52" w16cid:durableId="828666944">
    <w:abstractNumId w:val="11"/>
  </w:num>
  <w:num w:numId="53" w16cid:durableId="103036982">
    <w:abstractNumId w:val="0"/>
  </w:num>
  <w:num w:numId="54" w16cid:durableId="893783788">
    <w:abstractNumId w:val="9"/>
  </w:num>
  <w:num w:numId="55" w16cid:durableId="418212986">
    <w:abstractNumId w:val="19"/>
  </w:num>
  <w:num w:numId="56" w16cid:durableId="2028097728">
    <w:abstractNumId w:val="45"/>
  </w:num>
  <w:num w:numId="57" w16cid:durableId="1958222253">
    <w:abstractNumId w:val="4"/>
  </w:num>
  <w:num w:numId="58" w16cid:durableId="1099957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2B4"/>
    <w:rsid w:val="00012117"/>
    <w:rsid w:val="000147A9"/>
    <w:rsid w:val="00042755"/>
    <w:rsid w:val="0006107D"/>
    <w:rsid w:val="000623A3"/>
    <w:rsid w:val="00066672"/>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A4255"/>
    <w:rsid w:val="002B3377"/>
    <w:rsid w:val="002D2BF1"/>
    <w:rsid w:val="002D715D"/>
    <w:rsid w:val="002E3864"/>
    <w:rsid w:val="002E46F2"/>
    <w:rsid w:val="002F1DB1"/>
    <w:rsid w:val="002F20B2"/>
    <w:rsid w:val="002F53C9"/>
    <w:rsid w:val="002F5A9B"/>
    <w:rsid w:val="002F73D8"/>
    <w:rsid w:val="003048A0"/>
    <w:rsid w:val="0031138E"/>
    <w:rsid w:val="0031474F"/>
    <w:rsid w:val="00315815"/>
    <w:rsid w:val="003222B4"/>
    <w:rsid w:val="003278F5"/>
    <w:rsid w:val="00330665"/>
    <w:rsid w:val="00342A18"/>
    <w:rsid w:val="0036177C"/>
    <w:rsid w:val="00361975"/>
    <w:rsid w:val="00376E23"/>
    <w:rsid w:val="0039416B"/>
    <w:rsid w:val="003A1271"/>
    <w:rsid w:val="003A5DF7"/>
    <w:rsid w:val="003B3510"/>
    <w:rsid w:val="003C116C"/>
    <w:rsid w:val="003D0CDD"/>
    <w:rsid w:val="003D48F7"/>
    <w:rsid w:val="003D710F"/>
    <w:rsid w:val="003E1CAA"/>
    <w:rsid w:val="0040210F"/>
    <w:rsid w:val="004222FD"/>
    <w:rsid w:val="004319FA"/>
    <w:rsid w:val="00442F56"/>
    <w:rsid w:val="0044616D"/>
    <w:rsid w:val="00474DD1"/>
    <w:rsid w:val="004751B5"/>
    <w:rsid w:val="0048097D"/>
    <w:rsid w:val="0048175B"/>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475F6"/>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A10A9"/>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2D0"/>
    <w:rsid w:val="007C231D"/>
    <w:rsid w:val="007D68F0"/>
    <w:rsid w:val="007E1559"/>
    <w:rsid w:val="007E4AE6"/>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C6498"/>
    <w:rsid w:val="009D6D5A"/>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3846"/>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31E0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806F"/>
  <w15:chartTrackingRefBased/>
  <w15:docId w15:val="{501866E7-4635-D241-B7AC-47E65780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22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2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222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22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22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22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22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22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2B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222B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222B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222B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3222B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222B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222B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222B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222B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222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2B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222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2B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222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2B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222B4"/>
    <w:pPr>
      <w:ind w:left="720"/>
      <w:contextualSpacing/>
    </w:pPr>
  </w:style>
  <w:style w:type="character" w:styleId="IntenseEmphasis">
    <w:name w:val="Intense Emphasis"/>
    <w:basedOn w:val="DefaultParagraphFont"/>
    <w:uiPriority w:val="21"/>
    <w:qFormat/>
    <w:rsid w:val="003222B4"/>
    <w:rPr>
      <w:i/>
      <w:iCs/>
      <w:color w:val="2F5496" w:themeColor="accent1" w:themeShade="BF"/>
    </w:rPr>
  </w:style>
  <w:style w:type="paragraph" w:styleId="IntenseQuote">
    <w:name w:val="Intense Quote"/>
    <w:basedOn w:val="Normal"/>
    <w:next w:val="Normal"/>
    <w:link w:val="IntenseQuoteChar"/>
    <w:uiPriority w:val="30"/>
    <w:qFormat/>
    <w:rsid w:val="00322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2B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222B4"/>
    <w:rPr>
      <w:b/>
      <w:bCs/>
      <w:smallCaps/>
      <w:color w:val="2F5496" w:themeColor="accent1" w:themeShade="BF"/>
      <w:spacing w:val="5"/>
    </w:rPr>
  </w:style>
  <w:style w:type="paragraph" w:styleId="NormalWeb">
    <w:name w:val="Normal (Web)"/>
    <w:basedOn w:val="Normal"/>
    <w:uiPriority w:val="99"/>
    <w:semiHidden/>
    <w:unhideWhenUsed/>
    <w:rsid w:val="00D31E07"/>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D31E07"/>
    <w:rPr>
      <w:b/>
      <w:bCs/>
    </w:rPr>
  </w:style>
  <w:style w:type="character" w:styleId="Emphasis">
    <w:name w:val="Emphasis"/>
    <w:basedOn w:val="DefaultParagraphFont"/>
    <w:uiPriority w:val="20"/>
    <w:qFormat/>
    <w:rsid w:val="00D31E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30475">
      <w:bodyDiv w:val="1"/>
      <w:marLeft w:val="0"/>
      <w:marRight w:val="0"/>
      <w:marTop w:val="0"/>
      <w:marBottom w:val="0"/>
      <w:divBdr>
        <w:top w:val="none" w:sz="0" w:space="0" w:color="auto"/>
        <w:left w:val="none" w:sz="0" w:space="0" w:color="auto"/>
        <w:bottom w:val="none" w:sz="0" w:space="0" w:color="auto"/>
        <w:right w:val="none" w:sz="0" w:space="0" w:color="auto"/>
      </w:divBdr>
    </w:div>
    <w:div w:id="267398024">
      <w:bodyDiv w:val="1"/>
      <w:marLeft w:val="0"/>
      <w:marRight w:val="0"/>
      <w:marTop w:val="0"/>
      <w:marBottom w:val="0"/>
      <w:divBdr>
        <w:top w:val="none" w:sz="0" w:space="0" w:color="auto"/>
        <w:left w:val="none" w:sz="0" w:space="0" w:color="auto"/>
        <w:bottom w:val="none" w:sz="0" w:space="0" w:color="auto"/>
        <w:right w:val="none" w:sz="0" w:space="0" w:color="auto"/>
      </w:divBdr>
    </w:div>
    <w:div w:id="948586976">
      <w:bodyDiv w:val="1"/>
      <w:marLeft w:val="0"/>
      <w:marRight w:val="0"/>
      <w:marTop w:val="0"/>
      <w:marBottom w:val="0"/>
      <w:divBdr>
        <w:top w:val="none" w:sz="0" w:space="0" w:color="auto"/>
        <w:left w:val="none" w:sz="0" w:space="0" w:color="auto"/>
        <w:bottom w:val="none" w:sz="0" w:space="0" w:color="auto"/>
        <w:right w:val="none" w:sz="0" w:space="0" w:color="auto"/>
      </w:divBdr>
      <w:divsChild>
        <w:div w:id="156043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591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493305">
      <w:bodyDiv w:val="1"/>
      <w:marLeft w:val="0"/>
      <w:marRight w:val="0"/>
      <w:marTop w:val="0"/>
      <w:marBottom w:val="0"/>
      <w:divBdr>
        <w:top w:val="none" w:sz="0" w:space="0" w:color="auto"/>
        <w:left w:val="none" w:sz="0" w:space="0" w:color="auto"/>
        <w:bottom w:val="none" w:sz="0" w:space="0" w:color="auto"/>
        <w:right w:val="none" w:sz="0" w:space="0" w:color="auto"/>
      </w:divBdr>
    </w:div>
    <w:div w:id="975838959">
      <w:bodyDiv w:val="1"/>
      <w:marLeft w:val="0"/>
      <w:marRight w:val="0"/>
      <w:marTop w:val="0"/>
      <w:marBottom w:val="0"/>
      <w:divBdr>
        <w:top w:val="none" w:sz="0" w:space="0" w:color="auto"/>
        <w:left w:val="none" w:sz="0" w:space="0" w:color="auto"/>
        <w:bottom w:val="none" w:sz="0" w:space="0" w:color="auto"/>
        <w:right w:val="none" w:sz="0" w:space="0" w:color="auto"/>
      </w:divBdr>
    </w:div>
    <w:div w:id="1087732342">
      <w:bodyDiv w:val="1"/>
      <w:marLeft w:val="0"/>
      <w:marRight w:val="0"/>
      <w:marTop w:val="0"/>
      <w:marBottom w:val="0"/>
      <w:divBdr>
        <w:top w:val="none" w:sz="0" w:space="0" w:color="auto"/>
        <w:left w:val="none" w:sz="0" w:space="0" w:color="auto"/>
        <w:bottom w:val="none" w:sz="0" w:space="0" w:color="auto"/>
        <w:right w:val="none" w:sz="0" w:space="0" w:color="auto"/>
      </w:divBdr>
      <w:divsChild>
        <w:div w:id="465240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9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552815">
      <w:bodyDiv w:val="1"/>
      <w:marLeft w:val="0"/>
      <w:marRight w:val="0"/>
      <w:marTop w:val="0"/>
      <w:marBottom w:val="0"/>
      <w:divBdr>
        <w:top w:val="none" w:sz="0" w:space="0" w:color="auto"/>
        <w:left w:val="none" w:sz="0" w:space="0" w:color="auto"/>
        <w:bottom w:val="none" w:sz="0" w:space="0" w:color="auto"/>
        <w:right w:val="none" w:sz="0" w:space="0" w:color="auto"/>
      </w:divBdr>
    </w:div>
    <w:div w:id="196850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5690</Words>
  <Characters>32439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9</cp:revision>
  <dcterms:created xsi:type="dcterms:W3CDTF">2025-01-25T17:01:00Z</dcterms:created>
  <dcterms:modified xsi:type="dcterms:W3CDTF">2025-02-19T11:29:00Z</dcterms:modified>
</cp:coreProperties>
</file>