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171A8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The AIB Rule and the Novus Actus Interveniens (NAI) Test: Their Distinctions, Application, and Current Ambiguities</w:t>
      </w:r>
    </w:p>
    <w:p w14:paraId="7B3200FC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concepts of the </w:t>
      </w:r>
      <w:r w:rsidRPr="002B6C81">
        <w:rPr>
          <w:rFonts w:ascii="Times New Roman" w:hAnsi="Times New Roman"/>
          <w:b/>
          <w:bCs/>
          <w:lang w:val="en-HK"/>
        </w:rPr>
        <w:t>AIB rule</w:t>
      </w:r>
      <w:r w:rsidRPr="002B6C81">
        <w:rPr>
          <w:rFonts w:ascii="Times New Roman" w:hAnsi="Times New Roman"/>
          <w:lang w:val="en-HK"/>
        </w:rPr>
        <w:t xml:space="preserve"> and the </w:t>
      </w:r>
      <w:r w:rsidRPr="002B6C81">
        <w:rPr>
          <w:rFonts w:ascii="Times New Roman" w:hAnsi="Times New Roman"/>
          <w:b/>
          <w:bCs/>
          <w:lang w:val="en-HK"/>
        </w:rPr>
        <w:t>novus actus interveniens (NAI) test</w:t>
      </w:r>
      <w:r w:rsidRPr="002B6C81">
        <w:rPr>
          <w:rFonts w:ascii="Times New Roman" w:hAnsi="Times New Roman"/>
          <w:lang w:val="en-HK"/>
        </w:rPr>
        <w:t xml:space="preserve"> are central to the modern understanding of causation in equitable compensation. These principles determine the extent to which fiduciaries are held liable for financial losses arising from a breach of duty, particularly where third-party misconduct is also a contributing factor. The Supreme Court’s ruling in </w:t>
      </w:r>
      <w:r w:rsidRPr="002B6C81">
        <w:rPr>
          <w:rFonts w:ascii="Times New Roman" w:hAnsi="Times New Roman"/>
          <w:i/>
          <w:iCs/>
          <w:lang w:val="en-HK"/>
        </w:rPr>
        <w:t xml:space="preserve">AIB Group (UK) Plc v Mark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Redler</w:t>
      </w:r>
      <w:proofErr w:type="spellEnd"/>
      <w:r w:rsidRPr="002B6C81">
        <w:rPr>
          <w:rFonts w:ascii="Times New Roman" w:hAnsi="Times New Roman"/>
          <w:i/>
          <w:iCs/>
          <w:lang w:val="en-HK"/>
        </w:rPr>
        <w:t xml:space="preserve"> &amp; Co Solicitors</w:t>
      </w:r>
      <w:r w:rsidRPr="002B6C81">
        <w:rPr>
          <w:rFonts w:ascii="Times New Roman" w:hAnsi="Times New Roman"/>
          <w:lang w:val="en-HK"/>
        </w:rPr>
        <w:t xml:space="preserve"> [2014] UKSC 58 (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) established a </w:t>
      </w:r>
      <w:r w:rsidRPr="002B6C81">
        <w:rPr>
          <w:rFonts w:ascii="Times New Roman" w:hAnsi="Times New Roman"/>
          <w:b/>
          <w:bCs/>
          <w:lang w:val="en-HK"/>
        </w:rPr>
        <w:t>causation-based framework for equitable compensation</w:t>
      </w:r>
      <w:r w:rsidRPr="002B6C81">
        <w:rPr>
          <w:rFonts w:ascii="Times New Roman" w:hAnsi="Times New Roman"/>
          <w:lang w:val="en-HK"/>
        </w:rPr>
        <w:t xml:space="preserve">, marking a departure from the traditional strict liability approach in equity. However, the Court of Appeal’s decision in </w:t>
      </w:r>
      <w:r w:rsidRPr="002B6C81">
        <w:rPr>
          <w:rFonts w:ascii="Times New Roman" w:hAnsi="Times New Roman"/>
          <w:i/>
          <w:iCs/>
          <w:lang w:val="en-HK"/>
        </w:rPr>
        <w:t xml:space="preserve">Various Claimants v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i/>
          <w:iCs/>
          <w:lang w:val="en-HK"/>
        </w:rPr>
        <w:t xml:space="preserve"> &amp; Law</w:t>
      </w:r>
      <w:r w:rsidRPr="002B6C81">
        <w:rPr>
          <w:rFonts w:ascii="Times New Roman" w:hAnsi="Times New Roman"/>
          <w:lang w:val="en-HK"/>
        </w:rPr>
        <w:t xml:space="preserve"> [2017] EWCA </w:t>
      </w:r>
      <w:proofErr w:type="spellStart"/>
      <w:r w:rsidRPr="002B6C81">
        <w:rPr>
          <w:rFonts w:ascii="Times New Roman" w:hAnsi="Times New Roman"/>
          <w:lang w:val="en-HK"/>
        </w:rPr>
        <w:t>Civ</w:t>
      </w:r>
      <w:proofErr w:type="spellEnd"/>
      <w:r w:rsidRPr="002B6C81">
        <w:rPr>
          <w:rFonts w:ascii="Times New Roman" w:hAnsi="Times New Roman"/>
          <w:lang w:val="en-HK"/>
        </w:rPr>
        <w:t xml:space="preserve"> 1193 (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) introduced significant uncertainty regarding the interaction between </w:t>
      </w:r>
      <w:r w:rsidRPr="002B6C81">
        <w:rPr>
          <w:rFonts w:ascii="Times New Roman" w:hAnsi="Times New Roman"/>
          <w:b/>
          <w:bCs/>
          <w:lang w:val="en-HK"/>
        </w:rPr>
        <w:t>AIB’s causation test</w:t>
      </w:r>
      <w:r w:rsidRPr="002B6C81">
        <w:rPr>
          <w:rFonts w:ascii="Times New Roman" w:hAnsi="Times New Roman"/>
          <w:lang w:val="en-HK"/>
        </w:rPr>
        <w:t xml:space="preserve"> and the </w:t>
      </w:r>
      <w:r w:rsidRPr="002B6C81">
        <w:rPr>
          <w:rFonts w:ascii="Times New Roman" w:hAnsi="Times New Roman"/>
          <w:b/>
          <w:bCs/>
          <w:lang w:val="en-HK"/>
        </w:rPr>
        <w:t>novus actus interveniens principle</w:t>
      </w:r>
      <w:r w:rsidRPr="002B6C81">
        <w:rPr>
          <w:rFonts w:ascii="Times New Roman" w:hAnsi="Times New Roman"/>
          <w:lang w:val="en-HK"/>
        </w:rPr>
        <w:t>, creating ambiguity in the application of both doctrines.</w:t>
      </w:r>
    </w:p>
    <w:p w14:paraId="485CC446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The AIB Rule: Causation in Equitable Compensation</w:t>
      </w:r>
    </w:p>
    <w:p w14:paraId="29E28D85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AIB rule, as articulated by the Supreme Court, established that equitable compensation must be assessed in accordance with </w:t>
      </w:r>
      <w:r w:rsidRPr="002B6C81">
        <w:rPr>
          <w:rFonts w:ascii="Times New Roman" w:hAnsi="Times New Roman"/>
          <w:b/>
          <w:bCs/>
          <w:lang w:val="en-HK"/>
        </w:rPr>
        <w:t>causation principles akin to those used in common law damages</w:t>
      </w:r>
      <w:r w:rsidRPr="002B6C81">
        <w:rPr>
          <w:rFonts w:ascii="Times New Roman" w:hAnsi="Times New Roman"/>
          <w:lang w:val="en-HK"/>
        </w:rPr>
        <w:t xml:space="preserve">. Lord Reed, delivering judgment, clarified that equitable compensation is not a strict liability remedy but one that requires proof that the </w:t>
      </w:r>
      <w:r w:rsidRPr="002B6C81">
        <w:rPr>
          <w:rFonts w:ascii="Times New Roman" w:hAnsi="Times New Roman"/>
          <w:b/>
          <w:bCs/>
          <w:lang w:val="en-HK"/>
        </w:rPr>
        <w:t>loss flowed directly from the breach</w:t>
      </w:r>
      <w:r w:rsidRPr="002B6C81">
        <w:rPr>
          <w:rFonts w:ascii="Times New Roman" w:hAnsi="Times New Roman"/>
          <w:lang w:val="en-HK"/>
        </w:rPr>
        <w:t>. He stated:</w:t>
      </w:r>
    </w:p>
    <w:p w14:paraId="735BE3DB" w14:textId="77777777" w:rsidR="002B6C81" w:rsidRPr="002B6C81" w:rsidRDefault="002B6C81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>“The loss must be caused by the breach of trust, in the sense that it must flow directly from it” (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 at [135]).</w:t>
      </w:r>
    </w:p>
    <w:p w14:paraId="27413FC5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This statement underscores that </w:t>
      </w:r>
      <w:r w:rsidRPr="002B6C81">
        <w:rPr>
          <w:rFonts w:ascii="Times New Roman" w:hAnsi="Times New Roman"/>
          <w:b/>
          <w:bCs/>
          <w:lang w:val="en-HK"/>
        </w:rPr>
        <w:t>equitable compensation is not automatic</w:t>
      </w:r>
      <w:r w:rsidRPr="002B6C81">
        <w:rPr>
          <w:rFonts w:ascii="Times New Roman" w:hAnsi="Times New Roman"/>
          <w:lang w:val="en-HK"/>
        </w:rPr>
        <w:t xml:space="preserve">, and a fiduciary should only be liable if their breach is </w:t>
      </w:r>
      <w:r w:rsidRPr="002B6C81">
        <w:rPr>
          <w:rFonts w:ascii="Times New Roman" w:hAnsi="Times New Roman"/>
          <w:b/>
          <w:bCs/>
          <w:lang w:val="en-HK"/>
        </w:rPr>
        <w:t>causally linked to the actual financial harm suffered</w:t>
      </w:r>
      <w:r w:rsidRPr="002B6C81">
        <w:rPr>
          <w:rFonts w:ascii="Times New Roman" w:hAnsi="Times New Roman"/>
          <w:lang w:val="en-HK"/>
        </w:rPr>
        <w:t>.</w:t>
      </w:r>
    </w:p>
    <w:p w14:paraId="0D38421C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Supreme Court in 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 formulated a </w:t>
      </w:r>
      <w:r w:rsidRPr="002B6C81">
        <w:rPr>
          <w:rFonts w:ascii="Times New Roman" w:hAnsi="Times New Roman"/>
          <w:b/>
          <w:bCs/>
          <w:lang w:val="en-HK"/>
        </w:rPr>
        <w:t>two-stage causation test</w:t>
      </w:r>
      <w:r w:rsidRPr="002B6C81">
        <w:rPr>
          <w:rFonts w:ascii="Times New Roman" w:hAnsi="Times New Roman"/>
          <w:lang w:val="en-HK"/>
        </w:rPr>
        <w:t xml:space="preserve"> to determine whether equitable compensation should be awarded. The first stage is the </w:t>
      </w:r>
      <w:proofErr w:type="spellStart"/>
      <w:r w:rsidRPr="002B6C81">
        <w:rPr>
          <w:rFonts w:ascii="Times New Roman" w:hAnsi="Times New Roman"/>
          <w:b/>
          <w:bCs/>
          <w:lang w:val="en-HK"/>
        </w:rPr>
        <w:t>but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>-for test</w:t>
      </w:r>
      <w:r w:rsidRPr="002B6C81">
        <w:rPr>
          <w:rFonts w:ascii="Times New Roman" w:hAnsi="Times New Roman"/>
          <w:lang w:val="en-HK"/>
        </w:rPr>
        <w:t xml:space="preserve">, requiring the claimant to demonstrate that the loss would not have occurred but for the fiduciary’s breach. The second stage is the </w:t>
      </w:r>
      <w:r w:rsidRPr="002B6C81">
        <w:rPr>
          <w:rFonts w:ascii="Times New Roman" w:hAnsi="Times New Roman"/>
          <w:b/>
          <w:bCs/>
          <w:lang w:val="en-HK"/>
        </w:rPr>
        <w:t>direct causation test</w:t>
      </w:r>
      <w:r w:rsidRPr="002B6C81">
        <w:rPr>
          <w:rFonts w:ascii="Times New Roman" w:hAnsi="Times New Roman"/>
          <w:lang w:val="en-HK"/>
        </w:rPr>
        <w:t xml:space="preserve">, which demands that the loss must have resulted directly from the breach, without being </w:t>
      </w:r>
      <w:r w:rsidRPr="002B6C81">
        <w:rPr>
          <w:rFonts w:ascii="Times New Roman" w:hAnsi="Times New Roman"/>
          <w:b/>
          <w:bCs/>
          <w:lang w:val="en-HK"/>
        </w:rPr>
        <w:t>attenuated or superseded by an external cause</w:t>
      </w:r>
      <w:r w:rsidRPr="002B6C81">
        <w:rPr>
          <w:rFonts w:ascii="Times New Roman" w:hAnsi="Times New Roman"/>
          <w:lang w:val="en-HK"/>
        </w:rPr>
        <w:t xml:space="preserve">. </w:t>
      </w:r>
      <w:r w:rsidRPr="002B6C81">
        <w:rPr>
          <w:rFonts w:ascii="Times New Roman" w:hAnsi="Times New Roman"/>
          <w:lang w:val="en-HK"/>
        </w:rPr>
        <w:lastRenderedPageBreak/>
        <w:t>This two-tiered approach departs from traditional equitable doctrines that imposed liability irrespective of causation.</w:t>
      </w:r>
    </w:p>
    <w:p w14:paraId="424CE1F8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application of the AIB rule was exemplified in the case itself, where solicitors had </w:t>
      </w:r>
      <w:r w:rsidRPr="002B6C81">
        <w:rPr>
          <w:rFonts w:ascii="Times New Roman" w:hAnsi="Times New Roman"/>
          <w:b/>
          <w:bCs/>
          <w:lang w:val="en-HK"/>
        </w:rPr>
        <w:t>misapplied trust funds</w:t>
      </w:r>
      <w:r w:rsidRPr="002B6C81">
        <w:rPr>
          <w:rFonts w:ascii="Times New Roman" w:hAnsi="Times New Roman"/>
          <w:lang w:val="en-HK"/>
        </w:rPr>
        <w:t xml:space="preserve">, causing financial loss to a lender. However, the Supreme Court found that although there had been a breach of trust, the </w:t>
      </w:r>
      <w:r w:rsidRPr="002B6C81">
        <w:rPr>
          <w:rFonts w:ascii="Times New Roman" w:hAnsi="Times New Roman"/>
          <w:b/>
          <w:bCs/>
          <w:lang w:val="en-HK"/>
        </w:rPr>
        <w:t>loss was not directly caused by the breach</w:t>
      </w:r>
      <w:r w:rsidRPr="002B6C81">
        <w:rPr>
          <w:rFonts w:ascii="Times New Roman" w:hAnsi="Times New Roman"/>
          <w:lang w:val="en-HK"/>
        </w:rPr>
        <w:t>, as the lender would have suffered the same financial detriment regardless. Lord Toulson explained:</w:t>
      </w:r>
    </w:p>
    <w:p w14:paraId="1A85D0F8" w14:textId="77777777" w:rsidR="002B6C81" w:rsidRPr="002B6C81" w:rsidRDefault="002B6C81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>“A trustee should only be liable for actual losses caused by their breach, not for all losses that subsequently arise from an unrelated cause” (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 at [141]).</w:t>
      </w:r>
    </w:p>
    <w:p w14:paraId="1AAE86D3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This reasoning indicates that the Supreme Court sought to </w:t>
      </w:r>
      <w:r w:rsidRPr="002B6C81">
        <w:rPr>
          <w:rFonts w:ascii="Times New Roman" w:hAnsi="Times New Roman"/>
          <w:b/>
          <w:bCs/>
          <w:lang w:val="en-HK"/>
        </w:rPr>
        <w:t>limit fiduciary liability</w:t>
      </w:r>
      <w:r w:rsidRPr="002B6C81">
        <w:rPr>
          <w:rFonts w:ascii="Times New Roman" w:hAnsi="Times New Roman"/>
          <w:lang w:val="en-HK"/>
        </w:rPr>
        <w:t xml:space="preserve"> by ensuring that equitable compensation aligns with principles of actual financial harm rather than strict accountability.</w:t>
      </w:r>
    </w:p>
    <w:p w14:paraId="34770021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The Novus Actus Interveniens (NAI) Test: An Independent Causation Principle</w:t>
      </w:r>
    </w:p>
    <w:p w14:paraId="544CC3A9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novus actus interveniens (NAI) test serves a distinct but related function in causation analysis, determining whether an </w:t>
      </w:r>
      <w:r w:rsidRPr="002B6C81">
        <w:rPr>
          <w:rFonts w:ascii="Times New Roman" w:hAnsi="Times New Roman"/>
          <w:b/>
          <w:bCs/>
          <w:lang w:val="en-HK"/>
        </w:rPr>
        <w:t>independent event severs the chain of causation</w:t>
      </w:r>
      <w:r w:rsidRPr="002B6C81">
        <w:rPr>
          <w:rFonts w:ascii="Times New Roman" w:hAnsi="Times New Roman"/>
          <w:lang w:val="en-HK"/>
        </w:rPr>
        <w:t xml:space="preserve">. The NAI test is </w:t>
      </w:r>
      <w:r w:rsidRPr="002B6C81">
        <w:rPr>
          <w:rFonts w:ascii="Times New Roman" w:hAnsi="Times New Roman"/>
          <w:b/>
          <w:bCs/>
          <w:lang w:val="en-HK"/>
        </w:rPr>
        <w:t>particularly relevant</w:t>
      </w:r>
      <w:r w:rsidRPr="002B6C81">
        <w:rPr>
          <w:rFonts w:ascii="Times New Roman" w:hAnsi="Times New Roman"/>
          <w:lang w:val="en-HK"/>
        </w:rPr>
        <w:t xml:space="preserve"> where a third party’s </w:t>
      </w:r>
      <w:r w:rsidRPr="002B6C81">
        <w:rPr>
          <w:rFonts w:ascii="Times New Roman" w:hAnsi="Times New Roman"/>
          <w:b/>
          <w:bCs/>
          <w:lang w:val="en-HK"/>
        </w:rPr>
        <w:t>wrongdoing or misconduct</w:t>
      </w:r>
      <w:r w:rsidRPr="002B6C81">
        <w:rPr>
          <w:rFonts w:ascii="Times New Roman" w:hAnsi="Times New Roman"/>
          <w:lang w:val="en-HK"/>
        </w:rPr>
        <w:t xml:space="preserve"> contributes to the claimant’s loss. The central question in applying the NAI test is whether the </w:t>
      </w:r>
      <w:r w:rsidRPr="002B6C81">
        <w:rPr>
          <w:rFonts w:ascii="Times New Roman" w:hAnsi="Times New Roman"/>
          <w:b/>
          <w:bCs/>
          <w:lang w:val="en-HK"/>
        </w:rPr>
        <w:t>intervening event was so significant</w:t>
      </w:r>
      <w:r w:rsidRPr="002B6C81">
        <w:rPr>
          <w:rFonts w:ascii="Times New Roman" w:hAnsi="Times New Roman"/>
          <w:lang w:val="en-HK"/>
        </w:rPr>
        <w:t xml:space="preserve"> that it </w:t>
      </w:r>
      <w:r w:rsidRPr="002B6C81">
        <w:rPr>
          <w:rFonts w:ascii="Times New Roman" w:hAnsi="Times New Roman"/>
          <w:b/>
          <w:bCs/>
          <w:lang w:val="en-HK"/>
        </w:rPr>
        <w:t>superseded the fiduciary’s breach</w:t>
      </w:r>
      <w:r w:rsidRPr="002B6C81">
        <w:rPr>
          <w:rFonts w:ascii="Times New Roman" w:hAnsi="Times New Roman"/>
          <w:lang w:val="en-HK"/>
        </w:rPr>
        <w:t xml:space="preserve"> as the legal cause of the loss.</w:t>
      </w:r>
    </w:p>
    <w:p w14:paraId="1FFB03C9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A key principle of the NAI test is that a fiduciary </w:t>
      </w:r>
      <w:r w:rsidRPr="002B6C81">
        <w:rPr>
          <w:rFonts w:ascii="Times New Roman" w:hAnsi="Times New Roman"/>
          <w:b/>
          <w:bCs/>
          <w:lang w:val="en-HK"/>
        </w:rPr>
        <w:t>is not liable for consequences beyond their control</w:t>
      </w:r>
      <w:r w:rsidRPr="002B6C81">
        <w:rPr>
          <w:rFonts w:ascii="Times New Roman" w:hAnsi="Times New Roman"/>
          <w:lang w:val="en-HK"/>
        </w:rPr>
        <w:t xml:space="preserve">, particularly where an </w:t>
      </w:r>
      <w:r w:rsidRPr="002B6C81">
        <w:rPr>
          <w:rFonts w:ascii="Times New Roman" w:hAnsi="Times New Roman"/>
          <w:b/>
          <w:bCs/>
          <w:lang w:val="en-HK"/>
        </w:rPr>
        <w:t>independent and unforeseeable act by a third party</w:t>
      </w:r>
      <w:r w:rsidRPr="002B6C81">
        <w:rPr>
          <w:rFonts w:ascii="Times New Roman" w:hAnsi="Times New Roman"/>
          <w:lang w:val="en-HK"/>
        </w:rPr>
        <w:t xml:space="preserve"> has intervened. Courts assess whether the external misconduct was:</w:t>
      </w:r>
    </w:p>
    <w:p w14:paraId="7BCD043E" w14:textId="77777777" w:rsidR="002B6C81" w:rsidRPr="002B6C81" w:rsidRDefault="002B6C81" w:rsidP="002B6C81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Independent</w:t>
      </w:r>
      <w:r w:rsidRPr="002B6C81">
        <w:rPr>
          <w:rFonts w:ascii="Times New Roman" w:hAnsi="Times New Roman"/>
          <w:lang w:val="en-HK"/>
        </w:rPr>
        <w:t>—meaning that it was not a foreseeable consequence of the fiduciary’s breach.</w:t>
      </w:r>
    </w:p>
    <w:p w14:paraId="0328B0A5" w14:textId="77777777" w:rsidR="002B6C81" w:rsidRPr="002B6C81" w:rsidRDefault="002B6C81" w:rsidP="002B6C81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Overriding</w:t>
      </w:r>
      <w:r w:rsidRPr="002B6C81">
        <w:rPr>
          <w:rFonts w:ascii="Times New Roman" w:hAnsi="Times New Roman"/>
          <w:lang w:val="en-HK"/>
        </w:rPr>
        <w:t>—meaning that it was the true legal cause of the loss, thereby severing the fiduciary’s liability.</w:t>
      </w:r>
    </w:p>
    <w:p w14:paraId="4B0D4FA1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This principle has been recognized in both common law and equity. In </w:t>
      </w:r>
      <w:r w:rsidRPr="002B6C81">
        <w:rPr>
          <w:rFonts w:ascii="Times New Roman" w:hAnsi="Times New Roman"/>
          <w:i/>
          <w:iCs/>
          <w:lang w:val="en-HK"/>
        </w:rPr>
        <w:t>Brickenden v London Loan &amp; Savings Co</w:t>
      </w:r>
      <w:r w:rsidRPr="002B6C81">
        <w:rPr>
          <w:rFonts w:ascii="Times New Roman" w:hAnsi="Times New Roman"/>
          <w:lang w:val="en-HK"/>
        </w:rPr>
        <w:t xml:space="preserve"> [1934] 3 DLR 465 (PC), the Privy Council held that once a fiduciary </w:t>
      </w:r>
      <w:r w:rsidRPr="002B6C81">
        <w:rPr>
          <w:rFonts w:ascii="Times New Roman" w:hAnsi="Times New Roman"/>
          <w:lang w:val="en-HK"/>
        </w:rPr>
        <w:lastRenderedPageBreak/>
        <w:t xml:space="preserve">breach is established, it is no defence to argue that the loss would have occurred anyway. However, later cases, including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Canson</w:t>
      </w:r>
      <w:proofErr w:type="spellEnd"/>
      <w:r w:rsidRPr="002B6C81">
        <w:rPr>
          <w:rFonts w:ascii="Times New Roman" w:hAnsi="Times New Roman"/>
          <w:i/>
          <w:iCs/>
          <w:lang w:val="en-HK"/>
        </w:rPr>
        <w:t xml:space="preserve"> Enterprises Ltd v Boughton &amp; Co</w:t>
      </w:r>
      <w:r w:rsidRPr="002B6C81">
        <w:rPr>
          <w:rFonts w:ascii="Times New Roman" w:hAnsi="Times New Roman"/>
          <w:lang w:val="en-HK"/>
        </w:rPr>
        <w:t xml:space="preserve"> [1991] 3 SCR 534, introduced a more nuanced approach, recognizing that </w:t>
      </w:r>
      <w:r w:rsidRPr="002B6C81">
        <w:rPr>
          <w:rFonts w:ascii="Times New Roman" w:hAnsi="Times New Roman"/>
          <w:b/>
          <w:bCs/>
          <w:lang w:val="en-HK"/>
        </w:rPr>
        <w:t>external wrongdoing may sometimes sever causation</w:t>
      </w:r>
      <w:r w:rsidRPr="002B6C81">
        <w:rPr>
          <w:rFonts w:ascii="Times New Roman" w:hAnsi="Times New Roman"/>
          <w:lang w:val="en-HK"/>
        </w:rPr>
        <w:t xml:space="preserve"> where the fiduciary’s breach merely </w:t>
      </w:r>
      <w:r w:rsidRPr="002B6C81">
        <w:rPr>
          <w:rFonts w:ascii="Times New Roman" w:hAnsi="Times New Roman"/>
          <w:b/>
          <w:bCs/>
          <w:lang w:val="en-HK"/>
        </w:rPr>
        <w:t>exposed the claimant to an independent risk</w:t>
      </w:r>
      <w:r w:rsidRPr="002B6C81">
        <w:rPr>
          <w:rFonts w:ascii="Times New Roman" w:hAnsi="Times New Roman"/>
          <w:lang w:val="en-HK"/>
        </w:rPr>
        <w:t xml:space="preserve"> rather than actively causing harm.</w:t>
      </w:r>
    </w:p>
    <w:p w14:paraId="58B4BB57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The Distinction Between the AIB Rule and the NAI Test</w:t>
      </w:r>
    </w:p>
    <w:p w14:paraId="2883E002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distinction between the </w:t>
      </w:r>
      <w:r w:rsidRPr="002B6C81">
        <w:rPr>
          <w:rFonts w:ascii="Times New Roman" w:hAnsi="Times New Roman"/>
          <w:b/>
          <w:bCs/>
          <w:lang w:val="en-HK"/>
        </w:rPr>
        <w:t>AIB rule</w:t>
      </w:r>
      <w:r w:rsidRPr="002B6C81">
        <w:rPr>
          <w:rFonts w:ascii="Times New Roman" w:hAnsi="Times New Roman"/>
          <w:lang w:val="en-HK"/>
        </w:rPr>
        <w:t xml:space="preserve"> and the </w:t>
      </w:r>
      <w:r w:rsidRPr="002B6C81">
        <w:rPr>
          <w:rFonts w:ascii="Times New Roman" w:hAnsi="Times New Roman"/>
          <w:b/>
          <w:bCs/>
          <w:lang w:val="en-HK"/>
        </w:rPr>
        <w:t>NAI test</w:t>
      </w:r>
      <w:r w:rsidRPr="002B6C81">
        <w:rPr>
          <w:rFonts w:ascii="Times New Roman" w:hAnsi="Times New Roman"/>
          <w:lang w:val="en-HK"/>
        </w:rPr>
        <w:t xml:space="preserve"> lies in their function within causation analysis. The AIB rule is primarily concerned with </w:t>
      </w:r>
      <w:r w:rsidRPr="002B6C81">
        <w:rPr>
          <w:rFonts w:ascii="Times New Roman" w:hAnsi="Times New Roman"/>
          <w:b/>
          <w:bCs/>
          <w:lang w:val="en-HK"/>
        </w:rPr>
        <w:t>whether the fiduciary’s breach was the factual and legal cause of the claimant’s loss</w:t>
      </w:r>
      <w:r w:rsidRPr="002B6C81">
        <w:rPr>
          <w:rFonts w:ascii="Times New Roman" w:hAnsi="Times New Roman"/>
          <w:lang w:val="en-HK"/>
        </w:rPr>
        <w:t xml:space="preserve">, requiring both </w:t>
      </w:r>
      <w:r w:rsidRPr="002B6C81">
        <w:rPr>
          <w:rFonts w:ascii="Times New Roman" w:hAnsi="Times New Roman"/>
          <w:b/>
          <w:bCs/>
          <w:lang w:val="en-HK"/>
        </w:rPr>
        <w:t>but-for causation and direct causation</w:t>
      </w:r>
      <w:r w:rsidRPr="002B6C81">
        <w:rPr>
          <w:rFonts w:ascii="Times New Roman" w:hAnsi="Times New Roman"/>
          <w:lang w:val="en-HK"/>
        </w:rPr>
        <w:t xml:space="preserve">. In contrast, the NAI test assesses </w:t>
      </w:r>
      <w:r w:rsidRPr="002B6C81">
        <w:rPr>
          <w:rFonts w:ascii="Times New Roman" w:hAnsi="Times New Roman"/>
          <w:b/>
          <w:bCs/>
          <w:lang w:val="en-HK"/>
        </w:rPr>
        <w:t>whether an external event has intervened to break the causal link</w:t>
      </w:r>
      <w:r w:rsidRPr="002B6C81">
        <w:rPr>
          <w:rFonts w:ascii="Times New Roman" w:hAnsi="Times New Roman"/>
          <w:lang w:val="en-HK"/>
        </w:rPr>
        <w:t>, shifting responsibility away from the fiduciary.</w:t>
      </w:r>
    </w:p>
    <w:p w14:paraId="663579AD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Whereas </w:t>
      </w:r>
      <w:r w:rsidRPr="002B6C81">
        <w:rPr>
          <w:rFonts w:ascii="Times New Roman" w:hAnsi="Times New Roman"/>
          <w:b/>
          <w:bCs/>
          <w:lang w:val="en-HK"/>
        </w:rPr>
        <w:t>AIB limits fiduciary liability based on causation</w:t>
      </w:r>
      <w:r w:rsidRPr="002B6C81">
        <w:rPr>
          <w:rFonts w:ascii="Times New Roman" w:hAnsi="Times New Roman"/>
          <w:lang w:val="en-HK"/>
        </w:rPr>
        <w:t xml:space="preserve">, the NAI test provides </w:t>
      </w:r>
      <w:r w:rsidRPr="002B6C81">
        <w:rPr>
          <w:rFonts w:ascii="Times New Roman" w:hAnsi="Times New Roman"/>
          <w:b/>
          <w:bCs/>
          <w:lang w:val="en-HK"/>
        </w:rPr>
        <w:t>a potential defence for fiduciaries by demonstrating that an independent third-party act disrupted the causal chain</w:t>
      </w:r>
      <w:r w:rsidRPr="002B6C81">
        <w:rPr>
          <w:rFonts w:ascii="Times New Roman" w:hAnsi="Times New Roman"/>
          <w:lang w:val="en-HK"/>
        </w:rPr>
        <w:t xml:space="preserve">. If an NAI is established, the fiduciary </w:t>
      </w:r>
      <w:r w:rsidRPr="002B6C81">
        <w:rPr>
          <w:rFonts w:ascii="Times New Roman" w:hAnsi="Times New Roman"/>
          <w:b/>
          <w:bCs/>
          <w:lang w:val="en-HK"/>
        </w:rPr>
        <w:t>is not liable for the entirety of the loss</w:t>
      </w:r>
      <w:r w:rsidRPr="002B6C81">
        <w:rPr>
          <w:rFonts w:ascii="Times New Roman" w:hAnsi="Times New Roman"/>
          <w:lang w:val="en-HK"/>
        </w:rPr>
        <w:t>, even if their breach was a contributing factor.</w:t>
      </w:r>
    </w:p>
    <w:p w14:paraId="2C89D098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 xml:space="preserve">The Ambiguous Application of AIB and NAI in </w:t>
      </w:r>
      <w:proofErr w:type="spellStart"/>
      <w:r w:rsidRPr="002B6C81">
        <w:rPr>
          <w:rFonts w:ascii="Times New Roman" w:hAnsi="Times New Roman"/>
          <w:b/>
          <w:bCs/>
          <w:lang w:val="en-HK"/>
        </w:rPr>
        <w:t>Giambrone</w:t>
      </w:r>
      <w:proofErr w:type="spellEnd"/>
    </w:p>
    <w:p w14:paraId="3E141C87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Court of Appeal’s ruling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created significant </w:t>
      </w:r>
      <w:r w:rsidRPr="002B6C81">
        <w:rPr>
          <w:rFonts w:ascii="Times New Roman" w:hAnsi="Times New Roman"/>
          <w:b/>
          <w:bCs/>
          <w:lang w:val="en-HK"/>
        </w:rPr>
        <w:t>ambiguities</w:t>
      </w:r>
      <w:r w:rsidRPr="002B6C81">
        <w:rPr>
          <w:rFonts w:ascii="Times New Roman" w:hAnsi="Times New Roman"/>
          <w:lang w:val="en-HK"/>
        </w:rPr>
        <w:t xml:space="preserve"> in how these doctrines should be applied. Although Jackson LJ purported to follow 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, his judgment </w:t>
      </w:r>
      <w:r w:rsidRPr="002B6C81">
        <w:rPr>
          <w:rFonts w:ascii="Times New Roman" w:hAnsi="Times New Roman"/>
          <w:b/>
          <w:bCs/>
          <w:lang w:val="en-HK"/>
        </w:rPr>
        <w:t>did not engage with the second limb of the AIB rule (direct causation)</w:t>
      </w:r>
      <w:r w:rsidRPr="002B6C81">
        <w:rPr>
          <w:rFonts w:ascii="Times New Roman" w:hAnsi="Times New Roman"/>
          <w:lang w:val="en-HK"/>
        </w:rPr>
        <w:t xml:space="preserve">. Instead, he focused solely on the </w:t>
      </w:r>
      <w:proofErr w:type="spellStart"/>
      <w:r w:rsidRPr="002B6C81">
        <w:rPr>
          <w:rFonts w:ascii="Times New Roman" w:hAnsi="Times New Roman"/>
          <w:b/>
          <w:bCs/>
          <w:lang w:val="en-HK"/>
        </w:rPr>
        <w:t>but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>-for test</w:t>
      </w:r>
      <w:r w:rsidRPr="002B6C81">
        <w:rPr>
          <w:rFonts w:ascii="Times New Roman" w:hAnsi="Times New Roman"/>
          <w:lang w:val="en-HK"/>
        </w:rPr>
        <w:t xml:space="preserve">, which was satisfied because the buyers would not have suffered their loss had the deposits not been released. This </w:t>
      </w:r>
      <w:r w:rsidRPr="002B6C81">
        <w:rPr>
          <w:rFonts w:ascii="Times New Roman" w:hAnsi="Times New Roman"/>
          <w:b/>
          <w:bCs/>
          <w:lang w:val="en-HK"/>
        </w:rPr>
        <w:t>deviates from the Supreme Court’s approach in AIB</w:t>
      </w:r>
      <w:r w:rsidRPr="002B6C81">
        <w:rPr>
          <w:rFonts w:ascii="Times New Roman" w:hAnsi="Times New Roman"/>
          <w:lang w:val="en-HK"/>
        </w:rPr>
        <w:t>, which requires a further inquiry into whether the loss flowed directly from the breach.</w:t>
      </w:r>
    </w:p>
    <w:p w14:paraId="2497418F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Moreover,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significantly </w:t>
      </w:r>
      <w:r w:rsidRPr="002B6C81">
        <w:rPr>
          <w:rFonts w:ascii="Times New Roman" w:hAnsi="Times New Roman"/>
          <w:b/>
          <w:bCs/>
          <w:lang w:val="en-HK"/>
        </w:rPr>
        <w:t>weakened the effectiveness of the NAI defence</w:t>
      </w:r>
      <w:r w:rsidRPr="002B6C81">
        <w:rPr>
          <w:rFonts w:ascii="Times New Roman" w:hAnsi="Times New Roman"/>
          <w:lang w:val="en-HK"/>
        </w:rPr>
        <w:t xml:space="preserve"> by holding that the fraudulent developers’ actions did not break the chain of causation. Jackson LJ reasoned that the developers’ fraud was </w:t>
      </w:r>
      <w:r w:rsidRPr="002B6C81">
        <w:rPr>
          <w:rFonts w:ascii="Times New Roman" w:hAnsi="Times New Roman"/>
          <w:b/>
          <w:bCs/>
          <w:lang w:val="en-HK"/>
        </w:rPr>
        <w:t>not independent</w:t>
      </w:r>
      <w:r w:rsidRPr="002B6C81">
        <w:rPr>
          <w:rFonts w:ascii="Times New Roman" w:hAnsi="Times New Roman"/>
          <w:lang w:val="en-HK"/>
        </w:rPr>
        <w:t xml:space="preserve"> because it was enabled by </w:t>
      </w:r>
      <w:proofErr w:type="spellStart"/>
      <w:r w:rsidRPr="002B6C81">
        <w:rPr>
          <w:rFonts w:ascii="Times New Roman" w:hAnsi="Times New Roman"/>
          <w:lang w:val="en-HK"/>
        </w:rPr>
        <w:t>Giambrone’s</w:t>
      </w:r>
      <w:proofErr w:type="spellEnd"/>
      <w:r w:rsidRPr="002B6C81">
        <w:rPr>
          <w:rFonts w:ascii="Times New Roman" w:hAnsi="Times New Roman"/>
          <w:lang w:val="en-HK"/>
        </w:rPr>
        <w:t xml:space="preserve"> breach. However, this approach conflicts with earlier authorities that recognized the possibility of </w:t>
      </w:r>
      <w:r w:rsidRPr="002B6C81">
        <w:rPr>
          <w:rFonts w:ascii="Times New Roman" w:hAnsi="Times New Roman"/>
          <w:b/>
          <w:bCs/>
          <w:lang w:val="en-HK"/>
        </w:rPr>
        <w:t>third-party fraud breaking the chain of causation</w:t>
      </w:r>
      <w:r w:rsidRPr="002B6C81">
        <w:rPr>
          <w:rFonts w:ascii="Times New Roman" w:hAnsi="Times New Roman"/>
          <w:lang w:val="en-HK"/>
        </w:rPr>
        <w:t xml:space="preserve">, as seen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Canson</w:t>
      </w:r>
      <w:proofErr w:type="spellEnd"/>
      <w:r w:rsidRPr="002B6C81">
        <w:rPr>
          <w:rFonts w:ascii="Times New Roman" w:hAnsi="Times New Roman"/>
          <w:i/>
          <w:iCs/>
          <w:lang w:val="en-HK"/>
        </w:rPr>
        <w:t xml:space="preserve"> </w:t>
      </w:r>
      <w:r w:rsidRPr="002B6C81">
        <w:rPr>
          <w:rFonts w:ascii="Times New Roman" w:hAnsi="Times New Roman"/>
          <w:i/>
          <w:iCs/>
          <w:lang w:val="en-HK"/>
        </w:rPr>
        <w:lastRenderedPageBreak/>
        <w:t>Enterprises</w:t>
      </w:r>
      <w:r w:rsidRPr="002B6C81">
        <w:rPr>
          <w:rFonts w:ascii="Times New Roman" w:hAnsi="Times New Roman"/>
          <w:lang w:val="en-HK"/>
        </w:rPr>
        <w:t xml:space="preserve"> and other cases where courts considered the role of independent wrongdoers in financial losses.</w:t>
      </w:r>
    </w:p>
    <w:p w14:paraId="59BACE9C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The Unresolved Issues and Future Implications</w:t>
      </w:r>
    </w:p>
    <w:p w14:paraId="6E951155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interaction between the AIB rule and the NAI test remains </w:t>
      </w:r>
      <w:r w:rsidRPr="002B6C81">
        <w:rPr>
          <w:rFonts w:ascii="Times New Roman" w:hAnsi="Times New Roman"/>
          <w:b/>
          <w:bCs/>
          <w:lang w:val="en-HK"/>
        </w:rPr>
        <w:t>uncertain</w:t>
      </w:r>
      <w:r w:rsidRPr="002B6C81">
        <w:rPr>
          <w:rFonts w:ascii="Times New Roman" w:hAnsi="Times New Roman"/>
          <w:lang w:val="en-HK"/>
        </w:rPr>
        <w:t xml:space="preserve"> following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>. Several key issues require further judicial clarification:</w:t>
      </w:r>
    </w:p>
    <w:p w14:paraId="67C6E1D6" w14:textId="77777777" w:rsidR="002B6C81" w:rsidRPr="002B6C81" w:rsidRDefault="002B6C81" w:rsidP="002B6C81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 xml:space="preserve">Should courts apply both stages of the AIB rule (but-for and direct causation) or is the </w:t>
      </w:r>
      <w:proofErr w:type="spellStart"/>
      <w:r w:rsidRPr="002B6C81">
        <w:rPr>
          <w:rFonts w:ascii="Times New Roman" w:hAnsi="Times New Roman"/>
          <w:b/>
          <w:bCs/>
          <w:lang w:val="en-HK"/>
        </w:rPr>
        <w:t>but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>-for test alone sufficient?</w:t>
      </w:r>
      <w:r w:rsidRPr="002B6C81">
        <w:rPr>
          <w:rFonts w:ascii="Times New Roman" w:hAnsi="Times New Roman"/>
          <w:lang w:val="en-HK"/>
        </w:rPr>
        <w:t xml:space="preserve">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suggests that but-for causation is adequate, but this contradicts 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>, which requires an inquiry into whether the loss “flowed directly” from the breach.</w:t>
      </w:r>
    </w:p>
    <w:p w14:paraId="53D2C79A" w14:textId="77777777" w:rsidR="002B6C81" w:rsidRPr="002B6C81" w:rsidRDefault="002B6C81" w:rsidP="002B6C81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When does third-party wrongdoing constitute a novus actus interveniens?</w:t>
      </w:r>
      <w:r w:rsidRPr="002B6C81">
        <w:rPr>
          <w:rFonts w:ascii="Times New Roman" w:hAnsi="Times New Roman"/>
          <w:lang w:val="en-HK"/>
        </w:rPr>
        <w:t xml:space="preserve"> The Court of Appeal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took an expansive view of fiduciary liability by rejecting the NAI defence, but prior authorities recognize that external misconduct may sever causation.</w:t>
      </w:r>
    </w:p>
    <w:p w14:paraId="58403842" w14:textId="77777777" w:rsidR="002B6C81" w:rsidRPr="002B6C81" w:rsidRDefault="002B6C81" w:rsidP="002B6C81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Does the active-passive fiduciary duty distinction impact the application of these causation principles?</w:t>
      </w:r>
      <w:r w:rsidRPr="002B6C81">
        <w:rPr>
          <w:rFonts w:ascii="Times New Roman" w:hAnsi="Times New Roman"/>
          <w:lang w:val="en-HK"/>
        </w:rPr>
        <w:t xml:space="preserve"> Jackson LJ introduced this distinction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but provided little explanation as to whether it changes how the AIB rule or NAI test should be applied.</w:t>
      </w:r>
    </w:p>
    <w:p w14:paraId="32BB2999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Ultimately,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has left </w:t>
      </w:r>
      <w:r w:rsidRPr="002B6C81">
        <w:rPr>
          <w:rFonts w:ascii="Times New Roman" w:hAnsi="Times New Roman"/>
          <w:b/>
          <w:bCs/>
          <w:lang w:val="en-HK"/>
        </w:rPr>
        <w:t>fiduciary law in a state of uncertainty</w:t>
      </w:r>
      <w:r w:rsidRPr="002B6C81">
        <w:rPr>
          <w:rFonts w:ascii="Times New Roman" w:hAnsi="Times New Roman"/>
          <w:lang w:val="en-HK"/>
        </w:rPr>
        <w:t xml:space="preserve">, particularly regarding </w:t>
      </w:r>
      <w:r w:rsidRPr="002B6C81">
        <w:rPr>
          <w:rFonts w:ascii="Times New Roman" w:hAnsi="Times New Roman"/>
          <w:b/>
          <w:bCs/>
          <w:lang w:val="en-HK"/>
        </w:rPr>
        <w:t>the extent of liability in cases involving multiple causative factors</w:t>
      </w:r>
      <w:r w:rsidRPr="002B6C81">
        <w:rPr>
          <w:rFonts w:ascii="Times New Roman" w:hAnsi="Times New Roman"/>
          <w:lang w:val="en-HK"/>
        </w:rPr>
        <w:t xml:space="preserve">. Future case law will need to resolve whether the </w:t>
      </w:r>
      <w:r w:rsidRPr="002B6C81">
        <w:rPr>
          <w:rFonts w:ascii="Times New Roman" w:hAnsi="Times New Roman"/>
          <w:b/>
          <w:bCs/>
          <w:lang w:val="en-HK"/>
        </w:rPr>
        <w:t xml:space="preserve">Court of Appeal’s approach represents a genuine doctrinal shift or a misapplication of </w:t>
      </w:r>
      <w:r w:rsidRPr="002B6C81">
        <w:rPr>
          <w:rFonts w:ascii="Times New Roman" w:hAnsi="Times New Roman"/>
          <w:b/>
          <w:bCs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. Until then, the precise boundaries of equitable compensation and the role of the NAI test remain </w:t>
      </w:r>
      <w:r w:rsidRPr="002B6C81">
        <w:rPr>
          <w:rFonts w:ascii="Times New Roman" w:hAnsi="Times New Roman"/>
          <w:b/>
          <w:bCs/>
          <w:lang w:val="en-HK"/>
        </w:rPr>
        <w:t>ambiguous and open to judicial interpretation</w:t>
      </w:r>
      <w:r w:rsidRPr="002B6C81">
        <w:rPr>
          <w:rFonts w:ascii="Times New Roman" w:hAnsi="Times New Roman"/>
          <w:lang w:val="en-HK"/>
        </w:rPr>
        <w:t>.</w:t>
      </w:r>
    </w:p>
    <w:p w14:paraId="590763A7" w14:textId="0B86DE2E" w:rsidR="002B6C81" w:rsidRPr="002B6C81" w:rsidRDefault="001D07B2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1D07B2">
        <w:rPr>
          <w:rFonts w:ascii="Times New Roman" w:hAnsi="Times New Roman"/>
          <w:noProof/>
          <w:lang w:val="en-HK"/>
          <w14:ligatures w14:val="standardContextual"/>
        </w:rPr>
        <w:pict w14:anchorId="50063C6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2DC976A" w14:textId="1721D96B" w:rsidR="006A7F90" w:rsidRPr="006A7F90" w:rsidRDefault="006A7F90" w:rsidP="002B6C81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 xml:space="preserve">1. </w:t>
      </w:r>
      <w:r w:rsidRPr="006A7F90">
        <w:rPr>
          <w:rFonts w:ascii="Times New Roman" w:hAnsi="Times New Roman"/>
          <w:b/>
          <w:bCs/>
          <w:lang w:val="en-HK"/>
        </w:rPr>
        <w:t>Introduction</w:t>
      </w:r>
    </w:p>
    <w:p w14:paraId="23A99075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introduction to the article outlines the historical and doctrinal development of </w:t>
      </w:r>
      <w:r w:rsidRPr="006A7F90">
        <w:rPr>
          <w:rFonts w:ascii="Times New Roman" w:hAnsi="Times New Roman"/>
          <w:b/>
          <w:bCs/>
          <w:lang w:val="en-HK"/>
        </w:rPr>
        <w:t>causation in equitable compensation</w:t>
      </w:r>
      <w:r w:rsidRPr="006A7F90">
        <w:rPr>
          <w:rFonts w:ascii="Times New Roman" w:hAnsi="Times New Roman"/>
          <w:lang w:val="en-HK"/>
        </w:rPr>
        <w:t xml:space="preserve">, focusing on the evolving approach taken by English courts in recent years. The article scrutinises how the rule established in </w:t>
      </w:r>
      <w:r w:rsidRPr="006A7F90">
        <w:rPr>
          <w:rFonts w:ascii="Times New Roman" w:hAnsi="Times New Roman"/>
          <w:i/>
          <w:iCs/>
          <w:lang w:val="en-HK"/>
        </w:rPr>
        <w:t xml:space="preserve">AIB Group (UK) Plc v Mark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Redler</w:t>
      </w:r>
      <w:proofErr w:type="spellEnd"/>
      <w:r w:rsidRPr="006A7F90">
        <w:rPr>
          <w:rFonts w:ascii="Times New Roman" w:hAnsi="Times New Roman"/>
          <w:i/>
          <w:iCs/>
          <w:lang w:val="en-HK"/>
        </w:rPr>
        <w:t xml:space="preserve"> &amp; Co Solicitors</w:t>
      </w:r>
      <w:r w:rsidRPr="006A7F90">
        <w:rPr>
          <w:rFonts w:ascii="Times New Roman" w:hAnsi="Times New Roman"/>
          <w:lang w:val="en-HK"/>
        </w:rPr>
        <w:t xml:space="preserve"> [2014] UKSC 58 (hereinafter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) has been applied in subsequent </w:t>
      </w:r>
      <w:r w:rsidRPr="006A7F90">
        <w:rPr>
          <w:rFonts w:ascii="Times New Roman" w:hAnsi="Times New Roman"/>
          <w:lang w:val="en-HK"/>
        </w:rPr>
        <w:lastRenderedPageBreak/>
        <w:t xml:space="preserve">cases, particularly in </w:t>
      </w:r>
      <w:r w:rsidRPr="006A7F90">
        <w:rPr>
          <w:rFonts w:ascii="Times New Roman" w:hAnsi="Times New Roman"/>
          <w:i/>
          <w:iCs/>
          <w:lang w:val="en-HK"/>
        </w:rPr>
        <w:t xml:space="preserve">Various Claimants v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i/>
          <w:iCs/>
          <w:lang w:val="en-HK"/>
        </w:rPr>
        <w:t xml:space="preserve"> &amp; Law</w:t>
      </w:r>
      <w:r w:rsidRPr="006A7F90">
        <w:rPr>
          <w:rFonts w:ascii="Times New Roman" w:hAnsi="Times New Roman"/>
          <w:lang w:val="en-HK"/>
        </w:rPr>
        <w:t xml:space="preserve"> [2017] EWCA </w:t>
      </w:r>
      <w:proofErr w:type="spellStart"/>
      <w:r w:rsidRPr="006A7F90">
        <w:rPr>
          <w:rFonts w:ascii="Times New Roman" w:hAnsi="Times New Roman"/>
          <w:lang w:val="en-HK"/>
        </w:rPr>
        <w:t>Civ</w:t>
      </w:r>
      <w:proofErr w:type="spellEnd"/>
      <w:r w:rsidRPr="006A7F90">
        <w:rPr>
          <w:rFonts w:ascii="Times New Roman" w:hAnsi="Times New Roman"/>
          <w:lang w:val="en-HK"/>
        </w:rPr>
        <w:t xml:space="preserve"> 1193 (hereinafter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). The introduction presents a </w:t>
      </w:r>
      <w:r w:rsidRPr="006A7F90">
        <w:rPr>
          <w:rFonts w:ascii="Times New Roman" w:hAnsi="Times New Roman"/>
          <w:b/>
          <w:bCs/>
          <w:lang w:val="en-HK"/>
        </w:rPr>
        <w:t xml:space="preserve">critical perspective on the Court of Appeal’s reasoning in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, arguing that it represents a </w:t>
      </w:r>
      <w:r w:rsidRPr="006A7F90">
        <w:rPr>
          <w:rFonts w:ascii="Times New Roman" w:hAnsi="Times New Roman"/>
          <w:b/>
          <w:bCs/>
          <w:lang w:val="en-HK"/>
        </w:rPr>
        <w:t>significant departure from the principles established in AIB</w:t>
      </w:r>
      <w:r w:rsidRPr="006A7F90">
        <w:rPr>
          <w:rFonts w:ascii="Times New Roman" w:hAnsi="Times New Roman"/>
          <w:lang w:val="en-HK"/>
        </w:rPr>
        <w:t xml:space="preserve"> concerning the causation test in equitable compensation.</w:t>
      </w:r>
    </w:p>
    <w:p w14:paraId="3B178EE7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1.1 The Evolution of Equitable Compensation and the AIB Rule</w:t>
      </w:r>
    </w:p>
    <w:p w14:paraId="11D208D1" w14:textId="77777777" w:rsidR="006A7F90" w:rsidRPr="006A7F90" w:rsidRDefault="006A7F90" w:rsidP="002B6C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Historically, the courts have </w:t>
      </w:r>
      <w:r w:rsidRPr="006A7F90">
        <w:rPr>
          <w:rFonts w:ascii="Times New Roman" w:hAnsi="Times New Roman"/>
          <w:b/>
          <w:bCs/>
          <w:lang w:val="en-HK"/>
        </w:rPr>
        <w:t>treated equitable compensation separately from common law damages</w:t>
      </w:r>
      <w:r w:rsidRPr="006A7F90">
        <w:rPr>
          <w:rFonts w:ascii="Times New Roman" w:hAnsi="Times New Roman"/>
          <w:lang w:val="en-HK"/>
        </w:rPr>
        <w:t>, applying a strict fiduciary duty standard to trustees.</w:t>
      </w:r>
    </w:p>
    <w:p w14:paraId="41A8E5AF" w14:textId="77777777" w:rsidR="006A7F90" w:rsidRPr="006A7F90" w:rsidRDefault="006A7F90" w:rsidP="002B6C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</w:t>
      </w:r>
      <w:r w:rsidRPr="006A7F90">
        <w:rPr>
          <w:rFonts w:ascii="Times New Roman" w:hAnsi="Times New Roman"/>
          <w:b/>
          <w:bCs/>
          <w:lang w:val="en-HK"/>
        </w:rPr>
        <w:t>traditional position</w:t>
      </w:r>
      <w:r w:rsidRPr="006A7F90">
        <w:rPr>
          <w:rFonts w:ascii="Times New Roman" w:hAnsi="Times New Roman"/>
          <w:lang w:val="en-HK"/>
        </w:rPr>
        <w:t xml:space="preserve"> in equity held that a trustee in breach of duty was required to restore the trust fund to the position it would have been in had no breach occurred, without requiring proof of causation.</w:t>
      </w:r>
    </w:p>
    <w:p w14:paraId="0780476A" w14:textId="77777777" w:rsidR="006A7F90" w:rsidRPr="006A7F90" w:rsidRDefault="006A7F90" w:rsidP="002B6C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This strict approach was tempered in </w:t>
      </w:r>
      <w:r w:rsidRPr="006A7F90">
        <w:rPr>
          <w:rFonts w:ascii="Times New Roman" w:hAnsi="Times New Roman"/>
          <w:i/>
          <w:iCs/>
          <w:lang w:val="en-HK"/>
        </w:rPr>
        <w:t xml:space="preserve">Target Holdings Ltd v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Redferns</w:t>
      </w:r>
      <w:proofErr w:type="spellEnd"/>
      <w:r w:rsidRPr="006A7F90">
        <w:rPr>
          <w:rFonts w:ascii="Times New Roman" w:hAnsi="Times New Roman"/>
          <w:lang w:val="en-HK"/>
        </w:rPr>
        <w:t xml:space="preserve"> [1996] AC 421 (hereinafter </w:t>
      </w:r>
      <w:r w:rsidRPr="006A7F90">
        <w:rPr>
          <w:rFonts w:ascii="Times New Roman" w:hAnsi="Times New Roman"/>
          <w:i/>
          <w:iCs/>
          <w:lang w:val="en-HK"/>
        </w:rPr>
        <w:t>Target</w:t>
      </w:r>
      <w:r w:rsidRPr="006A7F90">
        <w:rPr>
          <w:rFonts w:ascii="Times New Roman" w:hAnsi="Times New Roman"/>
          <w:lang w:val="en-HK"/>
        </w:rPr>
        <w:t>), where Lord Browne-Wilkinson stated that:</w:t>
      </w:r>
    </w:p>
    <w:p w14:paraId="5F406301" w14:textId="77777777" w:rsidR="006A7F90" w:rsidRPr="006A7F90" w:rsidRDefault="006A7F90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“Equitable compensation is designed to make good a loss in fact suffered by the beneficiaries” (at 434).</w:t>
      </w:r>
    </w:p>
    <w:p w14:paraId="442311BA" w14:textId="77777777" w:rsidR="006A7F90" w:rsidRPr="006A7F90" w:rsidRDefault="006A7F90" w:rsidP="002B6C8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Supreme Court in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 built upon this reasoning, establishing a </w:t>
      </w:r>
      <w:r w:rsidRPr="006A7F90">
        <w:rPr>
          <w:rFonts w:ascii="Times New Roman" w:hAnsi="Times New Roman"/>
          <w:b/>
          <w:bCs/>
          <w:lang w:val="en-HK"/>
        </w:rPr>
        <w:t>causation-based approach</w:t>
      </w:r>
      <w:r w:rsidRPr="006A7F90">
        <w:rPr>
          <w:rFonts w:ascii="Times New Roman" w:hAnsi="Times New Roman"/>
          <w:lang w:val="en-HK"/>
        </w:rPr>
        <w:t xml:space="preserve"> to equitable compensation, </w:t>
      </w:r>
      <w:r w:rsidRPr="006A7F90">
        <w:rPr>
          <w:rFonts w:ascii="Times New Roman" w:hAnsi="Times New Roman"/>
          <w:b/>
          <w:bCs/>
          <w:lang w:val="en-HK"/>
        </w:rPr>
        <w:t>aligning it more closely with common law principles of loss and damage</w:t>
      </w:r>
      <w:r w:rsidRPr="006A7F90">
        <w:rPr>
          <w:rFonts w:ascii="Times New Roman" w:hAnsi="Times New Roman"/>
          <w:lang w:val="en-HK"/>
        </w:rPr>
        <w:t>.</w:t>
      </w:r>
    </w:p>
    <w:p w14:paraId="106BE9C9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1.2 The AIB Rule and the Causation Test</w:t>
      </w:r>
    </w:p>
    <w:p w14:paraId="16F47600" w14:textId="77777777" w:rsidR="006A7F90" w:rsidRPr="006A7F90" w:rsidRDefault="006A7F90" w:rsidP="002B6C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i/>
          <w:iCs/>
          <w:lang w:val="en-HK"/>
        </w:rPr>
        <w:t>AIB</w:t>
      </w:r>
      <w:r w:rsidRPr="006A7F90">
        <w:rPr>
          <w:rFonts w:ascii="Times New Roman" w:hAnsi="Times New Roman"/>
          <w:b/>
          <w:bCs/>
          <w:lang w:val="en-HK"/>
        </w:rPr>
        <w:t xml:space="preserve"> established that equitable compensation is unavailable unless the trustee’s breach caused an actual loss to the trust fund.</w:t>
      </w:r>
    </w:p>
    <w:p w14:paraId="3B5F9765" w14:textId="77777777" w:rsidR="006A7F90" w:rsidRPr="006A7F90" w:rsidRDefault="006A7F90" w:rsidP="002B6C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Lord Toulson and Lord Reed in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 reinforced that courts should incorporate </w:t>
      </w:r>
      <w:r w:rsidRPr="006A7F90">
        <w:rPr>
          <w:rFonts w:ascii="Times New Roman" w:hAnsi="Times New Roman"/>
          <w:b/>
          <w:bCs/>
          <w:lang w:val="en-HK"/>
        </w:rPr>
        <w:t>causation principles akin to those in common law damages</w:t>
      </w:r>
      <w:r w:rsidRPr="006A7F90">
        <w:rPr>
          <w:rFonts w:ascii="Times New Roman" w:hAnsi="Times New Roman"/>
          <w:lang w:val="en-HK"/>
        </w:rPr>
        <w:t>, rather than rigidly imposing the traditional strict liability approach.</w:t>
      </w:r>
    </w:p>
    <w:p w14:paraId="5D3FDCC6" w14:textId="77777777" w:rsidR="006A7F90" w:rsidRPr="006A7F90" w:rsidRDefault="006A7F90" w:rsidP="002B6C8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Lord Reed stated:</w:t>
      </w:r>
    </w:p>
    <w:p w14:paraId="76058506" w14:textId="77777777" w:rsidR="006A7F90" w:rsidRPr="006A7F90" w:rsidRDefault="006A7F90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“The loss must be caused by the breach of trust, in the sense that it must flow directly from it” (at [135]).</w:t>
      </w:r>
    </w:p>
    <w:p w14:paraId="4CCD2300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Supreme Court identified a </w:t>
      </w:r>
      <w:r w:rsidRPr="006A7F90">
        <w:rPr>
          <w:rFonts w:ascii="Times New Roman" w:hAnsi="Times New Roman"/>
          <w:b/>
          <w:bCs/>
          <w:lang w:val="en-HK"/>
        </w:rPr>
        <w:t>two-stage causation test</w:t>
      </w:r>
      <w:r w:rsidRPr="006A7F90">
        <w:rPr>
          <w:rFonts w:ascii="Times New Roman" w:hAnsi="Times New Roman"/>
          <w:lang w:val="en-HK"/>
        </w:rPr>
        <w:t xml:space="preserve"> for equitable compensation:</w:t>
      </w:r>
    </w:p>
    <w:p w14:paraId="74C49F86" w14:textId="77777777" w:rsidR="006A7F90" w:rsidRPr="006A7F90" w:rsidRDefault="006A7F90" w:rsidP="002B6C81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lastRenderedPageBreak/>
        <w:t>The But-For Test</w:t>
      </w:r>
      <w:r w:rsidRPr="006A7F90">
        <w:rPr>
          <w:rFonts w:ascii="Times New Roman" w:hAnsi="Times New Roman"/>
          <w:lang w:val="en-HK"/>
        </w:rPr>
        <w:t xml:space="preserve"> – A claimant must demonstrate that the loss would not have occurred but for the trustee’s breach.</w:t>
      </w:r>
    </w:p>
    <w:p w14:paraId="3628C06E" w14:textId="77777777" w:rsidR="006A7F90" w:rsidRPr="006A7F90" w:rsidRDefault="006A7F90" w:rsidP="002B6C81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The Novus Actus Interveniens (NAI) Test</w:t>
      </w:r>
      <w:r w:rsidRPr="006A7F90">
        <w:rPr>
          <w:rFonts w:ascii="Times New Roman" w:hAnsi="Times New Roman"/>
          <w:lang w:val="en-HK"/>
        </w:rPr>
        <w:t xml:space="preserve"> – The breach must </w:t>
      </w:r>
      <w:r w:rsidRPr="006A7F90">
        <w:rPr>
          <w:rFonts w:ascii="Times New Roman" w:hAnsi="Times New Roman"/>
          <w:highlight w:val="yellow"/>
          <w:lang w:val="en-HK"/>
        </w:rPr>
        <w:t>be the direct cause</w:t>
      </w:r>
      <w:r w:rsidRPr="006A7F90">
        <w:rPr>
          <w:rFonts w:ascii="Times New Roman" w:hAnsi="Times New Roman"/>
          <w:lang w:val="en-HK"/>
        </w:rPr>
        <w:t xml:space="preserve"> of the loss, without being interrupted by external intervening events.</w:t>
      </w:r>
    </w:p>
    <w:p w14:paraId="546B1340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1.3 Lower Courts' Treatment of the AIB Rule</w:t>
      </w:r>
    </w:p>
    <w:p w14:paraId="2ACE6F8B" w14:textId="77777777" w:rsidR="006A7F90" w:rsidRPr="006A7F90" w:rsidRDefault="006A7F90" w:rsidP="002B6C8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Despite the Supreme Court’s ruling in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, </w:t>
      </w:r>
      <w:r w:rsidRPr="006A7F90">
        <w:rPr>
          <w:rFonts w:ascii="Times New Roman" w:hAnsi="Times New Roman"/>
          <w:b/>
          <w:bCs/>
          <w:lang w:val="en-HK"/>
        </w:rPr>
        <w:t>lower courts have exhibited reluctance in strictly adhering to its causation test</w:t>
      </w:r>
      <w:r w:rsidRPr="006A7F90">
        <w:rPr>
          <w:rFonts w:ascii="Times New Roman" w:hAnsi="Times New Roman"/>
          <w:lang w:val="en-HK"/>
        </w:rPr>
        <w:t>.</w:t>
      </w:r>
    </w:p>
    <w:p w14:paraId="4C99F38C" w14:textId="77777777" w:rsidR="006A7F90" w:rsidRPr="006A7F90" w:rsidRDefault="006A7F90" w:rsidP="002B6C8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Some courts have:</w:t>
      </w:r>
    </w:p>
    <w:p w14:paraId="492129B6" w14:textId="77777777" w:rsidR="006A7F90" w:rsidRPr="006A7F90" w:rsidRDefault="006A7F90" w:rsidP="002B6C8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Misinterpreted the AIB rule</w:t>
      </w:r>
      <w:r w:rsidRPr="006A7F90">
        <w:rPr>
          <w:rFonts w:ascii="Times New Roman" w:hAnsi="Times New Roman"/>
          <w:lang w:val="en-HK"/>
        </w:rPr>
        <w:t xml:space="preserve"> by narrowing its application.</w:t>
      </w:r>
    </w:p>
    <w:p w14:paraId="1849FB85" w14:textId="77777777" w:rsidR="006A7F90" w:rsidRPr="006A7F90" w:rsidRDefault="006A7F90" w:rsidP="002B6C8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Disregarded</w:t>
      </w:r>
      <w:r w:rsidRPr="006A7F90">
        <w:rPr>
          <w:rFonts w:ascii="Times New Roman" w:hAnsi="Times New Roman"/>
          <w:lang w:val="en-HK"/>
        </w:rPr>
        <w:t xml:space="preserve"> the requirement for a loss to flow “directly” from the breach.</w:t>
      </w:r>
    </w:p>
    <w:p w14:paraId="6942CCF8" w14:textId="77777777" w:rsidR="006A7F90" w:rsidRPr="006A7F90" w:rsidRDefault="006A7F90" w:rsidP="002B6C8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Applied </w:t>
      </w:r>
      <w:r w:rsidRPr="006A7F90">
        <w:rPr>
          <w:rFonts w:ascii="Times New Roman" w:hAnsi="Times New Roman"/>
          <w:b/>
          <w:bCs/>
          <w:lang w:val="en-HK"/>
        </w:rPr>
        <w:t>broad remedial discretion</w:t>
      </w:r>
      <w:r w:rsidRPr="006A7F90">
        <w:rPr>
          <w:rFonts w:ascii="Times New Roman" w:hAnsi="Times New Roman"/>
          <w:lang w:val="en-HK"/>
        </w:rPr>
        <w:t>, granting full compensation even where external factors contributed to the loss.</w:t>
      </w:r>
    </w:p>
    <w:p w14:paraId="42BE3404" w14:textId="77777777" w:rsidR="006A7F90" w:rsidRPr="006A7F90" w:rsidRDefault="006A7F90" w:rsidP="002B6C8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is identified as a </w:t>
      </w:r>
      <w:r w:rsidRPr="006A7F90">
        <w:rPr>
          <w:rFonts w:ascii="Times New Roman" w:hAnsi="Times New Roman"/>
          <w:b/>
          <w:bCs/>
          <w:lang w:val="en-HK"/>
        </w:rPr>
        <w:t>notable example</w:t>
      </w:r>
      <w:r w:rsidRPr="006A7F90">
        <w:rPr>
          <w:rFonts w:ascii="Times New Roman" w:hAnsi="Times New Roman"/>
          <w:lang w:val="en-HK"/>
        </w:rPr>
        <w:t xml:space="preserve"> where the Court of Appeal, while ostensibly following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, </w:t>
      </w:r>
      <w:r w:rsidRPr="006A7F90">
        <w:rPr>
          <w:rFonts w:ascii="Times New Roman" w:hAnsi="Times New Roman"/>
          <w:b/>
          <w:bCs/>
          <w:lang w:val="en-HK"/>
        </w:rPr>
        <w:t>deviated from its strict causation principles</w:t>
      </w:r>
      <w:r w:rsidRPr="006A7F90">
        <w:rPr>
          <w:rFonts w:ascii="Times New Roman" w:hAnsi="Times New Roman"/>
          <w:lang w:val="en-HK"/>
        </w:rPr>
        <w:t>.</w:t>
      </w:r>
    </w:p>
    <w:p w14:paraId="15DE42D7" w14:textId="77777777" w:rsidR="006A7F90" w:rsidRPr="006A7F90" w:rsidRDefault="006A7F90" w:rsidP="002B6C8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introduction highlights that Jackson LJ’s reasoning in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is inconsistent with the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 test, as it </w:t>
      </w:r>
      <w:r w:rsidRPr="006A7F90">
        <w:rPr>
          <w:rFonts w:ascii="Times New Roman" w:hAnsi="Times New Roman"/>
          <w:b/>
          <w:bCs/>
          <w:lang w:val="en-HK"/>
        </w:rPr>
        <w:t>ignored the requirement for loss to flow directly from the breach</w:t>
      </w:r>
      <w:r w:rsidRPr="006A7F90">
        <w:rPr>
          <w:rFonts w:ascii="Times New Roman" w:hAnsi="Times New Roman"/>
          <w:lang w:val="en-HK"/>
        </w:rPr>
        <w:t xml:space="preserve"> and instead focused exclusively on the </w:t>
      </w:r>
      <w:proofErr w:type="spellStart"/>
      <w:r w:rsidRPr="006A7F90">
        <w:rPr>
          <w:rFonts w:ascii="Times New Roman" w:hAnsi="Times New Roman"/>
          <w:lang w:val="en-HK"/>
        </w:rPr>
        <w:t>but</w:t>
      </w:r>
      <w:proofErr w:type="spellEnd"/>
      <w:r w:rsidRPr="006A7F90">
        <w:rPr>
          <w:rFonts w:ascii="Times New Roman" w:hAnsi="Times New Roman"/>
          <w:lang w:val="en-HK"/>
        </w:rPr>
        <w:t>-for test.</w:t>
      </w:r>
    </w:p>
    <w:p w14:paraId="0AB6ED3A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 xml:space="preserve">1.4 The Importance of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in the Context of Equitable Compensation</w:t>
      </w:r>
    </w:p>
    <w:p w14:paraId="26B7899D" w14:textId="77777777" w:rsidR="006A7F90" w:rsidRPr="006A7F90" w:rsidRDefault="006A7F90" w:rsidP="002B6C8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As a </w:t>
      </w:r>
      <w:r w:rsidRPr="006A7F90">
        <w:rPr>
          <w:rFonts w:ascii="Times New Roman" w:hAnsi="Times New Roman"/>
          <w:b/>
          <w:bCs/>
          <w:lang w:val="en-HK"/>
        </w:rPr>
        <w:t>Court of Appeal decision</w:t>
      </w:r>
      <w:r w:rsidRPr="006A7F90">
        <w:rPr>
          <w:rFonts w:ascii="Times New Roman" w:hAnsi="Times New Roman"/>
          <w:lang w:val="en-HK"/>
        </w:rPr>
        <w:t xml:space="preserve">,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carries referential significance for subsequent courts interpreting the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 rule.</w:t>
      </w:r>
    </w:p>
    <w:p w14:paraId="6A2700B5" w14:textId="77777777" w:rsidR="006A7F90" w:rsidRPr="006A7F90" w:rsidRDefault="006A7F90" w:rsidP="002B6C8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While academic literature has focused on the </w:t>
      </w:r>
      <w:r w:rsidRPr="006A7F90">
        <w:rPr>
          <w:rFonts w:ascii="Times New Roman" w:hAnsi="Times New Roman"/>
          <w:b/>
          <w:bCs/>
          <w:lang w:val="en-HK"/>
        </w:rPr>
        <w:t>active-passive-duty distinction</w:t>
      </w:r>
      <w:r w:rsidRPr="006A7F90">
        <w:rPr>
          <w:rFonts w:ascii="Times New Roman" w:hAnsi="Times New Roman"/>
          <w:lang w:val="en-HK"/>
        </w:rPr>
        <w:t xml:space="preserve"> drawn by Jackson LJ in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, </w:t>
      </w:r>
      <w:r w:rsidRPr="006A7F90">
        <w:rPr>
          <w:rFonts w:ascii="Times New Roman" w:hAnsi="Times New Roman"/>
          <w:b/>
          <w:bCs/>
          <w:lang w:val="en-HK"/>
        </w:rPr>
        <w:t>insufficient attention has been paid to the discrepancy in his application of the causation test</w:t>
      </w:r>
      <w:r w:rsidRPr="006A7F90">
        <w:rPr>
          <w:rFonts w:ascii="Times New Roman" w:hAnsi="Times New Roman"/>
          <w:lang w:val="en-HK"/>
        </w:rPr>
        <w:t>.</w:t>
      </w:r>
    </w:p>
    <w:p w14:paraId="75531431" w14:textId="77777777" w:rsidR="006A7F90" w:rsidRPr="006A7F90" w:rsidRDefault="006A7F90" w:rsidP="002B6C8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article seeks to </w:t>
      </w:r>
      <w:r w:rsidRPr="006A7F90">
        <w:rPr>
          <w:rFonts w:ascii="Times New Roman" w:hAnsi="Times New Roman"/>
          <w:b/>
          <w:bCs/>
          <w:lang w:val="en-HK"/>
        </w:rPr>
        <w:t>fill this gap in the literature</w:t>
      </w:r>
      <w:r w:rsidRPr="006A7F90">
        <w:rPr>
          <w:rFonts w:ascii="Times New Roman" w:hAnsi="Times New Roman"/>
          <w:lang w:val="en-HK"/>
        </w:rPr>
        <w:t xml:space="preserve"> by critically evaluating Jackson LJ’s </w:t>
      </w:r>
      <w:r w:rsidRPr="006A7F90">
        <w:rPr>
          <w:rFonts w:ascii="Times New Roman" w:hAnsi="Times New Roman"/>
          <w:b/>
          <w:bCs/>
          <w:lang w:val="en-HK"/>
        </w:rPr>
        <w:t>departure from the established AIB rule</w:t>
      </w:r>
      <w:r w:rsidRPr="006A7F90">
        <w:rPr>
          <w:rFonts w:ascii="Times New Roman" w:hAnsi="Times New Roman"/>
          <w:lang w:val="en-HK"/>
        </w:rPr>
        <w:t xml:space="preserve"> and its implications for future cases.</w:t>
      </w:r>
    </w:p>
    <w:p w14:paraId="0F3A7FFC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1.5 Key Arguments Presented in the Article</w:t>
      </w:r>
    </w:p>
    <w:p w14:paraId="524C947A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article argues that the Court of Appeal in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failed to </w:t>
      </w:r>
      <w:r w:rsidRPr="006A7F90">
        <w:rPr>
          <w:rFonts w:ascii="Times New Roman" w:hAnsi="Times New Roman"/>
          <w:b/>
          <w:bCs/>
          <w:lang w:val="en-HK"/>
        </w:rPr>
        <w:t>properly apply the two-stage causation test in AIB</w:t>
      </w:r>
      <w:r w:rsidRPr="006A7F90">
        <w:rPr>
          <w:rFonts w:ascii="Times New Roman" w:hAnsi="Times New Roman"/>
          <w:lang w:val="en-HK"/>
        </w:rPr>
        <w:t>, particularly by:</w:t>
      </w:r>
    </w:p>
    <w:p w14:paraId="5EE8F36C" w14:textId="77777777" w:rsidR="006A7F90" w:rsidRPr="006A7F90" w:rsidRDefault="006A7F90" w:rsidP="002B6C8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lastRenderedPageBreak/>
        <w:t xml:space="preserve">Over-relying on the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but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>-for test</w:t>
      </w:r>
      <w:r w:rsidRPr="006A7F90">
        <w:rPr>
          <w:rFonts w:ascii="Times New Roman" w:hAnsi="Times New Roman"/>
          <w:lang w:val="en-HK"/>
        </w:rPr>
        <w:t xml:space="preserve"> while neglecting the </w:t>
      </w:r>
      <w:r w:rsidRPr="006A7F90">
        <w:rPr>
          <w:rFonts w:ascii="Times New Roman" w:hAnsi="Times New Roman"/>
          <w:b/>
          <w:bCs/>
          <w:lang w:val="en-HK"/>
        </w:rPr>
        <w:t>novus actus interveniens analysis</w:t>
      </w:r>
      <w:r w:rsidRPr="006A7F90">
        <w:rPr>
          <w:rFonts w:ascii="Times New Roman" w:hAnsi="Times New Roman"/>
          <w:lang w:val="en-HK"/>
        </w:rPr>
        <w:t>.</w:t>
      </w:r>
    </w:p>
    <w:p w14:paraId="29CF4DAD" w14:textId="77777777" w:rsidR="006A7F90" w:rsidRPr="006A7F90" w:rsidRDefault="006A7F90" w:rsidP="002B6C8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Expanding the liability of trustees and fiduciaries</w:t>
      </w:r>
      <w:r w:rsidRPr="006A7F90">
        <w:rPr>
          <w:rFonts w:ascii="Times New Roman" w:hAnsi="Times New Roman"/>
          <w:lang w:val="en-HK"/>
        </w:rPr>
        <w:t xml:space="preserve"> beyond what was envisioned in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>.</w:t>
      </w:r>
    </w:p>
    <w:p w14:paraId="10E3BEB7" w14:textId="77777777" w:rsidR="006A7F90" w:rsidRPr="006A7F90" w:rsidRDefault="006A7F90" w:rsidP="002B6C81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Blurring the distinction between equitable compensation and common law damages</w:t>
      </w:r>
      <w:r w:rsidRPr="006A7F90">
        <w:rPr>
          <w:rFonts w:ascii="Times New Roman" w:hAnsi="Times New Roman"/>
          <w:lang w:val="en-HK"/>
        </w:rPr>
        <w:t>.</w:t>
      </w:r>
    </w:p>
    <w:p w14:paraId="0C18364B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It remains unclear </w:t>
      </w:r>
      <w:r w:rsidRPr="006A7F90">
        <w:rPr>
          <w:rFonts w:ascii="Times New Roman" w:hAnsi="Times New Roman"/>
          <w:b/>
          <w:bCs/>
          <w:lang w:val="en-HK"/>
        </w:rPr>
        <w:t xml:space="preserve">whether Jackson LJ’s approach in </w:t>
      </w:r>
      <w:proofErr w:type="spellStart"/>
      <w:r w:rsidRPr="006A7F90">
        <w:rPr>
          <w:rFonts w:ascii="Times New Roman" w:hAnsi="Times New Roman"/>
          <w:b/>
          <w:bCs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represents a misunderstanding of AIB or an intentional shift in doctrine</w:t>
      </w:r>
      <w:r w:rsidRPr="006A7F90">
        <w:rPr>
          <w:rFonts w:ascii="Times New Roman" w:hAnsi="Times New Roman"/>
          <w:lang w:val="en-HK"/>
        </w:rPr>
        <w:t>.</w:t>
      </w:r>
    </w:p>
    <w:p w14:paraId="17E79D7C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1.6 The Scholarly and Practical Significance of the Issue</w:t>
      </w:r>
    </w:p>
    <w:p w14:paraId="2B916767" w14:textId="77777777" w:rsidR="006A7F90" w:rsidRPr="006A7F90" w:rsidRDefault="006A7F90" w:rsidP="002B6C8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inconsistencies in applying the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 rule raise </w:t>
      </w:r>
      <w:r w:rsidRPr="006A7F90">
        <w:rPr>
          <w:rFonts w:ascii="Times New Roman" w:hAnsi="Times New Roman"/>
          <w:b/>
          <w:bCs/>
          <w:lang w:val="en-HK"/>
        </w:rPr>
        <w:t>fundamental doctrinal questions</w:t>
      </w:r>
      <w:r w:rsidRPr="006A7F90">
        <w:rPr>
          <w:rFonts w:ascii="Times New Roman" w:hAnsi="Times New Roman"/>
          <w:lang w:val="en-HK"/>
        </w:rPr>
        <w:t xml:space="preserve"> about equitable compensation:</w:t>
      </w:r>
    </w:p>
    <w:p w14:paraId="0438AD98" w14:textId="55E5C2F2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 xml:space="preserve">1. </w:t>
      </w:r>
      <w:r w:rsidRPr="006A7F90">
        <w:rPr>
          <w:rFonts w:ascii="Times New Roman" w:hAnsi="Times New Roman"/>
          <w:b/>
          <w:bCs/>
          <w:lang w:val="en-HK"/>
        </w:rPr>
        <w:t>Should courts apply the AIB rule rigidly, or should they adopt a more flexible approach based on fairness and discretion?</w:t>
      </w:r>
    </w:p>
    <w:p w14:paraId="0D684529" w14:textId="653F3F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 xml:space="preserve">2. </w:t>
      </w:r>
      <w:r w:rsidRPr="006A7F90">
        <w:rPr>
          <w:rFonts w:ascii="Times New Roman" w:hAnsi="Times New Roman"/>
          <w:b/>
          <w:bCs/>
          <w:lang w:val="en-HK"/>
        </w:rPr>
        <w:t>How should courts balance the strict fiduciary accountability of trustees against pragmatic causation principles?</w:t>
      </w:r>
    </w:p>
    <w:p w14:paraId="7431FE6C" w14:textId="77777777" w:rsidR="006A7F90" w:rsidRPr="006A7F90" w:rsidRDefault="006A7F90" w:rsidP="002B6C8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</w:t>
      </w:r>
      <w:r w:rsidRPr="006A7F90">
        <w:rPr>
          <w:rFonts w:ascii="Times New Roman" w:hAnsi="Times New Roman"/>
          <w:b/>
          <w:bCs/>
          <w:lang w:val="en-HK"/>
        </w:rPr>
        <w:t>practical implications</w:t>
      </w:r>
      <w:r w:rsidRPr="006A7F90">
        <w:rPr>
          <w:rFonts w:ascii="Times New Roman" w:hAnsi="Times New Roman"/>
          <w:lang w:val="en-HK"/>
        </w:rPr>
        <w:t xml:space="preserve"> of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are also significant:</w:t>
      </w:r>
    </w:p>
    <w:p w14:paraId="3CFA6ED8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If the reasoning in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prevails, </w:t>
      </w:r>
      <w:r w:rsidRPr="006A7F90">
        <w:rPr>
          <w:rFonts w:ascii="Times New Roman" w:hAnsi="Times New Roman"/>
          <w:b/>
          <w:bCs/>
          <w:lang w:val="en-HK"/>
        </w:rPr>
        <w:t>solicitors and trustees may face broader liability for losses even where intervening events play a significant role</w:t>
      </w:r>
      <w:r w:rsidRPr="006A7F90">
        <w:rPr>
          <w:rFonts w:ascii="Times New Roman" w:hAnsi="Times New Roman"/>
          <w:lang w:val="en-HK"/>
        </w:rPr>
        <w:t>.</w:t>
      </w:r>
    </w:p>
    <w:p w14:paraId="6E7B26D0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decision potentially </w:t>
      </w:r>
      <w:r w:rsidRPr="006A7F90">
        <w:rPr>
          <w:rFonts w:ascii="Times New Roman" w:hAnsi="Times New Roman"/>
          <w:b/>
          <w:bCs/>
          <w:lang w:val="en-HK"/>
        </w:rPr>
        <w:t>undermines the certainty provided by AIB</w:t>
      </w:r>
      <w:r w:rsidRPr="006A7F90">
        <w:rPr>
          <w:rFonts w:ascii="Times New Roman" w:hAnsi="Times New Roman"/>
          <w:lang w:val="en-HK"/>
        </w:rPr>
        <w:t>, making it difficult for legal practitioners to predict outcomes in breach of trust cases.</w:t>
      </w:r>
    </w:p>
    <w:p w14:paraId="058CEB4F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1.7 Conclusion of the Introduction</w:t>
      </w:r>
    </w:p>
    <w:p w14:paraId="0A2BDED7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The introduction sets out the key objectives of the article:</w:t>
      </w:r>
    </w:p>
    <w:p w14:paraId="501086DE" w14:textId="77777777" w:rsidR="006A7F90" w:rsidRPr="006A7F90" w:rsidRDefault="006A7F90" w:rsidP="002B6C81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To </w:t>
      </w:r>
      <w:r w:rsidRPr="006A7F90">
        <w:rPr>
          <w:rFonts w:ascii="Times New Roman" w:hAnsi="Times New Roman"/>
          <w:b/>
          <w:bCs/>
          <w:lang w:val="en-HK"/>
        </w:rPr>
        <w:t xml:space="preserve">critically assess the Court of Appeal’s approach in </w:t>
      </w:r>
      <w:proofErr w:type="spellStart"/>
      <w:r w:rsidRPr="006A7F90">
        <w:rPr>
          <w:rFonts w:ascii="Times New Roman" w:hAnsi="Times New Roman"/>
          <w:b/>
          <w:bCs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and its </w:t>
      </w:r>
      <w:r w:rsidRPr="006A7F90">
        <w:rPr>
          <w:rFonts w:ascii="Times New Roman" w:hAnsi="Times New Roman"/>
          <w:b/>
          <w:bCs/>
          <w:lang w:val="en-HK"/>
        </w:rPr>
        <w:t>impact on equitable compensation jurisprudence</w:t>
      </w:r>
      <w:r w:rsidRPr="006A7F90">
        <w:rPr>
          <w:rFonts w:ascii="Times New Roman" w:hAnsi="Times New Roman"/>
          <w:lang w:val="en-HK"/>
        </w:rPr>
        <w:t>.</w:t>
      </w:r>
    </w:p>
    <w:p w14:paraId="2512C54C" w14:textId="77777777" w:rsidR="006A7F90" w:rsidRPr="006A7F90" w:rsidRDefault="006A7F90" w:rsidP="002B6C81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To </w:t>
      </w:r>
      <w:r w:rsidRPr="006A7F90">
        <w:rPr>
          <w:rFonts w:ascii="Times New Roman" w:hAnsi="Times New Roman"/>
          <w:b/>
          <w:bCs/>
          <w:lang w:val="en-HK"/>
        </w:rPr>
        <w:t xml:space="preserve">examine the inconsistencies between Jackson LJ’s judgment and the causation test in </w:t>
      </w:r>
      <w:r w:rsidRPr="006A7F90">
        <w:rPr>
          <w:rFonts w:ascii="Times New Roman" w:hAnsi="Times New Roman"/>
          <w:b/>
          <w:bCs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>.</w:t>
      </w:r>
    </w:p>
    <w:p w14:paraId="5C27B57F" w14:textId="77777777" w:rsidR="006A7F90" w:rsidRPr="006A7F90" w:rsidRDefault="006A7F90" w:rsidP="002B6C81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lastRenderedPageBreak/>
        <w:t xml:space="preserve">To provide a </w:t>
      </w:r>
      <w:r w:rsidRPr="006A7F90">
        <w:rPr>
          <w:rFonts w:ascii="Times New Roman" w:hAnsi="Times New Roman"/>
          <w:b/>
          <w:bCs/>
          <w:lang w:val="en-HK"/>
        </w:rPr>
        <w:t>comprehensive doctrinal analysis</w:t>
      </w:r>
      <w:r w:rsidRPr="006A7F90">
        <w:rPr>
          <w:rFonts w:ascii="Times New Roman" w:hAnsi="Times New Roman"/>
          <w:lang w:val="en-HK"/>
        </w:rPr>
        <w:t xml:space="preserve"> of the </w:t>
      </w:r>
      <w:r w:rsidRPr="006A7F90">
        <w:rPr>
          <w:rFonts w:ascii="Times New Roman" w:hAnsi="Times New Roman"/>
          <w:b/>
          <w:bCs/>
          <w:lang w:val="en-HK"/>
        </w:rPr>
        <w:t xml:space="preserve">misapplication of the novus actus interveniens test in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>.</w:t>
      </w:r>
    </w:p>
    <w:p w14:paraId="69B5CE93" w14:textId="766E1566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article concludes that </w:t>
      </w:r>
      <w:r w:rsidRPr="006A7F90">
        <w:rPr>
          <w:rFonts w:ascii="Times New Roman" w:hAnsi="Times New Roman"/>
          <w:b/>
          <w:bCs/>
          <w:lang w:val="en-HK"/>
        </w:rPr>
        <w:t xml:space="preserve">Jackson LJ’s judgment in </w:t>
      </w:r>
      <w:proofErr w:type="spellStart"/>
      <w:r w:rsidRPr="006A7F90">
        <w:rPr>
          <w:rFonts w:ascii="Times New Roman" w:hAnsi="Times New Roman"/>
          <w:b/>
          <w:bCs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creates doctrinal uncertainty</w:t>
      </w:r>
      <w:r w:rsidRPr="006A7F90">
        <w:rPr>
          <w:rFonts w:ascii="Times New Roman" w:hAnsi="Times New Roman"/>
          <w:lang w:val="en-HK"/>
        </w:rPr>
        <w:t xml:space="preserve"> and raises concerns about the future application of the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 rule.</w:t>
      </w:r>
    </w:p>
    <w:p w14:paraId="7EC2C852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Final Observations</w:t>
      </w:r>
    </w:p>
    <w:p w14:paraId="118BF9B6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This detailed analysis of the introduction highlights how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potentially </w:t>
      </w:r>
      <w:r w:rsidRPr="006A7F90">
        <w:rPr>
          <w:rFonts w:ascii="Times New Roman" w:hAnsi="Times New Roman"/>
          <w:b/>
          <w:bCs/>
          <w:lang w:val="en-HK"/>
        </w:rPr>
        <w:t>alters the landscape of equitable compensation</w:t>
      </w:r>
      <w:r w:rsidRPr="006A7F90">
        <w:rPr>
          <w:rFonts w:ascii="Times New Roman" w:hAnsi="Times New Roman"/>
          <w:lang w:val="en-HK"/>
        </w:rPr>
        <w:t xml:space="preserve"> by misapplying the </w:t>
      </w:r>
      <w:r w:rsidRPr="006A7F90">
        <w:rPr>
          <w:rFonts w:ascii="Times New Roman" w:hAnsi="Times New Roman"/>
          <w:b/>
          <w:b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 rule. The introduction situates the article’s inquiry within the broader </w:t>
      </w:r>
      <w:r w:rsidRPr="006A7F90">
        <w:rPr>
          <w:rFonts w:ascii="Times New Roman" w:hAnsi="Times New Roman"/>
          <w:b/>
          <w:bCs/>
          <w:lang w:val="en-HK"/>
        </w:rPr>
        <w:t>evolution of causation in trust law</w:t>
      </w:r>
      <w:r w:rsidRPr="006A7F90">
        <w:rPr>
          <w:rFonts w:ascii="Times New Roman" w:hAnsi="Times New Roman"/>
          <w:lang w:val="en-HK"/>
        </w:rPr>
        <w:t xml:space="preserve"> and sets the stage for a detailed critique of Jackson LJ’s reasoning. The </w:t>
      </w:r>
      <w:r w:rsidRPr="006A7F90">
        <w:rPr>
          <w:rFonts w:ascii="Times New Roman" w:hAnsi="Times New Roman"/>
          <w:b/>
          <w:bCs/>
          <w:lang w:val="en-HK"/>
        </w:rPr>
        <w:t>scholarly and practical importance</w:t>
      </w:r>
      <w:r w:rsidRPr="006A7F90">
        <w:rPr>
          <w:rFonts w:ascii="Times New Roman" w:hAnsi="Times New Roman"/>
          <w:lang w:val="en-HK"/>
        </w:rPr>
        <w:t xml:space="preserve"> of these issues is underscored, reinforcing the need for doctrinal clarity in future case law.</w:t>
      </w:r>
    </w:p>
    <w:p w14:paraId="55D20A3A" w14:textId="7279A73D" w:rsidR="00CD39F1" w:rsidRPr="002B6C81" w:rsidRDefault="001D07B2" w:rsidP="002B6C81">
      <w:pPr>
        <w:spacing w:line="360" w:lineRule="auto"/>
        <w:rPr>
          <w:lang w:val="en-US"/>
        </w:rPr>
      </w:pPr>
      <w:r w:rsidRPr="001D07B2">
        <w:rPr>
          <w:rFonts w:ascii="Times New Roman" w:hAnsi="Times New Roman"/>
          <w:noProof/>
          <w:lang w:val="en-HK"/>
          <w14:ligatures w14:val="standardContextual"/>
        </w:rPr>
        <w:pict w14:anchorId="4011CF5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E8B4564" w14:textId="263DF8D2" w:rsidR="006A7F90" w:rsidRPr="006A7F90" w:rsidRDefault="006A7F90" w:rsidP="002B6C81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 xml:space="preserve">2. </w:t>
      </w:r>
      <w:r w:rsidRPr="006A7F90">
        <w:rPr>
          <w:rFonts w:ascii="Times New Roman" w:hAnsi="Times New Roman"/>
          <w:b/>
          <w:bCs/>
          <w:lang w:val="en-HK"/>
        </w:rPr>
        <w:t>The Decision in the Court of First Instance</w:t>
      </w:r>
    </w:p>
    <w:p w14:paraId="6FF1FED8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case of </w:t>
      </w:r>
      <w:r w:rsidRPr="006A7F90">
        <w:rPr>
          <w:rFonts w:ascii="Times New Roman" w:hAnsi="Times New Roman"/>
          <w:i/>
          <w:iCs/>
          <w:lang w:val="en-HK"/>
        </w:rPr>
        <w:t xml:space="preserve">Various Claimants v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i/>
          <w:iCs/>
          <w:lang w:val="en-HK"/>
        </w:rPr>
        <w:t xml:space="preserve"> &amp; Law</w:t>
      </w:r>
      <w:r w:rsidRPr="006A7F90">
        <w:rPr>
          <w:rFonts w:ascii="Times New Roman" w:hAnsi="Times New Roman"/>
          <w:lang w:val="en-HK"/>
        </w:rPr>
        <w:t xml:space="preserve"> [2017] EWCA </w:t>
      </w:r>
      <w:proofErr w:type="spellStart"/>
      <w:r w:rsidRPr="006A7F90">
        <w:rPr>
          <w:rFonts w:ascii="Times New Roman" w:hAnsi="Times New Roman"/>
          <w:lang w:val="en-HK"/>
        </w:rPr>
        <w:t>Civ</w:t>
      </w:r>
      <w:proofErr w:type="spellEnd"/>
      <w:r w:rsidRPr="006A7F90">
        <w:rPr>
          <w:rFonts w:ascii="Times New Roman" w:hAnsi="Times New Roman"/>
          <w:lang w:val="en-HK"/>
        </w:rPr>
        <w:t xml:space="preserve"> 1193 arose from a failed Italian real estate development project, where claimants sought equitable compensation against the law firm </w:t>
      </w: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&amp; Law for breaching their fiduciary duties. The case centred on whether the solicitors’ breach was the </w:t>
      </w:r>
      <w:r w:rsidRPr="006A7F90">
        <w:rPr>
          <w:rFonts w:ascii="Times New Roman" w:hAnsi="Times New Roman"/>
          <w:b/>
          <w:bCs/>
          <w:lang w:val="en-HK"/>
        </w:rPr>
        <w:t>legal cause</w:t>
      </w:r>
      <w:r w:rsidRPr="006A7F90">
        <w:rPr>
          <w:rFonts w:ascii="Times New Roman" w:hAnsi="Times New Roman"/>
          <w:lang w:val="en-HK"/>
        </w:rPr>
        <w:t xml:space="preserve"> of the claimants’ financial losses and whether the principles of causation outlined in </w:t>
      </w:r>
      <w:r w:rsidRPr="006A7F90">
        <w:rPr>
          <w:rFonts w:ascii="Times New Roman" w:hAnsi="Times New Roman"/>
          <w:i/>
          <w:iCs/>
          <w:lang w:val="en-HK"/>
        </w:rPr>
        <w:t xml:space="preserve">AIB Group (UK) Plc v Mark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Redler</w:t>
      </w:r>
      <w:proofErr w:type="spellEnd"/>
      <w:r w:rsidRPr="006A7F90">
        <w:rPr>
          <w:rFonts w:ascii="Times New Roman" w:hAnsi="Times New Roman"/>
          <w:i/>
          <w:iCs/>
          <w:lang w:val="en-HK"/>
        </w:rPr>
        <w:t xml:space="preserve"> &amp; Co Solicitors</w:t>
      </w:r>
      <w:r w:rsidRPr="006A7F90">
        <w:rPr>
          <w:rFonts w:ascii="Times New Roman" w:hAnsi="Times New Roman"/>
          <w:lang w:val="en-HK"/>
        </w:rPr>
        <w:t xml:space="preserve"> [2014] UKSC 58 applied.</w:t>
      </w:r>
    </w:p>
    <w:p w14:paraId="31CA8581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2.1 Factual Background and Key Issues</w:t>
      </w:r>
    </w:p>
    <w:p w14:paraId="41706208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dispute emerged from the </w:t>
      </w:r>
      <w:proofErr w:type="spellStart"/>
      <w:r w:rsidRPr="006A7F90">
        <w:rPr>
          <w:rFonts w:ascii="Times New Roman" w:hAnsi="Times New Roman"/>
          <w:lang w:val="en-HK"/>
        </w:rPr>
        <w:t>JoTS</w:t>
      </w:r>
      <w:proofErr w:type="spellEnd"/>
      <w:r w:rsidRPr="006A7F90">
        <w:rPr>
          <w:rFonts w:ascii="Times New Roman" w:hAnsi="Times New Roman"/>
          <w:lang w:val="en-HK"/>
        </w:rPr>
        <w:t xml:space="preserve"> development project in Italy, where prospective buyers paid deposits to secure off-plan properties.</w:t>
      </w:r>
    </w:p>
    <w:p w14:paraId="0F6DA147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Italian </w:t>
      </w:r>
      <w:r w:rsidRPr="006A7F90">
        <w:rPr>
          <w:rFonts w:ascii="Times New Roman" w:hAnsi="Times New Roman"/>
          <w:b/>
          <w:bCs/>
          <w:lang w:val="en-HK"/>
        </w:rPr>
        <w:t>Decree 122</w:t>
      </w:r>
      <w:r w:rsidRPr="006A7F90">
        <w:rPr>
          <w:rFonts w:ascii="Times New Roman" w:hAnsi="Times New Roman"/>
          <w:lang w:val="en-HK"/>
        </w:rPr>
        <w:t xml:space="preserve"> imposed strict consumer protection obligations, requiring developers to secure financial guarantees before receiving deposits from buyers.</w:t>
      </w:r>
    </w:p>
    <w:p w14:paraId="7BD0E87F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law firm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was responsible for ensuring compliance with this requirement before transferring any funds.</w:t>
      </w:r>
    </w:p>
    <w:p w14:paraId="187449D3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lastRenderedPageBreak/>
        <w:t xml:space="preserve">However,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released the deposits despite knowing that the financial guarantees provided were defective</w:t>
      </w:r>
      <w:r w:rsidRPr="006A7F90">
        <w:rPr>
          <w:rFonts w:ascii="Times New Roman" w:hAnsi="Times New Roman"/>
          <w:lang w:val="en-HK"/>
        </w:rPr>
        <w:t>, exposing the buyers to financial risk.</w:t>
      </w:r>
    </w:p>
    <w:p w14:paraId="4040D687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When the development collapsed due to fraud and mismanagement, buyers were left without properties and unable to recover their deposits.</w:t>
      </w:r>
    </w:p>
    <w:p w14:paraId="1272DFB3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claimants argued that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Giambrone’s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breach was the legal and factual cause of their loss</w:t>
      </w:r>
      <w:r w:rsidRPr="006A7F90">
        <w:rPr>
          <w:rFonts w:ascii="Times New Roman" w:hAnsi="Times New Roman"/>
          <w:lang w:val="en-HK"/>
        </w:rPr>
        <w:t xml:space="preserve">, while </w:t>
      </w: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countered that the losses were caused by </w:t>
      </w:r>
      <w:r w:rsidRPr="006A7F90">
        <w:rPr>
          <w:rFonts w:ascii="Times New Roman" w:hAnsi="Times New Roman"/>
          <w:b/>
          <w:bCs/>
          <w:lang w:val="en-HK"/>
        </w:rPr>
        <w:t>the fraud of third parties (the developers and promoters)</w:t>
      </w:r>
      <w:r w:rsidRPr="006A7F90">
        <w:rPr>
          <w:rFonts w:ascii="Times New Roman" w:hAnsi="Times New Roman"/>
          <w:lang w:val="en-HK"/>
        </w:rPr>
        <w:t xml:space="preserve"> rather than their own misconduct.</w:t>
      </w:r>
    </w:p>
    <w:p w14:paraId="5BFC83A8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2.2 The Court’s Application of Equitable Compensation Principles</w:t>
      </w:r>
    </w:p>
    <w:p w14:paraId="0153B5A0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</w:t>
      </w:r>
      <w:r w:rsidRPr="006A7F90">
        <w:rPr>
          <w:rFonts w:ascii="Times New Roman" w:hAnsi="Times New Roman"/>
          <w:b/>
          <w:bCs/>
          <w:lang w:val="en-HK"/>
        </w:rPr>
        <w:t>High Court (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Foskett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J)</w:t>
      </w:r>
      <w:r w:rsidRPr="006A7F90">
        <w:rPr>
          <w:rFonts w:ascii="Times New Roman" w:hAnsi="Times New Roman"/>
          <w:lang w:val="en-HK"/>
        </w:rPr>
        <w:t xml:space="preserve"> ruled in favour of the claimants, finding that:</w:t>
      </w:r>
    </w:p>
    <w:p w14:paraId="036B7CB1" w14:textId="77777777" w:rsidR="006A7F90" w:rsidRPr="006A7F90" w:rsidRDefault="006A7F90" w:rsidP="002B6C81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6A7F90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had breached its fiduciary duty</w:t>
      </w:r>
      <w:r w:rsidRPr="006A7F90">
        <w:rPr>
          <w:rFonts w:ascii="Times New Roman" w:hAnsi="Times New Roman"/>
          <w:lang w:val="en-HK"/>
        </w:rPr>
        <w:t xml:space="preserve"> by failing to safeguard the deposits.</w:t>
      </w:r>
    </w:p>
    <w:p w14:paraId="4D9B434E" w14:textId="77777777" w:rsidR="006A7F90" w:rsidRPr="006A7F90" w:rsidRDefault="006A7F90" w:rsidP="002B6C81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firm’s actions were </w:t>
      </w:r>
      <w:r w:rsidRPr="006A7F90">
        <w:rPr>
          <w:rFonts w:ascii="Times New Roman" w:hAnsi="Times New Roman"/>
          <w:b/>
          <w:bCs/>
          <w:lang w:val="en-HK"/>
        </w:rPr>
        <w:t>a direct cause of the buyers' loss</w:t>
      </w:r>
      <w:r w:rsidRPr="006A7F90">
        <w:rPr>
          <w:rFonts w:ascii="Times New Roman" w:hAnsi="Times New Roman"/>
          <w:lang w:val="en-HK"/>
        </w:rPr>
        <w:t xml:space="preserve">, satisfying the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but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>-for causation test</w:t>
      </w:r>
      <w:r w:rsidRPr="006A7F90">
        <w:rPr>
          <w:rFonts w:ascii="Times New Roman" w:hAnsi="Times New Roman"/>
          <w:lang w:val="en-HK"/>
        </w:rPr>
        <w:t>.</w:t>
      </w:r>
    </w:p>
    <w:p w14:paraId="5871E4BC" w14:textId="77777777" w:rsidR="006A7F90" w:rsidRPr="006A7F90" w:rsidRDefault="006A7F90" w:rsidP="002B6C81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presence of third-party fraud </w:t>
      </w:r>
      <w:r w:rsidRPr="006A7F90">
        <w:rPr>
          <w:rFonts w:ascii="Times New Roman" w:hAnsi="Times New Roman"/>
          <w:b/>
          <w:bCs/>
          <w:lang w:val="en-HK"/>
        </w:rPr>
        <w:t>did not sever the chain of causation</w:t>
      </w:r>
      <w:r w:rsidRPr="006A7F90">
        <w:rPr>
          <w:rFonts w:ascii="Times New Roman" w:hAnsi="Times New Roman"/>
          <w:lang w:val="en-HK"/>
        </w:rPr>
        <w:t xml:space="preserve">, making </w:t>
      </w: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liable for the full loss.</w:t>
      </w:r>
    </w:p>
    <w:p w14:paraId="2460D6EA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6A7F90">
        <w:rPr>
          <w:rFonts w:ascii="Times New Roman" w:hAnsi="Times New Roman"/>
          <w:b/>
          <w:bCs/>
          <w:lang w:val="en-HK"/>
        </w:rPr>
        <w:t>Foskett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J distinguished the case from AIB</w:t>
      </w:r>
      <w:r w:rsidRPr="006A7F90">
        <w:rPr>
          <w:rFonts w:ascii="Times New Roman" w:hAnsi="Times New Roman"/>
          <w:lang w:val="en-HK"/>
        </w:rPr>
        <w:t>, noting that:</w:t>
      </w:r>
    </w:p>
    <w:p w14:paraId="3221A7F3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 concerned </w:t>
      </w:r>
      <w:r w:rsidRPr="006A7F90">
        <w:rPr>
          <w:rFonts w:ascii="Times New Roman" w:hAnsi="Times New Roman"/>
          <w:b/>
          <w:bCs/>
          <w:lang w:val="en-HK"/>
        </w:rPr>
        <w:t>a commercial lending transaction</w:t>
      </w:r>
      <w:r w:rsidRPr="006A7F90">
        <w:rPr>
          <w:rFonts w:ascii="Times New Roman" w:hAnsi="Times New Roman"/>
          <w:lang w:val="en-HK"/>
        </w:rPr>
        <w:t xml:space="preserve">, whereas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involved </w:t>
      </w:r>
      <w:r w:rsidRPr="006A7F90">
        <w:rPr>
          <w:rFonts w:ascii="Times New Roman" w:hAnsi="Times New Roman"/>
          <w:b/>
          <w:bCs/>
          <w:lang w:val="en-HK"/>
        </w:rPr>
        <w:t>fiduciary obligations owed to vulnerable clients</w:t>
      </w:r>
      <w:r w:rsidRPr="006A7F90">
        <w:rPr>
          <w:rFonts w:ascii="Times New Roman" w:hAnsi="Times New Roman"/>
          <w:lang w:val="en-HK"/>
        </w:rPr>
        <w:t>.</w:t>
      </w:r>
    </w:p>
    <w:p w14:paraId="5034E00E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role of a trustee or solicitor in such cases requires </w:t>
      </w:r>
      <w:r w:rsidRPr="006A7F90">
        <w:rPr>
          <w:rFonts w:ascii="Times New Roman" w:hAnsi="Times New Roman"/>
          <w:b/>
          <w:bCs/>
          <w:lang w:val="en-HK"/>
        </w:rPr>
        <w:t>strict adherence to fiduciary obligations</w:t>
      </w:r>
      <w:r w:rsidRPr="006A7F90">
        <w:rPr>
          <w:rFonts w:ascii="Times New Roman" w:hAnsi="Times New Roman"/>
          <w:lang w:val="en-HK"/>
        </w:rPr>
        <w:t>, making causation principles stricter than those in common law negligence.</w:t>
      </w:r>
    </w:p>
    <w:p w14:paraId="17845D91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loss was a </w:t>
      </w:r>
      <w:r w:rsidRPr="006A7F90">
        <w:rPr>
          <w:rFonts w:ascii="Times New Roman" w:hAnsi="Times New Roman"/>
          <w:b/>
          <w:bCs/>
          <w:lang w:val="en-HK"/>
        </w:rPr>
        <w:t>direct consequence of the solicitors' breach</w:t>
      </w:r>
      <w:r w:rsidRPr="006A7F90">
        <w:rPr>
          <w:rFonts w:ascii="Times New Roman" w:hAnsi="Times New Roman"/>
          <w:lang w:val="en-HK"/>
        </w:rPr>
        <w:t>, even if third-party fraud was also present.</w:t>
      </w:r>
    </w:p>
    <w:p w14:paraId="4C064D68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2.3 The Application of the But-For Test</w:t>
      </w:r>
    </w:p>
    <w:p w14:paraId="28D45E6F" w14:textId="77777777" w:rsidR="006A7F90" w:rsidRPr="006A7F90" w:rsidRDefault="006A7F90" w:rsidP="002B6C8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court applied the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but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>-for causation test</w:t>
      </w:r>
      <w:r w:rsidRPr="006A7F90">
        <w:rPr>
          <w:rFonts w:ascii="Times New Roman" w:hAnsi="Times New Roman"/>
          <w:lang w:val="en-HK"/>
        </w:rPr>
        <w:t xml:space="preserve">, asking whether the loss would have occurred </w:t>
      </w:r>
      <w:r w:rsidRPr="006A7F90">
        <w:rPr>
          <w:rFonts w:ascii="Times New Roman" w:hAnsi="Times New Roman"/>
          <w:b/>
          <w:bCs/>
          <w:lang w:val="en-HK"/>
        </w:rPr>
        <w:t>but for</w:t>
      </w:r>
      <w:r w:rsidRPr="006A7F90">
        <w:rPr>
          <w:rFonts w:ascii="Times New Roman" w:hAnsi="Times New Roman"/>
          <w:lang w:val="en-HK"/>
        </w:rPr>
        <w:t xml:space="preserve"> the defendant’s breach.</w:t>
      </w:r>
    </w:p>
    <w:p w14:paraId="76377F05" w14:textId="77777777" w:rsidR="006A7F90" w:rsidRPr="006A7F90" w:rsidRDefault="006A7F90" w:rsidP="002B6C8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6A7F90">
        <w:rPr>
          <w:rFonts w:ascii="Times New Roman" w:hAnsi="Times New Roman"/>
          <w:b/>
          <w:bCs/>
          <w:lang w:val="en-HK"/>
        </w:rPr>
        <w:t>Foskett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J held that the loss was entirely attributable to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Giambrone’s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misconduct</w:t>
      </w:r>
      <w:r w:rsidRPr="006A7F90">
        <w:rPr>
          <w:rFonts w:ascii="Times New Roman" w:hAnsi="Times New Roman"/>
          <w:lang w:val="en-HK"/>
        </w:rPr>
        <w:t>, reasoning that:</w:t>
      </w:r>
    </w:p>
    <w:p w14:paraId="4A10D395" w14:textId="77777777" w:rsidR="006A7F90" w:rsidRPr="006A7F90" w:rsidRDefault="006A7F90" w:rsidP="002B6C81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lastRenderedPageBreak/>
        <w:t xml:space="preserve">Had </w:t>
      </w: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complied with its </w:t>
      </w:r>
      <w:r w:rsidRPr="006A7F90">
        <w:rPr>
          <w:rFonts w:ascii="Times New Roman" w:hAnsi="Times New Roman"/>
          <w:b/>
          <w:bCs/>
          <w:lang w:val="en-HK"/>
        </w:rPr>
        <w:t>fiduciary duty</w:t>
      </w:r>
      <w:r w:rsidRPr="006A7F90">
        <w:rPr>
          <w:rFonts w:ascii="Times New Roman" w:hAnsi="Times New Roman"/>
          <w:lang w:val="en-HK"/>
        </w:rPr>
        <w:t xml:space="preserve">, the deposits </w:t>
      </w:r>
      <w:r w:rsidRPr="006A7F90">
        <w:rPr>
          <w:rFonts w:ascii="Times New Roman" w:hAnsi="Times New Roman"/>
          <w:b/>
          <w:bCs/>
          <w:lang w:val="en-HK"/>
        </w:rPr>
        <w:t>would have remained in escrow</w:t>
      </w:r>
      <w:r w:rsidRPr="006A7F90">
        <w:rPr>
          <w:rFonts w:ascii="Times New Roman" w:hAnsi="Times New Roman"/>
          <w:lang w:val="en-HK"/>
        </w:rPr>
        <w:t>.</w:t>
      </w:r>
    </w:p>
    <w:p w14:paraId="0291E335" w14:textId="77777777" w:rsidR="006A7F90" w:rsidRPr="006A7F90" w:rsidRDefault="006A7F90" w:rsidP="002B6C81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No funds would have been transferred unless valid guarantees were obtained, preventing any loss.</w:t>
      </w:r>
    </w:p>
    <w:p w14:paraId="31C62732" w14:textId="77777777" w:rsidR="006A7F90" w:rsidRPr="006A7F90" w:rsidRDefault="006A7F90" w:rsidP="002B6C81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Therefore,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Giambrone’s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breach was a necessary condition of the claimants’ loss</w:t>
      </w:r>
      <w:r w:rsidRPr="006A7F90">
        <w:rPr>
          <w:rFonts w:ascii="Times New Roman" w:hAnsi="Times New Roman"/>
          <w:lang w:val="en-HK"/>
        </w:rPr>
        <w:t>.</w:t>
      </w:r>
    </w:p>
    <w:p w14:paraId="19DA72D3" w14:textId="77777777" w:rsidR="006A7F90" w:rsidRPr="006A7F90" w:rsidRDefault="006A7F90" w:rsidP="002B6C8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judgment relied on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Canson</w:t>
      </w:r>
      <w:proofErr w:type="spellEnd"/>
      <w:r w:rsidRPr="006A7F90">
        <w:rPr>
          <w:rFonts w:ascii="Times New Roman" w:hAnsi="Times New Roman"/>
          <w:i/>
          <w:iCs/>
          <w:lang w:val="en-HK"/>
        </w:rPr>
        <w:t xml:space="preserve"> Enterprises Ltd v Boughton &amp; Co</w:t>
      </w:r>
      <w:r w:rsidRPr="006A7F90">
        <w:rPr>
          <w:rFonts w:ascii="Times New Roman" w:hAnsi="Times New Roman"/>
          <w:lang w:val="en-HK"/>
        </w:rPr>
        <w:t xml:space="preserve"> [1991] 3 SCR 534, where the </w:t>
      </w:r>
      <w:r w:rsidRPr="006A7F90">
        <w:rPr>
          <w:rFonts w:ascii="Times New Roman" w:hAnsi="Times New Roman"/>
          <w:b/>
          <w:bCs/>
          <w:lang w:val="en-HK"/>
        </w:rPr>
        <w:t>Canadian Supreme Court</w:t>
      </w:r>
      <w:r w:rsidRPr="006A7F90">
        <w:rPr>
          <w:rFonts w:ascii="Times New Roman" w:hAnsi="Times New Roman"/>
          <w:lang w:val="en-HK"/>
        </w:rPr>
        <w:t xml:space="preserve"> held that </w:t>
      </w:r>
      <w:r w:rsidRPr="006A7F90">
        <w:rPr>
          <w:rFonts w:ascii="Times New Roman" w:hAnsi="Times New Roman"/>
          <w:b/>
          <w:bCs/>
          <w:lang w:val="en-HK"/>
        </w:rPr>
        <w:t>fiduciary breaches must be assessed based on their actual impact on the trust fund</w:t>
      </w:r>
      <w:r w:rsidRPr="006A7F90">
        <w:rPr>
          <w:rFonts w:ascii="Times New Roman" w:hAnsi="Times New Roman"/>
          <w:lang w:val="en-HK"/>
        </w:rPr>
        <w:t>, rejecting arguments that external factors could absolve trustees of liability.</w:t>
      </w:r>
    </w:p>
    <w:p w14:paraId="6C73C1F8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2.4 Rejection of the Novus Actus Interveniens Defence</w:t>
      </w:r>
    </w:p>
    <w:p w14:paraId="2FE54593" w14:textId="77777777" w:rsidR="006A7F90" w:rsidRPr="006A7F90" w:rsidRDefault="006A7F90" w:rsidP="002B6C8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6A7F90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argued that the developers’ fraud was an intervening event</w:t>
      </w:r>
      <w:r w:rsidRPr="006A7F90">
        <w:rPr>
          <w:rFonts w:ascii="Times New Roman" w:hAnsi="Times New Roman"/>
          <w:lang w:val="en-HK"/>
        </w:rPr>
        <w:t>, breaking the chain of causation.</w:t>
      </w:r>
    </w:p>
    <w:p w14:paraId="09AAE342" w14:textId="77777777" w:rsidR="006A7F90" w:rsidRPr="006A7F90" w:rsidRDefault="006A7F90" w:rsidP="002B6C8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court </w:t>
      </w:r>
      <w:r w:rsidRPr="006A7F90">
        <w:rPr>
          <w:rFonts w:ascii="Times New Roman" w:hAnsi="Times New Roman"/>
          <w:b/>
          <w:bCs/>
          <w:lang w:val="en-HK"/>
        </w:rPr>
        <w:t>rejected this argument</w:t>
      </w:r>
      <w:r w:rsidRPr="006A7F90">
        <w:rPr>
          <w:rFonts w:ascii="Times New Roman" w:hAnsi="Times New Roman"/>
          <w:lang w:val="en-HK"/>
        </w:rPr>
        <w:t>, holding that:</w:t>
      </w:r>
    </w:p>
    <w:p w14:paraId="7BDD200F" w14:textId="77777777" w:rsidR="006A7F90" w:rsidRPr="006A7F90" w:rsidRDefault="006A7F90" w:rsidP="002B6C81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A third party’s wrongdoing does </w:t>
      </w:r>
      <w:r w:rsidRPr="006A7F90">
        <w:rPr>
          <w:rFonts w:ascii="Times New Roman" w:hAnsi="Times New Roman"/>
          <w:b/>
          <w:bCs/>
          <w:lang w:val="en-HK"/>
        </w:rPr>
        <w:t>not absolve a fiduciary of liability if their breach facilitated the loss</w:t>
      </w:r>
      <w:r w:rsidRPr="006A7F90">
        <w:rPr>
          <w:rFonts w:ascii="Times New Roman" w:hAnsi="Times New Roman"/>
          <w:lang w:val="en-HK"/>
        </w:rPr>
        <w:t>.</w:t>
      </w:r>
    </w:p>
    <w:p w14:paraId="6D23CB6B" w14:textId="77777777" w:rsidR="006A7F90" w:rsidRPr="006A7F90" w:rsidRDefault="006A7F90" w:rsidP="002B6C81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developers’ fraud was </w:t>
      </w:r>
      <w:r w:rsidRPr="006A7F90">
        <w:rPr>
          <w:rFonts w:ascii="Times New Roman" w:hAnsi="Times New Roman"/>
          <w:b/>
          <w:bCs/>
          <w:lang w:val="en-HK"/>
        </w:rPr>
        <w:t>foreseeable</w:t>
      </w:r>
      <w:r w:rsidRPr="006A7F90">
        <w:rPr>
          <w:rFonts w:ascii="Times New Roman" w:hAnsi="Times New Roman"/>
          <w:lang w:val="en-HK"/>
        </w:rPr>
        <w:t xml:space="preserve"> and did not amount to a novus actus interveniens.</w:t>
      </w:r>
    </w:p>
    <w:p w14:paraId="113FBE56" w14:textId="77777777" w:rsidR="006A7F90" w:rsidRPr="006A7F90" w:rsidRDefault="006A7F90" w:rsidP="002B6C81">
      <w:pPr>
        <w:numPr>
          <w:ilvl w:val="1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Lord Toulson’s test in AIB</w:t>
      </w:r>
      <w:r w:rsidRPr="006A7F90">
        <w:rPr>
          <w:rFonts w:ascii="Times New Roman" w:hAnsi="Times New Roman"/>
          <w:lang w:val="en-HK"/>
        </w:rPr>
        <w:t xml:space="preserve">—that a breach must be a “direct” cause of the loss—was </w:t>
      </w:r>
      <w:r w:rsidRPr="006A7F90">
        <w:rPr>
          <w:rFonts w:ascii="Times New Roman" w:hAnsi="Times New Roman"/>
          <w:b/>
          <w:bCs/>
          <w:lang w:val="en-HK"/>
        </w:rPr>
        <w:t>satisfied in this case</w:t>
      </w:r>
      <w:r w:rsidRPr="006A7F90">
        <w:rPr>
          <w:rFonts w:ascii="Times New Roman" w:hAnsi="Times New Roman"/>
          <w:lang w:val="en-HK"/>
        </w:rPr>
        <w:t>.</w:t>
      </w:r>
    </w:p>
    <w:p w14:paraId="5575A376" w14:textId="77777777" w:rsidR="006A7F90" w:rsidRPr="006A7F90" w:rsidRDefault="006A7F90" w:rsidP="002B6C8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6A7F90">
        <w:rPr>
          <w:rFonts w:ascii="Times New Roman" w:hAnsi="Times New Roman"/>
          <w:lang w:val="en-HK"/>
        </w:rPr>
        <w:t>Foskett</w:t>
      </w:r>
      <w:proofErr w:type="spellEnd"/>
      <w:r w:rsidRPr="006A7F90">
        <w:rPr>
          <w:rFonts w:ascii="Times New Roman" w:hAnsi="Times New Roman"/>
          <w:lang w:val="en-HK"/>
        </w:rPr>
        <w:t xml:space="preserve"> J cited </w:t>
      </w:r>
      <w:r w:rsidRPr="006A7F90">
        <w:rPr>
          <w:rFonts w:ascii="Times New Roman" w:hAnsi="Times New Roman"/>
          <w:i/>
          <w:iCs/>
          <w:lang w:val="en-HK"/>
        </w:rPr>
        <w:t>Brickenden v London Loan &amp; Savings Co</w:t>
      </w:r>
      <w:r w:rsidRPr="006A7F90">
        <w:rPr>
          <w:rFonts w:ascii="Times New Roman" w:hAnsi="Times New Roman"/>
          <w:lang w:val="en-HK"/>
        </w:rPr>
        <w:t xml:space="preserve"> [1934] 3 DLR 465 (PC), where the </w:t>
      </w:r>
      <w:r w:rsidRPr="006A7F90">
        <w:rPr>
          <w:rFonts w:ascii="Times New Roman" w:hAnsi="Times New Roman"/>
          <w:b/>
          <w:bCs/>
          <w:lang w:val="en-HK"/>
        </w:rPr>
        <w:t>Privy Council</w:t>
      </w:r>
      <w:r w:rsidRPr="006A7F90">
        <w:rPr>
          <w:rFonts w:ascii="Times New Roman" w:hAnsi="Times New Roman"/>
          <w:lang w:val="en-HK"/>
        </w:rPr>
        <w:t xml:space="preserve"> held that once a breach of fiduciary duty is established, the burden is on the trustee to prove that their misconduct </w:t>
      </w:r>
      <w:r w:rsidRPr="006A7F90">
        <w:rPr>
          <w:rFonts w:ascii="Times New Roman" w:hAnsi="Times New Roman"/>
          <w:b/>
          <w:bCs/>
          <w:lang w:val="en-HK"/>
        </w:rPr>
        <w:t>did not contribute to the loss</w:t>
      </w:r>
      <w:r w:rsidRPr="006A7F90">
        <w:rPr>
          <w:rFonts w:ascii="Times New Roman" w:hAnsi="Times New Roman"/>
          <w:lang w:val="en-HK"/>
        </w:rPr>
        <w:t>:</w:t>
      </w:r>
    </w:p>
    <w:p w14:paraId="1D0CC4E1" w14:textId="77777777" w:rsidR="006A7F90" w:rsidRPr="006A7F90" w:rsidRDefault="006A7F90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“Once a breach of fiduciary duty is shown, it is no answer for the wrongdoer to say that the loss would have occurred in any event” (at 469).</w:t>
      </w:r>
    </w:p>
    <w:p w14:paraId="0DE9AB81" w14:textId="77777777" w:rsidR="006A7F90" w:rsidRPr="006A7F90" w:rsidRDefault="006A7F90" w:rsidP="002B6C8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This principle was directly applied in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, with the court concluding that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failed to prove that the loss would have happened regardless of their breach</w:t>
      </w:r>
      <w:r w:rsidRPr="006A7F90">
        <w:rPr>
          <w:rFonts w:ascii="Times New Roman" w:hAnsi="Times New Roman"/>
          <w:lang w:val="en-HK"/>
        </w:rPr>
        <w:t>.</w:t>
      </w:r>
    </w:p>
    <w:p w14:paraId="58653D71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2.5 The Distinction Between Active and Passive Duties</w:t>
      </w:r>
    </w:p>
    <w:p w14:paraId="3EF30020" w14:textId="77777777" w:rsidR="006A7F90" w:rsidRPr="002B6C81" w:rsidRDefault="006A7F90" w:rsidP="002B6C81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lastRenderedPageBreak/>
        <w:t xml:space="preserve">The judgment also explored the distinction between </w:t>
      </w:r>
      <w:r w:rsidRPr="002B6C81">
        <w:rPr>
          <w:rFonts w:ascii="Times New Roman" w:hAnsi="Times New Roman"/>
          <w:b/>
          <w:bCs/>
          <w:lang w:val="en-HK"/>
        </w:rPr>
        <w:t>active and passive fiduciary duties</w:t>
      </w:r>
      <w:r w:rsidRPr="002B6C81">
        <w:rPr>
          <w:rFonts w:ascii="Times New Roman" w:hAnsi="Times New Roman"/>
          <w:lang w:val="en-HK"/>
        </w:rPr>
        <w:t>, a theme later expanded upon in the Court of Appeal.</w:t>
      </w:r>
    </w:p>
    <w:p w14:paraId="0B58B0EE" w14:textId="77777777" w:rsidR="006A7F90" w:rsidRPr="002B6C81" w:rsidRDefault="006A7F90" w:rsidP="002B6C81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Active duties</w:t>
      </w:r>
      <w:r w:rsidRPr="002B6C81">
        <w:rPr>
          <w:rFonts w:ascii="Times New Roman" w:hAnsi="Times New Roman"/>
          <w:lang w:val="en-HK"/>
        </w:rPr>
        <w:t xml:space="preserve"> require trustees or fiduciaries </w:t>
      </w:r>
      <w:r w:rsidRPr="002B6C81">
        <w:rPr>
          <w:rFonts w:ascii="Times New Roman" w:hAnsi="Times New Roman"/>
          <w:b/>
          <w:bCs/>
          <w:lang w:val="en-HK"/>
        </w:rPr>
        <w:t>to take positive steps to safeguard a trust fund</w:t>
      </w:r>
      <w:r w:rsidRPr="002B6C81">
        <w:rPr>
          <w:rFonts w:ascii="Times New Roman" w:hAnsi="Times New Roman"/>
          <w:lang w:val="en-HK"/>
        </w:rPr>
        <w:t>.</w:t>
      </w:r>
    </w:p>
    <w:p w14:paraId="6488641D" w14:textId="77777777" w:rsidR="006A7F90" w:rsidRPr="002B6C81" w:rsidRDefault="006A7F90" w:rsidP="002B6C81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Passive duties</w:t>
      </w:r>
      <w:r w:rsidRPr="002B6C81">
        <w:rPr>
          <w:rFonts w:ascii="Times New Roman" w:hAnsi="Times New Roman"/>
          <w:lang w:val="en-HK"/>
        </w:rPr>
        <w:t xml:space="preserve"> require trustees </w:t>
      </w:r>
      <w:r w:rsidRPr="002B6C81">
        <w:rPr>
          <w:rFonts w:ascii="Times New Roman" w:hAnsi="Times New Roman"/>
          <w:b/>
          <w:bCs/>
          <w:lang w:val="en-HK"/>
        </w:rPr>
        <w:t>not to act in a way that endangers trust assets</w:t>
      </w:r>
      <w:r w:rsidRPr="002B6C81">
        <w:rPr>
          <w:rFonts w:ascii="Times New Roman" w:hAnsi="Times New Roman"/>
          <w:lang w:val="en-HK"/>
        </w:rPr>
        <w:t>.</w:t>
      </w:r>
    </w:p>
    <w:p w14:paraId="5F759B94" w14:textId="77777777" w:rsidR="006A7F90" w:rsidRPr="002B6C81" w:rsidRDefault="006A7F90" w:rsidP="002B6C81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2B6C81">
        <w:rPr>
          <w:rFonts w:ascii="Times New Roman" w:hAnsi="Times New Roman"/>
          <w:lang w:val="en-HK"/>
        </w:rPr>
        <w:t>Foskett</w:t>
      </w:r>
      <w:proofErr w:type="spellEnd"/>
      <w:r w:rsidRPr="002B6C81">
        <w:rPr>
          <w:rFonts w:ascii="Times New Roman" w:hAnsi="Times New Roman"/>
          <w:lang w:val="en-HK"/>
        </w:rPr>
        <w:t xml:space="preserve"> J determined that </w:t>
      </w:r>
      <w:proofErr w:type="spellStart"/>
      <w:r w:rsidRPr="002B6C81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 xml:space="preserve"> had an active duty to ensure compliance with Decree 122</w:t>
      </w:r>
      <w:r w:rsidRPr="002B6C81">
        <w:rPr>
          <w:rFonts w:ascii="Times New Roman" w:hAnsi="Times New Roman"/>
          <w:lang w:val="en-HK"/>
        </w:rPr>
        <w:t xml:space="preserve"> and that their </w:t>
      </w:r>
      <w:r w:rsidRPr="002B6C81">
        <w:rPr>
          <w:rFonts w:ascii="Times New Roman" w:hAnsi="Times New Roman"/>
          <w:b/>
          <w:bCs/>
          <w:lang w:val="en-HK"/>
        </w:rPr>
        <w:t>failure to prevent unlawful disbursements constituted a direct breach</w:t>
      </w:r>
      <w:r w:rsidRPr="002B6C81">
        <w:rPr>
          <w:rFonts w:ascii="Times New Roman" w:hAnsi="Times New Roman"/>
          <w:lang w:val="en-HK"/>
        </w:rPr>
        <w:t>.</w:t>
      </w:r>
    </w:p>
    <w:p w14:paraId="3DDE5DF3" w14:textId="77777777" w:rsidR="006A7F90" w:rsidRPr="002B6C81" w:rsidRDefault="006A7F90" w:rsidP="002B6C81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>This distinction later played a significant role in Jackson LJ’s reasoning at the Court of Appeal level.</w:t>
      </w:r>
    </w:p>
    <w:p w14:paraId="16C6FD4F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2.6 The Court’s Remedial Approach</w:t>
      </w:r>
    </w:p>
    <w:p w14:paraId="6AF084DB" w14:textId="77777777" w:rsidR="006A7F90" w:rsidRPr="006A7F90" w:rsidRDefault="006A7F90" w:rsidP="002B6C8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High Court awarded the claimants </w:t>
      </w:r>
      <w:r w:rsidRPr="006A7F90">
        <w:rPr>
          <w:rFonts w:ascii="Times New Roman" w:hAnsi="Times New Roman"/>
          <w:b/>
          <w:bCs/>
          <w:lang w:val="en-HK"/>
        </w:rPr>
        <w:t>full equitable compensation</w:t>
      </w:r>
      <w:r w:rsidRPr="006A7F90">
        <w:rPr>
          <w:rFonts w:ascii="Times New Roman" w:hAnsi="Times New Roman"/>
          <w:lang w:val="en-HK"/>
        </w:rPr>
        <w:t xml:space="preserve">, restoring them to the position they would have been in had </w:t>
      </w: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fulfilled its fiduciary duty.</w:t>
      </w:r>
    </w:p>
    <w:p w14:paraId="2825B880" w14:textId="77777777" w:rsidR="006A7F90" w:rsidRPr="006A7F90" w:rsidRDefault="006A7F90" w:rsidP="002B6C8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</w:t>
      </w:r>
      <w:r w:rsidRPr="006A7F90">
        <w:rPr>
          <w:rFonts w:ascii="Times New Roman" w:hAnsi="Times New Roman"/>
          <w:b/>
          <w:bCs/>
          <w:lang w:val="en-HK"/>
        </w:rPr>
        <w:t>amount awarded was equivalent to the total lost deposits</w:t>
      </w:r>
      <w:r w:rsidRPr="006A7F90">
        <w:rPr>
          <w:rFonts w:ascii="Times New Roman" w:hAnsi="Times New Roman"/>
          <w:lang w:val="en-HK"/>
        </w:rPr>
        <w:t>, reflecting the strict approach taken in equitable breaches.</w:t>
      </w:r>
    </w:p>
    <w:p w14:paraId="4A23D267" w14:textId="77777777" w:rsidR="006A7F90" w:rsidRPr="006A7F90" w:rsidRDefault="006A7F90" w:rsidP="002B6C8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ruling confirmed the principle in </w:t>
      </w:r>
      <w:r w:rsidRPr="006A7F90">
        <w:rPr>
          <w:rFonts w:ascii="Times New Roman" w:hAnsi="Times New Roman"/>
          <w:b/>
          <w:bCs/>
          <w:lang w:val="en-HK"/>
        </w:rPr>
        <w:t>Target</w:t>
      </w:r>
      <w:r w:rsidRPr="006A7F90">
        <w:rPr>
          <w:rFonts w:ascii="Times New Roman" w:hAnsi="Times New Roman"/>
          <w:lang w:val="en-HK"/>
        </w:rPr>
        <w:t>, where Lord Browne-Wilkinson stated:</w:t>
      </w:r>
    </w:p>
    <w:p w14:paraId="5B4B9355" w14:textId="77777777" w:rsidR="006A7F90" w:rsidRPr="006A7F90" w:rsidRDefault="006A7F90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“Equitable compensation should be calculated to restore the trust fund to the position it would have been in but for the breach” (at 437).</w:t>
      </w:r>
    </w:p>
    <w:p w14:paraId="7D5FFC84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2.7 The Significance of the First Instance Decision</w:t>
      </w:r>
    </w:p>
    <w:p w14:paraId="66674F95" w14:textId="77777777" w:rsidR="006A7F90" w:rsidRPr="006A7F90" w:rsidRDefault="006A7F90" w:rsidP="002B6C8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ruling reinforced </w:t>
      </w:r>
      <w:r w:rsidRPr="006A7F90">
        <w:rPr>
          <w:rFonts w:ascii="Times New Roman" w:hAnsi="Times New Roman"/>
          <w:b/>
          <w:bCs/>
          <w:lang w:val="en-HK"/>
        </w:rPr>
        <w:t>the fundamental principle that fiduciaries are strictly liable for breaches</w:t>
      </w:r>
      <w:r w:rsidRPr="006A7F90">
        <w:rPr>
          <w:rFonts w:ascii="Times New Roman" w:hAnsi="Times New Roman"/>
          <w:lang w:val="en-HK"/>
        </w:rPr>
        <w:t xml:space="preserve"> that result in financial loss.</w:t>
      </w:r>
    </w:p>
    <w:p w14:paraId="2464FC18" w14:textId="77777777" w:rsidR="006A7F90" w:rsidRPr="006A7F90" w:rsidRDefault="006A7F90" w:rsidP="002B6C8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It affirmed that the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but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>-for test remains the primary causation standard in equitable compensation claims</w:t>
      </w:r>
      <w:r w:rsidRPr="006A7F90">
        <w:rPr>
          <w:rFonts w:ascii="Times New Roman" w:hAnsi="Times New Roman"/>
          <w:lang w:val="en-HK"/>
        </w:rPr>
        <w:t xml:space="preserve">, aligning with the Supreme Court’s position in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>.</w:t>
      </w:r>
    </w:p>
    <w:p w14:paraId="5127ECF3" w14:textId="77777777" w:rsidR="006A7F90" w:rsidRPr="006A7F90" w:rsidRDefault="006A7F90" w:rsidP="002B6C8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It clarified that </w:t>
      </w:r>
      <w:r w:rsidRPr="006A7F90">
        <w:rPr>
          <w:rFonts w:ascii="Times New Roman" w:hAnsi="Times New Roman"/>
          <w:b/>
          <w:bCs/>
          <w:lang w:val="en-HK"/>
        </w:rPr>
        <w:t>novus actus interveniens will not absolve a trustee or solicitor of liability if their breach directly facilitated the loss</w:t>
      </w:r>
      <w:r w:rsidRPr="006A7F90">
        <w:rPr>
          <w:rFonts w:ascii="Times New Roman" w:hAnsi="Times New Roman"/>
          <w:lang w:val="en-HK"/>
        </w:rPr>
        <w:t>.</w:t>
      </w:r>
    </w:p>
    <w:p w14:paraId="03BA0404" w14:textId="77777777" w:rsidR="006A7F90" w:rsidRPr="006A7F90" w:rsidRDefault="006A7F90" w:rsidP="002B6C8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However, the judgment </w:t>
      </w:r>
      <w:r w:rsidRPr="006A7F90">
        <w:rPr>
          <w:rFonts w:ascii="Times New Roman" w:hAnsi="Times New Roman"/>
          <w:b/>
          <w:bCs/>
          <w:lang w:val="en-HK"/>
        </w:rPr>
        <w:t>did not fully address how causation should be assessed in cases involving mixed wrongdoing (i.e., breaches by both the trustee and third parties)</w:t>
      </w:r>
      <w:r w:rsidRPr="006A7F90">
        <w:rPr>
          <w:rFonts w:ascii="Times New Roman" w:hAnsi="Times New Roman"/>
          <w:lang w:val="en-HK"/>
        </w:rPr>
        <w:t>.</w:t>
      </w:r>
    </w:p>
    <w:p w14:paraId="1238C9D9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2.8 Conclusion of the First Instance Decision</w:t>
      </w:r>
    </w:p>
    <w:p w14:paraId="27A44CBF" w14:textId="77777777" w:rsidR="006A7F90" w:rsidRPr="006A7F90" w:rsidRDefault="006A7F90" w:rsidP="002B6C8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lastRenderedPageBreak/>
        <w:t xml:space="preserve">The </w:t>
      </w:r>
      <w:r w:rsidRPr="006A7F90">
        <w:rPr>
          <w:rFonts w:ascii="Times New Roman" w:hAnsi="Times New Roman"/>
          <w:b/>
          <w:bCs/>
          <w:lang w:val="en-HK"/>
        </w:rPr>
        <w:t>High Court’s decision set a precedent</w:t>
      </w:r>
      <w:r w:rsidRPr="006A7F90">
        <w:rPr>
          <w:rFonts w:ascii="Times New Roman" w:hAnsi="Times New Roman"/>
          <w:lang w:val="en-HK"/>
        </w:rPr>
        <w:t xml:space="preserve"> for how causation should be applied in fiduciary breach cases.</w:t>
      </w:r>
    </w:p>
    <w:p w14:paraId="6520F6BA" w14:textId="77777777" w:rsidR="006A7F90" w:rsidRPr="006A7F90" w:rsidRDefault="006A7F90" w:rsidP="002B6C8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ruling </w:t>
      </w:r>
      <w:r w:rsidRPr="006A7F90">
        <w:rPr>
          <w:rFonts w:ascii="Times New Roman" w:hAnsi="Times New Roman"/>
          <w:b/>
          <w:bCs/>
          <w:lang w:val="en-HK"/>
        </w:rPr>
        <w:t>expanded the scope of equitable compensation</w:t>
      </w:r>
      <w:r w:rsidRPr="006A7F90">
        <w:rPr>
          <w:rFonts w:ascii="Times New Roman" w:hAnsi="Times New Roman"/>
          <w:lang w:val="en-HK"/>
        </w:rPr>
        <w:t>, holding trustees liable even in cases where third-party fraud was present.</w:t>
      </w:r>
    </w:p>
    <w:p w14:paraId="4FCDAFEA" w14:textId="3C3856D2" w:rsidR="006A7F90" w:rsidRPr="006A7F90" w:rsidRDefault="006A7F90" w:rsidP="002B6C81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However, the judgment left </w:t>
      </w:r>
      <w:r w:rsidRPr="006A7F90">
        <w:rPr>
          <w:rFonts w:ascii="Times New Roman" w:hAnsi="Times New Roman"/>
          <w:b/>
          <w:bCs/>
          <w:lang w:val="en-HK"/>
        </w:rPr>
        <w:t>ambiguity in the application of the AIB causation rule</w:t>
      </w:r>
      <w:r w:rsidRPr="006A7F90">
        <w:rPr>
          <w:rFonts w:ascii="Times New Roman" w:hAnsi="Times New Roman"/>
          <w:lang w:val="en-HK"/>
        </w:rPr>
        <w:t>, a matter that would later be addressed by the Court of Appeal.</w:t>
      </w:r>
    </w:p>
    <w:p w14:paraId="20E27336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Final Observations</w:t>
      </w:r>
    </w:p>
    <w:p w14:paraId="2A6A91DF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This section of the document highlights the </w:t>
      </w:r>
      <w:r w:rsidRPr="006A7F90">
        <w:rPr>
          <w:rFonts w:ascii="Times New Roman" w:hAnsi="Times New Roman"/>
          <w:b/>
          <w:bCs/>
          <w:lang w:val="en-HK"/>
        </w:rPr>
        <w:t>rigorous fiduciary duties imposed on solicitors</w:t>
      </w:r>
      <w:r w:rsidRPr="006A7F90">
        <w:rPr>
          <w:rFonts w:ascii="Times New Roman" w:hAnsi="Times New Roman"/>
          <w:lang w:val="en-HK"/>
        </w:rPr>
        <w:t xml:space="preserve"> and the </w:t>
      </w:r>
      <w:r w:rsidRPr="006A7F90">
        <w:rPr>
          <w:rFonts w:ascii="Times New Roman" w:hAnsi="Times New Roman"/>
          <w:b/>
          <w:bCs/>
          <w:lang w:val="en-HK"/>
        </w:rPr>
        <w:t>strict causation principles</w:t>
      </w:r>
      <w:r w:rsidRPr="006A7F90">
        <w:rPr>
          <w:rFonts w:ascii="Times New Roman" w:hAnsi="Times New Roman"/>
          <w:lang w:val="en-HK"/>
        </w:rPr>
        <w:t xml:space="preserve"> applicable to equitable compensation. </w:t>
      </w:r>
      <w:proofErr w:type="spellStart"/>
      <w:r w:rsidRPr="006A7F90">
        <w:rPr>
          <w:rFonts w:ascii="Times New Roman" w:hAnsi="Times New Roman"/>
          <w:lang w:val="en-HK"/>
        </w:rPr>
        <w:t>Foskett</w:t>
      </w:r>
      <w:proofErr w:type="spellEnd"/>
      <w:r w:rsidRPr="006A7F90">
        <w:rPr>
          <w:rFonts w:ascii="Times New Roman" w:hAnsi="Times New Roman"/>
          <w:lang w:val="en-HK"/>
        </w:rPr>
        <w:t xml:space="preserve"> J’s reasoning aligns with </w:t>
      </w:r>
      <w:r w:rsidRPr="006A7F90">
        <w:rPr>
          <w:rFonts w:ascii="Times New Roman" w:hAnsi="Times New Roman"/>
          <w:b/>
          <w:bCs/>
          <w:lang w:val="en-HK"/>
        </w:rPr>
        <w:t>traditional equitable principles</w:t>
      </w:r>
      <w:r w:rsidRPr="006A7F90">
        <w:rPr>
          <w:rFonts w:ascii="Times New Roman" w:hAnsi="Times New Roman"/>
          <w:lang w:val="en-HK"/>
        </w:rPr>
        <w:t xml:space="preserve">, but it also raises important questions about the extent to which external factors should influence the assessment of causation. The decision played a crucial role in shaping the subsequent Court of Appeal ruling, which sought to refine the </w:t>
      </w:r>
      <w:r w:rsidRPr="006A7F90">
        <w:rPr>
          <w:rFonts w:ascii="Times New Roman" w:hAnsi="Times New Roman"/>
          <w:b/>
          <w:bCs/>
          <w:lang w:val="en-HK"/>
        </w:rPr>
        <w:t>application of causation tests in fiduciary law</w:t>
      </w:r>
      <w:r w:rsidRPr="006A7F90">
        <w:rPr>
          <w:rFonts w:ascii="Times New Roman" w:hAnsi="Times New Roman"/>
          <w:lang w:val="en-HK"/>
        </w:rPr>
        <w:t>.</w:t>
      </w:r>
    </w:p>
    <w:p w14:paraId="14F76E28" w14:textId="54CF6BA9" w:rsidR="006A7F90" w:rsidRPr="002B6C81" w:rsidRDefault="001D07B2" w:rsidP="002B6C81">
      <w:pPr>
        <w:spacing w:line="360" w:lineRule="auto"/>
        <w:rPr>
          <w:lang w:val="en-US"/>
        </w:rPr>
      </w:pPr>
      <w:r w:rsidRPr="001D07B2">
        <w:rPr>
          <w:rFonts w:ascii="Times New Roman" w:hAnsi="Times New Roman"/>
          <w:noProof/>
          <w:lang w:val="en-HK"/>
          <w14:ligatures w14:val="standardContextual"/>
        </w:rPr>
        <w:pict w14:anchorId="34620A9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D67E6E6" w14:textId="3EFC67A4" w:rsidR="006A7F90" w:rsidRPr="006A7F90" w:rsidRDefault="006A7F90" w:rsidP="002B6C81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 xml:space="preserve">3. </w:t>
      </w:r>
      <w:r w:rsidRPr="006A7F90">
        <w:rPr>
          <w:rFonts w:ascii="Times New Roman" w:hAnsi="Times New Roman"/>
          <w:b/>
          <w:bCs/>
          <w:lang w:val="en-HK"/>
        </w:rPr>
        <w:t>The Decision in the Court of Appeal</w:t>
      </w:r>
    </w:p>
    <w:p w14:paraId="6611CE9C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Court of Appeal’s judgment in </w:t>
      </w:r>
      <w:r w:rsidRPr="006A7F90">
        <w:rPr>
          <w:rFonts w:ascii="Times New Roman" w:hAnsi="Times New Roman"/>
          <w:i/>
          <w:iCs/>
          <w:lang w:val="en-HK"/>
        </w:rPr>
        <w:t xml:space="preserve">Various Claimants v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i/>
          <w:iCs/>
          <w:lang w:val="en-HK"/>
        </w:rPr>
        <w:t xml:space="preserve"> &amp; Law</w:t>
      </w:r>
      <w:r w:rsidRPr="006A7F90">
        <w:rPr>
          <w:rFonts w:ascii="Times New Roman" w:hAnsi="Times New Roman"/>
          <w:lang w:val="en-HK"/>
        </w:rPr>
        <w:t xml:space="preserve"> [2017] EWCA </w:t>
      </w:r>
      <w:proofErr w:type="spellStart"/>
      <w:r w:rsidRPr="006A7F90">
        <w:rPr>
          <w:rFonts w:ascii="Times New Roman" w:hAnsi="Times New Roman"/>
          <w:lang w:val="en-HK"/>
        </w:rPr>
        <w:t>Civ</w:t>
      </w:r>
      <w:proofErr w:type="spellEnd"/>
      <w:r w:rsidRPr="006A7F90">
        <w:rPr>
          <w:rFonts w:ascii="Times New Roman" w:hAnsi="Times New Roman"/>
          <w:lang w:val="en-HK"/>
        </w:rPr>
        <w:t xml:space="preserve"> 1193 sought to clarify the </w:t>
      </w:r>
      <w:r w:rsidRPr="006A7F90">
        <w:rPr>
          <w:rFonts w:ascii="Times New Roman" w:hAnsi="Times New Roman"/>
          <w:b/>
          <w:bCs/>
          <w:lang w:val="en-HK"/>
        </w:rPr>
        <w:t>causation requirements in equitable compensation</w:t>
      </w:r>
      <w:r w:rsidRPr="006A7F90">
        <w:rPr>
          <w:rFonts w:ascii="Times New Roman" w:hAnsi="Times New Roman"/>
          <w:lang w:val="en-HK"/>
        </w:rPr>
        <w:t xml:space="preserve">, particularly in cases where third-party wrongdoing plays a role in a claimant’s loss. Lord Justice Jackson delivered the leading judgment, addressing whether the </w:t>
      </w:r>
      <w:r w:rsidRPr="006A7F90">
        <w:rPr>
          <w:rFonts w:ascii="Times New Roman" w:hAnsi="Times New Roman"/>
          <w:b/>
          <w:bCs/>
          <w:lang w:val="en-HK"/>
        </w:rPr>
        <w:t xml:space="preserve">principles of causation established in </w:t>
      </w:r>
      <w:r w:rsidRPr="006A7F90">
        <w:rPr>
          <w:rFonts w:ascii="Times New Roman" w:hAnsi="Times New Roman"/>
          <w:b/>
          <w:bCs/>
          <w:i/>
          <w:iCs/>
          <w:lang w:val="en-HK"/>
        </w:rPr>
        <w:t xml:space="preserve">AIB Group (UK) Plc v Mark </w:t>
      </w:r>
      <w:proofErr w:type="spellStart"/>
      <w:r w:rsidRPr="006A7F90">
        <w:rPr>
          <w:rFonts w:ascii="Times New Roman" w:hAnsi="Times New Roman"/>
          <w:b/>
          <w:bCs/>
          <w:i/>
          <w:iCs/>
          <w:lang w:val="en-HK"/>
        </w:rPr>
        <w:t>Redler</w:t>
      </w:r>
      <w:proofErr w:type="spellEnd"/>
      <w:r w:rsidRPr="006A7F90">
        <w:rPr>
          <w:rFonts w:ascii="Times New Roman" w:hAnsi="Times New Roman"/>
          <w:b/>
          <w:bCs/>
          <w:i/>
          <w:iCs/>
          <w:lang w:val="en-HK"/>
        </w:rPr>
        <w:t xml:space="preserve"> &amp; Co Solicitors</w:t>
      </w:r>
      <w:r w:rsidRPr="006A7F90">
        <w:rPr>
          <w:rFonts w:ascii="Times New Roman" w:hAnsi="Times New Roman"/>
          <w:b/>
          <w:bCs/>
          <w:lang w:val="en-HK"/>
        </w:rPr>
        <w:t xml:space="preserve"> [2014] UKSC 58 (AIB)</w:t>
      </w:r>
      <w:r w:rsidRPr="006A7F90">
        <w:rPr>
          <w:rFonts w:ascii="Times New Roman" w:hAnsi="Times New Roman"/>
          <w:lang w:val="en-HK"/>
        </w:rPr>
        <w:t xml:space="preserve"> applied and whether the solicitors’ breach was the </w:t>
      </w:r>
      <w:r w:rsidRPr="006A7F90">
        <w:rPr>
          <w:rFonts w:ascii="Times New Roman" w:hAnsi="Times New Roman"/>
          <w:b/>
          <w:bCs/>
          <w:lang w:val="en-HK"/>
        </w:rPr>
        <w:t>legal cause of the loss</w:t>
      </w:r>
      <w:r w:rsidRPr="006A7F90">
        <w:rPr>
          <w:rFonts w:ascii="Times New Roman" w:hAnsi="Times New Roman"/>
          <w:lang w:val="en-HK"/>
        </w:rPr>
        <w:t>.</w:t>
      </w:r>
    </w:p>
    <w:p w14:paraId="54301455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3.1 The Key Issue on Appeal</w:t>
      </w:r>
    </w:p>
    <w:p w14:paraId="5388DCAA" w14:textId="77777777" w:rsidR="006A7F90" w:rsidRPr="006A7F90" w:rsidRDefault="006A7F90" w:rsidP="002B6C8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appealed on the grounds that:</w:t>
      </w:r>
    </w:p>
    <w:p w14:paraId="44865327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Court of First Instance </w:t>
      </w:r>
      <w:r w:rsidRPr="006A7F90">
        <w:rPr>
          <w:rFonts w:ascii="Times New Roman" w:hAnsi="Times New Roman"/>
          <w:b/>
          <w:bCs/>
          <w:lang w:val="en-HK"/>
        </w:rPr>
        <w:t>incorrectly applied the causation test</w:t>
      </w:r>
      <w:r w:rsidRPr="006A7F90">
        <w:rPr>
          <w:rFonts w:ascii="Times New Roman" w:hAnsi="Times New Roman"/>
          <w:lang w:val="en-HK"/>
        </w:rPr>
        <w:t xml:space="preserve"> for equitable compensation.</w:t>
      </w:r>
    </w:p>
    <w:p w14:paraId="7030E07F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buyers would have suffered their loss </w:t>
      </w:r>
      <w:r w:rsidRPr="006A7F90">
        <w:rPr>
          <w:rFonts w:ascii="Times New Roman" w:hAnsi="Times New Roman"/>
          <w:b/>
          <w:bCs/>
          <w:lang w:val="en-HK"/>
        </w:rPr>
        <w:t>regardless</w:t>
      </w:r>
      <w:r w:rsidRPr="006A7F90">
        <w:rPr>
          <w:rFonts w:ascii="Times New Roman" w:hAnsi="Times New Roman"/>
          <w:lang w:val="en-HK"/>
        </w:rPr>
        <w:t xml:space="preserve"> of the solicitors’ breach because the developers’ fraud was an </w:t>
      </w:r>
      <w:r w:rsidRPr="006A7F90">
        <w:rPr>
          <w:rFonts w:ascii="Times New Roman" w:hAnsi="Times New Roman"/>
          <w:b/>
          <w:bCs/>
          <w:lang w:val="en-HK"/>
        </w:rPr>
        <w:t>independent and overriding cause</w:t>
      </w:r>
      <w:r w:rsidRPr="006A7F90">
        <w:rPr>
          <w:rFonts w:ascii="Times New Roman" w:hAnsi="Times New Roman"/>
          <w:lang w:val="en-HK"/>
        </w:rPr>
        <w:t>.</w:t>
      </w:r>
    </w:p>
    <w:p w14:paraId="1E216678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lastRenderedPageBreak/>
        <w:t xml:space="preserve">Therefore, </w:t>
      </w: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</w:t>
      </w:r>
      <w:r w:rsidRPr="006A7F90">
        <w:rPr>
          <w:rFonts w:ascii="Times New Roman" w:hAnsi="Times New Roman"/>
          <w:b/>
          <w:bCs/>
          <w:lang w:val="en-HK"/>
        </w:rPr>
        <w:t>should not be liable for the entire loss</w:t>
      </w:r>
      <w:r w:rsidRPr="006A7F90">
        <w:rPr>
          <w:rFonts w:ascii="Times New Roman" w:hAnsi="Times New Roman"/>
          <w:lang w:val="en-HK"/>
        </w:rPr>
        <w:t>, as the breach merely exposed the buyers to an existing risk rather than actively causing the loss.</w:t>
      </w:r>
    </w:p>
    <w:p w14:paraId="0264C684" w14:textId="77777777" w:rsidR="006A7F90" w:rsidRPr="006A7F90" w:rsidRDefault="006A7F90" w:rsidP="002B6C81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</w:t>
      </w:r>
      <w:r w:rsidRPr="006A7F90">
        <w:rPr>
          <w:rFonts w:ascii="Times New Roman" w:hAnsi="Times New Roman"/>
          <w:b/>
          <w:bCs/>
          <w:lang w:val="en-HK"/>
        </w:rPr>
        <w:t>Court of Appeal had to determine</w:t>
      </w:r>
      <w:r w:rsidRPr="006A7F90">
        <w:rPr>
          <w:rFonts w:ascii="Times New Roman" w:hAnsi="Times New Roman"/>
          <w:lang w:val="en-HK"/>
        </w:rPr>
        <w:t>:</w:t>
      </w:r>
    </w:p>
    <w:p w14:paraId="6F205CEA" w14:textId="77777777" w:rsidR="006A7F90" w:rsidRPr="006A7F90" w:rsidRDefault="006A7F90" w:rsidP="002B6C81">
      <w:pPr>
        <w:numPr>
          <w:ilvl w:val="1"/>
          <w:numId w:val="20"/>
        </w:numPr>
        <w:spacing w:before="100" w:beforeAutospacing="1" w:after="100" w:afterAutospacing="1" w:line="360" w:lineRule="auto"/>
        <w:ind w:left="1440" w:hanging="360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Whether </w:t>
      </w:r>
      <w:proofErr w:type="spellStart"/>
      <w:r w:rsidRPr="006A7F90">
        <w:rPr>
          <w:rFonts w:ascii="Times New Roman" w:hAnsi="Times New Roman"/>
          <w:lang w:val="en-HK"/>
        </w:rPr>
        <w:t>Giambrone’s</w:t>
      </w:r>
      <w:proofErr w:type="spellEnd"/>
      <w:r w:rsidRPr="006A7F90">
        <w:rPr>
          <w:rFonts w:ascii="Times New Roman" w:hAnsi="Times New Roman"/>
          <w:lang w:val="en-HK"/>
        </w:rPr>
        <w:t xml:space="preserve"> breach satisfied the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but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>-for test</w:t>
      </w:r>
      <w:r w:rsidRPr="006A7F90">
        <w:rPr>
          <w:rFonts w:ascii="Times New Roman" w:hAnsi="Times New Roman"/>
          <w:lang w:val="en-HK"/>
        </w:rPr>
        <w:t>.</w:t>
      </w:r>
    </w:p>
    <w:p w14:paraId="4799683B" w14:textId="77777777" w:rsidR="006A7F90" w:rsidRPr="006A7F90" w:rsidRDefault="006A7F90" w:rsidP="002B6C81">
      <w:pPr>
        <w:numPr>
          <w:ilvl w:val="1"/>
          <w:numId w:val="20"/>
        </w:numPr>
        <w:spacing w:before="100" w:beforeAutospacing="1" w:after="100" w:afterAutospacing="1" w:line="360" w:lineRule="auto"/>
        <w:ind w:left="1440" w:hanging="360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Whether the fraudulent conduct of the developers constituted a </w:t>
      </w:r>
      <w:r w:rsidRPr="006A7F90">
        <w:rPr>
          <w:rFonts w:ascii="Times New Roman" w:hAnsi="Times New Roman"/>
          <w:b/>
          <w:bCs/>
          <w:lang w:val="en-HK"/>
        </w:rPr>
        <w:t>novus actus interveniens</w:t>
      </w:r>
      <w:r w:rsidRPr="006A7F90">
        <w:rPr>
          <w:rFonts w:ascii="Times New Roman" w:hAnsi="Times New Roman"/>
          <w:lang w:val="en-HK"/>
        </w:rPr>
        <w:t>, severing causation.</w:t>
      </w:r>
    </w:p>
    <w:p w14:paraId="63408D80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3.2 Jackson LJ’s Application of AIB</w:t>
      </w:r>
    </w:p>
    <w:p w14:paraId="3E81612F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Jackson LJ </w:t>
      </w:r>
      <w:r w:rsidRPr="006A7F90">
        <w:rPr>
          <w:rFonts w:ascii="Times New Roman" w:hAnsi="Times New Roman"/>
          <w:b/>
          <w:bCs/>
          <w:lang w:val="en-HK"/>
        </w:rPr>
        <w:t>accepted that AIB was the leading authority</w:t>
      </w:r>
      <w:r w:rsidRPr="006A7F90">
        <w:rPr>
          <w:rFonts w:ascii="Times New Roman" w:hAnsi="Times New Roman"/>
          <w:lang w:val="en-HK"/>
        </w:rPr>
        <w:t xml:space="preserve"> on causation in equitable compensation but </w:t>
      </w:r>
      <w:r w:rsidRPr="006A7F90">
        <w:rPr>
          <w:rFonts w:ascii="Times New Roman" w:hAnsi="Times New Roman"/>
          <w:b/>
          <w:bCs/>
          <w:lang w:val="en-HK"/>
        </w:rPr>
        <w:t xml:space="preserve">distinguished it from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>.</w:t>
      </w:r>
    </w:p>
    <w:p w14:paraId="047A2151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He summarised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 as establishing that:</w:t>
      </w:r>
    </w:p>
    <w:p w14:paraId="5C5CE0B6" w14:textId="77777777" w:rsidR="006A7F90" w:rsidRPr="006A7F90" w:rsidRDefault="006A7F90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“Equitable compensation should not be assessed by reference to strict liability but should instead take account of actual loss caused by the breach” (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 at [135]).</w:t>
      </w:r>
    </w:p>
    <w:p w14:paraId="7225A079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He then applied the </w:t>
      </w:r>
      <w:r w:rsidRPr="006A7F90">
        <w:rPr>
          <w:rFonts w:ascii="Times New Roman" w:hAnsi="Times New Roman"/>
          <w:b/>
          <w:bCs/>
          <w:lang w:val="en-HK"/>
        </w:rPr>
        <w:t>two-stage causation test from AIB</w:t>
      </w:r>
      <w:r w:rsidRPr="006A7F90">
        <w:rPr>
          <w:rFonts w:ascii="Times New Roman" w:hAnsi="Times New Roman"/>
          <w:lang w:val="en-HK"/>
        </w:rPr>
        <w:t>:</w:t>
      </w:r>
    </w:p>
    <w:p w14:paraId="288A338D" w14:textId="77777777" w:rsidR="006A7F90" w:rsidRPr="006A7F90" w:rsidRDefault="006A7F90" w:rsidP="002B6C81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The But-For Test</w:t>
      </w:r>
      <w:r w:rsidRPr="006A7F90">
        <w:rPr>
          <w:rFonts w:ascii="Times New Roman" w:hAnsi="Times New Roman"/>
          <w:lang w:val="en-HK"/>
        </w:rPr>
        <w:t xml:space="preserve"> – Did the claimants suffer their loss because of </w:t>
      </w:r>
      <w:proofErr w:type="spellStart"/>
      <w:r w:rsidRPr="006A7F90">
        <w:rPr>
          <w:rFonts w:ascii="Times New Roman" w:hAnsi="Times New Roman"/>
          <w:lang w:val="en-HK"/>
        </w:rPr>
        <w:t>Giambrone’s</w:t>
      </w:r>
      <w:proofErr w:type="spellEnd"/>
      <w:r w:rsidRPr="006A7F90">
        <w:rPr>
          <w:rFonts w:ascii="Times New Roman" w:hAnsi="Times New Roman"/>
          <w:lang w:val="en-HK"/>
        </w:rPr>
        <w:t xml:space="preserve"> breach?</w:t>
      </w:r>
    </w:p>
    <w:p w14:paraId="58E869C9" w14:textId="77777777" w:rsidR="006A7F90" w:rsidRPr="006A7F90" w:rsidRDefault="006A7F90" w:rsidP="002B6C81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The Novus Actus Interveniens Test</w:t>
      </w:r>
      <w:r w:rsidRPr="006A7F90">
        <w:rPr>
          <w:rFonts w:ascii="Times New Roman" w:hAnsi="Times New Roman"/>
          <w:lang w:val="en-HK"/>
        </w:rPr>
        <w:t xml:space="preserve"> – Was the developers’ fraud a supervening event that broke the chain of causation?</w:t>
      </w:r>
    </w:p>
    <w:p w14:paraId="672F1B62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 xml:space="preserve">Jackson LJ held that the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but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>-for test was satisfied</w:t>
      </w:r>
      <w:r w:rsidRPr="006A7F90">
        <w:rPr>
          <w:rFonts w:ascii="Times New Roman" w:hAnsi="Times New Roman"/>
          <w:lang w:val="en-HK"/>
        </w:rPr>
        <w:t>, as:</w:t>
      </w:r>
    </w:p>
    <w:p w14:paraId="153A76DD" w14:textId="77777777" w:rsidR="006A7F90" w:rsidRPr="006A7F90" w:rsidRDefault="006A7F90" w:rsidP="002B6C81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Had </w:t>
      </w: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complied with its duty, the funds would have remained in escrow.</w:t>
      </w:r>
    </w:p>
    <w:p w14:paraId="7EEEC436" w14:textId="77777777" w:rsidR="006A7F90" w:rsidRPr="006A7F90" w:rsidRDefault="006A7F90" w:rsidP="002B6C81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buyers would not have transferred deposits </w:t>
      </w:r>
      <w:r w:rsidRPr="006A7F90">
        <w:rPr>
          <w:rFonts w:ascii="Times New Roman" w:hAnsi="Times New Roman"/>
          <w:b/>
          <w:bCs/>
          <w:lang w:val="en-HK"/>
        </w:rPr>
        <w:t>without legally compliant guarantees</w:t>
      </w:r>
      <w:r w:rsidRPr="006A7F90">
        <w:rPr>
          <w:rFonts w:ascii="Times New Roman" w:hAnsi="Times New Roman"/>
          <w:lang w:val="en-HK"/>
        </w:rPr>
        <w:t>.</w:t>
      </w:r>
    </w:p>
    <w:p w14:paraId="28EA5A35" w14:textId="77777777" w:rsidR="006A7F90" w:rsidRPr="006A7F90" w:rsidRDefault="006A7F90" w:rsidP="002B6C81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</w:t>
      </w:r>
      <w:r w:rsidRPr="006A7F90">
        <w:rPr>
          <w:rFonts w:ascii="Times New Roman" w:hAnsi="Times New Roman"/>
          <w:b/>
          <w:bCs/>
          <w:lang w:val="en-HK"/>
        </w:rPr>
        <w:t>breach was therefore a necessary precondition</w:t>
      </w:r>
      <w:r w:rsidRPr="006A7F90">
        <w:rPr>
          <w:rFonts w:ascii="Times New Roman" w:hAnsi="Times New Roman"/>
          <w:lang w:val="en-HK"/>
        </w:rPr>
        <w:t xml:space="preserve"> for the loss.</w:t>
      </w:r>
    </w:p>
    <w:p w14:paraId="41937035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3.3 The Court’s Analysis of Novus Actus Interveniens</w:t>
      </w:r>
    </w:p>
    <w:p w14:paraId="504469A2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key dispute was whether the </w:t>
      </w:r>
      <w:r w:rsidRPr="006A7F90">
        <w:rPr>
          <w:rFonts w:ascii="Times New Roman" w:hAnsi="Times New Roman"/>
          <w:b/>
          <w:bCs/>
          <w:lang w:val="en-HK"/>
        </w:rPr>
        <w:t>fraudulent conduct of the developers</w:t>
      </w:r>
      <w:r w:rsidRPr="006A7F90">
        <w:rPr>
          <w:rFonts w:ascii="Times New Roman" w:hAnsi="Times New Roman"/>
          <w:lang w:val="en-HK"/>
        </w:rPr>
        <w:t xml:space="preserve"> was a </w:t>
      </w:r>
      <w:r w:rsidRPr="006A7F90">
        <w:rPr>
          <w:rFonts w:ascii="Times New Roman" w:hAnsi="Times New Roman"/>
          <w:b/>
          <w:bCs/>
          <w:lang w:val="en-HK"/>
        </w:rPr>
        <w:t>novus actus interveniens</w:t>
      </w:r>
      <w:r w:rsidRPr="006A7F90">
        <w:rPr>
          <w:rFonts w:ascii="Times New Roman" w:hAnsi="Times New Roman"/>
          <w:lang w:val="en-HK"/>
        </w:rPr>
        <w:t xml:space="preserve">, relieving </w:t>
      </w: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of liability.</w:t>
      </w:r>
    </w:p>
    <w:p w14:paraId="6B955785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argued that:</w:t>
      </w:r>
    </w:p>
    <w:p w14:paraId="5B4B8A31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fraud was the </w:t>
      </w:r>
      <w:r w:rsidRPr="006A7F90">
        <w:rPr>
          <w:rFonts w:ascii="Times New Roman" w:hAnsi="Times New Roman"/>
          <w:b/>
          <w:bCs/>
          <w:lang w:val="en-HK"/>
        </w:rPr>
        <w:t>true cause</w:t>
      </w:r>
      <w:r w:rsidRPr="006A7F90">
        <w:rPr>
          <w:rFonts w:ascii="Times New Roman" w:hAnsi="Times New Roman"/>
          <w:lang w:val="en-HK"/>
        </w:rPr>
        <w:t xml:space="preserve"> of the loss, </w:t>
      </w:r>
      <w:r w:rsidRPr="006A7F90">
        <w:rPr>
          <w:rFonts w:ascii="Times New Roman" w:hAnsi="Times New Roman"/>
          <w:b/>
          <w:bCs/>
          <w:lang w:val="en-HK"/>
        </w:rPr>
        <w:t>not the breach of fiduciary duty</w:t>
      </w:r>
      <w:r w:rsidRPr="006A7F90">
        <w:rPr>
          <w:rFonts w:ascii="Times New Roman" w:hAnsi="Times New Roman"/>
          <w:lang w:val="en-HK"/>
        </w:rPr>
        <w:t>.</w:t>
      </w:r>
    </w:p>
    <w:p w14:paraId="7C0163D2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lastRenderedPageBreak/>
        <w:t xml:space="preserve">Even if </w:t>
      </w: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had complied with its obligations, the buyers </w:t>
      </w:r>
      <w:r w:rsidRPr="006A7F90">
        <w:rPr>
          <w:rFonts w:ascii="Times New Roman" w:hAnsi="Times New Roman"/>
          <w:b/>
          <w:bCs/>
          <w:lang w:val="en-HK"/>
        </w:rPr>
        <w:t>would still have lost their deposits</w:t>
      </w:r>
      <w:r w:rsidRPr="006A7F90">
        <w:rPr>
          <w:rFonts w:ascii="Times New Roman" w:hAnsi="Times New Roman"/>
          <w:lang w:val="en-HK"/>
        </w:rPr>
        <w:t xml:space="preserve"> because the developers never intended to complete the project.</w:t>
      </w:r>
    </w:p>
    <w:p w14:paraId="5C5F7050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Court should apply the </w:t>
      </w:r>
      <w:r w:rsidRPr="006A7F90">
        <w:rPr>
          <w:rFonts w:ascii="Times New Roman" w:hAnsi="Times New Roman"/>
          <w:b/>
          <w:bCs/>
          <w:lang w:val="en-HK"/>
        </w:rPr>
        <w:t>intervening cause analysis from tort law</w:t>
      </w:r>
      <w:r w:rsidRPr="006A7F90">
        <w:rPr>
          <w:rFonts w:ascii="Times New Roman" w:hAnsi="Times New Roman"/>
          <w:lang w:val="en-HK"/>
        </w:rPr>
        <w:t>, where external fraud may break the chain of causation.</w:t>
      </w:r>
    </w:p>
    <w:p w14:paraId="5464A506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Jackson LJ rejected this argument, reasoning that:</w:t>
      </w:r>
    </w:p>
    <w:p w14:paraId="341BA99A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A fiduciary cannot </w:t>
      </w:r>
      <w:r w:rsidRPr="006A7F90">
        <w:rPr>
          <w:rFonts w:ascii="Times New Roman" w:hAnsi="Times New Roman"/>
          <w:b/>
          <w:bCs/>
          <w:lang w:val="en-HK"/>
        </w:rPr>
        <w:t>escape liability by pointing to foreseeable misconduct by third parties</w:t>
      </w:r>
      <w:r w:rsidRPr="006A7F90">
        <w:rPr>
          <w:rFonts w:ascii="Times New Roman" w:hAnsi="Times New Roman"/>
          <w:lang w:val="en-HK"/>
        </w:rPr>
        <w:t>.</w:t>
      </w:r>
    </w:p>
    <w:p w14:paraId="24464B4B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loss </w:t>
      </w:r>
      <w:r w:rsidRPr="006A7F90">
        <w:rPr>
          <w:rFonts w:ascii="Times New Roman" w:hAnsi="Times New Roman"/>
          <w:b/>
          <w:bCs/>
          <w:lang w:val="en-HK"/>
        </w:rPr>
        <w:t>flowed directly</w:t>
      </w:r>
      <w:r w:rsidRPr="006A7F90">
        <w:rPr>
          <w:rFonts w:ascii="Times New Roman" w:hAnsi="Times New Roman"/>
          <w:lang w:val="en-HK"/>
        </w:rPr>
        <w:t xml:space="preserve"> from </w:t>
      </w:r>
      <w:proofErr w:type="spellStart"/>
      <w:r w:rsidRPr="006A7F90">
        <w:rPr>
          <w:rFonts w:ascii="Times New Roman" w:hAnsi="Times New Roman"/>
          <w:lang w:val="en-HK"/>
        </w:rPr>
        <w:t>Giambrone’s</w:t>
      </w:r>
      <w:proofErr w:type="spellEnd"/>
      <w:r w:rsidRPr="006A7F90">
        <w:rPr>
          <w:rFonts w:ascii="Times New Roman" w:hAnsi="Times New Roman"/>
          <w:lang w:val="en-HK"/>
        </w:rPr>
        <w:t xml:space="preserve"> actions, as the buyers’ deposits would not have been released </w:t>
      </w:r>
      <w:r w:rsidRPr="006A7F90">
        <w:rPr>
          <w:rFonts w:ascii="Times New Roman" w:hAnsi="Times New Roman"/>
          <w:b/>
          <w:bCs/>
          <w:lang w:val="en-HK"/>
        </w:rPr>
        <w:t>but for</w:t>
      </w:r>
      <w:r w:rsidRPr="006A7F90">
        <w:rPr>
          <w:rFonts w:ascii="Times New Roman" w:hAnsi="Times New Roman"/>
          <w:lang w:val="en-HK"/>
        </w:rPr>
        <w:t xml:space="preserve"> the firm’s breach.</w:t>
      </w:r>
    </w:p>
    <w:p w14:paraId="37C347A0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fraud was </w:t>
      </w:r>
      <w:r w:rsidRPr="006A7F90">
        <w:rPr>
          <w:rFonts w:ascii="Times New Roman" w:hAnsi="Times New Roman"/>
          <w:b/>
          <w:bCs/>
          <w:lang w:val="en-HK"/>
        </w:rPr>
        <w:t>not an independent act</w:t>
      </w:r>
      <w:r w:rsidRPr="006A7F90">
        <w:rPr>
          <w:rFonts w:ascii="Times New Roman" w:hAnsi="Times New Roman"/>
          <w:lang w:val="en-HK"/>
        </w:rPr>
        <w:t xml:space="preserve"> but rather an event </w:t>
      </w:r>
      <w:r w:rsidRPr="006A7F90">
        <w:rPr>
          <w:rFonts w:ascii="Times New Roman" w:hAnsi="Times New Roman"/>
          <w:b/>
          <w:bCs/>
          <w:lang w:val="en-HK"/>
        </w:rPr>
        <w:t>enabled by</w:t>
      </w:r>
      <w:r w:rsidRPr="006A7F90">
        <w:rPr>
          <w:rFonts w:ascii="Times New Roman" w:hAnsi="Times New Roman"/>
          <w:lang w:val="en-HK"/>
        </w:rPr>
        <w:t xml:space="preserve"> </w:t>
      </w:r>
      <w:proofErr w:type="spellStart"/>
      <w:r w:rsidRPr="006A7F90">
        <w:rPr>
          <w:rFonts w:ascii="Times New Roman" w:hAnsi="Times New Roman"/>
          <w:lang w:val="en-HK"/>
        </w:rPr>
        <w:t>Giambrone’s</w:t>
      </w:r>
      <w:proofErr w:type="spellEnd"/>
      <w:r w:rsidRPr="006A7F90">
        <w:rPr>
          <w:rFonts w:ascii="Times New Roman" w:hAnsi="Times New Roman"/>
          <w:lang w:val="en-HK"/>
        </w:rPr>
        <w:t xml:space="preserve"> failure to safeguard the funds.</w:t>
      </w:r>
    </w:p>
    <w:p w14:paraId="599F949F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Jackson LJ cited </w:t>
      </w:r>
      <w:r w:rsidRPr="006A7F90">
        <w:rPr>
          <w:rFonts w:ascii="Times New Roman" w:hAnsi="Times New Roman"/>
          <w:i/>
          <w:iCs/>
          <w:lang w:val="en-HK"/>
        </w:rPr>
        <w:t>Brickenden v London Loan &amp; Savings Co</w:t>
      </w:r>
      <w:r w:rsidRPr="006A7F90">
        <w:rPr>
          <w:rFonts w:ascii="Times New Roman" w:hAnsi="Times New Roman"/>
          <w:lang w:val="en-HK"/>
        </w:rPr>
        <w:t xml:space="preserve"> [1934] 3 DLR 465 (PC), where the </w:t>
      </w:r>
      <w:r w:rsidRPr="006A7F90">
        <w:rPr>
          <w:rFonts w:ascii="Times New Roman" w:hAnsi="Times New Roman"/>
          <w:b/>
          <w:bCs/>
          <w:lang w:val="en-HK"/>
        </w:rPr>
        <w:t>Privy Council</w:t>
      </w:r>
      <w:r w:rsidRPr="006A7F90">
        <w:rPr>
          <w:rFonts w:ascii="Times New Roman" w:hAnsi="Times New Roman"/>
          <w:lang w:val="en-HK"/>
        </w:rPr>
        <w:t xml:space="preserve"> held that:</w:t>
      </w:r>
    </w:p>
    <w:p w14:paraId="5A158D3F" w14:textId="77777777" w:rsidR="006A7F90" w:rsidRPr="006A7F90" w:rsidRDefault="006A7F90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“Where a fiduciary duty is breached, it is no defence to argue that the loss would have occurred in any event” (at 469).</w:t>
      </w:r>
    </w:p>
    <w:p w14:paraId="07D8A2E6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This principle applied directly to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, as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had an active duty to prevent the loss</w:t>
      </w:r>
      <w:r w:rsidRPr="006A7F90">
        <w:rPr>
          <w:rFonts w:ascii="Times New Roman" w:hAnsi="Times New Roman"/>
          <w:lang w:val="en-HK"/>
        </w:rPr>
        <w:t>.</w:t>
      </w:r>
    </w:p>
    <w:p w14:paraId="1CEE1272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 xml:space="preserve">3.4 </w:t>
      </w:r>
      <w:r w:rsidRPr="006A7F90">
        <w:rPr>
          <w:rFonts w:ascii="Times New Roman" w:hAnsi="Times New Roman"/>
          <w:b/>
          <w:bCs/>
          <w:u w:val="single"/>
          <w:lang w:val="en-HK"/>
        </w:rPr>
        <w:t>The Introduction of the Active-Passive Duty Distinction</w:t>
      </w:r>
    </w:p>
    <w:p w14:paraId="74465E6D" w14:textId="77777777" w:rsidR="006A7F90" w:rsidRPr="006A7F90" w:rsidRDefault="006A7F90" w:rsidP="002B6C8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A key aspect of Jackson LJ’s reasoning was the </w:t>
      </w:r>
      <w:r w:rsidRPr="006A7F90">
        <w:rPr>
          <w:rFonts w:ascii="Times New Roman" w:hAnsi="Times New Roman"/>
          <w:b/>
          <w:bCs/>
          <w:lang w:val="en-HK"/>
        </w:rPr>
        <w:t>distinction between active and passive fiduciary duties</w:t>
      </w:r>
      <w:r w:rsidRPr="006A7F90">
        <w:rPr>
          <w:rFonts w:ascii="Times New Roman" w:hAnsi="Times New Roman"/>
          <w:lang w:val="en-HK"/>
        </w:rPr>
        <w:t xml:space="preserve">, which had not been central to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>.</w:t>
      </w:r>
    </w:p>
    <w:p w14:paraId="4AA17295" w14:textId="77777777" w:rsidR="006A7F90" w:rsidRPr="006A7F90" w:rsidRDefault="006A7F90" w:rsidP="002B6C8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/>
          <w:b/>
          <w:bCs/>
          <w:color w:val="FF0000"/>
          <w:lang w:val="en-HK"/>
        </w:rPr>
      </w:pPr>
      <w:r w:rsidRPr="006A7F90">
        <w:rPr>
          <w:rFonts w:ascii="Times New Roman" w:hAnsi="Times New Roman"/>
          <w:b/>
          <w:bCs/>
          <w:color w:val="FF0000"/>
          <w:lang w:val="en-HK"/>
        </w:rPr>
        <w:t>Active duties require a fiduciary to take positive steps to protect a trust or escrow fund.</w:t>
      </w:r>
    </w:p>
    <w:p w14:paraId="2EB5A90E" w14:textId="77777777" w:rsidR="006A7F90" w:rsidRPr="006A7F90" w:rsidRDefault="006A7F90" w:rsidP="002B6C81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/>
          <w:b/>
          <w:bCs/>
          <w:color w:val="FF0000"/>
          <w:lang w:val="en-HK"/>
        </w:rPr>
      </w:pPr>
      <w:r w:rsidRPr="006A7F90">
        <w:rPr>
          <w:rFonts w:ascii="Times New Roman" w:hAnsi="Times New Roman"/>
          <w:b/>
          <w:bCs/>
          <w:color w:val="FF0000"/>
          <w:lang w:val="en-HK"/>
        </w:rPr>
        <w:t xml:space="preserve">Passive duties impose a </w:t>
      </w:r>
      <w:r w:rsidRPr="006A7F90">
        <w:rPr>
          <w:rFonts w:ascii="Times New Roman" w:hAnsi="Times New Roman"/>
          <w:b/>
          <w:bCs/>
          <w:color w:val="FF0000"/>
          <w:u w:val="single"/>
          <w:lang w:val="en-HK"/>
        </w:rPr>
        <w:t>duty not to act in a way that endangers trust assets</w:t>
      </w:r>
      <w:r w:rsidRPr="006A7F90">
        <w:rPr>
          <w:rFonts w:ascii="Times New Roman" w:hAnsi="Times New Roman"/>
          <w:b/>
          <w:bCs/>
          <w:color w:val="FF0000"/>
          <w:lang w:val="en-HK"/>
        </w:rPr>
        <w:t>.</w:t>
      </w:r>
    </w:p>
    <w:p w14:paraId="0A233948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Jackson LJ concluded that:</w:t>
      </w:r>
    </w:p>
    <w:p w14:paraId="045945AB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In </w:t>
      </w:r>
      <w:r w:rsidRPr="006A7F90">
        <w:rPr>
          <w:rFonts w:ascii="Times New Roman" w:hAnsi="Times New Roman"/>
          <w:i/>
          <w:iCs/>
          <w:lang w:val="en-HK"/>
        </w:rPr>
        <w:t>AIB</w:t>
      </w:r>
      <w:r w:rsidRPr="006A7F90">
        <w:rPr>
          <w:rFonts w:ascii="Times New Roman" w:hAnsi="Times New Roman"/>
          <w:lang w:val="en-HK"/>
        </w:rPr>
        <w:t xml:space="preserve">, the solicitors’ duty was </w:t>
      </w:r>
      <w:r w:rsidRPr="006A7F90">
        <w:rPr>
          <w:rFonts w:ascii="Times New Roman" w:hAnsi="Times New Roman"/>
          <w:b/>
          <w:bCs/>
          <w:lang w:val="en-HK"/>
        </w:rPr>
        <w:t>passive</w:t>
      </w:r>
      <w:r w:rsidRPr="006A7F90">
        <w:rPr>
          <w:rFonts w:ascii="Times New Roman" w:hAnsi="Times New Roman"/>
          <w:lang w:val="en-HK"/>
        </w:rPr>
        <w:t xml:space="preserve"> – they merely misapplied funds already at risk.</w:t>
      </w:r>
    </w:p>
    <w:p w14:paraId="6FD261AC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lastRenderedPageBreak/>
        <w:t xml:space="preserve">In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, the duty was </w:t>
      </w:r>
      <w:r w:rsidRPr="006A7F90">
        <w:rPr>
          <w:rFonts w:ascii="Times New Roman" w:hAnsi="Times New Roman"/>
          <w:b/>
          <w:bCs/>
          <w:lang w:val="en-HK"/>
        </w:rPr>
        <w:t>active</w:t>
      </w:r>
      <w:r w:rsidRPr="006A7F90">
        <w:rPr>
          <w:rFonts w:ascii="Times New Roman" w:hAnsi="Times New Roman"/>
          <w:lang w:val="en-HK"/>
        </w:rPr>
        <w:t xml:space="preserve"> – the solicitors had a </w:t>
      </w:r>
      <w:r w:rsidRPr="006A7F90">
        <w:rPr>
          <w:rFonts w:ascii="Times New Roman" w:hAnsi="Times New Roman"/>
          <w:b/>
          <w:bCs/>
          <w:lang w:val="en-HK"/>
        </w:rPr>
        <w:t>specific responsibility to ensure compliance with Decree 122 before transferring funds</w:t>
      </w:r>
      <w:r w:rsidRPr="006A7F90">
        <w:rPr>
          <w:rFonts w:ascii="Times New Roman" w:hAnsi="Times New Roman"/>
          <w:lang w:val="en-HK"/>
        </w:rPr>
        <w:t>.</w:t>
      </w:r>
    </w:p>
    <w:p w14:paraId="74F9F84B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Because </w:t>
      </w: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failed in this </w:t>
      </w:r>
      <w:r w:rsidRPr="006A7F90">
        <w:rPr>
          <w:rFonts w:ascii="Times New Roman" w:hAnsi="Times New Roman"/>
          <w:b/>
          <w:bCs/>
          <w:lang w:val="en-HK"/>
        </w:rPr>
        <w:t>active duty</w:t>
      </w:r>
      <w:r w:rsidRPr="006A7F90">
        <w:rPr>
          <w:rFonts w:ascii="Times New Roman" w:hAnsi="Times New Roman"/>
          <w:lang w:val="en-HK"/>
        </w:rPr>
        <w:t>, the loss could be attributed directly to their breach.</w:t>
      </w:r>
    </w:p>
    <w:p w14:paraId="34B75C58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3.5 The Effect of Foreseeability on Causation</w:t>
      </w:r>
    </w:p>
    <w:p w14:paraId="795E629F" w14:textId="77777777" w:rsidR="006A7F90" w:rsidRPr="006A7F90" w:rsidRDefault="006A7F90" w:rsidP="002B6C81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Court of Appeal considered </w:t>
      </w:r>
      <w:r w:rsidRPr="006A7F90">
        <w:rPr>
          <w:rFonts w:ascii="Times New Roman" w:hAnsi="Times New Roman"/>
          <w:b/>
          <w:bCs/>
          <w:lang w:val="en-HK"/>
        </w:rPr>
        <w:t>whether the loss was foreseeable at the time of breach</w:t>
      </w:r>
      <w:r w:rsidRPr="006A7F90">
        <w:rPr>
          <w:rFonts w:ascii="Times New Roman" w:hAnsi="Times New Roman"/>
          <w:lang w:val="en-HK"/>
        </w:rPr>
        <w:t>.</w:t>
      </w:r>
    </w:p>
    <w:p w14:paraId="34FA78FB" w14:textId="77777777" w:rsidR="006A7F90" w:rsidRPr="006A7F90" w:rsidRDefault="006A7F90" w:rsidP="002B6C81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Jackson LJ held that </w:t>
      </w:r>
      <w:r w:rsidRPr="006A7F90">
        <w:rPr>
          <w:rFonts w:ascii="Times New Roman" w:hAnsi="Times New Roman"/>
          <w:b/>
          <w:bCs/>
          <w:lang w:val="en-HK"/>
        </w:rPr>
        <w:t>foreseeability is not required for equitable compensation</w:t>
      </w:r>
      <w:r w:rsidRPr="006A7F90">
        <w:rPr>
          <w:rFonts w:ascii="Times New Roman" w:hAnsi="Times New Roman"/>
          <w:lang w:val="en-HK"/>
        </w:rPr>
        <w:t xml:space="preserve">, citing </w:t>
      </w:r>
      <w:r w:rsidRPr="006A7F90">
        <w:rPr>
          <w:rFonts w:ascii="Times New Roman" w:hAnsi="Times New Roman"/>
          <w:i/>
          <w:iCs/>
          <w:lang w:val="en-HK"/>
        </w:rPr>
        <w:t>Swindle v Harrison</w:t>
      </w:r>
      <w:r w:rsidRPr="006A7F90">
        <w:rPr>
          <w:rFonts w:ascii="Times New Roman" w:hAnsi="Times New Roman"/>
          <w:lang w:val="en-HK"/>
        </w:rPr>
        <w:t xml:space="preserve"> [1997] 4 All ER 705:</w:t>
      </w:r>
    </w:p>
    <w:p w14:paraId="07FFFB65" w14:textId="77777777" w:rsidR="006A7F90" w:rsidRPr="006A7F90" w:rsidRDefault="006A7F90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“The foreseeability of loss is generally irrelevant in cases of fiduciary breach” (at [720]).</w:t>
      </w:r>
    </w:p>
    <w:p w14:paraId="025C0CBD" w14:textId="77777777" w:rsidR="006A7F90" w:rsidRPr="006A7F90" w:rsidRDefault="006A7F90" w:rsidP="002B6C81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This reinforced that </w:t>
      </w:r>
      <w:r w:rsidRPr="006A7F90">
        <w:rPr>
          <w:rFonts w:ascii="Times New Roman" w:hAnsi="Times New Roman"/>
          <w:b/>
          <w:bCs/>
          <w:lang w:val="en-HK"/>
        </w:rPr>
        <w:t>causation in equitable compensation is stricter than in tort</w:t>
      </w:r>
      <w:r w:rsidRPr="006A7F90">
        <w:rPr>
          <w:rFonts w:ascii="Times New Roman" w:hAnsi="Times New Roman"/>
          <w:lang w:val="en-HK"/>
        </w:rPr>
        <w:t>, where foreseeability plays a crucial role.</w:t>
      </w:r>
    </w:p>
    <w:p w14:paraId="2061673C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 xml:space="preserve">3.6 Rejection of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Giambrone’s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 xml:space="preserve"> Proportional Liability Argument</w:t>
      </w:r>
    </w:p>
    <w:p w14:paraId="53C22198" w14:textId="77777777" w:rsidR="006A7F90" w:rsidRPr="006A7F90" w:rsidRDefault="006A7F90" w:rsidP="002B6C81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6A7F90">
        <w:rPr>
          <w:rFonts w:ascii="Times New Roman" w:hAnsi="Times New Roman"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argued that </w:t>
      </w:r>
      <w:r w:rsidRPr="006A7F90">
        <w:rPr>
          <w:rFonts w:ascii="Times New Roman" w:hAnsi="Times New Roman"/>
          <w:b/>
          <w:bCs/>
          <w:lang w:val="en-HK"/>
        </w:rPr>
        <w:t>equitable compensation should be apportioned</w:t>
      </w:r>
      <w:r w:rsidRPr="006A7F90">
        <w:rPr>
          <w:rFonts w:ascii="Times New Roman" w:hAnsi="Times New Roman"/>
          <w:lang w:val="en-HK"/>
        </w:rPr>
        <w:t>, reflecting the degree to which their breach contributed to the loss.</w:t>
      </w:r>
    </w:p>
    <w:p w14:paraId="598FA8EC" w14:textId="77777777" w:rsidR="006A7F90" w:rsidRPr="006A7F90" w:rsidRDefault="006A7F90" w:rsidP="002B6C81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Jackson LJ dismissed this, stating that:</w:t>
      </w:r>
    </w:p>
    <w:p w14:paraId="7750445E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Apportionment applies </w:t>
      </w:r>
      <w:r w:rsidRPr="006A7F90">
        <w:rPr>
          <w:rFonts w:ascii="Times New Roman" w:hAnsi="Times New Roman"/>
          <w:b/>
          <w:bCs/>
          <w:lang w:val="en-HK"/>
        </w:rPr>
        <w:t>in common law negligence</w:t>
      </w:r>
      <w:r w:rsidRPr="006A7F90">
        <w:rPr>
          <w:rFonts w:ascii="Times New Roman" w:hAnsi="Times New Roman"/>
          <w:lang w:val="en-HK"/>
        </w:rPr>
        <w:t xml:space="preserve"> but </w:t>
      </w:r>
      <w:r w:rsidRPr="006A7F90">
        <w:rPr>
          <w:rFonts w:ascii="Times New Roman" w:hAnsi="Times New Roman"/>
          <w:b/>
          <w:bCs/>
          <w:lang w:val="en-HK"/>
        </w:rPr>
        <w:t>not in equitable claims</w:t>
      </w:r>
      <w:r w:rsidRPr="006A7F90">
        <w:rPr>
          <w:rFonts w:ascii="Times New Roman" w:hAnsi="Times New Roman"/>
          <w:lang w:val="en-HK"/>
        </w:rPr>
        <w:t>.</w:t>
      </w:r>
    </w:p>
    <w:p w14:paraId="5D5BB3CC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6A7F90">
        <w:rPr>
          <w:rFonts w:ascii="Times New Roman" w:hAnsi="Times New Roman"/>
          <w:i/>
          <w:iCs/>
          <w:lang w:val="en-HK"/>
        </w:rPr>
        <w:t>Canson</w:t>
      </w:r>
      <w:proofErr w:type="spellEnd"/>
      <w:r w:rsidRPr="006A7F90">
        <w:rPr>
          <w:rFonts w:ascii="Times New Roman" w:hAnsi="Times New Roman"/>
          <w:i/>
          <w:iCs/>
          <w:lang w:val="en-HK"/>
        </w:rPr>
        <w:t xml:space="preserve"> Enterprises Ltd v Boughton &amp; Co</w:t>
      </w:r>
      <w:r w:rsidRPr="006A7F90">
        <w:rPr>
          <w:rFonts w:ascii="Times New Roman" w:hAnsi="Times New Roman"/>
          <w:lang w:val="en-HK"/>
        </w:rPr>
        <w:t xml:space="preserve"> [1991] 3 SCR 534 (Canada) confirmed that </w:t>
      </w:r>
      <w:r w:rsidRPr="006A7F90">
        <w:rPr>
          <w:rFonts w:ascii="Times New Roman" w:hAnsi="Times New Roman"/>
          <w:b/>
          <w:bCs/>
          <w:lang w:val="en-HK"/>
        </w:rPr>
        <w:t>fiduciary breaches do not allow for proportional liability</w:t>
      </w:r>
      <w:r w:rsidRPr="006A7F90">
        <w:rPr>
          <w:rFonts w:ascii="Times New Roman" w:hAnsi="Times New Roman"/>
          <w:lang w:val="en-HK"/>
        </w:rPr>
        <w:t>.</w:t>
      </w:r>
    </w:p>
    <w:p w14:paraId="220D774C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Trustees are either </w:t>
      </w:r>
      <w:r w:rsidRPr="006A7F90">
        <w:rPr>
          <w:rFonts w:ascii="Times New Roman" w:hAnsi="Times New Roman"/>
          <w:b/>
          <w:bCs/>
          <w:lang w:val="en-HK"/>
        </w:rPr>
        <w:t>liable for the full loss</w:t>
      </w:r>
      <w:r w:rsidRPr="006A7F90">
        <w:rPr>
          <w:rFonts w:ascii="Times New Roman" w:hAnsi="Times New Roman"/>
          <w:lang w:val="en-HK"/>
        </w:rPr>
        <w:t xml:space="preserve"> or not at all – there is no middle ground.</w:t>
      </w:r>
    </w:p>
    <w:p w14:paraId="79A65E72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3.7 The Final Judgment and Conclusion</w:t>
      </w:r>
    </w:p>
    <w:p w14:paraId="7E823252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</w:t>
      </w:r>
      <w:r w:rsidRPr="006A7F90">
        <w:rPr>
          <w:rFonts w:ascii="Times New Roman" w:hAnsi="Times New Roman"/>
          <w:b/>
          <w:bCs/>
          <w:lang w:val="en-HK"/>
        </w:rPr>
        <w:t>Court of Appeal upheld the High Court’s ruling</w:t>
      </w:r>
      <w:r w:rsidRPr="006A7F90">
        <w:rPr>
          <w:rFonts w:ascii="Times New Roman" w:hAnsi="Times New Roman"/>
          <w:lang w:val="en-HK"/>
        </w:rPr>
        <w:t xml:space="preserve">, awarding </w:t>
      </w:r>
      <w:r w:rsidRPr="006A7F90">
        <w:rPr>
          <w:rFonts w:ascii="Times New Roman" w:hAnsi="Times New Roman"/>
          <w:b/>
          <w:bCs/>
          <w:lang w:val="en-HK"/>
        </w:rPr>
        <w:t>full compensation to the claimants</w:t>
      </w:r>
      <w:r w:rsidRPr="006A7F90">
        <w:rPr>
          <w:rFonts w:ascii="Times New Roman" w:hAnsi="Times New Roman"/>
          <w:lang w:val="en-HK"/>
        </w:rPr>
        <w:t>.</w:t>
      </w:r>
    </w:p>
    <w:p w14:paraId="63D17E2E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>The judgment reaffirmed three key principles:</w:t>
      </w:r>
    </w:p>
    <w:p w14:paraId="76E2976E" w14:textId="77777777" w:rsidR="006A7F90" w:rsidRPr="006A7F90" w:rsidRDefault="006A7F90" w:rsidP="002B6C81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lastRenderedPageBreak/>
        <w:t>Fiduciary breaches must be assessed on a strict causation basis</w:t>
      </w:r>
      <w:r w:rsidRPr="006A7F90">
        <w:rPr>
          <w:rFonts w:ascii="Times New Roman" w:hAnsi="Times New Roman"/>
          <w:lang w:val="en-HK"/>
        </w:rPr>
        <w:t xml:space="preserve"> – foreseeability is irrelevant.</w:t>
      </w:r>
    </w:p>
    <w:p w14:paraId="6DD8464D" w14:textId="77777777" w:rsidR="006A7F90" w:rsidRPr="006A7F90" w:rsidRDefault="006A7F90" w:rsidP="002B6C81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The but-for test applies</w:t>
      </w:r>
      <w:r w:rsidRPr="006A7F90">
        <w:rPr>
          <w:rFonts w:ascii="Times New Roman" w:hAnsi="Times New Roman"/>
          <w:lang w:val="en-HK"/>
        </w:rPr>
        <w:t xml:space="preserve">, but a novus actus interveniens defence requires </w:t>
      </w:r>
      <w:r w:rsidRPr="006A7F90">
        <w:rPr>
          <w:rFonts w:ascii="Times New Roman" w:hAnsi="Times New Roman"/>
          <w:b/>
          <w:bCs/>
          <w:lang w:val="en-HK"/>
        </w:rPr>
        <w:t>clear proof of an independent, overriding cause</w:t>
      </w:r>
      <w:r w:rsidRPr="006A7F90">
        <w:rPr>
          <w:rFonts w:ascii="Times New Roman" w:hAnsi="Times New Roman"/>
          <w:lang w:val="en-HK"/>
        </w:rPr>
        <w:t>.</w:t>
      </w:r>
    </w:p>
    <w:p w14:paraId="1D0DF508" w14:textId="77777777" w:rsidR="006A7F90" w:rsidRPr="006A7F90" w:rsidRDefault="006A7F90" w:rsidP="002B6C81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The active-passive duty distinction is relevant</w:t>
      </w:r>
      <w:r w:rsidRPr="006A7F90">
        <w:rPr>
          <w:rFonts w:ascii="Times New Roman" w:hAnsi="Times New Roman"/>
          <w:lang w:val="en-HK"/>
        </w:rPr>
        <w:t xml:space="preserve"> in determining the application of the causation test.</w:t>
      </w:r>
    </w:p>
    <w:p w14:paraId="3B7DED87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3.8 The Significance of the Court of Appeal’s Judgment</w:t>
      </w:r>
    </w:p>
    <w:p w14:paraId="690E21AB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decision clarifies </w:t>
      </w:r>
      <w:r w:rsidRPr="006A7F90">
        <w:rPr>
          <w:rFonts w:ascii="Times New Roman" w:hAnsi="Times New Roman"/>
          <w:b/>
          <w:bCs/>
          <w:lang w:val="en-HK"/>
        </w:rPr>
        <w:t>how AIB should be applied</w:t>
      </w:r>
      <w:r w:rsidRPr="006A7F90">
        <w:rPr>
          <w:rFonts w:ascii="Times New Roman" w:hAnsi="Times New Roman"/>
          <w:lang w:val="en-HK"/>
        </w:rPr>
        <w:t xml:space="preserve"> in cases involving fiduciary duties:</w:t>
      </w:r>
    </w:p>
    <w:p w14:paraId="5E2E7DDA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If a </w:t>
      </w:r>
      <w:r w:rsidRPr="006A7F90">
        <w:rPr>
          <w:rFonts w:ascii="Times New Roman" w:hAnsi="Times New Roman"/>
          <w:b/>
          <w:bCs/>
          <w:lang w:val="en-HK"/>
        </w:rPr>
        <w:t>trustee or fiduciary has an active duty</w:t>
      </w:r>
      <w:r w:rsidRPr="006A7F90">
        <w:rPr>
          <w:rFonts w:ascii="Times New Roman" w:hAnsi="Times New Roman"/>
          <w:lang w:val="en-HK"/>
        </w:rPr>
        <w:t xml:space="preserve">, they </w:t>
      </w:r>
      <w:r w:rsidRPr="006A7F90">
        <w:rPr>
          <w:rFonts w:ascii="Times New Roman" w:hAnsi="Times New Roman"/>
          <w:b/>
          <w:bCs/>
          <w:lang w:val="en-HK"/>
        </w:rPr>
        <w:t>cannot escape liability by arguing that a third party was responsible</w:t>
      </w:r>
      <w:r w:rsidRPr="006A7F90">
        <w:rPr>
          <w:rFonts w:ascii="Times New Roman" w:hAnsi="Times New Roman"/>
          <w:lang w:val="en-HK"/>
        </w:rPr>
        <w:t>.</w:t>
      </w:r>
    </w:p>
    <w:p w14:paraId="389F0124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If a duty is </w:t>
      </w:r>
      <w:r w:rsidRPr="006A7F90">
        <w:rPr>
          <w:rFonts w:ascii="Times New Roman" w:hAnsi="Times New Roman"/>
          <w:b/>
          <w:bCs/>
          <w:lang w:val="en-HK"/>
        </w:rPr>
        <w:t>passive</w:t>
      </w:r>
      <w:r w:rsidRPr="006A7F90">
        <w:rPr>
          <w:rFonts w:ascii="Times New Roman" w:hAnsi="Times New Roman"/>
          <w:lang w:val="en-HK"/>
        </w:rPr>
        <w:t xml:space="preserve">, then </w:t>
      </w:r>
      <w:r w:rsidRPr="006A7F90">
        <w:rPr>
          <w:rFonts w:ascii="Times New Roman" w:hAnsi="Times New Roman"/>
          <w:b/>
          <w:bCs/>
          <w:lang w:val="en-HK"/>
        </w:rPr>
        <w:t>AIB’s strict approach to causation</w:t>
      </w:r>
      <w:r w:rsidRPr="006A7F90">
        <w:rPr>
          <w:rFonts w:ascii="Times New Roman" w:hAnsi="Times New Roman"/>
          <w:lang w:val="en-HK"/>
        </w:rPr>
        <w:t xml:space="preserve"> </w:t>
      </w:r>
      <w:r w:rsidRPr="006A7F90">
        <w:rPr>
          <w:rFonts w:ascii="Times New Roman" w:hAnsi="Times New Roman"/>
          <w:b/>
          <w:bCs/>
          <w:lang w:val="en-HK"/>
        </w:rPr>
        <w:t>may be more relevant</w:t>
      </w:r>
      <w:r w:rsidRPr="006A7F90">
        <w:rPr>
          <w:rFonts w:ascii="Times New Roman" w:hAnsi="Times New Roman"/>
          <w:lang w:val="en-HK"/>
        </w:rPr>
        <w:t>.</w:t>
      </w:r>
    </w:p>
    <w:p w14:paraId="46FB9FF7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However, </w:t>
      </w:r>
      <w:r w:rsidRPr="006A7F90">
        <w:rPr>
          <w:rFonts w:ascii="Times New Roman" w:hAnsi="Times New Roman"/>
          <w:b/>
          <w:bCs/>
          <w:lang w:val="en-HK"/>
        </w:rPr>
        <w:t>the ruling also raises concerns</w:t>
      </w:r>
      <w:r w:rsidRPr="006A7F90">
        <w:rPr>
          <w:rFonts w:ascii="Times New Roman" w:hAnsi="Times New Roman"/>
          <w:lang w:val="en-HK"/>
        </w:rPr>
        <w:t>:</w:t>
      </w:r>
    </w:p>
    <w:p w14:paraId="3E34910F" w14:textId="77777777" w:rsidR="006A7F90" w:rsidRPr="006A7F90" w:rsidRDefault="006A7F90" w:rsidP="002B6C81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By </w:t>
      </w:r>
      <w:r w:rsidRPr="006A7F90">
        <w:rPr>
          <w:rFonts w:ascii="Times New Roman" w:hAnsi="Times New Roman"/>
          <w:b/>
          <w:bCs/>
          <w:lang w:val="en-HK"/>
        </w:rPr>
        <w:t xml:space="preserve">focusing only on the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but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>-for test</w:t>
      </w:r>
      <w:r w:rsidRPr="006A7F90">
        <w:rPr>
          <w:rFonts w:ascii="Times New Roman" w:hAnsi="Times New Roman"/>
          <w:lang w:val="en-HK"/>
        </w:rPr>
        <w:t xml:space="preserve">, the Court did not fully engage with the </w:t>
      </w:r>
      <w:r w:rsidRPr="006A7F90">
        <w:rPr>
          <w:rFonts w:ascii="Times New Roman" w:hAnsi="Times New Roman"/>
          <w:b/>
          <w:bCs/>
          <w:lang w:val="en-HK"/>
        </w:rPr>
        <w:t>direct causation test required under AIB</w:t>
      </w:r>
      <w:r w:rsidRPr="006A7F90">
        <w:rPr>
          <w:rFonts w:ascii="Times New Roman" w:hAnsi="Times New Roman"/>
          <w:lang w:val="en-HK"/>
        </w:rPr>
        <w:t>.</w:t>
      </w:r>
    </w:p>
    <w:p w14:paraId="01ADCD7C" w14:textId="77777777" w:rsidR="006A7F90" w:rsidRPr="006A7F90" w:rsidRDefault="006A7F90" w:rsidP="002B6C81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</w:t>
      </w:r>
      <w:r w:rsidRPr="006A7F90">
        <w:rPr>
          <w:rFonts w:ascii="Times New Roman" w:hAnsi="Times New Roman"/>
          <w:b/>
          <w:bCs/>
          <w:lang w:val="en-HK"/>
        </w:rPr>
        <w:t>active-passive distinction lacks clear precedent</w:t>
      </w:r>
      <w:r w:rsidRPr="006A7F90">
        <w:rPr>
          <w:rFonts w:ascii="Times New Roman" w:hAnsi="Times New Roman"/>
          <w:lang w:val="en-HK"/>
        </w:rPr>
        <w:t>, meaning its future application remains uncertain.</w:t>
      </w:r>
    </w:p>
    <w:p w14:paraId="03B0CA25" w14:textId="77777777" w:rsidR="006A7F90" w:rsidRPr="006A7F90" w:rsidRDefault="006A7F90" w:rsidP="002B6C81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judgment </w:t>
      </w:r>
      <w:r w:rsidRPr="006A7F90">
        <w:rPr>
          <w:rFonts w:ascii="Times New Roman" w:hAnsi="Times New Roman"/>
          <w:b/>
          <w:bCs/>
          <w:lang w:val="en-HK"/>
        </w:rPr>
        <w:t>expands fiduciary liability</w:t>
      </w:r>
      <w:r w:rsidRPr="006A7F90">
        <w:rPr>
          <w:rFonts w:ascii="Times New Roman" w:hAnsi="Times New Roman"/>
          <w:lang w:val="en-HK"/>
        </w:rPr>
        <w:t xml:space="preserve">, potentially </w:t>
      </w:r>
      <w:r w:rsidRPr="006A7F90">
        <w:rPr>
          <w:rFonts w:ascii="Times New Roman" w:hAnsi="Times New Roman"/>
          <w:b/>
          <w:bCs/>
          <w:lang w:val="en-HK"/>
        </w:rPr>
        <w:t>making solicitors more vulnerable to claims in complex financial transactions</w:t>
      </w:r>
      <w:r w:rsidRPr="006A7F90">
        <w:rPr>
          <w:rFonts w:ascii="Times New Roman" w:hAnsi="Times New Roman"/>
          <w:lang w:val="en-HK"/>
        </w:rPr>
        <w:t>.</w:t>
      </w:r>
    </w:p>
    <w:p w14:paraId="3047947C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t>3.9 Conclusion</w:t>
      </w:r>
    </w:p>
    <w:p w14:paraId="45181582" w14:textId="77777777" w:rsidR="006A7F90" w:rsidRPr="006A7F90" w:rsidRDefault="006A7F90" w:rsidP="002B6C81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The Court of Appeal’s judgment in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upholds the </w:t>
      </w:r>
      <w:proofErr w:type="spellStart"/>
      <w:r w:rsidRPr="006A7F90">
        <w:rPr>
          <w:rFonts w:ascii="Times New Roman" w:hAnsi="Times New Roman"/>
          <w:b/>
          <w:bCs/>
          <w:lang w:val="en-HK"/>
        </w:rPr>
        <w:t>but</w:t>
      </w:r>
      <w:proofErr w:type="spellEnd"/>
      <w:r w:rsidRPr="006A7F90">
        <w:rPr>
          <w:rFonts w:ascii="Times New Roman" w:hAnsi="Times New Roman"/>
          <w:b/>
          <w:bCs/>
          <w:lang w:val="en-HK"/>
        </w:rPr>
        <w:t>-for test as the primary test for equitable compensation</w:t>
      </w:r>
      <w:r w:rsidRPr="006A7F90">
        <w:rPr>
          <w:rFonts w:ascii="Times New Roman" w:hAnsi="Times New Roman"/>
          <w:lang w:val="en-HK"/>
        </w:rPr>
        <w:t>.</w:t>
      </w:r>
    </w:p>
    <w:p w14:paraId="47FE04D4" w14:textId="77777777" w:rsidR="006A7F90" w:rsidRPr="006A7F90" w:rsidRDefault="006A7F90" w:rsidP="002B6C81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It </w:t>
      </w:r>
      <w:r w:rsidRPr="006A7F90">
        <w:rPr>
          <w:rFonts w:ascii="Times New Roman" w:hAnsi="Times New Roman"/>
          <w:b/>
          <w:bCs/>
          <w:lang w:val="en-HK"/>
        </w:rPr>
        <w:t>rejects novus actus interveniens defences in fiduciary claims unless an independent, overriding cause is established</w:t>
      </w:r>
      <w:r w:rsidRPr="006A7F90">
        <w:rPr>
          <w:rFonts w:ascii="Times New Roman" w:hAnsi="Times New Roman"/>
          <w:lang w:val="en-HK"/>
        </w:rPr>
        <w:t>.</w:t>
      </w:r>
    </w:p>
    <w:p w14:paraId="770C025E" w14:textId="77777777" w:rsidR="006A7F90" w:rsidRPr="006A7F90" w:rsidRDefault="006A7F90" w:rsidP="002B6C81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It </w:t>
      </w:r>
      <w:r w:rsidRPr="006A7F90">
        <w:rPr>
          <w:rFonts w:ascii="Times New Roman" w:hAnsi="Times New Roman"/>
          <w:b/>
          <w:bCs/>
          <w:lang w:val="en-HK"/>
        </w:rPr>
        <w:t>introduces the active-passive duty distinction</w:t>
      </w:r>
      <w:r w:rsidRPr="006A7F90">
        <w:rPr>
          <w:rFonts w:ascii="Times New Roman" w:hAnsi="Times New Roman"/>
          <w:lang w:val="en-HK"/>
        </w:rPr>
        <w:t>, potentially shaping future fiduciary cases.</w:t>
      </w:r>
    </w:p>
    <w:p w14:paraId="4C1D09E0" w14:textId="2EC9D746" w:rsidR="006A7F90" w:rsidRPr="006A7F90" w:rsidRDefault="006A7F90" w:rsidP="002B6C81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While it aligns with AIB in some respects, </w:t>
      </w:r>
      <w:r w:rsidRPr="006A7F90">
        <w:rPr>
          <w:rFonts w:ascii="Times New Roman" w:hAnsi="Times New Roman"/>
          <w:b/>
          <w:bCs/>
          <w:lang w:val="en-HK"/>
        </w:rPr>
        <w:t>its omission of direct causation analysis leaves doctrinal uncertainties</w:t>
      </w:r>
      <w:r w:rsidRPr="006A7F90">
        <w:rPr>
          <w:rFonts w:ascii="Times New Roman" w:hAnsi="Times New Roman"/>
          <w:lang w:val="en-HK"/>
        </w:rPr>
        <w:t>.</w:t>
      </w:r>
    </w:p>
    <w:p w14:paraId="1110C546" w14:textId="77777777" w:rsidR="006A7F90" w:rsidRPr="006A7F90" w:rsidRDefault="006A7F90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6A7F90">
        <w:rPr>
          <w:rFonts w:ascii="Times New Roman" w:hAnsi="Times New Roman"/>
          <w:b/>
          <w:bCs/>
          <w:lang w:val="en-HK"/>
        </w:rPr>
        <w:lastRenderedPageBreak/>
        <w:t>Final Observations</w:t>
      </w:r>
    </w:p>
    <w:p w14:paraId="4B6CBB50" w14:textId="77777777" w:rsidR="006A7F90" w:rsidRPr="006A7F90" w:rsidRDefault="006A7F90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6A7F90">
        <w:rPr>
          <w:rFonts w:ascii="Times New Roman" w:hAnsi="Times New Roman"/>
          <w:lang w:val="en-HK"/>
        </w:rPr>
        <w:t xml:space="preserve">This section demonstrates how </w:t>
      </w:r>
      <w:proofErr w:type="spellStart"/>
      <w:r w:rsidRPr="006A7F90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6A7F90">
        <w:rPr>
          <w:rFonts w:ascii="Times New Roman" w:hAnsi="Times New Roman"/>
          <w:lang w:val="en-HK"/>
        </w:rPr>
        <w:t xml:space="preserve"> expands fiduciary liability while refining </w:t>
      </w:r>
      <w:r w:rsidRPr="006A7F90">
        <w:rPr>
          <w:rFonts w:ascii="Times New Roman" w:hAnsi="Times New Roman"/>
          <w:i/>
          <w:iCs/>
          <w:lang w:val="en-HK"/>
        </w:rPr>
        <w:t>AIB’s</w:t>
      </w:r>
      <w:r w:rsidRPr="006A7F90">
        <w:rPr>
          <w:rFonts w:ascii="Times New Roman" w:hAnsi="Times New Roman"/>
          <w:lang w:val="en-HK"/>
        </w:rPr>
        <w:t xml:space="preserve"> causation principles. The </w:t>
      </w:r>
      <w:r w:rsidRPr="006A7F90">
        <w:rPr>
          <w:rFonts w:ascii="Times New Roman" w:hAnsi="Times New Roman"/>
          <w:b/>
          <w:bCs/>
          <w:lang w:val="en-HK"/>
        </w:rPr>
        <w:t>active-passive distinction and rejection of novus actus interveniens in fiduciary breaches</w:t>
      </w:r>
      <w:r w:rsidRPr="006A7F90">
        <w:rPr>
          <w:rFonts w:ascii="Times New Roman" w:hAnsi="Times New Roman"/>
          <w:lang w:val="en-HK"/>
        </w:rPr>
        <w:t xml:space="preserve"> will have lasting implications for equitable compensation. However, the judgment’s </w:t>
      </w:r>
      <w:r w:rsidRPr="006A7F90">
        <w:rPr>
          <w:rFonts w:ascii="Times New Roman" w:hAnsi="Times New Roman"/>
          <w:b/>
          <w:bCs/>
          <w:lang w:val="en-HK"/>
        </w:rPr>
        <w:t>failure to fully engage with AIB’s direct causation test leaves open questions</w:t>
      </w:r>
      <w:r w:rsidRPr="006A7F90">
        <w:rPr>
          <w:rFonts w:ascii="Times New Roman" w:hAnsi="Times New Roman"/>
          <w:lang w:val="en-HK"/>
        </w:rPr>
        <w:t xml:space="preserve"> for future courts to address.</w:t>
      </w:r>
    </w:p>
    <w:p w14:paraId="172B1E02" w14:textId="7A24CEBF" w:rsidR="006A7F90" w:rsidRPr="002B6C81" w:rsidRDefault="001D07B2" w:rsidP="002B6C81">
      <w:pPr>
        <w:spacing w:line="360" w:lineRule="auto"/>
        <w:rPr>
          <w:lang w:val="en-US"/>
        </w:rPr>
      </w:pPr>
      <w:r w:rsidRPr="001D07B2">
        <w:rPr>
          <w:rFonts w:ascii="Times New Roman" w:hAnsi="Times New Roman"/>
          <w:noProof/>
          <w:lang w:val="en-HK"/>
          <w14:ligatures w14:val="standardContextual"/>
        </w:rPr>
        <w:pict w14:anchorId="711C776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51CF41" w14:textId="4CB4C870" w:rsidR="002B6C81" w:rsidRPr="002B6C81" w:rsidRDefault="002B6C81" w:rsidP="002B6C81">
      <w:pPr>
        <w:spacing w:before="100" w:beforeAutospacing="1" w:after="100" w:afterAutospacing="1" w:line="360" w:lineRule="auto"/>
        <w:outlineLvl w:val="1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 xml:space="preserve">4. </w:t>
      </w:r>
      <w:r w:rsidRPr="002B6C81">
        <w:rPr>
          <w:rFonts w:ascii="Times New Roman" w:hAnsi="Times New Roman"/>
          <w:b/>
          <w:bCs/>
          <w:lang w:val="en-HK"/>
        </w:rPr>
        <w:t xml:space="preserve">The Effect of the </w:t>
      </w:r>
      <w:proofErr w:type="spellStart"/>
      <w:r w:rsidRPr="002B6C81">
        <w:rPr>
          <w:rFonts w:ascii="Times New Roman" w:hAnsi="Times New Roman"/>
          <w:b/>
          <w:bCs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 xml:space="preserve"> Decision</w:t>
      </w:r>
    </w:p>
    <w:p w14:paraId="2588DC4A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Court of Appeal’s decision in </w:t>
      </w:r>
      <w:r w:rsidRPr="002B6C81">
        <w:rPr>
          <w:rFonts w:ascii="Times New Roman" w:hAnsi="Times New Roman"/>
          <w:i/>
          <w:iCs/>
          <w:lang w:val="en-HK"/>
        </w:rPr>
        <w:t xml:space="preserve">Various Claimants v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i/>
          <w:iCs/>
          <w:lang w:val="en-HK"/>
        </w:rPr>
        <w:t xml:space="preserve"> &amp; Law</w:t>
      </w:r>
      <w:r w:rsidRPr="002B6C81">
        <w:rPr>
          <w:rFonts w:ascii="Times New Roman" w:hAnsi="Times New Roman"/>
          <w:lang w:val="en-HK"/>
        </w:rPr>
        <w:t xml:space="preserve"> [2017] EWCA </w:t>
      </w:r>
      <w:proofErr w:type="spellStart"/>
      <w:r w:rsidRPr="002B6C81">
        <w:rPr>
          <w:rFonts w:ascii="Times New Roman" w:hAnsi="Times New Roman"/>
          <w:lang w:val="en-HK"/>
        </w:rPr>
        <w:t>Civ</w:t>
      </w:r>
      <w:proofErr w:type="spellEnd"/>
      <w:r w:rsidRPr="002B6C81">
        <w:rPr>
          <w:rFonts w:ascii="Times New Roman" w:hAnsi="Times New Roman"/>
          <w:lang w:val="en-HK"/>
        </w:rPr>
        <w:t xml:space="preserve"> 1193 has had significant doctrinal and practical implications for the </w:t>
      </w:r>
      <w:r w:rsidRPr="002B6C81">
        <w:rPr>
          <w:rFonts w:ascii="Times New Roman" w:hAnsi="Times New Roman"/>
          <w:b/>
          <w:bCs/>
          <w:lang w:val="en-HK"/>
        </w:rPr>
        <w:t>law of equitable compensation</w:t>
      </w:r>
      <w:r w:rsidRPr="002B6C81">
        <w:rPr>
          <w:rFonts w:ascii="Times New Roman" w:hAnsi="Times New Roman"/>
          <w:lang w:val="en-HK"/>
        </w:rPr>
        <w:t xml:space="preserve">. The ruling reinforced the </w:t>
      </w:r>
      <w:proofErr w:type="spellStart"/>
      <w:r w:rsidRPr="002B6C81">
        <w:rPr>
          <w:rFonts w:ascii="Times New Roman" w:hAnsi="Times New Roman"/>
          <w:b/>
          <w:bCs/>
          <w:lang w:val="en-HK"/>
        </w:rPr>
        <w:t>but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>-for test</w:t>
      </w:r>
      <w:r w:rsidRPr="002B6C81">
        <w:rPr>
          <w:rFonts w:ascii="Times New Roman" w:hAnsi="Times New Roman"/>
          <w:lang w:val="en-HK"/>
        </w:rPr>
        <w:t xml:space="preserve"> as the principal test for causation in equitable compensation claims but </w:t>
      </w:r>
      <w:r w:rsidRPr="002B6C81">
        <w:rPr>
          <w:rFonts w:ascii="Times New Roman" w:hAnsi="Times New Roman"/>
          <w:b/>
          <w:bCs/>
          <w:lang w:val="en-HK"/>
        </w:rPr>
        <w:t xml:space="preserve">introduced uncertainty in its application by departing from the strict approach established in </w:t>
      </w:r>
      <w:r w:rsidRPr="002B6C81">
        <w:rPr>
          <w:rFonts w:ascii="Times New Roman" w:hAnsi="Times New Roman"/>
          <w:b/>
          <w:bCs/>
          <w:i/>
          <w:iCs/>
          <w:lang w:val="en-HK"/>
        </w:rPr>
        <w:t xml:space="preserve">AIB Group (UK) Plc v Mark </w:t>
      </w:r>
      <w:proofErr w:type="spellStart"/>
      <w:r w:rsidRPr="002B6C81">
        <w:rPr>
          <w:rFonts w:ascii="Times New Roman" w:hAnsi="Times New Roman"/>
          <w:b/>
          <w:bCs/>
          <w:i/>
          <w:iCs/>
          <w:lang w:val="en-HK"/>
        </w:rPr>
        <w:t>Redler</w:t>
      </w:r>
      <w:proofErr w:type="spellEnd"/>
      <w:r w:rsidRPr="002B6C81">
        <w:rPr>
          <w:rFonts w:ascii="Times New Roman" w:hAnsi="Times New Roman"/>
          <w:b/>
          <w:bCs/>
          <w:i/>
          <w:iCs/>
          <w:lang w:val="en-HK"/>
        </w:rPr>
        <w:t xml:space="preserve"> &amp; Co Solicitors</w:t>
      </w:r>
      <w:r w:rsidRPr="002B6C81">
        <w:rPr>
          <w:rFonts w:ascii="Times New Roman" w:hAnsi="Times New Roman"/>
          <w:b/>
          <w:bCs/>
          <w:lang w:val="en-HK"/>
        </w:rPr>
        <w:t xml:space="preserve"> [2014] UKSC 58</w:t>
      </w:r>
      <w:r w:rsidRPr="002B6C81">
        <w:rPr>
          <w:rFonts w:ascii="Times New Roman" w:hAnsi="Times New Roman"/>
          <w:lang w:val="en-HK"/>
        </w:rPr>
        <w:t xml:space="preserve">. The decision also expanded the </w:t>
      </w:r>
      <w:r w:rsidRPr="002B6C81">
        <w:rPr>
          <w:rFonts w:ascii="Times New Roman" w:hAnsi="Times New Roman"/>
          <w:b/>
          <w:bCs/>
          <w:lang w:val="en-HK"/>
        </w:rPr>
        <w:t>scope of fiduciary liability</w:t>
      </w:r>
      <w:r w:rsidRPr="002B6C81">
        <w:rPr>
          <w:rFonts w:ascii="Times New Roman" w:hAnsi="Times New Roman"/>
          <w:lang w:val="en-HK"/>
        </w:rPr>
        <w:t xml:space="preserve">, creating potential difficulties in </w:t>
      </w:r>
      <w:r w:rsidRPr="002B6C81">
        <w:rPr>
          <w:rFonts w:ascii="Times New Roman" w:hAnsi="Times New Roman"/>
          <w:b/>
          <w:bCs/>
          <w:lang w:val="en-HK"/>
        </w:rPr>
        <w:t>limiting causation in cases involving third-party wrongdoing</w:t>
      </w:r>
      <w:r w:rsidRPr="002B6C81">
        <w:rPr>
          <w:rFonts w:ascii="Times New Roman" w:hAnsi="Times New Roman"/>
          <w:lang w:val="en-HK"/>
        </w:rPr>
        <w:t>.</w:t>
      </w:r>
    </w:p>
    <w:p w14:paraId="0E77B709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4.1 The Shift Away from the AIB Causation Standard</w:t>
      </w:r>
    </w:p>
    <w:p w14:paraId="21B597EF" w14:textId="77777777" w:rsidR="002B6C81" w:rsidRPr="002B6C81" w:rsidRDefault="002B6C81" w:rsidP="002B6C8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Court of Appeal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purported to </w:t>
      </w:r>
      <w:r w:rsidRPr="002B6C81">
        <w:rPr>
          <w:rFonts w:ascii="Times New Roman" w:hAnsi="Times New Roman"/>
          <w:b/>
          <w:bCs/>
          <w:lang w:val="en-HK"/>
        </w:rPr>
        <w:t xml:space="preserve">apply </w:t>
      </w:r>
      <w:r w:rsidRPr="002B6C81">
        <w:rPr>
          <w:rFonts w:ascii="Times New Roman" w:hAnsi="Times New Roman"/>
          <w:b/>
          <w:bCs/>
          <w:i/>
          <w:iCs/>
          <w:lang w:val="en-HK"/>
        </w:rPr>
        <w:t>AIB</w:t>
      </w:r>
      <w:r w:rsidRPr="002B6C81">
        <w:rPr>
          <w:rFonts w:ascii="Times New Roman" w:hAnsi="Times New Roman"/>
          <w:b/>
          <w:bCs/>
          <w:lang w:val="en-HK"/>
        </w:rPr>
        <w:t xml:space="preserve"> but did so in a manner that deviates from the strict causation approach taken by the Supreme Court</w:t>
      </w:r>
      <w:r w:rsidRPr="002B6C81">
        <w:rPr>
          <w:rFonts w:ascii="Times New Roman" w:hAnsi="Times New Roman"/>
          <w:lang w:val="en-HK"/>
        </w:rPr>
        <w:t>.</w:t>
      </w:r>
    </w:p>
    <w:p w14:paraId="4E926020" w14:textId="77777777" w:rsidR="002B6C81" w:rsidRPr="002B6C81" w:rsidRDefault="002B6C81" w:rsidP="002B6C8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In 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, the Supreme Court ruled that equitable compensation should be </w:t>
      </w:r>
      <w:r w:rsidRPr="002B6C81">
        <w:rPr>
          <w:rFonts w:ascii="Times New Roman" w:hAnsi="Times New Roman"/>
          <w:b/>
          <w:bCs/>
          <w:lang w:val="en-HK"/>
        </w:rPr>
        <w:t>causally linked to actual loss suffered</w:t>
      </w:r>
      <w:r w:rsidRPr="002B6C81">
        <w:rPr>
          <w:rFonts w:ascii="Times New Roman" w:hAnsi="Times New Roman"/>
          <w:lang w:val="en-HK"/>
        </w:rPr>
        <w:t xml:space="preserve">, rejecting the traditional </w:t>
      </w:r>
      <w:r w:rsidRPr="002B6C81">
        <w:rPr>
          <w:rFonts w:ascii="Times New Roman" w:hAnsi="Times New Roman"/>
          <w:b/>
          <w:bCs/>
          <w:lang w:val="en-HK"/>
        </w:rPr>
        <w:t>strict liability</w:t>
      </w:r>
      <w:r w:rsidRPr="002B6C81">
        <w:rPr>
          <w:rFonts w:ascii="Times New Roman" w:hAnsi="Times New Roman"/>
          <w:lang w:val="en-HK"/>
        </w:rPr>
        <w:t xml:space="preserve"> approach in equity.</w:t>
      </w:r>
    </w:p>
    <w:p w14:paraId="607E7D38" w14:textId="77777777" w:rsidR="002B6C81" w:rsidRPr="002B6C81" w:rsidRDefault="002B6C81" w:rsidP="002B6C8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Lord Reed in 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 held that:</w:t>
      </w:r>
    </w:p>
    <w:p w14:paraId="6F96C620" w14:textId="77777777" w:rsidR="002B6C81" w:rsidRPr="002B6C81" w:rsidRDefault="002B6C81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>“The foreseeability of loss is generally irrelevant, but the loss must be caused by the breach of trust, in the sense that it must flow directly from it” (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 at [135]).</w:t>
      </w:r>
    </w:p>
    <w:p w14:paraId="063BB257" w14:textId="77777777" w:rsidR="002B6C81" w:rsidRPr="002B6C81" w:rsidRDefault="002B6C81" w:rsidP="002B6C8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However,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, Jackson LJ’s application of 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 was </w:t>
      </w:r>
      <w:r w:rsidRPr="002B6C81">
        <w:rPr>
          <w:rFonts w:ascii="Times New Roman" w:hAnsi="Times New Roman"/>
          <w:b/>
          <w:bCs/>
          <w:lang w:val="en-HK"/>
        </w:rPr>
        <w:t>incomplete</w:t>
      </w:r>
      <w:r w:rsidRPr="002B6C81">
        <w:rPr>
          <w:rFonts w:ascii="Times New Roman" w:hAnsi="Times New Roman"/>
          <w:lang w:val="en-HK"/>
        </w:rPr>
        <w:t>:</w:t>
      </w:r>
    </w:p>
    <w:p w14:paraId="3B3558B2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He applied the </w:t>
      </w:r>
      <w:proofErr w:type="spellStart"/>
      <w:r w:rsidRPr="002B6C81">
        <w:rPr>
          <w:rFonts w:ascii="Times New Roman" w:hAnsi="Times New Roman"/>
          <w:b/>
          <w:bCs/>
          <w:lang w:val="en-HK"/>
        </w:rPr>
        <w:t>but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>-for test</w:t>
      </w:r>
      <w:r w:rsidRPr="002B6C81">
        <w:rPr>
          <w:rFonts w:ascii="Times New Roman" w:hAnsi="Times New Roman"/>
          <w:lang w:val="en-HK"/>
        </w:rPr>
        <w:t xml:space="preserve"> but </w:t>
      </w:r>
      <w:r w:rsidRPr="002B6C81">
        <w:rPr>
          <w:rFonts w:ascii="Times New Roman" w:hAnsi="Times New Roman"/>
          <w:b/>
          <w:bCs/>
          <w:lang w:val="en-HK"/>
        </w:rPr>
        <w:t>did not engage with the second limb of AIB’s causation test</w:t>
      </w:r>
      <w:r w:rsidRPr="002B6C81">
        <w:rPr>
          <w:rFonts w:ascii="Times New Roman" w:hAnsi="Times New Roman"/>
          <w:lang w:val="en-HK"/>
        </w:rPr>
        <w:t xml:space="preserve">, which requires that the loss </w:t>
      </w:r>
      <w:r w:rsidRPr="002B6C81">
        <w:rPr>
          <w:rFonts w:ascii="Times New Roman" w:hAnsi="Times New Roman"/>
          <w:b/>
          <w:bCs/>
          <w:lang w:val="en-HK"/>
        </w:rPr>
        <w:t>must flow directly from the breach</w:t>
      </w:r>
      <w:r w:rsidRPr="002B6C81">
        <w:rPr>
          <w:rFonts w:ascii="Times New Roman" w:hAnsi="Times New Roman"/>
          <w:lang w:val="en-HK"/>
        </w:rPr>
        <w:t>.</w:t>
      </w:r>
    </w:p>
    <w:p w14:paraId="08987B23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lastRenderedPageBreak/>
        <w:t xml:space="preserve">The ruling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thus </w:t>
      </w:r>
      <w:r w:rsidRPr="002B6C81">
        <w:rPr>
          <w:rFonts w:ascii="Times New Roman" w:hAnsi="Times New Roman"/>
          <w:b/>
          <w:bCs/>
          <w:lang w:val="en-HK"/>
        </w:rPr>
        <w:t xml:space="preserve">expands trustee liability beyond what was contemplated in </w:t>
      </w:r>
      <w:r w:rsidRPr="002B6C81">
        <w:rPr>
          <w:rFonts w:ascii="Times New Roman" w:hAnsi="Times New Roman"/>
          <w:b/>
          <w:bCs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 by failing to properly assess whether the developers' fraud constituted a </w:t>
      </w:r>
      <w:r w:rsidRPr="002B6C81">
        <w:rPr>
          <w:rFonts w:ascii="Times New Roman" w:hAnsi="Times New Roman"/>
          <w:b/>
          <w:bCs/>
          <w:lang w:val="en-HK"/>
        </w:rPr>
        <w:t>novus actus interveniens</w:t>
      </w:r>
      <w:r w:rsidRPr="002B6C81">
        <w:rPr>
          <w:rFonts w:ascii="Times New Roman" w:hAnsi="Times New Roman"/>
          <w:lang w:val="en-HK"/>
        </w:rPr>
        <w:t>.</w:t>
      </w:r>
    </w:p>
    <w:p w14:paraId="5CB8925A" w14:textId="77777777" w:rsidR="002B6C81" w:rsidRPr="002B6C81" w:rsidRDefault="002B6C81" w:rsidP="002B6C81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This omission creates </w:t>
      </w:r>
      <w:r w:rsidRPr="002B6C81">
        <w:rPr>
          <w:rFonts w:ascii="Times New Roman" w:hAnsi="Times New Roman"/>
          <w:b/>
          <w:bCs/>
          <w:lang w:val="en-HK"/>
        </w:rPr>
        <w:t>ambiguity</w:t>
      </w:r>
      <w:r w:rsidRPr="002B6C81">
        <w:rPr>
          <w:rFonts w:ascii="Times New Roman" w:hAnsi="Times New Roman"/>
          <w:lang w:val="en-HK"/>
        </w:rPr>
        <w:t xml:space="preserve"> regarding the correct approach to </w:t>
      </w:r>
      <w:r w:rsidRPr="002B6C81">
        <w:rPr>
          <w:rFonts w:ascii="Times New Roman" w:hAnsi="Times New Roman"/>
          <w:b/>
          <w:bCs/>
          <w:lang w:val="en-HK"/>
        </w:rPr>
        <w:t>causation in fiduciary breach cases</w:t>
      </w:r>
      <w:r w:rsidRPr="002B6C81">
        <w:rPr>
          <w:rFonts w:ascii="Times New Roman" w:hAnsi="Times New Roman"/>
          <w:lang w:val="en-HK"/>
        </w:rPr>
        <w:t>.</w:t>
      </w:r>
    </w:p>
    <w:p w14:paraId="2FD38015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4.2 The Active-Passive Duty Distinction: A Novel Concept</w:t>
      </w:r>
    </w:p>
    <w:p w14:paraId="5FE562FE" w14:textId="77777777" w:rsidR="002B6C81" w:rsidRPr="002B6C81" w:rsidRDefault="002B6C81" w:rsidP="002B6C8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One of the most significant aspects of the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decision is the </w:t>
      </w:r>
      <w:r w:rsidRPr="002B6C81">
        <w:rPr>
          <w:rFonts w:ascii="Times New Roman" w:hAnsi="Times New Roman"/>
          <w:b/>
          <w:bCs/>
          <w:lang w:val="en-HK"/>
        </w:rPr>
        <w:t>introduction of the active-passive duty distinction</w:t>
      </w:r>
      <w:r w:rsidRPr="002B6C81">
        <w:rPr>
          <w:rFonts w:ascii="Times New Roman" w:hAnsi="Times New Roman"/>
          <w:lang w:val="en-HK"/>
        </w:rPr>
        <w:t>, which had not been central to prior fiduciary breach cases.</w:t>
      </w:r>
    </w:p>
    <w:p w14:paraId="7E13A168" w14:textId="77777777" w:rsidR="002B6C81" w:rsidRPr="002B6C81" w:rsidRDefault="002B6C81" w:rsidP="002B6C8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>Jackson LJ held that:</w:t>
      </w:r>
    </w:p>
    <w:p w14:paraId="52240BA4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A </w:t>
      </w:r>
      <w:r w:rsidRPr="002B6C81">
        <w:rPr>
          <w:rFonts w:ascii="Times New Roman" w:hAnsi="Times New Roman"/>
          <w:b/>
          <w:bCs/>
          <w:lang w:val="en-HK"/>
        </w:rPr>
        <w:t>passive fiduciary duty</w:t>
      </w:r>
      <w:r w:rsidRPr="002B6C81">
        <w:rPr>
          <w:rFonts w:ascii="Times New Roman" w:hAnsi="Times New Roman"/>
          <w:lang w:val="en-HK"/>
        </w:rPr>
        <w:t xml:space="preserve"> (as in 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>) means the breach merely misapplies funds already at risk.</w:t>
      </w:r>
    </w:p>
    <w:p w14:paraId="4BDF6BF8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An </w:t>
      </w:r>
      <w:r w:rsidRPr="002B6C81">
        <w:rPr>
          <w:rFonts w:ascii="Times New Roman" w:hAnsi="Times New Roman"/>
          <w:b/>
          <w:bCs/>
          <w:lang w:val="en-HK"/>
        </w:rPr>
        <w:t>active fiduciary duty</w:t>
      </w:r>
      <w:r w:rsidRPr="002B6C81">
        <w:rPr>
          <w:rFonts w:ascii="Times New Roman" w:hAnsi="Times New Roman"/>
          <w:lang w:val="en-HK"/>
        </w:rPr>
        <w:t xml:space="preserve"> (as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) involves a responsibility to </w:t>
      </w:r>
      <w:r w:rsidRPr="002B6C81">
        <w:rPr>
          <w:rFonts w:ascii="Times New Roman" w:hAnsi="Times New Roman"/>
          <w:b/>
          <w:bCs/>
          <w:lang w:val="en-HK"/>
        </w:rPr>
        <w:t>take affirmative steps to protect the beneficiaries’ interests</w:t>
      </w:r>
      <w:r w:rsidRPr="002B6C81">
        <w:rPr>
          <w:rFonts w:ascii="Times New Roman" w:hAnsi="Times New Roman"/>
          <w:lang w:val="en-HK"/>
        </w:rPr>
        <w:t>.</w:t>
      </w:r>
    </w:p>
    <w:p w14:paraId="553DD751" w14:textId="77777777" w:rsidR="002B6C81" w:rsidRPr="002B6C81" w:rsidRDefault="002B6C81" w:rsidP="002B6C8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By drawing this distinction,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suggests that </w:t>
      </w:r>
      <w:r w:rsidRPr="002B6C81">
        <w:rPr>
          <w:rFonts w:ascii="Times New Roman" w:hAnsi="Times New Roman"/>
          <w:b/>
          <w:bCs/>
          <w:lang w:val="en-HK"/>
        </w:rPr>
        <w:t>causation in equitable compensation may depend on whether a fiduciary’s duty was active or passive</w:t>
      </w:r>
      <w:r w:rsidRPr="002B6C81">
        <w:rPr>
          <w:rFonts w:ascii="Times New Roman" w:hAnsi="Times New Roman"/>
          <w:lang w:val="en-HK"/>
        </w:rPr>
        <w:t>.</w:t>
      </w:r>
    </w:p>
    <w:p w14:paraId="407A308B" w14:textId="77777777" w:rsidR="002B6C81" w:rsidRPr="002B6C81" w:rsidRDefault="002B6C81" w:rsidP="002B6C81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However, this distinction </w:t>
      </w:r>
      <w:r w:rsidRPr="002B6C81">
        <w:rPr>
          <w:rFonts w:ascii="Times New Roman" w:hAnsi="Times New Roman"/>
          <w:b/>
          <w:bCs/>
          <w:lang w:val="en-HK"/>
        </w:rPr>
        <w:t>lacks clear precedent</w:t>
      </w:r>
      <w:r w:rsidRPr="002B6C81">
        <w:rPr>
          <w:rFonts w:ascii="Times New Roman" w:hAnsi="Times New Roman"/>
          <w:lang w:val="en-HK"/>
        </w:rPr>
        <w:t>:</w:t>
      </w:r>
    </w:p>
    <w:p w14:paraId="2AA5107A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No prior case law explicitly applies this framework</w:t>
      </w:r>
      <w:r w:rsidRPr="002B6C81">
        <w:rPr>
          <w:rFonts w:ascii="Times New Roman" w:hAnsi="Times New Roman"/>
          <w:lang w:val="en-HK"/>
        </w:rPr>
        <w:t xml:space="preserve"> in the assessment of equitable compensation.</w:t>
      </w:r>
    </w:p>
    <w:p w14:paraId="1975D2D8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In </w:t>
      </w:r>
      <w:r w:rsidRPr="002B6C81">
        <w:rPr>
          <w:rFonts w:ascii="Times New Roman" w:hAnsi="Times New Roman"/>
          <w:i/>
          <w:iCs/>
          <w:lang w:val="en-HK"/>
        </w:rPr>
        <w:t>Swindle v Harrison</w:t>
      </w:r>
      <w:r w:rsidRPr="002B6C81">
        <w:rPr>
          <w:rFonts w:ascii="Times New Roman" w:hAnsi="Times New Roman"/>
          <w:lang w:val="en-HK"/>
        </w:rPr>
        <w:t xml:space="preserve"> [1997] 4 All ER 705, the </w:t>
      </w:r>
      <w:r w:rsidRPr="002B6C81">
        <w:rPr>
          <w:rFonts w:ascii="Times New Roman" w:hAnsi="Times New Roman"/>
          <w:b/>
          <w:bCs/>
          <w:lang w:val="en-HK"/>
        </w:rPr>
        <w:t>Court of Appeal rejected an attempt to classify fiduciary duties based on their nature</w:t>
      </w:r>
      <w:r w:rsidRPr="002B6C81">
        <w:rPr>
          <w:rFonts w:ascii="Times New Roman" w:hAnsi="Times New Roman"/>
          <w:lang w:val="en-HK"/>
        </w:rPr>
        <w:t>, holding that:</w:t>
      </w:r>
    </w:p>
    <w:p w14:paraId="582656A0" w14:textId="77777777" w:rsidR="002B6C81" w:rsidRPr="002B6C81" w:rsidRDefault="002B6C81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>“All fiduciary duties carry a fundamental obligation of undivided loyalty; any breach should be assessed with reference to its impact on the trust, rather than an artificial categorisation” (</w:t>
      </w:r>
      <w:r w:rsidRPr="002B6C81">
        <w:rPr>
          <w:rFonts w:ascii="Times New Roman" w:hAnsi="Times New Roman"/>
          <w:i/>
          <w:iCs/>
          <w:lang w:val="en-HK"/>
        </w:rPr>
        <w:t>Swindle</w:t>
      </w:r>
      <w:r w:rsidRPr="002B6C81">
        <w:rPr>
          <w:rFonts w:ascii="Times New Roman" w:hAnsi="Times New Roman"/>
          <w:lang w:val="en-HK"/>
        </w:rPr>
        <w:t xml:space="preserve"> at [720]).</w:t>
      </w:r>
    </w:p>
    <w:p w14:paraId="51D60DC4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active-passive distinction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could, therefore, be </w:t>
      </w:r>
      <w:r w:rsidRPr="002B6C81">
        <w:rPr>
          <w:rFonts w:ascii="Times New Roman" w:hAnsi="Times New Roman"/>
          <w:b/>
          <w:bCs/>
          <w:lang w:val="en-HK"/>
        </w:rPr>
        <w:t>viewed as judicial innovation without a strong doctrinal foundation</w:t>
      </w:r>
      <w:r w:rsidRPr="002B6C81">
        <w:rPr>
          <w:rFonts w:ascii="Times New Roman" w:hAnsi="Times New Roman"/>
          <w:lang w:val="en-HK"/>
        </w:rPr>
        <w:t>.</w:t>
      </w:r>
    </w:p>
    <w:p w14:paraId="1BDB09A6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lastRenderedPageBreak/>
        <w:t>4.3 The Expansion of Fiduciary Liability</w:t>
      </w:r>
    </w:p>
    <w:p w14:paraId="3D0DD8EE" w14:textId="77777777" w:rsidR="002B6C81" w:rsidRPr="002B6C81" w:rsidRDefault="002B6C81" w:rsidP="002B6C8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decision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</w:t>
      </w:r>
      <w:r w:rsidRPr="002B6C81">
        <w:rPr>
          <w:rFonts w:ascii="Times New Roman" w:hAnsi="Times New Roman"/>
          <w:b/>
          <w:bCs/>
          <w:lang w:val="en-HK"/>
        </w:rPr>
        <w:t>expands the potential liability of fiduciaries</w:t>
      </w:r>
      <w:r w:rsidRPr="002B6C81">
        <w:rPr>
          <w:rFonts w:ascii="Times New Roman" w:hAnsi="Times New Roman"/>
          <w:lang w:val="en-HK"/>
        </w:rPr>
        <w:t xml:space="preserve"> by holding them responsible for losses even where external factors (such as third-party fraud) play a role.</w:t>
      </w:r>
    </w:p>
    <w:p w14:paraId="57480211" w14:textId="77777777" w:rsidR="002B6C81" w:rsidRPr="002B6C81" w:rsidRDefault="002B6C81" w:rsidP="002B6C8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This </w:t>
      </w:r>
      <w:r w:rsidRPr="002B6C81">
        <w:rPr>
          <w:rFonts w:ascii="Times New Roman" w:hAnsi="Times New Roman"/>
          <w:b/>
          <w:bCs/>
          <w:lang w:val="en-HK"/>
        </w:rPr>
        <w:t xml:space="preserve">creates tension with the Supreme Court’s reasoning in </w:t>
      </w:r>
      <w:r w:rsidRPr="002B6C81">
        <w:rPr>
          <w:rFonts w:ascii="Times New Roman" w:hAnsi="Times New Roman"/>
          <w:b/>
          <w:bCs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>, where Lord Toulson held that:</w:t>
      </w:r>
    </w:p>
    <w:p w14:paraId="00843DB1" w14:textId="77777777" w:rsidR="002B6C81" w:rsidRPr="002B6C81" w:rsidRDefault="002B6C81" w:rsidP="002B6C81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>“A trustee should only be liable for actual losses caused by their breach, not for all losses that subsequently arise from an unrelated cause” (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 at [141]).</w:t>
      </w:r>
    </w:p>
    <w:p w14:paraId="6C3F57E9" w14:textId="77777777" w:rsidR="002B6C81" w:rsidRPr="002B6C81" w:rsidRDefault="002B6C81" w:rsidP="002B6C8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ruling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raises the question: </w:t>
      </w:r>
      <w:r w:rsidRPr="002B6C81">
        <w:rPr>
          <w:rFonts w:ascii="Times New Roman" w:hAnsi="Times New Roman"/>
          <w:b/>
          <w:bCs/>
          <w:lang w:val="en-HK"/>
        </w:rPr>
        <w:t>should fiduciaries be liable for losses they did not directly cause, simply because their breach facilitated an eventual harm?</w:t>
      </w:r>
    </w:p>
    <w:p w14:paraId="551C70B8" w14:textId="77777777" w:rsidR="002B6C81" w:rsidRPr="002B6C81" w:rsidRDefault="002B6C81" w:rsidP="002B6C8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By </w:t>
      </w:r>
      <w:r w:rsidRPr="002B6C81">
        <w:rPr>
          <w:rFonts w:ascii="Times New Roman" w:hAnsi="Times New Roman"/>
          <w:b/>
          <w:bCs/>
          <w:lang w:val="en-HK"/>
        </w:rPr>
        <w:t>sidestepping the novus actus interveniens test</w:t>
      </w:r>
      <w:r w:rsidRPr="002B6C81">
        <w:rPr>
          <w:rFonts w:ascii="Times New Roman" w:hAnsi="Times New Roman"/>
          <w:lang w:val="en-HK"/>
        </w:rPr>
        <w:t xml:space="preserve">,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implicitly </w:t>
      </w:r>
      <w:r w:rsidRPr="002B6C81">
        <w:rPr>
          <w:rFonts w:ascii="Times New Roman" w:hAnsi="Times New Roman"/>
          <w:b/>
          <w:bCs/>
          <w:lang w:val="en-HK"/>
        </w:rPr>
        <w:t>reintroduces elements of strict liability</w:t>
      </w:r>
      <w:r w:rsidRPr="002B6C81">
        <w:rPr>
          <w:rFonts w:ascii="Times New Roman" w:hAnsi="Times New Roman"/>
          <w:lang w:val="en-HK"/>
        </w:rPr>
        <w:t xml:space="preserve"> for fiduciaries, despite 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>’s attempt to move away from this standard.</w:t>
      </w:r>
    </w:p>
    <w:p w14:paraId="3F1D1770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4.4 The Impact on the Novus Actus Interveniens Defence</w:t>
      </w:r>
    </w:p>
    <w:p w14:paraId="5A19004C" w14:textId="77777777" w:rsidR="002B6C81" w:rsidRPr="002B6C81" w:rsidRDefault="002B6C81" w:rsidP="002B6C81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In equitable compensation claims, </w:t>
      </w:r>
      <w:r w:rsidRPr="002B6C81">
        <w:rPr>
          <w:rFonts w:ascii="Times New Roman" w:hAnsi="Times New Roman"/>
          <w:b/>
          <w:bCs/>
          <w:lang w:val="en-HK"/>
        </w:rPr>
        <w:t>a third party’s independent wrongdoing can sometimes break the chain of causation</w:t>
      </w:r>
      <w:r w:rsidRPr="002B6C81">
        <w:rPr>
          <w:rFonts w:ascii="Times New Roman" w:hAnsi="Times New Roman"/>
          <w:lang w:val="en-HK"/>
        </w:rPr>
        <w:t>, absolving the fiduciary of liability.</w:t>
      </w:r>
    </w:p>
    <w:p w14:paraId="0C2D50EF" w14:textId="77777777" w:rsidR="002B6C81" w:rsidRPr="002B6C81" w:rsidRDefault="002B6C81" w:rsidP="002B6C81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However,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significantly </w:t>
      </w:r>
      <w:r w:rsidRPr="002B6C81">
        <w:rPr>
          <w:rFonts w:ascii="Times New Roman" w:hAnsi="Times New Roman"/>
          <w:b/>
          <w:bCs/>
          <w:lang w:val="en-HK"/>
        </w:rPr>
        <w:t>weakens the effectiveness of the novus actus interveniens defence</w:t>
      </w:r>
      <w:r w:rsidRPr="002B6C81">
        <w:rPr>
          <w:rFonts w:ascii="Times New Roman" w:hAnsi="Times New Roman"/>
          <w:lang w:val="en-HK"/>
        </w:rPr>
        <w:t xml:space="preserve"> in fiduciary breach cases.</w:t>
      </w:r>
    </w:p>
    <w:p w14:paraId="418694D3" w14:textId="77777777" w:rsidR="002B6C81" w:rsidRPr="002B6C81" w:rsidRDefault="002B6C81" w:rsidP="002B6C81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Jackson LJ </w:t>
      </w:r>
      <w:r w:rsidRPr="002B6C81">
        <w:rPr>
          <w:rFonts w:ascii="Times New Roman" w:hAnsi="Times New Roman"/>
          <w:b/>
          <w:bCs/>
          <w:lang w:val="en-HK"/>
        </w:rPr>
        <w:t xml:space="preserve">rejected </w:t>
      </w:r>
      <w:proofErr w:type="spellStart"/>
      <w:r w:rsidRPr="002B6C81">
        <w:rPr>
          <w:rFonts w:ascii="Times New Roman" w:hAnsi="Times New Roman"/>
          <w:b/>
          <w:bCs/>
          <w:lang w:val="en-HK"/>
        </w:rPr>
        <w:t>Giambrone’s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 xml:space="preserve"> argument that the fraud was an intervening event</w:t>
      </w:r>
      <w:r w:rsidRPr="002B6C81">
        <w:rPr>
          <w:rFonts w:ascii="Times New Roman" w:hAnsi="Times New Roman"/>
          <w:lang w:val="en-HK"/>
        </w:rPr>
        <w:t>, reasoning that:</w:t>
      </w:r>
    </w:p>
    <w:p w14:paraId="63083EBD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2B6C81">
        <w:rPr>
          <w:rFonts w:ascii="Times New Roman" w:hAnsi="Times New Roman"/>
          <w:b/>
          <w:bCs/>
          <w:lang w:val="en-HK"/>
        </w:rPr>
        <w:t>Giambrone’s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 xml:space="preserve"> failure to secure proper guarantees directly facilitated the loss</w:t>
      </w:r>
      <w:r w:rsidRPr="002B6C81">
        <w:rPr>
          <w:rFonts w:ascii="Times New Roman" w:hAnsi="Times New Roman"/>
          <w:lang w:val="en-HK"/>
        </w:rPr>
        <w:t>.</w:t>
      </w:r>
    </w:p>
    <w:p w14:paraId="4E5BBB91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fraudulent developers </w:t>
      </w:r>
      <w:r w:rsidRPr="002B6C81">
        <w:rPr>
          <w:rFonts w:ascii="Times New Roman" w:hAnsi="Times New Roman"/>
          <w:b/>
          <w:bCs/>
          <w:lang w:val="en-HK"/>
        </w:rPr>
        <w:t>did not act independently</w:t>
      </w:r>
      <w:r w:rsidRPr="002B6C81">
        <w:rPr>
          <w:rFonts w:ascii="Times New Roman" w:hAnsi="Times New Roman"/>
          <w:lang w:val="en-HK"/>
        </w:rPr>
        <w:t xml:space="preserve"> but rather </w:t>
      </w:r>
      <w:r w:rsidRPr="002B6C81">
        <w:rPr>
          <w:rFonts w:ascii="Times New Roman" w:hAnsi="Times New Roman"/>
          <w:b/>
          <w:bCs/>
          <w:lang w:val="en-HK"/>
        </w:rPr>
        <w:t>exploited the solicitors’ breach</w:t>
      </w:r>
      <w:r w:rsidRPr="002B6C81">
        <w:rPr>
          <w:rFonts w:ascii="Times New Roman" w:hAnsi="Times New Roman"/>
          <w:lang w:val="en-HK"/>
        </w:rPr>
        <w:t>.</w:t>
      </w:r>
    </w:p>
    <w:p w14:paraId="30377A86" w14:textId="77777777" w:rsidR="002B6C81" w:rsidRPr="002B6C81" w:rsidRDefault="002B6C81" w:rsidP="002B6C81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This approach </w:t>
      </w:r>
      <w:r w:rsidRPr="002B6C81">
        <w:rPr>
          <w:rFonts w:ascii="Times New Roman" w:hAnsi="Times New Roman"/>
          <w:b/>
          <w:bCs/>
          <w:lang w:val="en-HK"/>
        </w:rPr>
        <w:t>narrows the circumstances in which fiduciaries can escape liability</w:t>
      </w:r>
      <w:r w:rsidRPr="002B6C81">
        <w:rPr>
          <w:rFonts w:ascii="Times New Roman" w:hAnsi="Times New Roman"/>
          <w:lang w:val="en-HK"/>
        </w:rPr>
        <w:t xml:space="preserve"> by relying on third-party wrongdoing.</w:t>
      </w:r>
    </w:p>
    <w:p w14:paraId="5B644025" w14:textId="77777777" w:rsidR="002B6C81" w:rsidRPr="002B6C81" w:rsidRDefault="002B6C81" w:rsidP="002B6C81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However, this </w:t>
      </w:r>
      <w:r w:rsidRPr="002B6C81">
        <w:rPr>
          <w:rFonts w:ascii="Times New Roman" w:hAnsi="Times New Roman"/>
          <w:b/>
          <w:bCs/>
          <w:lang w:val="en-HK"/>
        </w:rPr>
        <w:t>contrasts with earlier cases</w:t>
      </w:r>
      <w:r w:rsidRPr="002B6C81">
        <w:rPr>
          <w:rFonts w:ascii="Times New Roman" w:hAnsi="Times New Roman"/>
          <w:lang w:val="en-HK"/>
        </w:rPr>
        <w:t>:</w:t>
      </w:r>
    </w:p>
    <w:p w14:paraId="2FFDA0A3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lastRenderedPageBreak/>
        <w:t xml:space="preserve">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Canson</w:t>
      </w:r>
      <w:proofErr w:type="spellEnd"/>
      <w:r w:rsidRPr="002B6C81">
        <w:rPr>
          <w:rFonts w:ascii="Times New Roman" w:hAnsi="Times New Roman"/>
          <w:i/>
          <w:iCs/>
          <w:lang w:val="en-HK"/>
        </w:rPr>
        <w:t xml:space="preserve"> Enterprises Ltd v Boughton &amp; Co</w:t>
      </w:r>
      <w:r w:rsidRPr="002B6C81">
        <w:rPr>
          <w:rFonts w:ascii="Times New Roman" w:hAnsi="Times New Roman"/>
          <w:lang w:val="en-HK"/>
        </w:rPr>
        <w:t xml:space="preserve"> [1991] 3 SCR 534, the </w:t>
      </w:r>
      <w:r w:rsidRPr="002B6C81">
        <w:rPr>
          <w:rFonts w:ascii="Times New Roman" w:hAnsi="Times New Roman"/>
          <w:b/>
          <w:bCs/>
          <w:lang w:val="en-HK"/>
        </w:rPr>
        <w:t>Supreme Court of Canada</w:t>
      </w:r>
      <w:r w:rsidRPr="002B6C81">
        <w:rPr>
          <w:rFonts w:ascii="Times New Roman" w:hAnsi="Times New Roman"/>
          <w:lang w:val="en-HK"/>
        </w:rPr>
        <w:t xml:space="preserve"> held that equitable compensation should be assessed with reference to </w:t>
      </w:r>
      <w:r w:rsidRPr="002B6C81">
        <w:rPr>
          <w:rFonts w:ascii="Times New Roman" w:hAnsi="Times New Roman"/>
          <w:b/>
          <w:bCs/>
          <w:lang w:val="en-HK"/>
        </w:rPr>
        <w:t>common law causation principles</w:t>
      </w:r>
      <w:r w:rsidRPr="002B6C81">
        <w:rPr>
          <w:rFonts w:ascii="Times New Roman" w:hAnsi="Times New Roman"/>
          <w:lang w:val="en-HK"/>
        </w:rPr>
        <w:t xml:space="preserve">, allowing external wrongdoing to </w:t>
      </w:r>
      <w:r w:rsidRPr="002B6C81">
        <w:rPr>
          <w:rFonts w:ascii="Times New Roman" w:hAnsi="Times New Roman"/>
          <w:b/>
          <w:bCs/>
          <w:lang w:val="en-HK"/>
        </w:rPr>
        <w:t>sever causation where appropriate</w:t>
      </w:r>
      <w:r w:rsidRPr="002B6C81">
        <w:rPr>
          <w:rFonts w:ascii="Times New Roman" w:hAnsi="Times New Roman"/>
          <w:lang w:val="en-HK"/>
        </w:rPr>
        <w:t>.</w:t>
      </w:r>
    </w:p>
    <w:p w14:paraId="300854D9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approach in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</w:t>
      </w:r>
      <w:r w:rsidRPr="002B6C81">
        <w:rPr>
          <w:rFonts w:ascii="Times New Roman" w:hAnsi="Times New Roman"/>
          <w:b/>
          <w:bCs/>
          <w:lang w:val="en-HK"/>
        </w:rPr>
        <w:t>deviates from this line of reasoning</w:t>
      </w:r>
      <w:r w:rsidRPr="002B6C81">
        <w:rPr>
          <w:rFonts w:ascii="Times New Roman" w:hAnsi="Times New Roman"/>
          <w:lang w:val="en-HK"/>
        </w:rPr>
        <w:t xml:space="preserve">, making it </w:t>
      </w:r>
      <w:r w:rsidRPr="002B6C81">
        <w:rPr>
          <w:rFonts w:ascii="Times New Roman" w:hAnsi="Times New Roman"/>
          <w:b/>
          <w:bCs/>
          <w:lang w:val="en-HK"/>
        </w:rPr>
        <w:t>harder for fiduciaries to argue that their breach merely exposed a pre-existing risk</w:t>
      </w:r>
      <w:r w:rsidRPr="002B6C81">
        <w:rPr>
          <w:rFonts w:ascii="Times New Roman" w:hAnsi="Times New Roman"/>
          <w:lang w:val="en-HK"/>
        </w:rPr>
        <w:t>.</w:t>
      </w:r>
    </w:p>
    <w:p w14:paraId="4AABD52F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4.5 Implications for Future Equitable Compensation Cases</w:t>
      </w:r>
    </w:p>
    <w:p w14:paraId="3D1E496F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ruling raises </w:t>
      </w:r>
      <w:r w:rsidRPr="002B6C81">
        <w:rPr>
          <w:rFonts w:ascii="Times New Roman" w:hAnsi="Times New Roman"/>
          <w:b/>
          <w:bCs/>
          <w:lang w:val="en-HK"/>
        </w:rPr>
        <w:t>several key issues for future cases</w:t>
      </w:r>
      <w:r w:rsidRPr="002B6C81">
        <w:rPr>
          <w:rFonts w:ascii="Times New Roman" w:hAnsi="Times New Roman"/>
          <w:lang w:val="en-HK"/>
        </w:rPr>
        <w:t xml:space="preserve"> involving fiduciary liability and causation:</w:t>
      </w:r>
    </w:p>
    <w:p w14:paraId="4DF40D9A" w14:textId="77777777" w:rsidR="002B6C81" w:rsidRPr="002B6C81" w:rsidRDefault="002B6C81" w:rsidP="002B6C81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 xml:space="preserve">Has </w:t>
      </w:r>
      <w:proofErr w:type="spellStart"/>
      <w:r w:rsidRPr="002B6C81">
        <w:rPr>
          <w:rFonts w:ascii="Times New Roman" w:hAnsi="Times New Roman"/>
          <w:b/>
          <w:bCs/>
          <w:lang w:val="en-HK"/>
        </w:rPr>
        <w:t>Giambrone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 xml:space="preserve"> modified the AIB rule?</w:t>
      </w:r>
    </w:p>
    <w:p w14:paraId="26BAA477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By </w:t>
      </w:r>
      <w:r w:rsidRPr="002B6C81">
        <w:rPr>
          <w:rFonts w:ascii="Times New Roman" w:hAnsi="Times New Roman"/>
          <w:b/>
          <w:bCs/>
          <w:lang w:val="en-HK"/>
        </w:rPr>
        <w:t xml:space="preserve">focusing exclusively on the </w:t>
      </w:r>
      <w:proofErr w:type="spellStart"/>
      <w:r w:rsidRPr="002B6C81">
        <w:rPr>
          <w:rFonts w:ascii="Times New Roman" w:hAnsi="Times New Roman"/>
          <w:b/>
          <w:bCs/>
          <w:lang w:val="en-HK"/>
        </w:rPr>
        <w:t>but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>-for test</w:t>
      </w:r>
      <w:r w:rsidRPr="002B6C81">
        <w:rPr>
          <w:rFonts w:ascii="Times New Roman" w:hAnsi="Times New Roman"/>
          <w:lang w:val="en-HK"/>
        </w:rPr>
        <w:t xml:space="preserve"> while disregarding </w:t>
      </w:r>
      <w:r w:rsidRPr="002B6C81">
        <w:rPr>
          <w:rFonts w:ascii="Times New Roman" w:hAnsi="Times New Roman"/>
          <w:b/>
          <w:bCs/>
          <w:lang w:val="en-HK"/>
        </w:rPr>
        <w:t>direct causation analysis</w:t>
      </w:r>
      <w:r w:rsidRPr="002B6C81">
        <w:rPr>
          <w:rFonts w:ascii="Times New Roman" w:hAnsi="Times New Roman"/>
          <w:lang w:val="en-HK"/>
        </w:rPr>
        <w:t xml:space="preserve">,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risks </w:t>
      </w:r>
      <w:r w:rsidRPr="002B6C81">
        <w:rPr>
          <w:rFonts w:ascii="Times New Roman" w:hAnsi="Times New Roman"/>
          <w:b/>
          <w:bCs/>
          <w:lang w:val="en-HK"/>
        </w:rPr>
        <w:t>departing from AIB</w:t>
      </w:r>
      <w:r w:rsidRPr="002B6C81">
        <w:rPr>
          <w:rFonts w:ascii="Times New Roman" w:hAnsi="Times New Roman"/>
          <w:lang w:val="en-HK"/>
        </w:rPr>
        <w:t xml:space="preserve"> without explicitly overruling it.</w:t>
      </w:r>
    </w:p>
    <w:p w14:paraId="614422B3" w14:textId="77777777" w:rsidR="002B6C81" w:rsidRPr="002B6C81" w:rsidRDefault="002B6C81" w:rsidP="002B6C81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How should courts assess causation where third-party wrongdoing is involved?</w:t>
      </w:r>
    </w:p>
    <w:p w14:paraId="0DF41315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If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is followed, </w:t>
      </w:r>
      <w:r w:rsidRPr="002B6C81">
        <w:rPr>
          <w:rFonts w:ascii="Times New Roman" w:hAnsi="Times New Roman"/>
          <w:b/>
          <w:bCs/>
          <w:lang w:val="en-HK"/>
        </w:rPr>
        <w:t>courts may take a stricter approach to fiduciary liability</w:t>
      </w:r>
      <w:r w:rsidRPr="002B6C81">
        <w:rPr>
          <w:rFonts w:ascii="Times New Roman" w:hAnsi="Times New Roman"/>
          <w:lang w:val="en-HK"/>
        </w:rPr>
        <w:t>, even where external fraud plays a role.</w:t>
      </w:r>
    </w:p>
    <w:p w14:paraId="678CCF3D" w14:textId="77777777" w:rsidR="002B6C81" w:rsidRPr="002B6C81" w:rsidRDefault="002B6C81" w:rsidP="002B6C81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Should the active-passive duty distinction be formally incorporated into equitable compensation law?</w:t>
      </w:r>
    </w:p>
    <w:p w14:paraId="1FF7435C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</w:t>
      </w:r>
      <w:r w:rsidRPr="002B6C81">
        <w:rPr>
          <w:rFonts w:ascii="Times New Roman" w:hAnsi="Times New Roman"/>
          <w:b/>
          <w:bCs/>
          <w:lang w:val="en-HK"/>
        </w:rPr>
        <w:t>lack of precedent for this distinction</w:t>
      </w:r>
      <w:r w:rsidRPr="002B6C81">
        <w:rPr>
          <w:rFonts w:ascii="Times New Roman" w:hAnsi="Times New Roman"/>
          <w:lang w:val="en-HK"/>
        </w:rPr>
        <w:t xml:space="preserve"> means that its application remains uncertain.</w:t>
      </w:r>
    </w:p>
    <w:p w14:paraId="6BDFDEFC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4.6 Practical Consequences for Solicitors and Trustees</w:t>
      </w:r>
    </w:p>
    <w:p w14:paraId="067A5D17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judgment has </w:t>
      </w:r>
      <w:r w:rsidRPr="002B6C81">
        <w:rPr>
          <w:rFonts w:ascii="Times New Roman" w:hAnsi="Times New Roman"/>
          <w:b/>
          <w:bCs/>
          <w:lang w:val="en-HK"/>
        </w:rPr>
        <w:t>practical ramifications for solicitors, trustees, and other fiduciaries</w:t>
      </w:r>
      <w:r w:rsidRPr="002B6C81">
        <w:rPr>
          <w:rFonts w:ascii="Times New Roman" w:hAnsi="Times New Roman"/>
          <w:lang w:val="en-HK"/>
        </w:rPr>
        <w:t>, as it:</w:t>
      </w:r>
    </w:p>
    <w:p w14:paraId="1F51F248" w14:textId="77777777" w:rsidR="002B6C81" w:rsidRPr="002B6C81" w:rsidRDefault="002B6C81" w:rsidP="002B6C81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Expands the circumstances in which solicitors can be held liable</w:t>
      </w:r>
      <w:r w:rsidRPr="002B6C81">
        <w:rPr>
          <w:rFonts w:ascii="Times New Roman" w:hAnsi="Times New Roman"/>
          <w:lang w:val="en-HK"/>
        </w:rPr>
        <w:t xml:space="preserve"> for financial losses caused by third parties.</w:t>
      </w:r>
    </w:p>
    <w:p w14:paraId="25C86D1B" w14:textId="77777777" w:rsidR="002B6C81" w:rsidRPr="002B6C81" w:rsidRDefault="002B6C81" w:rsidP="002B6C81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Increases the risk exposure for professionals in transactions involving escrow accounts and client funds</w:t>
      </w:r>
      <w:r w:rsidRPr="002B6C81">
        <w:rPr>
          <w:rFonts w:ascii="Times New Roman" w:hAnsi="Times New Roman"/>
          <w:lang w:val="en-HK"/>
        </w:rPr>
        <w:t>.</w:t>
      </w:r>
    </w:p>
    <w:p w14:paraId="150E5A16" w14:textId="77777777" w:rsidR="002B6C81" w:rsidRPr="002B6C81" w:rsidRDefault="002B6C81" w:rsidP="002B6C81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lastRenderedPageBreak/>
        <w:t>Raises uncertainty about how courts will assess causation in future cases</w:t>
      </w:r>
      <w:r w:rsidRPr="002B6C81">
        <w:rPr>
          <w:rFonts w:ascii="Times New Roman" w:hAnsi="Times New Roman"/>
          <w:lang w:val="en-HK"/>
        </w:rPr>
        <w:t xml:space="preserve">, particularly where </w:t>
      </w:r>
      <w:r w:rsidRPr="002B6C81">
        <w:rPr>
          <w:rFonts w:ascii="Times New Roman" w:hAnsi="Times New Roman"/>
          <w:b/>
          <w:bCs/>
          <w:lang w:val="en-HK"/>
        </w:rPr>
        <w:t>multiple factors contribute to a loss</w:t>
      </w:r>
      <w:r w:rsidRPr="002B6C81">
        <w:rPr>
          <w:rFonts w:ascii="Times New Roman" w:hAnsi="Times New Roman"/>
          <w:lang w:val="en-HK"/>
        </w:rPr>
        <w:t>.</w:t>
      </w:r>
    </w:p>
    <w:p w14:paraId="62A2B716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4.7 Scholarly Critique and Conclusion</w:t>
      </w:r>
    </w:p>
    <w:p w14:paraId="1756B092" w14:textId="77777777" w:rsidR="002B6C81" w:rsidRPr="002B6C81" w:rsidRDefault="002B6C81" w:rsidP="002B6C81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judgment has attracted </w:t>
      </w:r>
      <w:r w:rsidRPr="002B6C81">
        <w:rPr>
          <w:rFonts w:ascii="Times New Roman" w:hAnsi="Times New Roman"/>
          <w:b/>
          <w:bCs/>
          <w:lang w:val="en-HK"/>
        </w:rPr>
        <w:t>academic criticism</w:t>
      </w:r>
      <w:r w:rsidRPr="002B6C81">
        <w:rPr>
          <w:rFonts w:ascii="Times New Roman" w:hAnsi="Times New Roman"/>
          <w:lang w:val="en-HK"/>
        </w:rPr>
        <w:t xml:space="preserve"> for its </w:t>
      </w:r>
      <w:r w:rsidRPr="002B6C81">
        <w:rPr>
          <w:rFonts w:ascii="Times New Roman" w:hAnsi="Times New Roman"/>
          <w:b/>
          <w:bCs/>
          <w:lang w:val="en-HK"/>
        </w:rPr>
        <w:t>departure from AIB</w:t>
      </w:r>
      <w:r w:rsidRPr="002B6C81">
        <w:rPr>
          <w:rFonts w:ascii="Times New Roman" w:hAnsi="Times New Roman"/>
          <w:lang w:val="en-HK"/>
        </w:rPr>
        <w:t xml:space="preserve"> and its </w:t>
      </w:r>
      <w:r w:rsidRPr="002B6C81">
        <w:rPr>
          <w:rFonts w:ascii="Times New Roman" w:hAnsi="Times New Roman"/>
          <w:b/>
          <w:bCs/>
          <w:lang w:val="en-HK"/>
        </w:rPr>
        <w:t>unclear application of causation principles</w:t>
      </w:r>
      <w:r w:rsidRPr="002B6C81">
        <w:rPr>
          <w:rFonts w:ascii="Times New Roman" w:hAnsi="Times New Roman"/>
          <w:lang w:val="en-HK"/>
        </w:rPr>
        <w:t>.</w:t>
      </w:r>
    </w:p>
    <w:p w14:paraId="73C081E4" w14:textId="77777777" w:rsidR="002B6C81" w:rsidRPr="002B6C81" w:rsidRDefault="002B6C81" w:rsidP="002B6C81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Scholars have </w:t>
      </w:r>
      <w:r w:rsidRPr="002B6C81">
        <w:rPr>
          <w:rFonts w:ascii="Times New Roman" w:hAnsi="Times New Roman"/>
          <w:b/>
          <w:bCs/>
          <w:lang w:val="en-HK"/>
        </w:rPr>
        <w:t>questioned the active-passive duty distinction</w:t>
      </w:r>
      <w:r w:rsidRPr="002B6C81">
        <w:rPr>
          <w:rFonts w:ascii="Times New Roman" w:hAnsi="Times New Roman"/>
          <w:lang w:val="en-HK"/>
        </w:rPr>
        <w:t>, arguing that:</w:t>
      </w:r>
    </w:p>
    <w:p w14:paraId="3B43F227" w14:textId="08808629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1. </w:t>
      </w:r>
      <w:r w:rsidRPr="002B6C81">
        <w:rPr>
          <w:rFonts w:ascii="Times New Roman" w:hAnsi="Times New Roman"/>
          <w:lang w:val="en-HK"/>
        </w:rPr>
        <w:t xml:space="preserve">It </w:t>
      </w:r>
      <w:r w:rsidRPr="002B6C81">
        <w:rPr>
          <w:rFonts w:ascii="Times New Roman" w:hAnsi="Times New Roman"/>
          <w:b/>
          <w:bCs/>
          <w:lang w:val="en-HK"/>
        </w:rPr>
        <w:t>lacks doctrinal foundation</w:t>
      </w:r>
      <w:r w:rsidRPr="002B6C81">
        <w:rPr>
          <w:rFonts w:ascii="Times New Roman" w:hAnsi="Times New Roman"/>
          <w:lang w:val="en-HK"/>
        </w:rPr>
        <w:t>.</w:t>
      </w:r>
    </w:p>
    <w:p w14:paraId="38AD926B" w14:textId="32949355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2. </w:t>
      </w:r>
      <w:r w:rsidRPr="002B6C81">
        <w:rPr>
          <w:rFonts w:ascii="Times New Roman" w:hAnsi="Times New Roman"/>
          <w:lang w:val="en-HK"/>
        </w:rPr>
        <w:t xml:space="preserve">It </w:t>
      </w:r>
      <w:r w:rsidRPr="002B6C81">
        <w:rPr>
          <w:rFonts w:ascii="Times New Roman" w:hAnsi="Times New Roman"/>
          <w:b/>
          <w:bCs/>
          <w:lang w:val="en-HK"/>
        </w:rPr>
        <w:t>complicates the assessment of fiduciary liability</w:t>
      </w:r>
      <w:r w:rsidRPr="002B6C81">
        <w:rPr>
          <w:rFonts w:ascii="Times New Roman" w:hAnsi="Times New Roman"/>
          <w:lang w:val="en-HK"/>
        </w:rPr>
        <w:t>.</w:t>
      </w:r>
    </w:p>
    <w:p w14:paraId="75D6DAF3" w14:textId="77777777" w:rsidR="002B6C81" w:rsidRPr="002B6C81" w:rsidRDefault="002B6C81" w:rsidP="002B6C81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ruling also </w:t>
      </w:r>
      <w:r w:rsidRPr="002B6C81">
        <w:rPr>
          <w:rFonts w:ascii="Times New Roman" w:hAnsi="Times New Roman"/>
          <w:b/>
          <w:bCs/>
          <w:lang w:val="en-HK"/>
        </w:rPr>
        <w:t>revives elements of strict trustee liability</w:t>
      </w:r>
      <w:r w:rsidRPr="002B6C81">
        <w:rPr>
          <w:rFonts w:ascii="Times New Roman" w:hAnsi="Times New Roman"/>
          <w:lang w:val="en-HK"/>
        </w:rPr>
        <w:t xml:space="preserve">, contradicting 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’s </w:t>
      </w:r>
      <w:r w:rsidRPr="002B6C81">
        <w:rPr>
          <w:rFonts w:ascii="Times New Roman" w:hAnsi="Times New Roman"/>
          <w:b/>
          <w:bCs/>
          <w:lang w:val="en-HK"/>
        </w:rPr>
        <w:t>modern causation-based approach</w:t>
      </w:r>
      <w:r w:rsidRPr="002B6C81">
        <w:rPr>
          <w:rFonts w:ascii="Times New Roman" w:hAnsi="Times New Roman"/>
          <w:lang w:val="en-HK"/>
        </w:rPr>
        <w:t>.</w:t>
      </w:r>
    </w:p>
    <w:p w14:paraId="1AF0BDC3" w14:textId="39E16664" w:rsidR="002B6C81" w:rsidRPr="002B6C81" w:rsidRDefault="002B6C81" w:rsidP="002B6C81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Ultimately, </w:t>
      </w:r>
      <w:proofErr w:type="spellStart"/>
      <w:r w:rsidRPr="002B6C81">
        <w:rPr>
          <w:rFonts w:ascii="Times New Roman" w:hAnsi="Times New Roman"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lang w:val="en-HK"/>
        </w:rPr>
        <w:t xml:space="preserve"> creates </w:t>
      </w:r>
      <w:r w:rsidRPr="002B6C81">
        <w:rPr>
          <w:rFonts w:ascii="Times New Roman" w:hAnsi="Times New Roman"/>
          <w:b/>
          <w:bCs/>
          <w:lang w:val="en-HK"/>
        </w:rPr>
        <w:t>uncertainty about the correct standard for equitable compensation</w:t>
      </w:r>
      <w:r w:rsidRPr="002B6C81">
        <w:rPr>
          <w:rFonts w:ascii="Times New Roman" w:hAnsi="Times New Roman"/>
          <w:lang w:val="en-HK"/>
        </w:rPr>
        <w:t>, leaving open questions that future courts will need to address.</w:t>
      </w:r>
    </w:p>
    <w:p w14:paraId="20ACAAF9" w14:textId="77777777" w:rsidR="002B6C81" w:rsidRPr="002B6C81" w:rsidRDefault="002B6C81" w:rsidP="002B6C81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B6C81">
        <w:rPr>
          <w:rFonts w:ascii="Times New Roman" w:hAnsi="Times New Roman"/>
          <w:b/>
          <w:bCs/>
          <w:lang w:val="en-HK"/>
        </w:rPr>
        <w:t>Final Observations</w:t>
      </w:r>
    </w:p>
    <w:p w14:paraId="1B27D0BA" w14:textId="77777777" w:rsidR="002B6C81" w:rsidRPr="002B6C81" w:rsidRDefault="002B6C81" w:rsidP="002B6C81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2B6C81">
        <w:rPr>
          <w:rFonts w:ascii="Times New Roman" w:hAnsi="Times New Roman"/>
          <w:lang w:val="en-HK"/>
        </w:rPr>
        <w:t xml:space="preserve">The </w:t>
      </w:r>
      <w:r w:rsidRPr="002B6C81">
        <w:rPr>
          <w:rFonts w:ascii="Times New Roman" w:hAnsi="Times New Roman"/>
          <w:b/>
          <w:bCs/>
          <w:lang w:val="en-HK"/>
        </w:rPr>
        <w:t xml:space="preserve">effect of </w:t>
      </w:r>
      <w:proofErr w:type="spellStart"/>
      <w:r w:rsidRPr="002B6C81">
        <w:rPr>
          <w:rFonts w:ascii="Times New Roman" w:hAnsi="Times New Roman"/>
          <w:b/>
          <w:bCs/>
          <w:i/>
          <w:iCs/>
          <w:lang w:val="en-HK"/>
        </w:rPr>
        <w:t>Giambrone</w:t>
      </w:r>
      <w:proofErr w:type="spellEnd"/>
      <w:r w:rsidRPr="002B6C81">
        <w:rPr>
          <w:rFonts w:ascii="Times New Roman" w:hAnsi="Times New Roman"/>
          <w:b/>
          <w:bCs/>
          <w:lang w:val="en-HK"/>
        </w:rPr>
        <w:t xml:space="preserve"> is significant</w:t>
      </w:r>
      <w:r w:rsidRPr="002B6C81">
        <w:rPr>
          <w:rFonts w:ascii="Times New Roman" w:hAnsi="Times New Roman"/>
          <w:lang w:val="en-HK"/>
        </w:rPr>
        <w:t xml:space="preserve">, as it </w:t>
      </w:r>
      <w:r w:rsidRPr="002B6C81">
        <w:rPr>
          <w:rFonts w:ascii="Times New Roman" w:hAnsi="Times New Roman"/>
          <w:b/>
          <w:bCs/>
          <w:lang w:val="en-HK"/>
        </w:rPr>
        <w:t>shifts fiduciary law back towards strict liability</w:t>
      </w:r>
      <w:r w:rsidRPr="002B6C81">
        <w:rPr>
          <w:rFonts w:ascii="Times New Roman" w:hAnsi="Times New Roman"/>
          <w:lang w:val="en-HK"/>
        </w:rPr>
        <w:t xml:space="preserve">, limiting the novus actus interveniens defence and </w:t>
      </w:r>
      <w:r w:rsidRPr="002B6C81">
        <w:rPr>
          <w:rFonts w:ascii="Times New Roman" w:hAnsi="Times New Roman"/>
          <w:b/>
          <w:bCs/>
          <w:lang w:val="en-HK"/>
        </w:rPr>
        <w:t xml:space="preserve">introducing uncertainty in the causation framework established in </w:t>
      </w:r>
      <w:r w:rsidRPr="002B6C81">
        <w:rPr>
          <w:rFonts w:ascii="Times New Roman" w:hAnsi="Times New Roman"/>
          <w:b/>
          <w:bCs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. While the Court of Appeal attempted to apply </w:t>
      </w:r>
      <w:r w:rsidRPr="002B6C81">
        <w:rPr>
          <w:rFonts w:ascii="Times New Roman" w:hAnsi="Times New Roman"/>
          <w:i/>
          <w:iCs/>
          <w:lang w:val="en-HK"/>
        </w:rPr>
        <w:t>AIB</w:t>
      </w:r>
      <w:r w:rsidRPr="002B6C81">
        <w:rPr>
          <w:rFonts w:ascii="Times New Roman" w:hAnsi="Times New Roman"/>
          <w:lang w:val="en-HK"/>
        </w:rPr>
        <w:t xml:space="preserve">, </w:t>
      </w:r>
      <w:r w:rsidRPr="002B6C81">
        <w:rPr>
          <w:rFonts w:ascii="Times New Roman" w:hAnsi="Times New Roman"/>
          <w:b/>
          <w:bCs/>
          <w:lang w:val="en-HK"/>
        </w:rPr>
        <w:t>its omission of direct causation analysis and introduction of the active-passive duty distinction create doctrinal ambiguity</w:t>
      </w:r>
      <w:r w:rsidRPr="002B6C81">
        <w:rPr>
          <w:rFonts w:ascii="Times New Roman" w:hAnsi="Times New Roman"/>
          <w:lang w:val="en-HK"/>
        </w:rPr>
        <w:t xml:space="preserve">. The ruling </w:t>
      </w:r>
      <w:r w:rsidRPr="002B6C81">
        <w:rPr>
          <w:rFonts w:ascii="Times New Roman" w:hAnsi="Times New Roman"/>
          <w:b/>
          <w:bCs/>
          <w:lang w:val="en-HK"/>
        </w:rPr>
        <w:t>raises concerns for solicitors, trustees, and legal professionals</w:t>
      </w:r>
      <w:r w:rsidRPr="002B6C81">
        <w:rPr>
          <w:rFonts w:ascii="Times New Roman" w:hAnsi="Times New Roman"/>
          <w:lang w:val="en-HK"/>
        </w:rPr>
        <w:t xml:space="preserve"> regarding their exposure to liability in transactions involving third-party wrongdoing.</w:t>
      </w:r>
    </w:p>
    <w:p w14:paraId="23362C04" w14:textId="06E1780E" w:rsidR="002B6C81" w:rsidRPr="002B6C81" w:rsidRDefault="001D07B2" w:rsidP="002B6C81">
      <w:pPr>
        <w:spacing w:line="360" w:lineRule="auto"/>
        <w:rPr>
          <w:lang w:val="en-US"/>
        </w:rPr>
      </w:pPr>
      <w:r w:rsidRPr="001D07B2">
        <w:rPr>
          <w:rFonts w:ascii="Times New Roman" w:hAnsi="Times New Roman"/>
          <w:noProof/>
          <w:lang w:val="en-HK"/>
          <w14:ligatures w14:val="standardContextual"/>
        </w:rPr>
        <w:pict w14:anchorId="12C7657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2B6C81" w:rsidRPr="002B6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6737B"/>
    <w:multiLevelType w:val="multilevel"/>
    <w:tmpl w:val="0F1E5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45C1"/>
    <w:multiLevelType w:val="multilevel"/>
    <w:tmpl w:val="609EE0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1231"/>
    <w:multiLevelType w:val="multilevel"/>
    <w:tmpl w:val="6A68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A7A8C"/>
    <w:multiLevelType w:val="multilevel"/>
    <w:tmpl w:val="5366E9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422A3"/>
    <w:multiLevelType w:val="multilevel"/>
    <w:tmpl w:val="E0FE0BA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C11FA"/>
    <w:multiLevelType w:val="hybridMultilevel"/>
    <w:tmpl w:val="D3109B20"/>
    <w:lvl w:ilvl="0" w:tplc="DACEA6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6350CF"/>
    <w:multiLevelType w:val="multilevel"/>
    <w:tmpl w:val="A8E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B4A52"/>
    <w:multiLevelType w:val="multilevel"/>
    <w:tmpl w:val="E7D0D7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002BB"/>
    <w:multiLevelType w:val="hybridMultilevel"/>
    <w:tmpl w:val="D4987424"/>
    <w:lvl w:ilvl="0" w:tplc="DACEA6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E728A4"/>
    <w:multiLevelType w:val="multilevel"/>
    <w:tmpl w:val="868ADA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733D0"/>
    <w:multiLevelType w:val="multilevel"/>
    <w:tmpl w:val="C6A672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60B9A"/>
    <w:multiLevelType w:val="multilevel"/>
    <w:tmpl w:val="A8EE39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D6845"/>
    <w:multiLevelType w:val="multilevel"/>
    <w:tmpl w:val="774AB5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23B49"/>
    <w:multiLevelType w:val="multilevel"/>
    <w:tmpl w:val="3E54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41F3B"/>
    <w:multiLevelType w:val="multilevel"/>
    <w:tmpl w:val="8F88F4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7724E"/>
    <w:multiLevelType w:val="multilevel"/>
    <w:tmpl w:val="B7CE02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33E31"/>
    <w:multiLevelType w:val="multilevel"/>
    <w:tmpl w:val="37320A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F3FD7"/>
    <w:multiLevelType w:val="multilevel"/>
    <w:tmpl w:val="B4664E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F24B3"/>
    <w:multiLevelType w:val="multilevel"/>
    <w:tmpl w:val="CF70A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B2B80"/>
    <w:multiLevelType w:val="multilevel"/>
    <w:tmpl w:val="0DE41E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A532A"/>
    <w:multiLevelType w:val="multilevel"/>
    <w:tmpl w:val="35C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1289C"/>
    <w:multiLevelType w:val="hybridMultilevel"/>
    <w:tmpl w:val="624EE3E8"/>
    <w:lvl w:ilvl="0" w:tplc="DACEA6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DACEA6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61821DA"/>
    <w:multiLevelType w:val="multilevel"/>
    <w:tmpl w:val="B5EA4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45364"/>
    <w:multiLevelType w:val="multilevel"/>
    <w:tmpl w:val="A96E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86AB8"/>
    <w:multiLevelType w:val="multilevel"/>
    <w:tmpl w:val="873212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9660A"/>
    <w:multiLevelType w:val="multilevel"/>
    <w:tmpl w:val="D1BA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8F63BA"/>
    <w:multiLevelType w:val="multilevel"/>
    <w:tmpl w:val="5BEA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90645"/>
    <w:multiLevelType w:val="multilevel"/>
    <w:tmpl w:val="B4664E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10A59"/>
    <w:multiLevelType w:val="multilevel"/>
    <w:tmpl w:val="58AC59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428A1"/>
    <w:multiLevelType w:val="multilevel"/>
    <w:tmpl w:val="E354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2B1BAB"/>
    <w:multiLevelType w:val="multilevel"/>
    <w:tmpl w:val="420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C409F"/>
    <w:multiLevelType w:val="multilevel"/>
    <w:tmpl w:val="8B5245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A261C"/>
    <w:multiLevelType w:val="multilevel"/>
    <w:tmpl w:val="59CEA9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81345"/>
    <w:multiLevelType w:val="multilevel"/>
    <w:tmpl w:val="BF1E76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949B4"/>
    <w:multiLevelType w:val="multilevel"/>
    <w:tmpl w:val="9E10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25AF9"/>
    <w:multiLevelType w:val="multilevel"/>
    <w:tmpl w:val="9EFA7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067AE1"/>
    <w:multiLevelType w:val="multilevel"/>
    <w:tmpl w:val="A6BAA0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700FD"/>
    <w:multiLevelType w:val="multilevel"/>
    <w:tmpl w:val="0C00C0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35429246">
    <w:abstractNumId w:val="33"/>
  </w:num>
  <w:num w:numId="2" w16cid:durableId="651372870">
    <w:abstractNumId w:val="14"/>
  </w:num>
  <w:num w:numId="3" w16cid:durableId="2077583126">
    <w:abstractNumId w:val="32"/>
  </w:num>
  <w:num w:numId="4" w16cid:durableId="1523201066">
    <w:abstractNumId w:val="37"/>
  </w:num>
  <w:num w:numId="5" w16cid:durableId="124348221">
    <w:abstractNumId w:val="27"/>
  </w:num>
  <w:num w:numId="6" w16cid:durableId="1291284074">
    <w:abstractNumId w:val="22"/>
  </w:num>
  <w:num w:numId="7" w16cid:durableId="1458328173">
    <w:abstractNumId w:val="17"/>
  </w:num>
  <w:num w:numId="8" w16cid:durableId="2048413806">
    <w:abstractNumId w:val="19"/>
  </w:num>
  <w:num w:numId="9" w16cid:durableId="1571622537">
    <w:abstractNumId w:val="23"/>
  </w:num>
  <w:num w:numId="10" w16cid:durableId="1244295134">
    <w:abstractNumId w:val="24"/>
  </w:num>
  <w:num w:numId="11" w16cid:durableId="27999755">
    <w:abstractNumId w:val="28"/>
  </w:num>
  <w:num w:numId="12" w16cid:durableId="1890454581">
    <w:abstractNumId w:val="4"/>
  </w:num>
  <w:num w:numId="13" w16cid:durableId="2068986687">
    <w:abstractNumId w:val="36"/>
  </w:num>
  <w:num w:numId="14" w16cid:durableId="119809826">
    <w:abstractNumId w:val="9"/>
  </w:num>
  <w:num w:numId="15" w16cid:durableId="984774472">
    <w:abstractNumId w:val="35"/>
  </w:num>
  <w:num w:numId="16" w16cid:durableId="612519808">
    <w:abstractNumId w:val="13"/>
  </w:num>
  <w:num w:numId="17" w16cid:durableId="2129422831">
    <w:abstractNumId w:val="12"/>
  </w:num>
  <w:num w:numId="18" w16cid:durableId="1178427805">
    <w:abstractNumId w:val="5"/>
  </w:num>
  <w:num w:numId="19" w16cid:durableId="1715155716">
    <w:abstractNumId w:val="3"/>
  </w:num>
  <w:num w:numId="20" w16cid:durableId="936017799">
    <w:abstractNumId w:val="3"/>
    <w:lvlOverride w:ilvl="1">
      <w:lvl w:ilvl="1">
        <w:numFmt w:val="decimal"/>
        <w:lvlText w:val="%2."/>
        <w:lvlJc w:val="left"/>
      </w:lvl>
    </w:lvlOverride>
  </w:num>
  <w:num w:numId="21" w16cid:durableId="244731807">
    <w:abstractNumId w:val="16"/>
  </w:num>
  <w:num w:numId="22" w16cid:durableId="142075907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902400884">
    <w:abstractNumId w:val="2"/>
  </w:num>
  <w:num w:numId="24" w16cid:durableId="901794244">
    <w:abstractNumId w:val="26"/>
  </w:num>
  <w:num w:numId="25" w16cid:durableId="753471826">
    <w:abstractNumId w:val="7"/>
  </w:num>
  <w:num w:numId="26" w16cid:durableId="1550458558">
    <w:abstractNumId w:val="18"/>
  </w:num>
  <w:num w:numId="27" w16cid:durableId="1321039842">
    <w:abstractNumId w:val="6"/>
  </w:num>
  <w:num w:numId="28" w16cid:durableId="287472955">
    <w:abstractNumId w:val="30"/>
  </w:num>
  <w:num w:numId="29" w16cid:durableId="1231843633">
    <w:abstractNumId w:val="10"/>
  </w:num>
  <w:num w:numId="30" w16cid:durableId="749084461">
    <w:abstractNumId w:val="21"/>
  </w:num>
  <w:num w:numId="31" w16cid:durableId="469635360">
    <w:abstractNumId w:val="8"/>
  </w:num>
  <w:num w:numId="32" w16cid:durableId="48770858">
    <w:abstractNumId w:val="15"/>
  </w:num>
  <w:num w:numId="33" w16cid:durableId="420878158">
    <w:abstractNumId w:val="1"/>
  </w:num>
  <w:num w:numId="34" w16cid:durableId="1657875599">
    <w:abstractNumId w:val="0"/>
  </w:num>
  <w:num w:numId="35" w16cid:durableId="290942832">
    <w:abstractNumId w:val="11"/>
  </w:num>
  <w:num w:numId="36" w16cid:durableId="299923495">
    <w:abstractNumId w:val="34"/>
  </w:num>
  <w:num w:numId="37" w16cid:durableId="511921593">
    <w:abstractNumId w:val="20"/>
  </w:num>
  <w:num w:numId="38" w16cid:durableId="1086346600">
    <w:abstractNumId w:val="31"/>
  </w:num>
  <w:num w:numId="39" w16cid:durableId="1622303115">
    <w:abstractNumId w:val="25"/>
  </w:num>
  <w:num w:numId="40" w16cid:durableId="102158787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92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372F7"/>
    <w:rsid w:val="00175AB8"/>
    <w:rsid w:val="0019260C"/>
    <w:rsid w:val="001A41D2"/>
    <w:rsid w:val="001B0E31"/>
    <w:rsid w:val="001D07B2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7C6E"/>
    <w:rsid w:val="002B3377"/>
    <w:rsid w:val="002B6C81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222FD"/>
    <w:rsid w:val="004319FA"/>
    <w:rsid w:val="00442F56"/>
    <w:rsid w:val="0044616D"/>
    <w:rsid w:val="00474DD1"/>
    <w:rsid w:val="004751B5"/>
    <w:rsid w:val="0048097D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A7F90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1992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689E"/>
    <w:rsid w:val="00E60DF5"/>
    <w:rsid w:val="00E64DD3"/>
    <w:rsid w:val="00E80D33"/>
    <w:rsid w:val="00E850EB"/>
    <w:rsid w:val="00E95D8D"/>
    <w:rsid w:val="00EA6ED5"/>
    <w:rsid w:val="00EB7051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CB80"/>
  <w15:chartTrackingRefBased/>
  <w15:docId w15:val="{356B94A1-4606-5341-A316-D2C497FE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9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9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9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9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9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9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9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99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E199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E1992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992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992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992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992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992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992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E19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9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9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99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E19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992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CE1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992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E199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7F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7F90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6A7F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6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62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5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29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7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9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5412</Words>
  <Characters>30854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2025-02-02T21:24:00Z</dcterms:created>
  <dcterms:modified xsi:type="dcterms:W3CDTF">2025-02-03T10:26:00Z</dcterms:modified>
</cp:coreProperties>
</file>