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B8581" w14:textId="7AB393C6" w:rsidR="003D6F5F" w:rsidRPr="008115C1" w:rsidRDefault="003D6F5F" w:rsidP="008115C1">
      <w:pPr>
        <w:spacing w:after="240" w:line="360" w:lineRule="auto"/>
        <w:rPr>
          <w:b/>
          <w:bCs/>
          <w:color w:val="2F5496" w:themeColor="accent1" w:themeShade="BF"/>
          <w:lang w:val="en-US"/>
        </w:rPr>
      </w:pPr>
      <w:r w:rsidRPr="008115C1">
        <w:rPr>
          <w:b/>
          <w:bCs/>
          <w:color w:val="2F5496" w:themeColor="accent1" w:themeShade="BF"/>
          <w:lang w:val="en-US"/>
        </w:rPr>
        <w:t>1. Constructive trusts, tracing and the requirement of a fiduciary obligation Mark Pawlowski Trusts &amp; Trustees, Volume 11, Issue 10, October 2005, Pages 10–14</w:t>
      </w:r>
    </w:p>
    <w:p w14:paraId="43393C56" w14:textId="72F377E5" w:rsidR="00CD39F1" w:rsidRPr="008115C1" w:rsidRDefault="009378C7" w:rsidP="008115C1">
      <w:pPr>
        <w:spacing w:after="240" w:line="360" w:lineRule="auto"/>
        <w:rPr>
          <w:b/>
          <w:bCs/>
          <w:lang w:val="en-US"/>
        </w:rPr>
      </w:pPr>
      <w:r w:rsidRPr="008115C1">
        <w:rPr>
          <w:b/>
          <w:bCs/>
          <w:lang w:val="en-US"/>
        </w:rPr>
        <w:t>2 approaches</w:t>
      </w:r>
    </w:p>
    <w:p w14:paraId="4957041D" w14:textId="4E3B8C87" w:rsidR="009378C7" w:rsidRPr="008115C1" w:rsidRDefault="009378C7" w:rsidP="008115C1">
      <w:pPr>
        <w:spacing w:after="240" w:line="360" w:lineRule="auto"/>
        <w:rPr>
          <w:b/>
          <w:bCs/>
        </w:rPr>
      </w:pPr>
      <w:r w:rsidRPr="008115C1">
        <w:rPr>
          <w:b/>
          <w:bCs/>
          <w:lang w:val="en-US"/>
        </w:rPr>
        <w:t xml:space="preserve">1. </w:t>
      </w:r>
      <w:r w:rsidRPr="008115C1">
        <w:rPr>
          <w:b/>
          <w:bCs/>
        </w:rPr>
        <w:t>Fiduciary Relationship Requirement</w:t>
      </w:r>
    </w:p>
    <w:p w14:paraId="2A6C7BDB" w14:textId="77777777" w:rsidR="009378C7" w:rsidRPr="008115C1" w:rsidRDefault="009378C7" w:rsidP="008115C1">
      <w:pPr>
        <w:spacing w:before="100" w:beforeAutospacing="1" w:after="240" w:line="360" w:lineRule="auto"/>
        <w:outlineLvl w:val="1"/>
        <w:rPr>
          <w:b/>
          <w:bCs/>
        </w:rPr>
      </w:pPr>
      <w:r w:rsidRPr="008115C1">
        <w:rPr>
          <w:b/>
          <w:bCs/>
        </w:rPr>
        <w:t>2. The Constructive Trust Approach</w:t>
      </w:r>
    </w:p>
    <w:p w14:paraId="739A8852" w14:textId="77777777" w:rsidR="009378C7" w:rsidRPr="008115C1" w:rsidRDefault="009378C7" w:rsidP="008115C1">
      <w:pPr>
        <w:spacing w:before="100" w:beforeAutospacing="1" w:after="240" w:line="360" w:lineRule="auto"/>
        <w:outlineLvl w:val="1"/>
        <w:rPr>
          <w:b/>
          <w:bCs/>
        </w:rPr>
      </w:pPr>
      <w:r w:rsidRPr="008115C1">
        <w:rPr>
          <w:b/>
          <w:bCs/>
        </w:rPr>
        <w:t>1. How Case Facts Differ in the Two Approaches</w:t>
      </w:r>
    </w:p>
    <w:p w14:paraId="0A6CAC60" w14:textId="77777777" w:rsidR="009378C7" w:rsidRPr="008115C1" w:rsidRDefault="009378C7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Traditional Fiduciary Relationship Approach (Older Cases)</w:t>
      </w:r>
    </w:p>
    <w:p w14:paraId="061D98A6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Case type:</w:t>
      </w:r>
      <w:r w:rsidRPr="008115C1">
        <w:t xml:space="preserve"> Historically, tracing claims involved </w:t>
      </w:r>
      <w:r w:rsidRPr="008115C1">
        <w:rPr>
          <w:b/>
          <w:bCs/>
        </w:rPr>
        <w:t>misappropriated trust property</w:t>
      </w:r>
      <w:r w:rsidRPr="008115C1">
        <w:t xml:space="preserve"> or funds </w:t>
      </w:r>
      <w:r w:rsidRPr="008115C1">
        <w:rPr>
          <w:b/>
          <w:bCs/>
        </w:rPr>
        <w:t>handled by fiduciaries</w:t>
      </w:r>
      <w:r w:rsidRPr="008115C1">
        <w:t>, such as trustees, executors, and agents.</w:t>
      </w:r>
    </w:p>
    <w:p w14:paraId="3875CD81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The key legal issue:</w:t>
      </w:r>
      <w:r w:rsidRPr="008115C1">
        <w:t xml:space="preserve"> Courts needed to ensure that the claimant had a </w:t>
      </w:r>
      <w:r w:rsidRPr="008115C1">
        <w:rPr>
          <w:b/>
          <w:bCs/>
        </w:rPr>
        <w:t>proprietary interest</w:t>
      </w:r>
      <w:r w:rsidRPr="008115C1">
        <w:t xml:space="preserve"> in the property before permitting equitable tracing.</w:t>
      </w:r>
    </w:p>
    <w:p w14:paraId="1A59A65B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Example:</w:t>
      </w:r>
    </w:p>
    <w:p w14:paraId="7C4FB863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i/>
          <w:iCs/>
        </w:rPr>
        <w:t>Re Diplock</w:t>
      </w:r>
      <w:r w:rsidRPr="008115C1">
        <w:t xml:space="preserve"> [1948] Ch. 465 – Executors wrongly distributed money from an estate. The claimants (next of kin) were unable to trace because </w:t>
      </w:r>
      <w:r w:rsidRPr="008115C1">
        <w:rPr>
          <w:b/>
          <w:bCs/>
        </w:rPr>
        <w:t>no fiduciary relationship existed between them and the charities who received the funds</w:t>
      </w:r>
      <w:r w:rsidRPr="008115C1">
        <w:t>.</w:t>
      </w:r>
    </w:p>
    <w:p w14:paraId="1961AB2C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Key factual limitation:</w:t>
      </w:r>
      <w:r w:rsidRPr="008115C1">
        <w:t xml:space="preserve"> If the claimants could not prove a fiduciary relationship, their claim failed—even though their property was wrongly distributed.</w:t>
      </w:r>
    </w:p>
    <w:p w14:paraId="52F07E8A" w14:textId="77777777" w:rsidR="009378C7" w:rsidRPr="008115C1" w:rsidRDefault="009378C7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Modern Constructive Trust Approach (Newer Cases)</w:t>
      </w:r>
    </w:p>
    <w:p w14:paraId="6F335FE1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Case type:</w:t>
      </w:r>
      <w:r w:rsidRPr="008115C1">
        <w:t xml:space="preserve"> Courts now frequently deal with cases of </w:t>
      </w:r>
      <w:r w:rsidRPr="008115C1">
        <w:rPr>
          <w:b/>
          <w:bCs/>
        </w:rPr>
        <w:t>fraud, mistaken payments, and stolen property</w:t>
      </w:r>
      <w:r w:rsidRPr="008115C1">
        <w:t xml:space="preserve">, where the wrongdoer is not a fiduciary but </w:t>
      </w:r>
      <w:r w:rsidRPr="008115C1">
        <w:rPr>
          <w:b/>
          <w:bCs/>
        </w:rPr>
        <w:t>a thief, fraudster, or an innocent third party who has received misappropriated funds</w:t>
      </w:r>
      <w:r w:rsidRPr="008115C1">
        <w:t>.</w:t>
      </w:r>
    </w:p>
    <w:p w14:paraId="20F21C39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The key legal issue:</w:t>
      </w:r>
      <w:r w:rsidRPr="008115C1">
        <w:t xml:space="preserve"> Victims need to recover their property </w:t>
      </w:r>
      <w:r w:rsidRPr="008115C1">
        <w:rPr>
          <w:b/>
          <w:bCs/>
        </w:rPr>
        <w:t>even where no fiduciary relationship existed</w:t>
      </w:r>
      <w:r w:rsidRPr="008115C1">
        <w:t xml:space="preserve"> at the time of the misappropriation.</w:t>
      </w:r>
    </w:p>
    <w:p w14:paraId="03317653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Example:</w:t>
      </w:r>
    </w:p>
    <w:p w14:paraId="1B9509CC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i/>
          <w:iCs/>
        </w:rPr>
        <w:lastRenderedPageBreak/>
        <w:t>Chase Manhattan Bank NA v Israeli-British Bank (London) Ltd</w:t>
      </w:r>
      <w:r w:rsidRPr="008115C1">
        <w:t xml:space="preserve"> [1981] Ch. 105 – A bank mistakenly made a </w:t>
      </w:r>
      <w:r w:rsidRPr="008115C1">
        <w:rPr>
          <w:b/>
          <w:bCs/>
        </w:rPr>
        <w:t>duplicate payment</w:t>
      </w:r>
      <w:r w:rsidRPr="008115C1">
        <w:t xml:space="preserve"> to another bank, which later went insolvent. The court imposed a </w:t>
      </w:r>
      <w:r w:rsidRPr="008115C1">
        <w:rPr>
          <w:b/>
          <w:bCs/>
        </w:rPr>
        <w:t>constructive trust upon receipt</w:t>
      </w:r>
      <w:r w:rsidRPr="008115C1">
        <w:t>, allowing equitable tracing without a fiduciary relationship.</w:t>
      </w:r>
    </w:p>
    <w:p w14:paraId="3FA5A111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Key factual distinction:</w:t>
      </w:r>
      <w:r w:rsidRPr="008115C1">
        <w:t xml:space="preserve"> Unlike </w:t>
      </w:r>
      <w:r w:rsidRPr="008115C1">
        <w:rPr>
          <w:i/>
          <w:iCs/>
        </w:rPr>
        <w:t>Re Diplock</w:t>
      </w:r>
      <w:r w:rsidRPr="008115C1">
        <w:t xml:space="preserve">, there was no </w:t>
      </w:r>
      <w:r w:rsidRPr="008115C1">
        <w:rPr>
          <w:b/>
          <w:bCs/>
        </w:rPr>
        <w:t>pre-existing fiduciary duty</w:t>
      </w:r>
      <w:r w:rsidRPr="008115C1">
        <w:t xml:space="preserve">. Instead, the court allowed tracing based on the </w:t>
      </w:r>
      <w:r w:rsidRPr="008115C1">
        <w:rPr>
          <w:b/>
          <w:bCs/>
        </w:rPr>
        <w:t>unjust enrichment</w:t>
      </w:r>
      <w:r w:rsidRPr="008115C1">
        <w:t xml:space="preserve"> of the recipient.</w:t>
      </w:r>
    </w:p>
    <w:p w14:paraId="5020DE5E" w14:textId="77777777" w:rsidR="009378C7" w:rsidRPr="008115C1" w:rsidRDefault="00E31F1B" w:rsidP="008115C1">
      <w:pPr>
        <w:spacing w:after="240" w:line="360" w:lineRule="auto"/>
      </w:pPr>
      <w:r>
        <w:pict w14:anchorId="0D62A987">
          <v:rect id="Horizontal Line 1" o:sp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FFAA25" w14:textId="77777777" w:rsidR="009378C7" w:rsidRPr="008115C1" w:rsidRDefault="009378C7" w:rsidP="008115C1">
      <w:pPr>
        <w:spacing w:before="100" w:beforeAutospacing="1" w:after="240" w:line="360" w:lineRule="auto"/>
        <w:outlineLvl w:val="1"/>
        <w:rPr>
          <w:b/>
          <w:bCs/>
        </w:rPr>
      </w:pPr>
      <w:r w:rsidRPr="008115C1">
        <w:rPr>
          <w:b/>
          <w:bCs/>
        </w:rPr>
        <w:t>2. Why Courts Began Considering a New Approach</w:t>
      </w:r>
    </w:p>
    <w:p w14:paraId="462F19CB" w14:textId="77777777" w:rsidR="009378C7" w:rsidRPr="008115C1" w:rsidRDefault="009378C7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(A) The Fiduciary Relationship Requirement Creates Arbitrary and Unfair Results</w:t>
      </w:r>
    </w:p>
    <w:p w14:paraId="17FD5E1C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Problem:</w:t>
      </w:r>
      <w:r w:rsidRPr="008115C1">
        <w:t xml:space="preserve"> In cases where a </w:t>
      </w:r>
      <w:r w:rsidRPr="008115C1">
        <w:rPr>
          <w:b/>
          <w:bCs/>
        </w:rPr>
        <w:t>fiduciary duty was absent</w:t>
      </w:r>
      <w:r w:rsidRPr="008115C1">
        <w:t>, claimants could not trace their property in equity, even if the money was wrongly taken.</w:t>
      </w:r>
    </w:p>
    <w:p w14:paraId="6E101815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Example:</w:t>
      </w:r>
    </w:p>
    <w:p w14:paraId="7A78DB81" w14:textId="77777777" w:rsidR="009378C7" w:rsidRPr="008115C1" w:rsidRDefault="009378C7" w:rsidP="008115C1">
      <w:pPr>
        <w:spacing w:before="100" w:beforeAutospacing="1" w:after="240" w:line="360" w:lineRule="auto"/>
      </w:pPr>
      <w:proofErr w:type="spellStart"/>
      <w:r w:rsidRPr="008115C1">
        <w:rPr>
          <w:i/>
          <w:iCs/>
        </w:rPr>
        <w:t>Agip</w:t>
      </w:r>
      <w:proofErr w:type="spellEnd"/>
      <w:r w:rsidRPr="008115C1">
        <w:rPr>
          <w:i/>
          <w:iCs/>
        </w:rPr>
        <w:t xml:space="preserve"> (Africa) Ltd v Jackson</w:t>
      </w:r>
      <w:r w:rsidRPr="008115C1">
        <w:t xml:space="preserve"> [1992] 4 All E.R. 451 – Money was </w:t>
      </w:r>
      <w:r w:rsidRPr="008115C1">
        <w:rPr>
          <w:b/>
          <w:bCs/>
        </w:rPr>
        <w:t>fraudulently diverted</w:t>
      </w:r>
      <w:r w:rsidRPr="008115C1">
        <w:t xml:space="preserve"> through multiple bank accounts. Because the fraudsters were </w:t>
      </w:r>
      <w:r w:rsidRPr="008115C1">
        <w:rPr>
          <w:b/>
          <w:bCs/>
        </w:rPr>
        <w:t>not fiduciaries</w:t>
      </w:r>
      <w:r w:rsidRPr="008115C1">
        <w:t xml:space="preserve">, equitable tracing </w:t>
      </w:r>
      <w:r w:rsidRPr="008115C1">
        <w:rPr>
          <w:b/>
          <w:bCs/>
        </w:rPr>
        <w:t>failed</w:t>
      </w:r>
      <w:r w:rsidRPr="008115C1">
        <w:t>.</w:t>
      </w:r>
    </w:p>
    <w:p w14:paraId="0989EA10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Why the traditional approach failed:</w:t>
      </w:r>
      <w:r w:rsidRPr="008115C1">
        <w:t xml:space="preserve"> The claimants could </w:t>
      </w:r>
      <w:r w:rsidRPr="008115C1">
        <w:rPr>
          <w:b/>
          <w:bCs/>
        </w:rPr>
        <w:t>prove their ownership</w:t>
      </w:r>
      <w:r w:rsidRPr="008115C1">
        <w:t>, but because no fiduciary duty pre-existed, they could not recover the funds using equitable tracing.</w:t>
      </w:r>
    </w:p>
    <w:p w14:paraId="0AE52794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How the constructive trust approach helps:</w:t>
      </w:r>
    </w:p>
    <w:p w14:paraId="142C2259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t xml:space="preserve">Instead of requiring a fiduciary duty, courts can impose a </w:t>
      </w:r>
      <w:r w:rsidRPr="008115C1">
        <w:rPr>
          <w:b/>
          <w:bCs/>
        </w:rPr>
        <w:t>constructive trust on the wrongful recipient</w:t>
      </w:r>
      <w:r w:rsidRPr="008115C1">
        <w:t xml:space="preserve">, allowing equitable tracing </w:t>
      </w:r>
      <w:r w:rsidRPr="008115C1">
        <w:rPr>
          <w:b/>
          <w:bCs/>
        </w:rPr>
        <w:t>based on the claimant’s proprietary interest</w:t>
      </w:r>
      <w:r w:rsidRPr="008115C1">
        <w:t>.</w:t>
      </w:r>
    </w:p>
    <w:p w14:paraId="7C2E720A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Example:</w:t>
      </w:r>
    </w:p>
    <w:p w14:paraId="1CD9F54D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i/>
          <w:iCs/>
        </w:rPr>
        <w:t xml:space="preserve">Lipkin Gorman v </w:t>
      </w:r>
      <w:proofErr w:type="spellStart"/>
      <w:r w:rsidRPr="008115C1">
        <w:rPr>
          <w:i/>
          <w:iCs/>
        </w:rPr>
        <w:t>Karpnale</w:t>
      </w:r>
      <w:proofErr w:type="spellEnd"/>
      <w:r w:rsidRPr="008115C1">
        <w:t xml:space="preserve"> [1991] 2 A.C. 548 – A </w:t>
      </w:r>
      <w:r w:rsidRPr="008115C1">
        <w:rPr>
          <w:b/>
          <w:bCs/>
        </w:rPr>
        <w:t>law firm’s money was stolen by its clerk and spent at a casino</w:t>
      </w:r>
      <w:r w:rsidRPr="008115C1">
        <w:t xml:space="preserve">. The </w:t>
      </w:r>
      <w:r w:rsidRPr="008115C1">
        <w:rPr>
          <w:b/>
          <w:bCs/>
        </w:rPr>
        <w:t xml:space="preserve">House of Lords allowed tracing because stolen money was </w:t>
      </w:r>
      <w:r w:rsidRPr="008115C1">
        <w:rPr>
          <w:b/>
          <w:bCs/>
        </w:rPr>
        <w:lastRenderedPageBreak/>
        <w:t>held on trust for the victim</w:t>
      </w:r>
      <w:r w:rsidRPr="008115C1">
        <w:t xml:space="preserve">, </w:t>
      </w:r>
      <w:r w:rsidRPr="008115C1">
        <w:rPr>
          <w:b/>
          <w:bCs/>
        </w:rPr>
        <w:t>even though the casino had no fiduciary duty to the claimant</w:t>
      </w:r>
      <w:r w:rsidRPr="008115C1">
        <w:t>.</w:t>
      </w:r>
    </w:p>
    <w:p w14:paraId="70A454A0" w14:textId="77777777" w:rsidR="009378C7" w:rsidRPr="008115C1" w:rsidRDefault="009378C7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(B) Increase in Commercial Transactions and Mistaken Payments</w:t>
      </w:r>
    </w:p>
    <w:p w14:paraId="6B4F6D2B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Problem:</w:t>
      </w:r>
      <w:r w:rsidRPr="008115C1">
        <w:t xml:space="preserve"> Many modern cases involve </w:t>
      </w:r>
      <w:r w:rsidRPr="008115C1">
        <w:rPr>
          <w:b/>
          <w:bCs/>
        </w:rPr>
        <w:t>mistaken payments and fraud in commercial transactions</w:t>
      </w:r>
      <w:r w:rsidRPr="008115C1">
        <w:t>, rather than traditional fiduciary relationships.</w:t>
      </w:r>
    </w:p>
    <w:p w14:paraId="611BEBCD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Example:</w:t>
      </w:r>
    </w:p>
    <w:p w14:paraId="073207F2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i/>
          <w:iCs/>
        </w:rPr>
        <w:t>Chase Manhattan Bank</w:t>
      </w:r>
      <w:r w:rsidRPr="008115C1">
        <w:t xml:space="preserve"> – The mistaken duplicate payment had </w:t>
      </w:r>
      <w:r w:rsidRPr="008115C1">
        <w:rPr>
          <w:b/>
          <w:bCs/>
        </w:rPr>
        <w:t>no connection to a fiduciary relationship</w:t>
      </w:r>
      <w:r w:rsidRPr="008115C1">
        <w:t xml:space="preserve">, but the court still allowed tracing through a </w:t>
      </w:r>
      <w:r w:rsidRPr="008115C1">
        <w:rPr>
          <w:b/>
          <w:bCs/>
        </w:rPr>
        <w:t>constructive trust</w:t>
      </w:r>
      <w:r w:rsidRPr="008115C1">
        <w:t>.</w:t>
      </w:r>
    </w:p>
    <w:p w14:paraId="256774AE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Why the traditional approach failed:</w:t>
      </w:r>
      <w:r w:rsidRPr="008115C1">
        <w:t xml:space="preserve"> Under the fiduciary requirement, the claimant </w:t>
      </w:r>
      <w:r w:rsidRPr="008115C1">
        <w:rPr>
          <w:b/>
          <w:bCs/>
        </w:rPr>
        <w:t>would not have been able to trace</w:t>
      </w:r>
      <w:r w:rsidRPr="008115C1">
        <w:t xml:space="preserve"> because the recipient bank was not a fiduciary.</w:t>
      </w:r>
    </w:p>
    <w:p w14:paraId="0CF3FFAC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How the constructive trust approach helps:</w:t>
      </w:r>
      <w:r w:rsidRPr="008115C1">
        <w:t xml:space="preserve"> By </w:t>
      </w:r>
      <w:r w:rsidRPr="008115C1">
        <w:rPr>
          <w:b/>
          <w:bCs/>
        </w:rPr>
        <w:t>imposing a trust upon receipt</w:t>
      </w:r>
      <w:r w:rsidRPr="008115C1">
        <w:t xml:space="preserve">, courts </w:t>
      </w:r>
      <w:r w:rsidRPr="008115C1">
        <w:rPr>
          <w:b/>
          <w:bCs/>
        </w:rPr>
        <w:t>prevent unjust enrichment</w:t>
      </w:r>
      <w:r w:rsidRPr="008115C1">
        <w:t xml:space="preserve"> and allow tracing.</w:t>
      </w:r>
    </w:p>
    <w:p w14:paraId="07A40F67" w14:textId="77777777" w:rsidR="009378C7" w:rsidRPr="008115C1" w:rsidRDefault="009378C7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(C) The Need to Recognize Tracing in Fraud Cases</w:t>
      </w:r>
    </w:p>
    <w:p w14:paraId="3BEF9273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Problem:</w:t>
      </w:r>
      <w:r w:rsidRPr="008115C1">
        <w:t xml:space="preserve"> Many fraudsters do not have fiduciary relationships with their victims, meaning equitable tracing is unavailable under the traditional rule.</w:t>
      </w:r>
    </w:p>
    <w:p w14:paraId="70D209CF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Example:</w:t>
      </w:r>
    </w:p>
    <w:p w14:paraId="44CF47B4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i/>
          <w:iCs/>
        </w:rPr>
        <w:t xml:space="preserve">Commerzbank </w:t>
      </w:r>
      <w:proofErr w:type="spellStart"/>
      <w:r w:rsidRPr="008115C1">
        <w:rPr>
          <w:i/>
          <w:iCs/>
        </w:rPr>
        <w:t>Aktiengesellschaft</w:t>
      </w:r>
      <w:proofErr w:type="spellEnd"/>
      <w:r w:rsidRPr="008115C1">
        <w:rPr>
          <w:i/>
          <w:iCs/>
        </w:rPr>
        <w:t xml:space="preserve"> v </w:t>
      </w:r>
      <w:proofErr w:type="spellStart"/>
      <w:r w:rsidRPr="008115C1">
        <w:rPr>
          <w:i/>
          <w:iCs/>
        </w:rPr>
        <w:t>Imb</w:t>
      </w:r>
      <w:proofErr w:type="spellEnd"/>
      <w:r w:rsidRPr="008115C1">
        <w:rPr>
          <w:i/>
          <w:iCs/>
        </w:rPr>
        <w:t xml:space="preserve"> Morgan plc</w:t>
      </w:r>
      <w:r w:rsidRPr="008115C1">
        <w:t xml:space="preserve"> [2004] – Fraudulent payments were traced into a bank account. The </w:t>
      </w:r>
      <w:r w:rsidRPr="008115C1">
        <w:rPr>
          <w:b/>
          <w:bCs/>
        </w:rPr>
        <w:t>court allowed tracing by recognizing a constructive trust</w:t>
      </w:r>
      <w:r w:rsidRPr="008115C1">
        <w:t>.</w:t>
      </w:r>
    </w:p>
    <w:p w14:paraId="5EFEA7D2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Why the traditional approach failed:</w:t>
      </w:r>
      <w:r w:rsidRPr="008115C1">
        <w:t xml:space="preserve"> If courts required a fiduciary duty, fraud victims would be unable to recover their money in equity.</w:t>
      </w:r>
    </w:p>
    <w:p w14:paraId="6A78FE8D" w14:textId="77777777" w:rsidR="009378C7" w:rsidRPr="008115C1" w:rsidRDefault="009378C7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(D) Judicial Recognition that Fiduciary Relationships Are Not Always Necessary</w:t>
      </w:r>
    </w:p>
    <w:p w14:paraId="3ECA4A34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 xml:space="preserve">Lord Millett in </w:t>
      </w:r>
      <w:proofErr w:type="spellStart"/>
      <w:r w:rsidRPr="008115C1">
        <w:rPr>
          <w:b/>
          <w:bCs/>
          <w:i/>
          <w:iCs/>
        </w:rPr>
        <w:t>Foskett</w:t>
      </w:r>
      <w:proofErr w:type="spellEnd"/>
      <w:r w:rsidRPr="008115C1">
        <w:rPr>
          <w:b/>
          <w:bCs/>
          <w:i/>
          <w:iCs/>
        </w:rPr>
        <w:t xml:space="preserve"> v McKeown</w:t>
      </w:r>
      <w:r w:rsidRPr="008115C1">
        <w:rPr>
          <w:b/>
          <w:bCs/>
        </w:rPr>
        <w:t xml:space="preserve"> [2000] 3 All E.R. 97</w:t>
      </w:r>
      <w:r w:rsidRPr="008115C1">
        <w:t xml:space="preserve"> argued that </w:t>
      </w:r>
      <w:r w:rsidRPr="008115C1">
        <w:rPr>
          <w:b/>
          <w:bCs/>
        </w:rPr>
        <w:t>equitable tracing should be based on ownership, not fiduciary duties</w:t>
      </w:r>
      <w:r w:rsidRPr="008115C1">
        <w:t>, stating:</w:t>
      </w:r>
    </w:p>
    <w:p w14:paraId="718D84B4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i/>
          <w:iCs/>
        </w:rPr>
        <w:lastRenderedPageBreak/>
        <w:t>“There is no logical justification for allowing distinctions between common law and equitable tracing to produce capricious results … by insisting on the existence of a fiduciary relationship.”</w:t>
      </w:r>
    </w:p>
    <w:p w14:paraId="5D28E919" w14:textId="77777777" w:rsidR="009378C7" w:rsidRPr="008115C1" w:rsidRDefault="009378C7" w:rsidP="008115C1">
      <w:pPr>
        <w:spacing w:before="100" w:beforeAutospacing="1" w:after="240" w:line="360" w:lineRule="auto"/>
      </w:pPr>
      <w:r w:rsidRPr="008115C1">
        <w:rPr>
          <w:b/>
          <w:bCs/>
        </w:rPr>
        <w:t>Key impact:</w:t>
      </w:r>
      <w:r w:rsidRPr="008115C1">
        <w:t xml:space="preserve"> This </w:t>
      </w:r>
      <w:r w:rsidRPr="008115C1">
        <w:rPr>
          <w:b/>
          <w:bCs/>
        </w:rPr>
        <w:t>directly challenges the traditional view</w:t>
      </w:r>
      <w:r w:rsidRPr="008115C1">
        <w:t xml:space="preserve">, supporting the idea that </w:t>
      </w:r>
      <w:r w:rsidRPr="008115C1">
        <w:rPr>
          <w:b/>
          <w:bCs/>
        </w:rPr>
        <w:t>equitable tracing should focus on whether the claimant has a proprietary interest, not whether a fiduciary relationship exists</w:t>
      </w:r>
      <w:r w:rsidRPr="008115C1">
        <w:t>.</w:t>
      </w:r>
    </w:p>
    <w:p w14:paraId="058339BB" w14:textId="77777777" w:rsidR="009378C7" w:rsidRPr="008115C1" w:rsidRDefault="00E31F1B" w:rsidP="008115C1">
      <w:pPr>
        <w:spacing w:after="240" w:line="360" w:lineRule="auto"/>
      </w:pPr>
      <w:r>
        <w:pict w14:anchorId="2F9BAEC3">
          <v:rect id="Horizontal Line 2" o:sp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529F03" w14:textId="57262B59" w:rsidR="009378C7" w:rsidRPr="008115C1" w:rsidRDefault="009378C7" w:rsidP="008115C1">
      <w:pPr>
        <w:spacing w:after="240" w:line="360" w:lineRule="auto"/>
        <w:rPr>
          <w:b/>
          <w:bCs/>
        </w:rPr>
      </w:pPr>
      <w:r w:rsidRPr="008115C1">
        <w:rPr>
          <w:b/>
          <w:bCs/>
        </w:rPr>
        <w:t>3. How the Facts of Modern Cases Support the Constructive Trust Approach</w:t>
      </w:r>
    </w:p>
    <w:p w14:paraId="4D781D28" w14:textId="1B52AE43" w:rsidR="009378C7" w:rsidRPr="008115C1" w:rsidRDefault="009378C7" w:rsidP="008115C1">
      <w:pPr>
        <w:spacing w:after="240" w:line="360" w:lineRule="auto"/>
      </w:pPr>
      <w:r w:rsidRPr="008115C1">
        <w:rPr>
          <w:noProof/>
        </w:rPr>
        <w:drawing>
          <wp:inline distT="0" distB="0" distL="0" distR="0" wp14:anchorId="4DF3F35E" wp14:editId="45EA980E">
            <wp:extent cx="5731510" cy="3399790"/>
            <wp:effectExtent l="0" t="0" r="0" b="3810"/>
            <wp:docPr id="565880428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80428" name="Picture 1" descr="A table with text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8640" w14:textId="77777777" w:rsidR="009378C7" w:rsidRPr="008115C1" w:rsidRDefault="009378C7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Future Implications:</w:t>
      </w:r>
    </w:p>
    <w:p w14:paraId="4FCE4680" w14:textId="77777777" w:rsidR="009378C7" w:rsidRPr="008115C1" w:rsidRDefault="009378C7" w:rsidP="008115C1">
      <w:pPr>
        <w:numPr>
          <w:ilvl w:val="0"/>
          <w:numId w:val="7"/>
        </w:numPr>
        <w:spacing w:before="100" w:beforeAutospacing="1" w:after="240" w:line="360" w:lineRule="auto"/>
      </w:pPr>
      <w:r w:rsidRPr="008115C1">
        <w:rPr>
          <w:b/>
          <w:bCs/>
        </w:rPr>
        <w:t>The fiduciary requirement remains dominant</w:t>
      </w:r>
      <w:r w:rsidRPr="008115C1">
        <w:t xml:space="preserve">, but </w:t>
      </w:r>
      <w:r w:rsidRPr="008115C1">
        <w:rPr>
          <w:b/>
          <w:bCs/>
        </w:rPr>
        <w:t>courts are gradually allowing equitable tracing where no fiduciary duty exists</w:t>
      </w:r>
      <w:r w:rsidRPr="008115C1">
        <w:t xml:space="preserve">, relying on </w:t>
      </w:r>
      <w:r w:rsidRPr="008115C1">
        <w:rPr>
          <w:b/>
          <w:bCs/>
        </w:rPr>
        <w:t>constructive trusts to justify intervention</w:t>
      </w:r>
      <w:r w:rsidRPr="008115C1">
        <w:t>.</w:t>
      </w:r>
    </w:p>
    <w:p w14:paraId="37738314" w14:textId="77777777" w:rsidR="009378C7" w:rsidRPr="008115C1" w:rsidRDefault="009378C7" w:rsidP="008115C1">
      <w:pPr>
        <w:numPr>
          <w:ilvl w:val="0"/>
          <w:numId w:val="7"/>
        </w:numPr>
        <w:spacing w:before="100" w:beforeAutospacing="1" w:after="240" w:line="360" w:lineRule="auto"/>
      </w:pPr>
      <w:r w:rsidRPr="008115C1">
        <w:rPr>
          <w:b/>
          <w:bCs/>
        </w:rPr>
        <w:t>Fraud, theft, and mistaken payment cases are most likely to see continued expansion of the constructive trust approach</w:t>
      </w:r>
      <w:r w:rsidRPr="008115C1">
        <w:t>.</w:t>
      </w:r>
    </w:p>
    <w:p w14:paraId="1F94AEE0" w14:textId="77777777" w:rsidR="009378C7" w:rsidRPr="008115C1" w:rsidRDefault="009378C7" w:rsidP="008115C1">
      <w:pPr>
        <w:spacing w:after="240" w:line="360" w:lineRule="auto"/>
      </w:pPr>
    </w:p>
    <w:p w14:paraId="204BF1D5" w14:textId="4B0F6112" w:rsidR="003D6F5F" w:rsidRPr="008115C1" w:rsidRDefault="003D6F5F" w:rsidP="008115C1">
      <w:pPr>
        <w:spacing w:after="240" w:line="360" w:lineRule="auto"/>
        <w:rPr>
          <w:b/>
          <w:bCs/>
          <w:color w:val="2F5496" w:themeColor="accent1" w:themeShade="BF"/>
          <w:lang w:val="en-US"/>
        </w:rPr>
      </w:pPr>
      <w:r w:rsidRPr="008115C1">
        <w:rPr>
          <w:b/>
          <w:bCs/>
          <w:color w:val="2F5496" w:themeColor="accent1" w:themeShade="BF"/>
          <w:lang w:val="en-US"/>
        </w:rPr>
        <w:lastRenderedPageBreak/>
        <w:t xml:space="preserve">2. Tracing, Mixing, and Innocent Claimants in The Modern Law Review </w:t>
      </w:r>
      <w:proofErr w:type="gramStart"/>
      <w:r w:rsidRPr="008115C1">
        <w:rPr>
          <w:b/>
          <w:bCs/>
          <w:color w:val="2F5496" w:themeColor="accent1" w:themeShade="BF"/>
          <w:lang w:val="en-US"/>
        </w:rPr>
        <w:t>Article  by</w:t>
      </w:r>
      <w:proofErr w:type="gramEnd"/>
      <w:r w:rsidRPr="008115C1">
        <w:rPr>
          <w:b/>
          <w:bCs/>
          <w:color w:val="2F5496" w:themeColor="accent1" w:themeShade="BF"/>
          <w:lang w:val="en-US"/>
        </w:rPr>
        <w:t xml:space="preserve"> Jordan English; </w:t>
      </w:r>
      <w:proofErr w:type="spellStart"/>
      <w:r w:rsidRPr="008115C1">
        <w:rPr>
          <w:b/>
          <w:bCs/>
          <w:color w:val="2F5496" w:themeColor="accent1" w:themeShade="BF"/>
          <w:lang w:val="en-US"/>
        </w:rPr>
        <w:t>Mohammud</w:t>
      </w:r>
      <w:proofErr w:type="spellEnd"/>
      <w:r w:rsidRPr="008115C1">
        <w:rPr>
          <w:b/>
          <w:bCs/>
          <w:color w:val="2F5496" w:themeColor="accent1" w:themeShade="BF"/>
          <w:lang w:val="en-US"/>
        </w:rPr>
        <w:t xml:space="preserve"> </w:t>
      </w:r>
      <w:proofErr w:type="spellStart"/>
      <w:r w:rsidRPr="008115C1">
        <w:rPr>
          <w:b/>
          <w:bCs/>
          <w:color w:val="2F5496" w:themeColor="accent1" w:themeShade="BF"/>
          <w:lang w:val="en-US"/>
        </w:rPr>
        <w:t>Jaamae</w:t>
      </w:r>
      <w:proofErr w:type="spellEnd"/>
      <w:r w:rsidRPr="008115C1">
        <w:rPr>
          <w:b/>
          <w:bCs/>
          <w:color w:val="2F5496" w:themeColor="accent1" w:themeShade="BF"/>
          <w:lang w:val="en-US"/>
        </w:rPr>
        <w:t xml:space="preserve"> Hafeez‐Baig</w:t>
      </w:r>
    </w:p>
    <w:p w14:paraId="55EB5C27" w14:textId="6517387B" w:rsidR="003D6F5F" w:rsidRPr="008115C1" w:rsidRDefault="003D6F5F" w:rsidP="008115C1">
      <w:pPr>
        <w:spacing w:after="240" w:line="360" w:lineRule="auto"/>
        <w:rPr>
          <w:b/>
          <w:bCs/>
          <w:lang w:val="en-US"/>
        </w:rPr>
      </w:pPr>
      <w:r w:rsidRPr="008115C1">
        <w:rPr>
          <w:b/>
          <w:bCs/>
          <w:lang w:val="en-US"/>
        </w:rPr>
        <w:t>3 methods</w:t>
      </w:r>
    </w:p>
    <w:p w14:paraId="15569C2B" w14:textId="77777777" w:rsidR="003B6520" w:rsidRPr="008115C1" w:rsidRDefault="003B6520" w:rsidP="008115C1">
      <w:pPr>
        <w:spacing w:before="100" w:beforeAutospacing="1" w:after="240" w:line="360" w:lineRule="auto"/>
        <w:outlineLvl w:val="1"/>
        <w:rPr>
          <w:b/>
          <w:bCs/>
        </w:rPr>
      </w:pPr>
      <w:r w:rsidRPr="008115C1">
        <w:rPr>
          <w:b/>
          <w:bCs/>
        </w:rPr>
        <w:t>1. The Rule in Clayton’s Case: Judicial Endorsement and Criticism</w:t>
      </w:r>
    </w:p>
    <w:p w14:paraId="36B1CFE6" w14:textId="77777777" w:rsidR="003B6520" w:rsidRPr="008115C1" w:rsidRDefault="003B6520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(</w:t>
      </w:r>
      <w:proofErr w:type="spellStart"/>
      <w:r w:rsidRPr="008115C1">
        <w:rPr>
          <w:b/>
          <w:bCs/>
        </w:rPr>
        <w:t>i</w:t>
      </w:r>
      <w:proofErr w:type="spellEnd"/>
      <w:r w:rsidRPr="008115C1">
        <w:rPr>
          <w:b/>
          <w:bCs/>
        </w:rPr>
        <w:t xml:space="preserve">) </w:t>
      </w:r>
      <w:proofErr w:type="spellStart"/>
      <w:r w:rsidRPr="008115C1">
        <w:rPr>
          <w:b/>
          <w:bCs/>
        </w:rPr>
        <w:t>Devaynes</w:t>
      </w:r>
      <w:proofErr w:type="spellEnd"/>
      <w:r w:rsidRPr="008115C1">
        <w:rPr>
          <w:b/>
          <w:bCs/>
        </w:rPr>
        <w:t xml:space="preserve"> v Noble (Clayton’s Case) (1816) 1 Mer 572; 35 ER 781</w:t>
      </w:r>
    </w:p>
    <w:p w14:paraId="5E817FD2" w14:textId="77777777" w:rsidR="003B6520" w:rsidRPr="008115C1" w:rsidRDefault="003B6520" w:rsidP="008115C1">
      <w:pPr>
        <w:numPr>
          <w:ilvl w:val="0"/>
          <w:numId w:val="22"/>
        </w:numPr>
        <w:spacing w:before="100" w:beforeAutospacing="1" w:after="240" w:line="360" w:lineRule="auto"/>
      </w:pPr>
      <w:r w:rsidRPr="008115C1">
        <w:rPr>
          <w:b/>
          <w:bCs/>
        </w:rPr>
        <w:t>Facts:</w:t>
      </w:r>
      <w:r w:rsidRPr="008115C1">
        <w:br/>
        <w:t xml:space="preserve">This case concerned the </w:t>
      </w:r>
      <w:r w:rsidRPr="008115C1">
        <w:rPr>
          <w:b/>
          <w:bCs/>
        </w:rPr>
        <w:t>appropriation of payments</w:t>
      </w:r>
      <w:r w:rsidRPr="008115C1">
        <w:t xml:space="preserve"> in the context of a banker-customer relationship rather than the tracing of trust funds. The court developed what later became known as the </w:t>
      </w:r>
      <w:r w:rsidRPr="008115C1">
        <w:rPr>
          <w:b/>
          <w:bCs/>
        </w:rPr>
        <w:t>“first in, first out” (FIFO) rule</w:t>
      </w:r>
      <w:r w:rsidRPr="008115C1">
        <w:t xml:space="preserve">, which presumes that </w:t>
      </w:r>
      <w:r w:rsidRPr="008115C1">
        <w:rPr>
          <w:b/>
          <w:bCs/>
        </w:rPr>
        <w:t>earliest deposits in a mixed fund are the first to be spent</w:t>
      </w:r>
      <w:r w:rsidRPr="008115C1">
        <w:t>.</w:t>
      </w:r>
    </w:p>
    <w:p w14:paraId="29119041" w14:textId="77777777" w:rsidR="003B6520" w:rsidRPr="008115C1" w:rsidRDefault="003B6520" w:rsidP="008115C1">
      <w:pPr>
        <w:numPr>
          <w:ilvl w:val="0"/>
          <w:numId w:val="22"/>
        </w:numPr>
        <w:spacing w:before="100" w:beforeAutospacing="1" w:after="240" w:line="360" w:lineRule="auto"/>
      </w:pPr>
      <w:r w:rsidRPr="008115C1">
        <w:rPr>
          <w:b/>
          <w:bCs/>
        </w:rPr>
        <w:t>Held:</w:t>
      </w:r>
      <w:r w:rsidRPr="008115C1">
        <w:br/>
        <w:t xml:space="preserve">The court applied the </w:t>
      </w:r>
      <w:r w:rsidRPr="008115C1">
        <w:rPr>
          <w:b/>
          <w:bCs/>
        </w:rPr>
        <w:t>FIFO principle</w:t>
      </w:r>
      <w:r w:rsidRPr="008115C1">
        <w:t xml:space="preserve">, stating that when withdrawals occur, they must be attributed </w:t>
      </w:r>
      <w:r w:rsidRPr="008115C1">
        <w:rPr>
          <w:b/>
          <w:bCs/>
        </w:rPr>
        <w:t>chronologically to the earliest deposit</w:t>
      </w:r>
      <w:r w:rsidRPr="008115C1">
        <w:t>.</w:t>
      </w:r>
    </w:p>
    <w:p w14:paraId="21D7D5D9" w14:textId="77777777" w:rsidR="003B6520" w:rsidRPr="008115C1" w:rsidRDefault="003B6520" w:rsidP="008115C1">
      <w:pPr>
        <w:numPr>
          <w:ilvl w:val="0"/>
          <w:numId w:val="22"/>
        </w:numPr>
        <w:spacing w:before="100" w:beforeAutospacing="1" w:after="240" w:line="360" w:lineRule="auto"/>
      </w:pPr>
      <w:r w:rsidRPr="008115C1">
        <w:rPr>
          <w:b/>
          <w:bCs/>
        </w:rPr>
        <w:t>Reasoning:</w:t>
      </w:r>
      <w:r w:rsidRPr="008115C1">
        <w:br/>
        <w:t xml:space="preserve">The decision was based on </w:t>
      </w:r>
      <w:r w:rsidRPr="008115C1">
        <w:rPr>
          <w:b/>
          <w:bCs/>
        </w:rPr>
        <w:t>contractual principles of banking law</w:t>
      </w:r>
      <w:r w:rsidRPr="008115C1">
        <w:t xml:space="preserve">, rather than </w:t>
      </w:r>
      <w:r w:rsidRPr="008115C1">
        <w:rPr>
          <w:b/>
          <w:bCs/>
        </w:rPr>
        <w:t xml:space="preserve">equitable proprietary </w:t>
      </w:r>
      <w:proofErr w:type="spellStart"/>
      <w:r w:rsidRPr="008115C1">
        <w:rPr>
          <w:b/>
          <w:bCs/>
        </w:rPr>
        <w:t>tracing</w:t>
      </w:r>
      <w:proofErr w:type="spellEnd"/>
      <w:r w:rsidRPr="008115C1">
        <w:rPr>
          <w:b/>
          <w:bCs/>
        </w:rPr>
        <w:t xml:space="preserve"> rules</w:t>
      </w:r>
      <w:r w:rsidRPr="008115C1">
        <w:t xml:space="preserve">. This rule was </w:t>
      </w:r>
      <w:r w:rsidRPr="008115C1">
        <w:rPr>
          <w:b/>
          <w:bCs/>
        </w:rPr>
        <w:t>not originally designed for trust or fiduciary cases</w:t>
      </w:r>
      <w:r w:rsidRPr="008115C1">
        <w:t xml:space="preserve"> but was later misapplied in </w:t>
      </w:r>
      <w:r w:rsidRPr="008115C1">
        <w:rPr>
          <w:b/>
          <w:bCs/>
        </w:rPr>
        <w:t>equitable claims involving multiple innocent contributors to a mixed fund</w:t>
      </w:r>
      <w:r w:rsidRPr="008115C1">
        <w:t>.</w:t>
      </w:r>
    </w:p>
    <w:p w14:paraId="70339D34" w14:textId="77777777" w:rsidR="003B6520" w:rsidRPr="008115C1" w:rsidRDefault="003B6520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Judicial Criticism</w:t>
      </w:r>
    </w:p>
    <w:p w14:paraId="0722B6A6" w14:textId="77777777" w:rsidR="003B6520" w:rsidRPr="008115C1" w:rsidRDefault="003B6520" w:rsidP="008115C1">
      <w:pPr>
        <w:numPr>
          <w:ilvl w:val="0"/>
          <w:numId w:val="23"/>
        </w:numPr>
        <w:spacing w:before="100" w:beforeAutospacing="1" w:after="240" w:line="360" w:lineRule="auto"/>
      </w:pPr>
      <w:r w:rsidRPr="008115C1">
        <w:rPr>
          <w:b/>
          <w:bCs/>
        </w:rPr>
        <w:t>Learned Hand J (Re Walter J Schmidt &amp; Co, 298 F 314, 316 (1923))</w:t>
      </w:r>
      <w:r w:rsidRPr="008115C1">
        <w:t>:</w:t>
      </w:r>
      <w:r w:rsidRPr="008115C1">
        <w:br/>
        <w:t xml:space="preserve">Described </w:t>
      </w:r>
      <w:r w:rsidRPr="008115C1">
        <w:rPr>
          <w:i/>
          <w:iCs/>
        </w:rPr>
        <w:t>Clayton’s Case</w:t>
      </w:r>
      <w:r w:rsidRPr="008115C1">
        <w:t xml:space="preserve"> as </w:t>
      </w:r>
      <w:r w:rsidRPr="008115C1">
        <w:rPr>
          <w:b/>
          <w:bCs/>
        </w:rPr>
        <w:t>“irrational and arbitrary,”</w:t>
      </w:r>
      <w:r w:rsidRPr="008115C1">
        <w:t xml:space="preserve"> asserting that it apportioned losses </w:t>
      </w:r>
      <w:r w:rsidRPr="008115C1">
        <w:rPr>
          <w:b/>
          <w:bCs/>
        </w:rPr>
        <w:t>“through a test which has no relation to justice.”</w:t>
      </w:r>
    </w:p>
    <w:p w14:paraId="59C5C137" w14:textId="77777777" w:rsidR="003B6520" w:rsidRPr="008115C1" w:rsidRDefault="003B6520" w:rsidP="008115C1">
      <w:pPr>
        <w:numPr>
          <w:ilvl w:val="0"/>
          <w:numId w:val="23"/>
        </w:numPr>
        <w:spacing w:before="100" w:beforeAutospacing="1" w:after="240" w:line="360" w:lineRule="auto"/>
      </w:pPr>
      <w:r w:rsidRPr="008115C1">
        <w:rPr>
          <w:b/>
          <w:bCs/>
        </w:rPr>
        <w:t xml:space="preserve">Barlow Clowes International Ltd (in </w:t>
      </w:r>
      <w:proofErr w:type="spellStart"/>
      <w:r w:rsidRPr="008115C1">
        <w:rPr>
          <w:b/>
          <w:bCs/>
        </w:rPr>
        <w:t>liq</w:t>
      </w:r>
      <w:proofErr w:type="spellEnd"/>
      <w:r w:rsidRPr="008115C1">
        <w:rPr>
          <w:b/>
          <w:bCs/>
        </w:rPr>
        <w:t>) v Vaughan [1992] 4 All ER 22, 35</w:t>
      </w:r>
      <w:r w:rsidRPr="008115C1">
        <w:t>:</w:t>
      </w:r>
      <w:r w:rsidRPr="008115C1">
        <w:br/>
        <w:t xml:space="preserve">The </w:t>
      </w:r>
      <w:r w:rsidRPr="008115C1">
        <w:rPr>
          <w:b/>
          <w:bCs/>
        </w:rPr>
        <w:t>English Court of Appeal</w:t>
      </w:r>
      <w:r w:rsidRPr="008115C1">
        <w:t xml:space="preserve"> recognized </w:t>
      </w:r>
      <w:r w:rsidRPr="008115C1">
        <w:rPr>
          <w:i/>
          <w:iCs/>
        </w:rPr>
        <w:t>Clayton’s Case</w:t>
      </w:r>
      <w:r w:rsidRPr="008115C1">
        <w:t xml:space="preserve"> as </w:t>
      </w:r>
      <w:r w:rsidRPr="008115C1">
        <w:rPr>
          <w:b/>
          <w:bCs/>
        </w:rPr>
        <w:t>“capricious”</w:t>
      </w:r>
      <w:r w:rsidRPr="008115C1">
        <w:t xml:space="preserve"> and held that </w:t>
      </w:r>
      <w:r w:rsidRPr="008115C1">
        <w:rPr>
          <w:b/>
          <w:bCs/>
        </w:rPr>
        <w:t>courts frequently displace it when it produces unjust results</w:t>
      </w:r>
      <w:r w:rsidRPr="008115C1">
        <w:t>.</w:t>
      </w:r>
    </w:p>
    <w:p w14:paraId="12923CB1" w14:textId="77777777" w:rsidR="003B6520" w:rsidRPr="008115C1" w:rsidRDefault="003B6520" w:rsidP="008115C1">
      <w:pPr>
        <w:numPr>
          <w:ilvl w:val="0"/>
          <w:numId w:val="23"/>
        </w:numPr>
        <w:spacing w:before="100" w:beforeAutospacing="1" w:after="240" w:line="360" w:lineRule="auto"/>
      </w:pPr>
      <w:r w:rsidRPr="008115C1">
        <w:rPr>
          <w:b/>
          <w:bCs/>
        </w:rPr>
        <w:lastRenderedPageBreak/>
        <w:t>Commerzbank v IMB Morgan plc [2005] 2 All ER (Comm) 564</w:t>
      </w:r>
      <w:r w:rsidRPr="008115C1">
        <w:t>:</w:t>
      </w:r>
      <w:r w:rsidRPr="008115C1">
        <w:br/>
        <w:t xml:space="preserve">The court ruled that </w:t>
      </w:r>
      <w:r w:rsidRPr="008115C1">
        <w:rPr>
          <w:b/>
          <w:bCs/>
        </w:rPr>
        <w:t>Clayton’s rule should only apply where it aligns with the presumed intentions of the parties</w:t>
      </w:r>
      <w:r w:rsidRPr="008115C1">
        <w:t>.</w:t>
      </w:r>
    </w:p>
    <w:p w14:paraId="0F2F0063" w14:textId="77777777" w:rsidR="003B6520" w:rsidRPr="008115C1" w:rsidRDefault="003B6520" w:rsidP="008115C1">
      <w:pPr>
        <w:numPr>
          <w:ilvl w:val="0"/>
          <w:numId w:val="23"/>
        </w:numPr>
        <w:spacing w:before="100" w:beforeAutospacing="1" w:after="240" w:line="360" w:lineRule="auto"/>
      </w:pPr>
      <w:r w:rsidRPr="008115C1">
        <w:rPr>
          <w:b/>
          <w:bCs/>
        </w:rPr>
        <w:t>National Crime Agency v Robb [2015] Ch 520, [65]</w:t>
      </w:r>
      <w:r w:rsidRPr="008115C1">
        <w:t>:</w:t>
      </w:r>
      <w:r w:rsidRPr="008115C1">
        <w:br/>
        <w:t xml:space="preserve">The court </w:t>
      </w:r>
      <w:r w:rsidRPr="008115C1">
        <w:rPr>
          <w:b/>
          <w:bCs/>
        </w:rPr>
        <w:t>rejected Clayton’s rule in equitable claims</w:t>
      </w:r>
      <w:r w:rsidRPr="008115C1">
        <w:t xml:space="preserve">, holding that </w:t>
      </w:r>
      <w:r w:rsidRPr="008115C1">
        <w:rPr>
          <w:b/>
          <w:bCs/>
        </w:rPr>
        <w:t>it unfairly disadvantages earlier contributors and is unsuitable for modern tracing claims</w:t>
      </w:r>
      <w:r w:rsidRPr="008115C1">
        <w:t>.</w:t>
      </w:r>
    </w:p>
    <w:p w14:paraId="192E7E47" w14:textId="77777777" w:rsidR="003B6520" w:rsidRPr="008115C1" w:rsidRDefault="003B6520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Rejection in Australian and Canadian Jurisprudence</w:t>
      </w:r>
    </w:p>
    <w:p w14:paraId="27AF38FE" w14:textId="77777777" w:rsidR="003B6520" w:rsidRPr="008115C1" w:rsidRDefault="003B6520" w:rsidP="008115C1">
      <w:pPr>
        <w:numPr>
          <w:ilvl w:val="0"/>
          <w:numId w:val="24"/>
        </w:numPr>
        <w:spacing w:before="100" w:beforeAutospacing="1" w:after="240" w:line="360" w:lineRule="auto"/>
      </w:pPr>
      <w:r w:rsidRPr="008115C1">
        <w:rPr>
          <w:b/>
          <w:bCs/>
        </w:rPr>
        <w:t>ASIC v Enterprise Solutions 2000 Pty Ltd [2001] QSC 82</w:t>
      </w:r>
      <w:r w:rsidRPr="008115C1">
        <w:t>:</w:t>
      </w:r>
      <w:r w:rsidRPr="008115C1">
        <w:br/>
        <w:t xml:space="preserve">Australian courts </w:t>
      </w:r>
      <w:r w:rsidRPr="008115C1">
        <w:rPr>
          <w:b/>
          <w:bCs/>
        </w:rPr>
        <w:t>explicitly rejected</w:t>
      </w:r>
      <w:r w:rsidRPr="008115C1">
        <w:t xml:space="preserve"> Clayton’s rule in </w:t>
      </w:r>
      <w:r w:rsidRPr="008115C1">
        <w:rPr>
          <w:b/>
          <w:bCs/>
        </w:rPr>
        <w:t>cases of mixed trust funds</w:t>
      </w:r>
      <w:r w:rsidRPr="008115C1">
        <w:t xml:space="preserve">, instead </w:t>
      </w:r>
      <w:r w:rsidRPr="008115C1">
        <w:rPr>
          <w:b/>
          <w:bCs/>
        </w:rPr>
        <w:t>preferring rateable distribution methods</w:t>
      </w:r>
      <w:r w:rsidRPr="008115C1">
        <w:t xml:space="preserve"> to ensure </w:t>
      </w:r>
      <w:r w:rsidRPr="008115C1">
        <w:rPr>
          <w:b/>
          <w:bCs/>
        </w:rPr>
        <w:t>fair treatment among claimants</w:t>
      </w:r>
      <w:r w:rsidRPr="008115C1">
        <w:t>.</w:t>
      </w:r>
    </w:p>
    <w:p w14:paraId="082A41E4" w14:textId="77777777" w:rsidR="003B6520" w:rsidRPr="008115C1" w:rsidRDefault="003B6520" w:rsidP="008115C1">
      <w:pPr>
        <w:numPr>
          <w:ilvl w:val="0"/>
          <w:numId w:val="24"/>
        </w:numPr>
        <w:spacing w:before="100" w:beforeAutospacing="1" w:after="240" w:line="360" w:lineRule="auto"/>
      </w:pPr>
      <w:r w:rsidRPr="008115C1">
        <w:rPr>
          <w:b/>
          <w:bCs/>
        </w:rPr>
        <w:t>Re Secured Mortgage Management Ltd [2017] QSC 254, [23]-[25]</w:t>
      </w:r>
      <w:r w:rsidRPr="008115C1">
        <w:t>:</w:t>
      </w:r>
      <w:r w:rsidRPr="008115C1">
        <w:br/>
        <w:t xml:space="preserve">Further </w:t>
      </w:r>
      <w:r w:rsidRPr="008115C1">
        <w:rPr>
          <w:b/>
          <w:bCs/>
        </w:rPr>
        <w:t>affirmed the rejection</w:t>
      </w:r>
      <w:r w:rsidRPr="008115C1">
        <w:t xml:space="preserve"> of Clayton’s rule in trust misappropriation cases, recognizing that </w:t>
      </w:r>
      <w:r w:rsidRPr="008115C1">
        <w:rPr>
          <w:b/>
          <w:bCs/>
        </w:rPr>
        <w:t>FIFO creates arbitrary outcomes</w:t>
      </w:r>
      <w:r w:rsidRPr="008115C1">
        <w:t xml:space="preserve"> that conflict with equitable principles.</w:t>
      </w:r>
    </w:p>
    <w:p w14:paraId="582E8498" w14:textId="77777777" w:rsidR="003B6520" w:rsidRPr="008115C1" w:rsidRDefault="003B6520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Conclusion</w:t>
      </w:r>
    </w:p>
    <w:p w14:paraId="0BA1A0FA" w14:textId="77777777" w:rsidR="003B6520" w:rsidRPr="008115C1" w:rsidRDefault="003B6520" w:rsidP="008115C1">
      <w:pPr>
        <w:spacing w:before="100" w:beforeAutospacing="1" w:after="240" w:line="360" w:lineRule="auto"/>
      </w:pPr>
      <w:r w:rsidRPr="008115C1">
        <w:t xml:space="preserve">Although </w:t>
      </w:r>
      <w:r w:rsidRPr="008115C1">
        <w:rPr>
          <w:b/>
          <w:bCs/>
        </w:rPr>
        <w:t>historically significant</w:t>
      </w:r>
      <w:r w:rsidRPr="008115C1">
        <w:t xml:space="preserve">, </w:t>
      </w:r>
      <w:r w:rsidRPr="008115C1">
        <w:rPr>
          <w:i/>
          <w:iCs/>
        </w:rPr>
        <w:t>Clayton’s Case</w:t>
      </w:r>
      <w:r w:rsidRPr="008115C1">
        <w:t xml:space="preserve"> is now </w:t>
      </w:r>
      <w:r w:rsidRPr="008115C1">
        <w:rPr>
          <w:b/>
          <w:bCs/>
        </w:rPr>
        <w:t>rarely applied in equitable tracing claims</w:t>
      </w:r>
      <w:r w:rsidRPr="008115C1">
        <w:t xml:space="preserve"> due to its </w:t>
      </w:r>
      <w:r w:rsidRPr="008115C1">
        <w:rPr>
          <w:b/>
          <w:bCs/>
        </w:rPr>
        <w:t>arbitrary and unjust nature</w:t>
      </w:r>
      <w:r w:rsidRPr="008115C1">
        <w:t xml:space="preserve">. Courts increasingly </w:t>
      </w:r>
      <w:proofErr w:type="spellStart"/>
      <w:r w:rsidRPr="008115C1">
        <w:rPr>
          <w:b/>
          <w:bCs/>
        </w:rPr>
        <w:t>favor</w:t>
      </w:r>
      <w:proofErr w:type="spellEnd"/>
      <w:r w:rsidRPr="008115C1">
        <w:rPr>
          <w:b/>
          <w:bCs/>
        </w:rPr>
        <w:t xml:space="preserve"> alternative methods</w:t>
      </w:r>
      <w:r w:rsidRPr="008115C1">
        <w:t xml:space="preserve">, particularly </w:t>
      </w:r>
      <w:r w:rsidRPr="008115C1">
        <w:rPr>
          <w:b/>
          <w:bCs/>
        </w:rPr>
        <w:t>proportional allocation techniques</w:t>
      </w:r>
      <w:r w:rsidRPr="008115C1">
        <w:t xml:space="preserve"> such as the </w:t>
      </w:r>
      <w:r w:rsidRPr="008115C1">
        <w:rPr>
          <w:b/>
          <w:bCs/>
        </w:rPr>
        <w:t xml:space="preserve">simple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approach</w:t>
      </w:r>
      <w:r w:rsidRPr="008115C1">
        <w:t xml:space="preserve"> or </w:t>
      </w:r>
      <w:r w:rsidRPr="008115C1">
        <w:rPr>
          <w:b/>
          <w:bCs/>
        </w:rPr>
        <w:t>rolling charge method</w:t>
      </w:r>
      <w:r w:rsidRPr="008115C1">
        <w:t>.</w:t>
      </w:r>
    </w:p>
    <w:p w14:paraId="52A93D8F" w14:textId="77777777" w:rsidR="003B6520" w:rsidRPr="008115C1" w:rsidRDefault="00E31F1B" w:rsidP="008115C1">
      <w:pPr>
        <w:spacing w:after="240" w:line="360" w:lineRule="auto"/>
      </w:pPr>
      <w:r w:rsidRPr="00E31F1B">
        <w:rPr>
          <w:noProof/>
          <w14:ligatures w14:val="standardContextual"/>
        </w:rPr>
        <w:pict w14:anchorId="45C2000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1AB6D44" w14:textId="77777777" w:rsidR="003B6520" w:rsidRPr="008115C1" w:rsidRDefault="003B6520" w:rsidP="008115C1">
      <w:pPr>
        <w:spacing w:before="100" w:beforeAutospacing="1" w:after="240" w:line="360" w:lineRule="auto"/>
        <w:outlineLvl w:val="1"/>
        <w:rPr>
          <w:b/>
          <w:bCs/>
        </w:rPr>
      </w:pPr>
      <w:r w:rsidRPr="008115C1">
        <w:rPr>
          <w:b/>
          <w:bCs/>
        </w:rPr>
        <w:t>2. The Simple Pari Passu Approach: Judicial Endorsement and Criticism</w:t>
      </w:r>
    </w:p>
    <w:p w14:paraId="688BAD21" w14:textId="77777777" w:rsidR="003B6520" w:rsidRPr="008115C1" w:rsidRDefault="003B6520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(</w:t>
      </w:r>
      <w:proofErr w:type="spellStart"/>
      <w:r w:rsidRPr="008115C1">
        <w:rPr>
          <w:b/>
          <w:bCs/>
        </w:rPr>
        <w:t>i</w:t>
      </w:r>
      <w:proofErr w:type="spellEnd"/>
      <w:r w:rsidRPr="008115C1">
        <w:rPr>
          <w:b/>
          <w:bCs/>
        </w:rPr>
        <w:t>) Sinclair v Brougham [1914] AC 398</w:t>
      </w:r>
    </w:p>
    <w:p w14:paraId="517DCC9D" w14:textId="77777777" w:rsidR="003B6520" w:rsidRPr="008115C1" w:rsidRDefault="003B6520" w:rsidP="008115C1">
      <w:pPr>
        <w:spacing w:before="100" w:beforeAutospacing="1" w:after="240" w:line="360" w:lineRule="auto"/>
      </w:pPr>
      <w:r w:rsidRPr="008115C1">
        <w:rPr>
          <w:b/>
          <w:bCs/>
        </w:rPr>
        <w:t>Principle Adopted:</w:t>
      </w:r>
      <w:r w:rsidRPr="008115C1">
        <w:br/>
        <w:t xml:space="preserve">Where </w:t>
      </w:r>
      <w:r w:rsidRPr="008115C1">
        <w:rPr>
          <w:b/>
          <w:bCs/>
        </w:rPr>
        <w:t>multiple claimants</w:t>
      </w:r>
      <w:r w:rsidRPr="008115C1">
        <w:t xml:space="preserve"> have contributed to a </w:t>
      </w:r>
      <w:r w:rsidRPr="008115C1">
        <w:rPr>
          <w:b/>
          <w:bCs/>
        </w:rPr>
        <w:t>depleted common fund</w:t>
      </w:r>
      <w:r w:rsidRPr="008115C1">
        <w:t xml:space="preserve">, the remaining assets should be </w:t>
      </w:r>
      <w:r w:rsidRPr="008115C1">
        <w:rPr>
          <w:b/>
          <w:bCs/>
        </w:rPr>
        <w:t>distributed in proportion to their original contributions</w:t>
      </w:r>
      <w:r w:rsidRPr="008115C1">
        <w:t xml:space="preserve">. This approach ensures </w:t>
      </w:r>
      <w:r w:rsidRPr="008115C1">
        <w:rPr>
          <w:b/>
          <w:bCs/>
        </w:rPr>
        <w:t>equal treatment of all claimants</w:t>
      </w:r>
      <w:r w:rsidRPr="008115C1">
        <w:t xml:space="preserve">, rather than </w:t>
      </w:r>
      <w:proofErr w:type="spellStart"/>
      <w:r w:rsidRPr="008115C1">
        <w:t>favoring</w:t>
      </w:r>
      <w:proofErr w:type="spellEnd"/>
      <w:r w:rsidRPr="008115C1">
        <w:t xml:space="preserve"> </w:t>
      </w:r>
      <w:r w:rsidRPr="008115C1">
        <w:rPr>
          <w:b/>
          <w:bCs/>
        </w:rPr>
        <w:t>earlier or later contributors</w:t>
      </w:r>
      <w:r w:rsidRPr="008115C1">
        <w:t>.</w:t>
      </w:r>
    </w:p>
    <w:p w14:paraId="621F8604" w14:textId="77777777" w:rsidR="003B6520" w:rsidRPr="008115C1" w:rsidRDefault="003B6520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lastRenderedPageBreak/>
        <w:t>Judicial Support</w:t>
      </w:r>
    </w:p>
    <w:p w14:paraId="6E651F44" w14:textId="77777777" w:rsidR="003B6520" w:rsidRPr="008115C1" w:rsidRDefault="003B6520" w:rsidP="008115C1">
      <w:pPr>
        <w:spacing w:before="100" w:beforeAutospacing="1" w:after="240" w:line="360" w:lineRule="auto"/>
        <w:outlineLvl w:val="3"/>
        <w:rPr>
          <w:b/>
          <w:bCs/>
        </w:rPr>
      </w:pPr>
      <w:r w:rsidRPr="008115C1">
        <w:rPr>
          <w:b/>
          <w:bCs/>
        </w:rPr>
        <w:t>Re Diplock (1948) 1 Ch 465</w:t>
      </w:r>
    </w:p>
    <w:p w14:paraId="386D6F69" w14:textId="77777777" w:rsidR="003B6520" w:rsidRPr="008115C1" w:rsidRDefault="003B6520" w:rsidP="008115C1">
      <w:pPr>
        <w:numPr>
          <w:ilvl w:val="0"/>
          <w:numId w:val="26"/>
        </w:numPr>
        <w:spacing w:before="100" w:beforeAutospacing="1" w:after="240" w:line="360" w:lineRule="auto"/>
      </w:pPr>
      <w:r w:rsidRPr="008115C1">
        <w:rPr>
          <w:b/>
          <w:bCs/>
        </w:rPr>
        <w:t>Facts:</w:t>
      </w:r>
      <w:r w:rsidRPr="008115C1">
        <w:br/>
        <w:t xml:space="preserve">Executors mistakenly </w:t>
      </w:r>
      <w:r w:rsidRPr="008115C1">
        <w:rPr>
          <w:b/>
          <w:bCs/>
        </w:rPr>
        <w:t>distributed a deceased’s estate to charities</w:t>
      </w:r>
      <w:r w:rsidRPr="008115C1">
        <w:t xml:space="preserve">, and the rightful claimants sought </w:t>
      </w:r>
      <w:r w:rsidRPr="008115C1">
        <w:rPr>
          <w:b/>
          <w:bCs/>
        </w:rPr>
        <w:t>recovery of their interests</w:t>
      </w:r>
      <w:r w:rsidRPr="008115C1">
        <w:t>.</w:t>
      </w:r>
    </w:p>
    <w:p w14:paraId="5957E4C9" w14:textId="77777777" w:rsidR="003B6520" w:rsidRPr="008115C1" w:rsidRDefault="003B6520" w:rsidP="008115C1">
      <w:pPr>
        <w:numPr>
          <w:ilvl w:val="0"/>
          <w:numId w:val="26"/>
        </w:numPr>
        <w:spacing w:before="100" w:beforeAutospacing="1" w:after="240" w:line="360" w:lineRule="auto"/>
      </w:pPr>
      <w:r w:rsidRPr="008115C1">
        <w:rPr>
          <w:b/>
          <w:bCs/>
        </w:rPr>
        <w:t>Held:</w:t>
      </w:r>
      <w:r w:rsidRPr="008115C1">
        <w:br/>
        <w:t xml:space="preserve">The </w:t>
      </w:r>
      <w:r w:rsidRPr="008115C1">
        <w:rPr>
          <w:b/>
          <w:bCs/>
        </w:rPr>
        <w:t xml:space="preserve">court applied the simple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principle</w:t>
      </w:r>
      <w:r w:rsidRPr="008115C1">
        <w:t xml:space="preserve">, distributing the </w:t>
      </w:r>
      <w:r w:rsidRPr="008115C1">
        <w:rPr>
          <w:b/>
          <w:bCs/>
        </w:rPr>
        <w:t>remaining funds rateably among all claimants</w:t>
      </w:r>
      <w:r w:rsidRPr="008115C1">
        <w:t>.</w:t>
      </w:r>
    </w:p>
    <w:p w14:paraId="1BF0E477" w14:textId="77777777" w:rsidR="003B6520" w:rsidRPr="008115C1" w:rsidRDefault="003B6520" w:rsidP="008115C1">
      <w:pPr>
        <w:numPr>
          <w:ilvl w:val="0"/>
          <w:numId w:val="26"/>
        </w:numPr>
        <w:spacing w:before="100" w:beforeAutospacing="1" w:after="240" w:line="360" w:lineRule="auto"/>
      </w:pPr>
      <w:r w:rsidRPr="008115C1">
        <w:rPr>
          <w:b/>
          <w:bCs/>
        </w:rPr>
        <w:t>Reasoning:</w:t>
      </w:r>
      <w:r w:rsidRPr="008115C1">
        <w:br/>
        <w:t xml:space="preserve">This approach was justified on </w:t>
      </w:r>
      <w:r w:rsidRPr="008115C1">
        <w:rPr>
          <w:b/>
          <w:bCs/>
        </w:rPr>
        <w:t>administrative efficiency grounds</w:t>
      </w:r>
      <w:r w:rsidRPr="008115C1">
        <w:t xml:space="preserve">, ensuring </w:t>
      </w:r>
      <w:r w:rsidRPr="008115C1">
        <w:rPr>
          <w:b/>
          <w:bCs/>
        </w:rPr>
        <w:t>equal treatment of all affected parties</w:t>
      </w:r>
      <w:r w:rsidRPr="008115C1">
        <w:t xml:space="preserve"> when tracing is </w:t>
      </w:r>
      <w:r w:rsidRPr="008115C1">
        <w:rPr>
          <w:b/>
          <w:bCs/>
        </w:rPr>
        <w:t>impossible or impractical</w:t>
      </w:r>
      <w:r w:rsidRPr="008115C1">
        <w:t>.</w:t>
      </w:r>
    </w:p>
    <w:p w14:paraId="03795CDC" w14:textId="77777777" w:rsidR="003B6520" w:rsidRPr="008115C1" w:rsidRDefault="00E31F1B" w:rsidP="008115C1">
      <w:pPr>
        <w:spacing w:after="240" w:line="360" w:lineRule="auto"/>
      </w:pPr>
      <w:r>
        <w:pict w14:anchorId="74D98EE2">
          <v:rect id="Horizontal Line 11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EC1D2A" w14:textId="77777777" w:rsidR="003B6520" w:rsidRPr="008115C1" w:rsidRDefault="003B6520" w:rsidP="008115C1">
      <w:pPr>
        <w:spacing w:before="100" w:beforeAutospacing="1" w:after="240" w:line="360" w:lineRule="auto"/>
        <w:outlineLvl w:val="3"/>
        <w:rPr>
          <w:b/>
          <w:bCs/>
        </w:rPr>
      </w:pPr>
      <w:r w:rsidRPr="008115C1">
        <w:rPr>
          <w:b/>
          <w:bCs/>
        </w:rPr>
        <w:t>Barlow Clowes International Ltd (in liquidation) v Vaughan (1992) 4 All ER 22</w:t>
      </w:r>
    </w:p>
    <w:p w14:paraId="3A27CBC5" w14:textId="77777777" w:rsidR="003B6520" w:rsidRPr="008115C1" w:rsidRDefault="003B6520" w:rsidP="008115C1">
      <w:pPr>
        <w:numPr>
          <w:ilvl w:val="0"/>
          <w:numId w:val="27"/>
        </w:numPr>
        <w:spacing w:before="100" w:beforeAutospacing="1" w:after="240" w:line="360" w:lineRule="auto"/>
      </w:pPr>
      <w:r w:rsidRPr="008115C1">
        <w:rPr>
          <w:b/>
          <w:bCs/>
        </w:rPr>
        <w:t>Facts:</w:t>
      </w:r>
      <w:r w:rsidRPr="008115C1">
        <w:br/>
        <w:t xml:space="preserve">Investors’ funds were </w:t>
      </w:r>
      <w:r w:rsidRPr="008115C1">
        <w:rPr>
          <w:b/>
          <w:bCs/>
        </w:rPr>
        <w:t>mixed in a fraudulent investment scheme</w:t>
      </w:r>
      <w:r w:rsidRPr="008115C1">
        <w:t xml:space="preserve">, and the scheme collapsed, leaving </w:t>
      </w:r>
      <w:r w:rsidRPr="008115C1">
        <w:rPr>
          <w:b/>
          <w:bCs/>
        </w:rPr>
        <w:t>insufficient assets to satisfy all claims</w:t>
      </w:r>
      <w:r w:rsidRPr="008115C1">
        <w:t>.</w:t>
      </w:r>
    </w:p>
    <w:p w14:paraId="23C1138B" w14:textId="77777777" w:rsidR="003B6520" w:rsidRPr="008115C1" w:rsidRDefault="003B6520" w:rsidP="008115C1">
      <w:pPr>
        <w:numPr>
          <w:ilvl w:val="0"/>
          <w:numId w:val="27"/>
        </w:numPr>
        <w:spacing w:before="100" w:beforeAutospacing="1" w:after="240" w:line="360" w:lineRule="auto"/>
      </w:pPr>
      <w:r w:rsidRPr="008115C1">
        <w:rPr>
          <w:b/>
          <w:bCs/>
        </w:rPr>
        <w:t>Held:</w:t>
      </w:r>
      <w:r w:rsidRPr="008115C1">
        <w:br/>
        <w:t xml:space="preserve">The </w:t>
      </w:r>
      <w:r w:rsidRPr="008115C1">
        <w:rPr>
          <w:b/>
          <w:bCs/>
        </w:rPr>
        <w:t>Court of Appeal rejected Clayton’s Case</w:t>
      </w:r>
      <w:r w:rsidRPr="008115C1">
        <w:t xml:space="preserve"> and </w:t>
      </w:r>
      <w:r w:rsidRPr="008115C1">
        <w:rPr>
          <w:b/>
          <w:bCs/>
        </w:rPr>
        <w:t xml:space="preserve">adopted the simple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approach</w:t>
      </w:r>
      <w:r w:rsidRPr="008115C1">
        <w:t xml:space="preserve">, ensuring </w:t>
      </w:r>
      <w:r w:rsidRPr="008115C1">
        <w:rPr>
          <w:b/>
          <w:bCs/>
        </w:rPr>
        <w:t>equal proportional distribution</w:t>
      </w:r>
      <w:r w:rsidRPr="008115C1">
        <w:t xml:space="preserve"> of remaining assets based on each investor’s original contribution.</w:t>
      </w:r>
    </w:p>
    <w:p w14:paraId="41178035" w14:textId="77777777" w:rsidR="003B6520" w:rsidRPr="008115C1" w:rsidRDefault="003B6520" w:rsidP="008115C1">
      <w:pPr>
        <w:numPr>
          <w:ilvl w:val="0"/>
          <w:numId w:val="27"/>
        </w:numPr>
        <w:spacing w:before="100" w:beforeAutospacing="1" w:after="240" w:line="360" w:lineRule="auto"/>
      </w:pPr>
      <w:r w:rsidRPr="008115C1">
        <w:rPr>
          <w:b/>
          <w:bCs/>
        </w:rPr>
        <w:t>Reasoning:</w:t>
      </w:r>
      <w:r w:rsidRPr="008115C1">
        <w:br/>
        <w:t xml:space="preserve">The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approach was preferred</w:t>
      </w:r>
      <w:r w:rsidRPr="008115C1">
        <w:t xml:space="preserve"> because it is </w:t>
      </w:r>
      <w:r w:rsidRPr="008115C1">
        <w:rPr>
          <w:b/>
          <w:bCs/>
        </w:rPr>
        <w:t>simpler, easier to administer, and avoids the arbitrary and unjust outcomes of Clayton’s Case</w:t>
      </w:r>
      <w:r w:rsidRPr="008115C1">
        <w:t>.</w:t>
      </w:r>
    </w:p>
    <w:p w14:paraId="3D9E3A62" w14:textId="77777777" w:rsidR="003B6520" w:rsidRPr="008115C1" w:rsidRDefault="00E31F1B" w:rsidP="008115C1">
      <w:pPr>
        <w:spacing w:after="240" w:line="360" w:lineRule="auto"/>
      </w:pPr>
      <w:r>
        <w:pict w14:anchorId="35554ABB">
          <v:rect id="Horizontal Line 12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32A63A" w14:textId="77777777" w:rsidR="003B6520" w:rsidRPr="008115C1" w:rsidRDefault="003B6520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Judicial Criticism</w:t>
      </w:r>
    </w:p>
    <w:p w14:paraId="041FFD1B" w14:textId="77777777" w:rsidR="003B6520" w:rsidRPr="008115C1" w:rsidRDefault="003B6520" w:rsidP="008115C1">
      <w:pPr>
        <w:numPr>
          <w:ilvl w:val="0"/>
          <w:numId w:val="28"/>
        </w:numPr>
        <w:spacing w:before="100" w:beforeAutospacing="1" w:after="240" w:line="360" w:lineRule="auto"/>
      </w:pPr>
      <w:r w:rsidRPr="008115C1">
        <w:rPr>
          <w:b/>
          <w:bCs/>
        </w:rPr>
        <w:lastRenderedPageBreak/>
        <w:t>Caron v Jahani (No 2) [2020] NSWCA 117, at [93], [98]-[99]:</w:t>
      </w:r>
      <w:r w:rsidRPr="008115C1">
        <w:br/>
        <w:t xml:space="preserve">Bell P </w:t>
      </w:r>
      <w:r w:rsidRPr="008115C1">
        <w:rPr>
          <w:b/>
          <w:bCs/>
        </w:rPr>
        <w:t xml:space="preserve">criticized the simple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approach</w:t>
      </w:r>
      <w:r w:rsidRPr="008115C1">
        <w:t xml:space="preserve"> for </w:t>
      </w:r>
      <w:r w:rsidRPr="008115C1">
        <w:rPr>
          <w:b/>
          <w:bCs/>
        </w:rPr>
        <w:t>“ignoring whether certain contributions have been dissipated more than others.”</w:t>
      </w:r>
      <w:r w:rsidRPr="008115C1">
        <w:t xml:space="preserve"> This flaw </w:t>
      </w:r>
      <w:r w:rsidRPr="008115C1">
        <w:rPr>
          <w:b/>
          <w:bCs/>
        </w:rPr>
        <w:t>fails to reflect the actual movement of funds</w:t>
      </w:r>
      <w:r w:rsidRPr="008115C1">
        <w:t xml:space="preserve"> within the account.</w:t>
      </w:r>
    </w:p>
    <w:p w14:paraId="5A3D95DA" w14:textId="77777777" w:rsidR="003B6520" w:rsidRPr="008115C1" w:rsidRDefault="003B6520" w:rsidP="008115C1">
      <w:pPr>
        <w:numPr>
          <w:ilvl w:val="0"/>
          <w:numId w:val="28"/>
        </w:numPr>
        <w:spacing w:before="100" w:beforeAutospacing="1" w:after="240" w:line="360" w:lineRule="auto"/>
      </w:pPr>
      <w:r w:rsidRPr="008115C1">
        <w:rPr>
          <w:b/>
          <w:bCs/>
        </w:rPr>
        <w:t>Law Society of Upper Canada v Toronto Dominion Bank (1998) 169 DLR (4th) 353, [51]:</w:t>
      </w:r>
      <w:r w:rsidRPr="008115C1">
        <w:br/>
        <w:t xml:space="preserve">Found that </w:t>
      </w:r>
      <w:r w:rsidRPr="008115C1">
        <w:rPr>
          <w:b/>
          <w:bCs/>
        </w:rPr>
        <w:t>later contributors might subsidize earlier contributors</w:t>
      </w:r>
      <w:r w:rsidRPr="008115C1">
        <w:t xml:space="preserve">, resulting in </w:t>
      </w:r>
      <w:r w:rsidRPr="008115C1">
        <w:rPr>
          <w:b/>
          <w:bCs/>
        </w:rPr>
        <w:t>unfair losses</w:t>
      </w:r>
      <w:r w:rsidRPr="008115C1">
        <w:t xml:space="preserve"> for those whose deposits remained intact.</w:t>
      </w:r>
    </w:p>
    <w:p w14:paraId="07AAAA02" w14:textId="77777777" w:rsidR="003B6520" w:rsidRPr="008115C1" w:rsidRDefault="003B6520" w:rsidP="008115C1">
      <w:pPr>
        <w:numPr>
          <w:ilvl w:val="0"/>
          <w:numId w:val="28"/>
        </w:numPr>
        <w:spacing w:before="100" w:beforeAutospacing="1" w:after="240" w:line="360" w:lineRule="auto"/>
      </w:pPr>
      <w:r w:rsidRPr="008115C1">
        <w:rPr>
          <w:b/>
          <w:bCs/>
        </w:rPr>
        <w:t xml:space="preserve">Bishopsgate Investment Management Ltd (in </w:t>
      </w:r>
      <w:proofErr w:type="spellStart"/>
      <w:r w:rsidRPr="008115C1">
        <w:rPr>
          <w:b/>
          <w:bCs/>
        </w:rPr>
        <w:t>liq</w:t>
      </w:r>
      <w:proofErr w:type="spellEnd"/>
      <w:r w:rsidRPr="008115C1">
        <w:rPr>
          <w:b/>
          <w:bCs/>
        </w:rPr>
        <w:t>) v Homan [1995] Ch 211, 219:</w:t>
      </w:r>
      <w:r w:rsidRPr="008115C1">
        <w:br/>
        <w:t xml:space="preserve">Highlighted that the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approach contradicts the Lowest Intermediate Balance Rule (LIBR)</w:t>
      </w:r>
      <w:r w:rsidRPr="008115C1">
        <w:t xml:space="preserve"> by failing to </w:t>
      </w:r>
      <w:r w:rsidRPr="008115C1">
        <w:rPr>
          <w:b/>
          <w:bCs/>
        </w:rPr>
        <w:t>distinguish between claimants whose funds have been depleted and those whose funds remained</w:t>
      </w:r>
      <w:r w:rsidRPr="008115C1">
        <w:t>.</w:t>
      </w:r>
    </w:p>
    <w:p w14:paraId="3948D216" w14:textId="77777777" w:rsidR="003B6520" w:rsidRPr="008115C1" w:rsidRDefault="003B6520" w:rsidP="008115C1">
      <w:pPr>
        <w:numPr>
          <w:ilvl w:val="0"/>
          <w:numId w:val="28"/>
        </w:numPr>
        <w:spacing w:before="100" w:beforeAutospacing="1" w:after="240" w:line="360" w:lineRule="auto"/>
      </w:pPr>
      <w:r w:rsidRPr="008115C1">
        <w:rPr>
          <w:b/>
          <w:bCs/>
        </w:rPr>
        <w:t>Re Diplock (1948):</w:t>
      </w:r>
      <w:r w:rsidRPr="008115C1">
        <w:br/>
        <w:t xml:space="preserve">The decision was </w:t>
      </w:r>
      <w:r w:rsidRPr="008115C1">
        <w:rPr>
          <w:b/>
          <w:bCs/>
        </w:rPr>
        <w:t>criticized for not accounting for individual claimants’ losses</w:t>
      </w:r>
      <w:r w:rsidRPr="008115C1">
        <w:t xml:space="preserve">, as it assumed a </w:t>
      </w:r>
      <w:r w:rsidRPr="008115C1">
        <w:rPr>
          <w:b/>
          <w:bCs/>
        </w:rPr>
        <w:t>static fund rather than considering historical withdrawals</w:t>
      </w:r>
      <w:r w:rsidRPr="008115C1">
        <w:t>.</w:t>
      </w:r>
    </w:p>
    <w:p w14:paraId="39B07B25" w14:textId="77777777" w:rsidR="003B6520" w:rsidRPr="008115C1" w:rsidRDefault="00E31F1B" w:rsidP="008115C1">
      <w:pPr>
        <w:spacing w:after="240" w:line="360" w:lineRule="auto"/>
      </w:pPr>
      <w:r>
        <w:pict w14:anchorId="3C85570A">
          <v:rect id="Horizontal Line 13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711C86" w14:textId="77777777" w:rsidR="003B6520" w:rsidRPr="008115C1" w:rsidRDefault="003B6520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(ii) Caron v Jahani (No 2) [2020] NSWCA 117</w:t>
      </w:r>
    </w:p>
    <w:p w14:paraId="0860119B" w14:textId="77777777" w:rsidR="003B6520" w:rsidRPr="008115C1" w:rsidRDefault="003B6520" w:rsidP="008115C1">
      <w:pPr>
        <w:numPr>
          <w:ilvl w:val="0"/>
          <w:numId w:val="29"/>
        </w:numPr>
        <w:spacing w:before="100" w:beforeAutospacing="1" w:after="240" w:line="360" w:lineRule="auto"/>
      </w:pPr>
      <w:r w:rsidRPr="008115C1">
        <w:rPr>
          <w:b/>
          <w:bCs/>
        </w:rPr>
        <w:t>Facts:</w:t>
      </w:r>
      <w:r w:rsidRPr="008115C1">
        <w:br/>
        <w:t xml:space="preserve">Investors in </w:t>
      </w:r>
      <w:r w:rsidRPr="008115C1">
        <w:rPr>
          <w:b/>
          <w:bCs/>
        </w:rPr>
        <w:t>Courtenay House's Ponzi scheme</w:t>
      </w:r>
      <w:r w:rsidRPr="008115C1">
        <w:t xml:space="preserve"> had deposited </w:t>
      </w:r>
      <w:r w:rsidRPr="008115C1">
        <w:rPr>
          <w:b/>
          <w:bCs/>
        </w:rPr>
        <w:t>$185 million</w:t>
      </w:r>
      <w:r w:rsidRPr="008115C1">
        <w:t xml:space="preserve">, but only </w:t>
      </w:r>
      <w:r w:rsidRPr="008115C1">
        <w:rPr>
          <w:b/>
          <w:bCs/>
        </w:rPr>
        <w:t>$21 million remained</w:t>
      </w:r>
      <w:r w:rsidRPr="008115C1">
        <w:t xml:space="preserve"> when the scheme collapsed.</w:t>
      </w:r>
    </w:p>
    <w:p w14:paraId="68902160" w14:textId="77777777" w:rsidR="003B6520" w:rsidRPr="008115C1" w:rsidRDefault="003B6520" w:rsidP="008115C1">
      <w:pPr>
        <w:numPr>
          <w:ilvl w:val="0"/>
          <w:numId w:val="29"/>
        </w:numPr>
        <w:spacing w:before="100" w:beforeAutospacing="1" w:after="240" w:line="360" w:lineRule="auto"/>
      </w:pPr>
      <w:r w:rsidRPr="008115C1">
        <w:rPr>
          <w:b/>
          <w:bCs/>
        </w:rPr>
        <w:t>Held:</w:t>
      </w:r>
      <w:r w:rsidRPr="008115C1">
        <w:br/>
        <w:t xml:space="preserve">The </w:t>
      </w:r>
      <w:r w:rsidRPr="008115C1">
        <w:rPr>
          <w:b/>
          <w:bCs/>
        </w:rPr>
        <w:t xml:space="preserve">New South Wales Court of Appeal recognized that while the simple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approach was preferable to Clayton’s Case</w:t>
      </w:r>
      <w:r w:rsidRPr="008115C1">
        <w:t xml:space="preserve">, it </w:t>
      </w:r>
      <w:r w:rsidRPr="008115C1">
        <w:rPr>
          <w:b/>
          <w:bCs/>
        </w:rPr>
        <w:t>was not the most precise method</w:t>
      </w:r>
      <w:r w:rsidRPr="008115C1">
        <w:t xml:space="preserve"> for achieving </w:t>
      </w:r>
      <w:r w:rsidRPr="008115C1">
        <w:rPr>
          <w:b/>
          <w:bCs/>
        </w:rPr>
        <w:t>substantial justice</w:t>
      </w:r>
      <w:r w:rsidRPr="008115C1">
        <w:t>.</w:t>
      </w:r>
    </w:p>
    <w:p w14:paraId="7C5D574F" w14:textId="77777777" w:rsidR="003B6520" w:rsidRPr="008115C1" w:rsidRDefault="003B6520" w:rsidP="008115C1">
      <w:pPr>
        <w:numPr>
          <w:ilvl w:val="0"/>
          <w:numId w:val="29"/>
        </w:numPr>
        <w:spacing w:before="100" w:beforeAutospacing="1" w:after="240" w:line="360" w:lineRule="auto"/>
      </w:pPr>
      <w:r w:rsidRPr="008115C1">
        <w:rPr>
          <w:b/>
          <w:bCs/>
        </w:rPr>
        <w:t>Reasoning:</w:t>
      </w:r>
      <w:r w:rsidRPr="008115C1">
        <w:br/>
        <w:t xml:space="preserve">The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approach was rejected</w:t>
      </w:r>
      <w:r w:rsidRPr="008115C1">
        <w:t xml:space="preserve"> in </w:t>
      </w:r>
      <w:proofErr w:type="spellStart"/>
      <w:r w:rsidRPr="008115C1">
        <w:t>favor</w:t>
      </w:r>
      <w:proofErr w:type="spellEnd"/>
      <w:r w:rsidRPr="008115C1">
        <w:t xml:space="preserve"> of the </w:t>
      </w:r>
      <w:r w:rsidRPr="008115C1">
        <w:rPr>
          <w:b/>
          <w:bCs/>
        </w:rPr>
        <w:t>rolling charge approach</w:t>
      </w:r>
      <w:r w:rsidRPr="008115C1">
        <w:t xml:space="preserve">, which </w:t>
      </w:r>
      <w:r w:rsidRPr="008115C1">
        <w:rPr>
          <w:b/>
          <w:bCs/>
        </w:rPr>
        <w:t>more accurately reflects the timing of deposits and withdrawals</w:t>
      </w:r>
      <w:r w:rsidRPr="008115C1">
        <w:t>.</w:t>
      </w:r>
    </w:p>
    <w:p w14:paraId="23EB6012" w14:textId="77777777" w:rsidR="003B6520" w:rsidRPr="008115C1" w:rsidRDefault="00E31F1B" w:rsidP="008115C1">
      <w:pPr>
        <w:spacing w:after="240" w:line="360" w:lineRule="auto"/>
      </w:pPr>
      <w:r>
        <w:pict w14:anchorId="580079DB">
          <v:rect id="Horizontal Line 14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D15B72" w14:textId="77777777" w:rsidR="003B6520" w:rsidRPr="008115C1" w:rsidRDefault="003B6520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lastRenderedPageBreak/>
        <w:t>Conclusion</w:t>
      </w:r>
    </w:p>
    <w:p w14:paraId="0D7BC6BF" w14:textId="40F82C71" w:rsidR="003B6520" w:rsidRPr="008115C1" w:rsidRDefault="003B6520" w:rsidP="008115C1">
      <w:pPr>
        <w:spacing w:before="100" w:beforeAutospacing="1" w:after="240" w:line="360" w:lineRule="auto"/>
      </w:pPr>
      <w:r w:rsidRPr="008115C1">
        <w:t xml:space="preserve">While </w:t>
      </w:r>
      <w:r w:rsidRPr="008115C1">
        <w:rPr>
          <w:b/>
          <w:bCs/>
        </w:rPr>
        <w:t>simpler to administer</w:t>
      </w:r>
      <w:r w:rsidRPr="008115C1">
        <w:t xml:space="preserve">, the </w:t>
      </w:r>
      <w:r w:rsidRPr="008115C1">
        <w:rPr>
          <w:b/>
          <w:bCs/>
        </w:rPr>
        <w:t xml:space="preserve">simple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approach does not accurately reflect the movement of funds</w:t>
      </w:r>
      <w:r w:rsidRPr="008115C1">
        <w:t xml:space="preserve"> and has been </w:t>
      </w:r>
      <w:r w:rsidRPr="008115C1">
        <w:rPr>
          <w:b/>
          <w:bCs/>
        </w:rPr>
        <w:t>criticized for arbitrarily equalizing losses among claimants</w:t>
      </w:r>
      <w:r w:rsidRPr="008115C1">
        <w:t xml:space="preserve">. Courts now increasingly </w:t>
      </w:r>
      <w:proofErr w:type="spellStart"/>
      <w:r w:rsidRPr="008115C1">
        <w:rPr>
          <w:b/>
          <w:bCs/>
        </w:rPr>
        <w:t>favor</w:t>
      </w:r>
      <w:proofErr w:type="spellEnd"/>
      <w:r w:rsidRPr="008115C1">
        <w:rPr>
          <w:b/>
          <w:bCs/>
        </w:rPr>
        <w:t xml:space="preserve"> tracing-based methods</w:t>
      </w:r>
      <w:r w:rsidRPr="008115C1">
        <w:t xml:space="preserve">, such as the </w:t>
      </w:r>
      <w:r w:rsidRPr="008115C1">
        <w:rPr>
          <w:b/>
          <w:bCs/>
        </w:rPr>
        <w:t>rolling charge approach</w:t>
      </w:r>
      <w:r w:rsidRPr="008115C1">
        <w:t xml:space="preserve">, to ensure </w:t>
      </w:r>
      <w:r w:rsidRPr="008115C1">
        <w:rPr>
          <w:b/>
          <w:bCs/>
        </w:rPr>
        <w:t>proportionate fairness in fund distribution</w:t>
      </w:r>
      <w:r w:rsidRPr="008115C1">
        <w:t>.</w:t>
      </w:r>
    </w:p>
    <w:p w14:paraId="0F4A4588" w14:textId="77777777" w:rsidR="003D6F5F" w:rsidRPr="008115C1" w:rsidRDefault="00E31F1B" w:rsidP="008115C1">
      <w:pPr>
        <w:spacing w:after="240" w:line="360" w:lineRule="auto"/>
      </w:pPr>
      <w:r>
        <w:pict w14:anchorId="777E01CD">
          <v:rect id="Horizontal Line 4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55ED5B" w14:textId="77777777" w:rsidR="00240306" w:rsidRPr="008115C1" w:rsidRDefault="00240306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3. The Rolling Charge Approach: Judicial Endorsement and Criticism</w:t>
      </w:r>
    </w:p>
    <w:p w14:paraId="607F961F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t xml:space="preserve">The </w:t>
      </w:r>
      <w:r w:rsidRPr="008115C1">
        <w:rPr>
          <w:b/>
          <w:bCs/>
        </w:rPr>
        <w:t>rolling charge approach</w:t>
      </w:r>
      <w:r w:rsidRPr="008115C1">
        <w:t xml:space="preserve"> provides an alternative to </w:t>
      </w:r>
      <w:r w:rsidRPr="008115C1">
        <w:rPr>
          <w:b/>
          <w:bCs/>
        </w:rPr>
        <w:t xml:space="preserve">Clayton’s Case and the simple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approach</w:t>
      </w:r>
      <w:r w:rsidRPr="008115C1">
        <w:t xml:space="preserve"> by ensuring that </w:t>
      </w:r>
      <w:r w:rsidRPr="008115C1">
        <w:rPr>
          <w:b/>
          <w:bCs/>
        </w:rPr>
        <w:t>each claimant’s entitlement is adjusted dynamically after every transaction</w:t>
      </w:r>
      <w:r w:rsidRPr="008115C1">
        <w:t xml:space="preserve">. Unlike the </w:t>
      </w:r>
      <w:r w:rsidRPr="008115C1">
        <w:rPr>
          <w:b/>
          <w:bCs/>
        </w:rPr>
        <w:t xml:space="preserve">static nature of the simple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method</w:t>
      </w:r>
      <w:r w:rsidRPr="008115C1">
        <w:t xml:space="preserve">, the rolling charge approach </w:t>
      </w:r>
      <w:r w:rsidRPr="008115C1">
        <w:rPr>
          <w:b/>
          <w:bCs/>
        </w:rPr>
        <w:t>preserves the historical movement of funds</w:t>
      </w:r>
      <w:r w:rsidRPr="008115C1">
        <w:t xml:space="preserve">, preventing </w:t>
      </w:r>
      <w:r w:rsidRPr="008115C1">
        <w:rPr>
          <w:b/>
          <w:bCs/>
        </w:rPr>
        <w:t>later claimants from subsidizing earlier withdrawals</w:t>
      </w:r>
      <w:r w:rsidRPr="008115C1">
        <w:t xml:space="preserve">. However, its </w:t>
      </w:r>
      <w:r w:rsidRPr="008115C1">
        <w:rPr>
          <w:b/>
          <w:bCs/>
        </w:rPr>
        <w:t>complexity and administrative burden</w:t>
      </w:r>
      <w:r w:rsidRPr="008115C1">
        <w:t xml:space="preserve"> have led some courts to </w:t>
      </w:r>
      <w:proofErr w:type="spellStart"/>
      <w:r w:rsidRPr="008115C1">
        <w:t>favor</w:t>
      </w:r>
      <w:proofErr w:type="spellEnd"/>
      <w:r w:rsidRPr="008115C1">
        <w:t xml:space="preserve"> </w:t>
      </w:r>
      <w:r w:rsidRPr="008115C1">
        <w:rPr>
          <w:b/>
          <w:bCs/>
        </w:rPr>
        <w:t>simplified variations</w:t>
      </w:r>
      <w:r w:rsidRPr="008115C1">
        <w:t xml:space="preserve"> of this method.</w:t>
      </w:r>
    </w:p>
    <w:p w14:paraId="19AF09D7" w14:textId="77777777" w:rsidR="00240306" w:rsidRPr="008115C1" w:rsidRDefault="00240306" w:rsidP="008115C1">
      <w:pPr>
        <w:spacing w:before="100" w:beforeAutospacing="1" w:after="240" w:line="360" w:lineRule="auto"/>
        <w:outlineLvl w:val="3"/>
        <w:rPr>
          <w:b/>
          <w:bCs/>
        </w:rPr>
      </w:pPr>
      <w:r w:rsidRPr="008115C1">
        <w:rPr>
          <w:b/>
          <w:bCs/>
        </w:rPr>
        <w:t>Judicial Support for the Rolling Charge Approach</w:t>
      </w:r>
    </w:p>
    <w:p w14:paraId="6B194A21" w14:textId="77777777" w:rsidR="00240306" w:rsidRPr="008115C1" w:rsidRDefault="00240306" w:rsidP="008115C1">
      <w:pPr>
        <w:spacing w:before="100" w:beforeAutospacing="1" w:after="240" w:line="360" w:lineRule="auto"/>
        <w:outlineLvl w:val="4"/>
        <w:rPr>
          <w:b/>
          <w:bCs/>
        </w:rPr>
      </w:pPr>
      <w:r w:rsidRPr="008115C1">
        <w:rPr>
          <w:b/>
          <w:bCs/>
        </w:rPr>
        <w:t>(</w:t>
      </w:r>
      <w:proofErr w:type="spellStart"/>
      <w:r w:rsidRPr="008115C1">
        <w:rPr>
          <w:b/>
          <w:bCs/>
        </w:rPr>
        <w:t>i</w:t>
      </w:r>
      <w:proofErr w:type="spellEnd"/>
      <w:r w:rsidRPr="008115C1">
        <w:rPr>
          <w:b/>
          <w:bCs/>
        </w:rPr>
        <w:t>) Re French Caledonia Travel Service Pty Ltd (2003) 59 NSWLR 361</w:t>
      </w:r>
    </w:p>
    <w:p w14:paraId="443DC9B3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Facts:</w:t>
      </w:r>
    </w:p>
    <w:p w14:paraId="116FBFA8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t xml:space="preserve">Concerned the </w:t>
      </w:r>
      <w:r w:rsidRPr="008115C1">
        <w:rPr>
          <w:b/>
          <w:bCs/>
        </w:rPr>
        <w:t>insolvency of a travel agency</w:t>
      </w:r>
      <w:r w:rsidRPr="008115C1">
        <w:t xml:space="preserve"> that had collected </w:t>
      </w:r>
      <w:r w:rsidRPr="008115C1">
        <w:rPr>
          <w:b/>
          <w:bCs/>
        </w:rPr>
        <w:t>customer payments for flights and accommodations</w:t>
      </w:r>
      <w:r w:rsidRPr="008115C1">
        <w:t>.</w:t>
      </w:r>
    </w:p>
    <w:p w14:paraId="07184B87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t xml:space="preserve">The funds were </w:t>
      </w:r>
      <w:r w:rsidRPr="008115C1">
        <w:rPr>
          <w:b/>
          <w:bCs/>
        </w:rPr>
        <w:t>commingled in a single bank account</w:t>
      </w:r>
      <w:r w:rsidRPr="008115C1">
        <w:t xml:space="preserve">, and </w:t>
      </w:r>
      <w:r w:rsidRPr="008115C1">
        <w:rPr>
          <w:b/>
          <w:bCs/>
        </w:rPr>
        <w:t>not all services were provided</w:t>
      </w:r>
      <w:r w:rsidRPr="008115C1">
        <w:t xml:space="preserve"> before the company collapsed.</w:t>
      </w:r>
    </w:p>
    <w:p w14:paraId="4A16360F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Held:</w:t>
      </w:r>
    </w:p>
    <w:p w14:paraId="5124CA3F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Campbell J rejected Clayton’s Case</w:t>
      </w:r>
      <w:r w:rsidRPr="008115C1">
        <w:t xml:space="preserve">, holding that where </w:t>
      </w:r>
      <w:r w:rsidRPr="008115C1">
        <w:rPr>
          <w:b/>
          <w:bCs/>
        </w:rPr>
        <w:t>multiple parties have proprietary interests in a mixed fund, the rolling charge approach provides the fairest distribution method</w:t>
      </w:r>
      <w:r w:rsidRPr="008115C1">
        <w:t>.</w:t>
      </w:r>
    </w:p>
    <w:p w14:paraId="0B6FA2D7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Reasoning:</w:t>
      </w:r>
    </w:p>
    <w:p w14:paraId="54C6BE50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lastRenderedPageBreak/>
        <w:t xml:space="preserve">The rolling charge approach </w:t>
      </w:r>
      <w:r w:rsidRPr="008115C1">
        <w:rPr>
          <w:b/>
          <w:bCs/>
        </w:rPr>
        <w:t>respects the true history of the account</w:t>
      </w:r>
      <w:r w:rsidRPr="008115C1">
        <w:t xml:space="preserve">, preventing </w:t>
      </w:r>
      <w:r w:rsidRPr="008115C1">
        <w:rPr>
          <w:b/>
          <w:bCs/>
        </w:rPr>
        <w:t>later depositors from unfairly subsidizing earlier withdrawals</w:t>
      </w:r>
      <w:r w:rsidRPr="008115C1">
        <w:t>.</w:t>
      </w:r>
    </w:p>
    <w:p w14:paraId="677FE358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t xml:space="preserve">It </w:t>
      </w:r>
      <w:r w:rsidRPr="008115C1">
        <w:rPr>
          <w:b/>
          <w:bCs/>
        </w:rPr>
        <w:t>avoids the artificial equality</w:t>
      </w:r>
      <w:r w:rsidRPr="008115C1">
        <w:t xml:space="preserve"> created by the </w:t>
      </w:r>
      <w:r w:rsidRPr="008115C1">
        <w:rPr>
          <w:b/>
          <w:bCs/>
        </w:rPr>
        <w:t xml:space="preserve">simple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approach</w:t>
      </w:r>
      <w:r w:rsidRPr="008115C1">
        <w:t xml:space="preserve"> by </w:t>
      </w:r>
      <w:r w:rsidRPr="008115C1">
        <w:rPr>
          <w:b/>
          <w:bCs/>
        </w:rPr>
        <w:t>dynamically reallocating proportions after each transaction</w:t>
      </w:r>
      <w:r w:rsidRPr="008115C1">
        <w:t>.</w:t>
      </w:r>
    </w:p>
    <w:p w14:paraId="30419078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Criticism:</w:t>
      </w:r>
    </w:p>
    <w:p w14:paraId="5E501BD7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Campbell J acknowledged</w:t>
      </w:r>
      <w:r w:rsidRPr="008115C1">
        <w:t xml:space="preserve"> that the rolling charge approach </w:t>
      </w:r>
      <w:r w:rsidRPr="008115C1">
        <w:rPr>
          <w:b/>
          <w:bCs/>
        </w:rPr>
        <w:t>is more complex than other methods</w:t>
      </w:r>
      <w:r w:rsidRPr="008115C1">
        <w:t xml:space="preserve">, as it requires </w:t>
      </w:r>
      <w:r w:rsidRPr="008115C1">
        <w:rPr>
          <w:b/>
          <w:bCs/>
        </w:rPr>
        <w:t>courts to maintain precise records of deposits and withdrawals</w:t>
      </w:r>
      <w:r w:rsidRPr="008115C1">
        <w:t>.</w:t>
      </w:r>
    </w:p>
    <w:p w14:paraId="4248F58D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t xml:space="preserve">However, he argued that </w:t>
      </w:r>
      <w:r w:rsidRPr="008115C1">
        <w:rPr>
          <w:b/>
          <w:bCs/>
        </w:rPr>
        <w:t>equity must not be sacrificed for mere convenience</w:t>
      </w:r>
      <w:r w:rsidRPr="008115C1">
        <w:t>.</w:t>
      </w:r>
    </w:p>
    <w:p w14:paraId="0400F206" w14:textId="77777777" w:rsidR="00240306" w:rsidRPr="008115C1" w:rsidRDefault="00240306" w:rsidP="008115C1">
      <w:pPr>
        <w:spacing w:before="100" w:beforeAutospacing="1" w:after="240" w:line="360" w:lineRule="auto"/>
        <w:outlineLvl w:val="4"/>
        <w:rPr>
          <w:b/>
          <w:bCs/>
        </w:rPr>
      </w:pPr>
      <w:r w:rsidRPr="008115C1">
        <w:rPr>
          <w:b/>
          <w:bCs/>
        </w:rPr>
        <w:t>(ii) Re Secured Mortgage Management Ltd [2017] QSC 254</w:t>
      </w:r>
    </w:p>
    <w:p w14:paraId="335194D1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Held:</w:t>
      </w:r>
    </w:p>
    <w:p w14:paraId="5BC6D816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t xml:space="preserve">The </w:t>
      </w:r>
      <w:r w:rsidRPr="008115C1">
        <w:rPr>
          <w:b/>
          <w:bCs/>
        </w:rPr>
        <w:t>rolling charge approach aligns more closely with equitable proprietary principles</w:t>
      </w:r>
      <w:r w:rsidRPr="008115C1">
        <w:t xml:space="preserve"> than the simple </w:t>
      </w:r>
      <w:proofErr w:type="spellStart"/>
      <w:r w:rsidRPr="008115C1">
        <w:t>pari</w:t>
      </w:r>
      <w:proofErr w:type="spellEnd"/>
      <w:r w:rsidRPr="008115C1">
        <w:t xml:space="preserve"> passu approach.</w:t>
      </w:r>
    </w:p>
    <w:p w14:paraId="765CACBD" w14:textId="77777777" w:rsidR="00240306" w:rsidRPr="008115C1" w:rsidRDefault="00240306" w:rsidP="008115C1">
      <w:pPr>
        <w:spacing w:before="100" w:beforeAutospacing="1" w:after="240" w:line="360" w:lineRule="auto"/>
        <w:outlineLvl w:val="4"/>
        <w:rPr>
          <w:b/>
          <w:bCs/>
        </w:rPr>
      </w:pPr>
      <w:r w:rsidRPr="008115C1">
        <w:rPr>
          <w:b/>
          <w:bCs/>
        </w:rPr>
        <w:t>(iii) James Roscoe (Bolton) Ltd v Winder [1915] 1 Ch 62, 69</w:t>
      </w:r>
    </w:p>
    <w:p w14:paraId="5C5BCC50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Held:</w:t>
      </w:r>
    </w:p>
    <w:p w14:paraId="48BA0A6E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Reaffirmed that the lowest intermediate balance rule (LIBR) should guide tracing claims</w:t>
      </w:r>
      <w:r w:rsidRPr="008115C1">
        <w:t xml:space="preserve">, a principle that the </w:t>
      </w:r>
      <w:r w:rsidRPr="008115C1">
        <w:rPr>
          <w:b/>
          <w:bCs/>
        </w:rPr>
        <w:t>rolling charge approach inherently respects</w:t>
      </w:r>
      <w:r w:rsidRPr="008115C1">
        <w:t>.</w:t>
      </w:r>
    </w:p>
    <w:p w14:paraId="242EF0FC" w14:textId="77777777" w:rsidR="00240306" w:rsidRPr="008115C1" w:rsidRDefault="00E31F1B" w:rsidP="008115C1">
      <w:pPr>
        <w:spacing w:after="240" w:line="360" w:lineRule="auto"/>
      </w:pPr>
      <w:r w:rsidRPr="00E31F1B">
        <w:rPr>
          <w:noProof/>
          <w14:ligatures w14:val="standardContextual"/>
        </w:rPr>
        <w:pict w14:anchorId="6ED9BDF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7DFB0EA" w14:textId="77777777" w:rsidR="00240306" w:rsidRPr="008115C1" w:rsidRDefault="00240306" w:rsidP="008115C1">
      <w:pPr>
        <w:spacing w:before="100" w:beforeAutospacing="1" w:after="240" w:line="360" w:lineRule="auto"/>
        <w:outlineLvl w:val="3"/>
        <w:rPr>
          <w:b/>
          <w:bCs/>
        </w:rPr>
      </w:pPr>
      <w:r w:rsidRPr="008115C1">
        <w:rPr>
          <w:b/>
          <w:bCs/>
        </w:rPr>
        <w:t>Judicial Criticism of the Rolling Charge Approach</w:t>
      </w:r>
    </w:p>
    <w:p w14:paraId="1B92D1C8" w14:textId="77777777" w:rsidR="00240306" w:rsidRPr="008115C1" w:rsidRDefault="00240306" w:rsidP="008115C1">
      <w:pPr>
        <w:spacing w:before="100" w:beforeAutospacing="1" w:after="240" w:line="360" w:lineRule="auto"/>
        <w:outlineLvl w:val="4"/>
        <w:rPr>
          <w:b/>
          <w:bCs/>
        </w:rPr>
      </w:pPr>
      <w:r w:rsidRPr="008115C1">
        <w:rPr>
          <w:b/>
          <w:bCs/>
        </w:rPr>
        <w:t>(</w:t>
      </w:r>
      <w:proofErr w:type="spellStart"/>
      <w:r w:rsidRPr="008115C1">
        <w:rPr>
          <w:b/>
          <w:bCs/>
        </w:rPr>
        <w:t>i</w:t>
      </w:r>
      <w:proofErr w:type="spellEnd"/>
      <w:r w:rsidRPr="008115C1">
        <w:rPr>
          <w:b/>
          <w:bCs/>
        </w:rPr>
        <w:t>) Caron v Jahani (No 2) [2020] NSWCA 117, at [105]</w:t>
      </w:r>
    </w:p>
    <w:p w14:paraId="6A86B826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Held:</w:t>
      </w:r>
    </w:p>
    <w:p w14:paraId="4D53897B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t xml:space="preserve">The court </w:t>
      </w:r>
      <w:r w:rsidRPr="008115C1">
        <w:rPr>
          <w:b/>
          <w:bCs/>
        </w:rPr>
        <w:t>acknowledged that full rolling charge calculations require significant administrative resources</w:t>
      </w:r>
      <w:r w:rsidRPr="008115C1">
        <w:t xml:space="preserve">, making them </w:t>
      </w:r>
      <w:r w:rsidRPr="008115C1">
        <w:rPr>
          <w:b/>
          <w:bCs/>
        </w:rPr>
        <w:t>impractical in large-scale fraud cases</w:t>
      </w:r>
      <w:r w:rsidRPr="008115C1">
        <w:t>.</w:t>
      </w:r>
    </w:p>
    <w:p w14:paraId="18CE214E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lastRenderedPageBreak/>
        <w:t xml:space="preserve">The rolling charge approach is </w:t>
      </w:r>
      <w:r w:rsidRPr="008115C1">
        <w:rPr>
          <w:b/>
          <w:bCs/>
        </w:rPr>
        <w:t>computationally complex and costly</w:t>
      </w:r>
      <w:r w:rsidRPr="008115C1">
        <w:t xml:space="preserve">, which is why </w:t>
      </w:r>
      <w:r w:rsidRPr="008115C1">
        <w:rPr>
          <w:b/>
          <w:bCs/>
        </w:rPr>
        <w:t xml:space="preserve">courts often prefer the simpler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approach</w:t>
      </w:r>
      <w:r w:rsidRPr="008115C1">
        <w:t>.</w:t>
      </w:r>
    </w:p>
    <w:p w14:paraId="36E07D36" w14:textId="77777777" w:rsidR="00240306" w:rsidRPr="008115C1" w:rsidRDefault="00240306" w:rsidP="008115C1">
      <w:pPr>
        <w:spacing w:before="100" w:beforeAutospacing="1" w:after="240" w:line="360" w:lineRule="auto"/>
        <w:outlineLvl w:val="4"/>
        <w:rPr>
          <w:b/>
          <w:bCs/>
        </w:rPr>
      </w:pPr>
      <w:r w:rsidRPr="008115C1">
        <w:rPr>
          <w:b/>
          <w:bCs/>
        </w:rPr>
        <w:t>(ii) Barlow Clowes International Ltd (in liquidation) v Vaughan (1992) 4 All ER 22, 35-36</w:t>
      </w:r>
    </w:p>
    <w:p w14:paraId="5D304C38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Held:</w:t>
      </w:r>
    </w:p>
    <w:p w14:paraId="20E8E4C0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t xml:space="preserve">The court </w:t>
      </w:r>
      <w:r w:rsidRPr="008115C1">
        <w:rPr>
          <w:b/>
          <w:bCs/>
        </w:rPr>
        <w:t>recognized that while rolling charge was more accurate, courts frequently prefer simpler alternatives</w:t>
      </w:r>
      <w:r w:rsidRPr="008115C1">
        <w:t xml:space="preserve"> due to </w:t>
      </w:r>
      <w:r w:rsidRPr="008115C1">
        <w:rPr>
          <w:b/>
          <w:bCs/>
        </w:rPr>
        <w:t>cost-efficiency considerations</w:t>
      </w:r>
      <w:r w:rsidRPr="008115C1">
        <w:t>.</w:t>
      </w:r>
    </w:p>
    <w:p w14:paraId="219C5C83" w14:textId="77777777" w:rsidR="00240306" w:rsidRPr="008115C1" w:rsidRDefault="00240306" w:rsidP="008115C1">
      <w:pPr>
        <w:spacing w:before="100" w:beforeAutospacing="1" w:after="240" w:line="360" w:lineRule="auto"/>
        <w:outlineLvl w:val="4"/>
        <w:rPr>
          <w:b/>
          <w:bCs/>
        </w:rPr>
      </w:pPr>
      <w:r w:rsidRPr="008115C1">
        <w:rPr>
          <w:b/>
          <w:bCs/>
        </w:rPr>
        <w:t xml:space="preserve">(iii) Charity Commission for England and Wales v </w:t>
      </w:r>
      <w:proofErr w:type="spellStart"/>
      <w:r w:rsidRPr="008115C1">
        <w:rPr>
          <w:b/>
          <w:bCs/>
        </w:rPr>
        <w:t>Framjee</w:t>
      </w:r>
      <w:proofErr w:type="spellEnd"/>
      <w:r w:rsidRPr="008115C1">
        <w:rPr>
          <w:b/>
          <w:bCs/>
        </w:rPr>
        <w:t xml:space="preserve"> (2015)</w:t>
      </w:r>
    </w:p>
    <w:p w14:paraId="0695E15D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Facts:</w:t>
      </w:r>
    </w:p>
    <w:p w14:paraId="3EF3631C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t xml:space="preserve">Concerned the </w:t>
      </w:r>
      <w:r w:rsidRPr="008115C1">
        <w:rPr>
          <w:b/>
          <w:bCs/>
        </w:rPr>
        <w:t>Dove Trust</w:t>
      </w:r>
      <w:r w:rsidRPr="008115C1">
        <w:t xml:space="preserve">, which operated an </w:t>
      </w:r>
      <w:r w:rsidRPr="008115C1">
        <w:rPr>
          <w:b/>
          <w:bCs/>
        </w:rPr>
        <w:t>online charity platform that misallocated funds</w:t>
      </w:r>
      <w:r w:rsidRPr="008115C1">
        <w:t>.</w:t>
      </w:r>
    </w:p>
    <w:p w14:paraId="1A2DF71A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Held:</w:t>
      </w:r>
    </w:p>
    <w:p w14:paraId="706D5052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t xml:space="preserve">The court applied </w:t>
      </w:r>
      <w:r w:rsidRPr="008115C1">
        <w:rPr>
          <w:b/>
          <w:bCs/>
        </w:rPr>
        <w:t xml:space="preserve">the simple </w:t>
      </w:r>
      <w:proofErr w:type="spellStart"/>
      <w:r w:rsidRPr="008115C1">
        <w:rPr>
          <w:b/>
          <w:bCs/>
        </w:rPr>
        <w:t>pari</w:t>
      </w:r>
      <w:proofErr w:type="spellEnd"/>
      <w:r w:rsidRPr="008115C1">
        <w:rPr>
          <w:b/>
          <w:bCs/>
        </w:rPr>
        <w:t xml:space="preserve"> passu approach instead of the rolling charge approach</w:t>
      </w:r>
      <w:r w:rsidRPr="008115C1">
        <w:t xml:space="preserve">, citing </w:t>
      </w:r>
      <w:r w:rsidRPr="008115C1">
        <w:rPr>
          <w:b/>
          <w:bCs/>
        </w:rPr>
        <w:t>concerns over cost and complexity</w:t>
      </w:r>
      <w:r w:rsidRPr="008115C1">
        <w:t>.</w:t>
      </w:r>
    </w:p>
    <w:p w14:paraId="2CAF5C9E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Criticism:</w:t>
      </w:r>
    </w:p>
    <w:p w14:paraId="5E80D26B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Henderson J failed to apply the rolling charge approach</w:t>
      </w:r>
      <w:r w:rsidRPr="008115C1">
        <w:t xml:space="preserve"> despite </w:t>
      </w:r>
      <w:r w:rsidRPr="008115C1">
        <w:rPr>
          <w:b/>
          <w:bCs/>
        </w:rPr>
        <w:t>its ability to produce a fairer result</w:t>
      </w:r>
      <w:r w:rsidRPr="008115C1">
        <w:t>.</w:t>
      </w:r>
    </w:p>
    <w:p w14:paraId="0F15357B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i/>
          <w:iCs/>
        </w:rPr>
        <w:t>Caron v Jahani (No 2)</w:t>
      </w:r>
      <w:r w:rsidRPr="008115C1">
        <w:t xml:space="preserve"> later </w:t>
      </w:r>
      <w:r w:rsidRPr="008115C1">
        <w:rPr>
          <w:b/>
          <w:bCs/>
        </w:rPr>
        <w:t>highlighted this flaw</w:t>
      </w:r>
      <w:r w:rsidRPr="008115C1">
        <w:t xml:space="preserve">, reinforcing that </w:t>
      </w:r>
      <w:r w:rsidRPr="008115C1">
        <w:rPr>
          <w:b/>
          <w:bCs/>
        </w:rPr>
        <w:t>equity should take precedence over administrative convenience</w:t>
      </w:r>
      <w:r w:rsidRPr="008115C1">
        <w:t>.</w:t>
      </w:r>
    </w:p>
    <w:p w14:paraId="3BB164A9" w14:textId="77777777" w:rsidR="00240306" w:rsidRPr="008115C1" w:rsidRDefault="00240306" w:rsidP="008115C1">
      <w:pPr>
        <w:spacing w:before="100" w:beforeAutospacing="1" w:after="240" w:line="360" w:lineRule="auto"/>
        <w:outlineLvl w:val="4"/>
        <w:rPr>
          <w:b/>
          <w:bCs/>
        </w:rPr>
      </w:pPr>
      <w:r w:rsidRPr="008115C1">
        <w:rPr>
          <w:b/>
          <w:bCs/>
        </w:rPr>
        <w:t>(iv) Scholarly Criticism: Lionel Smith, The Law of Tracing (Oxford: Clarendon Press, 1997) 185-188</w:t>
      </w:r>
    </w:p>
    <w:p w14:paraId="1F6F6AFB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 xml:space="preserve">Criticized the rolling charge approach for indirectly </w:t>
      </w:r>
      <w:proofErr w:type="spellStart"/>
      <w:r w:rsidRPr="008115C1">
        <w:rPr>
          <w:b/>
          <w:bCs/>
        </w:rPr>
        <w:t>favoring</w:t>
      </w:r>
      <w:proofErr w:type="spellEnd"/>
      <w:r w:rsidRPr="008115C1">
        <w:rPr>
          <w:b/>
          <w:bCs/>
        </w:rPr>
        <w:t xml:space="preserve"> later claimants</w:t>
      </w:r>
      <w:r w:rsidRPr="008115C1">
        <w:t xml:space="preserve">, as they may </w:t>
      </w:r>
      <w:r w:rsidRPr="008115C1">
        <w:rPr>
          <w:b/>
          <w:bCs/>
        </w:rPr>
        <w:t>retain more of their funds compared to earlier depositors</w:t>
      </w:r>
      <w:r w:rsidRPr="008115C1">
        <w:t>.</w:t>
      </w:r>
    </w:p>
    <w:p w14:paraId="1067F2E2" w14:textId="77777777" w:rsidR="00240306" w:rsidRPr="008115C1" w:rsidRDefault="00E31F1B" w:rsidP="008115C1">
      <w:pPr>
        <w:spacing w:after="240" w:line="360" w:lineRule="auto"/>
      </w:pPr>
      <w:r w:rsidRPr="00E31F1B">
        <w:rPr>
          <w:noProof/>
          <w14:ligatures w14:val="standardContextual"/>
        </w:rPr>
        <w:pict w14:anchorId="3259A47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EDD7774" w14:textId="77777777" w:rsidR="00240306" w:rsidRPr="008115C1" w:rsidRDefault="00240306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lastRenderedPageBreak/>
        <w:t>4. The Simplified Rolling Charge Approach</w:t>
      </w:r>
    </w:p>
    <w:p w14:paraId="113C958E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t xml:space="preserve">The </w:t>
      </w:r>
      <w:r w:rsidRPr="008115C1">
        <w:rPr>
          <w:b/>
          <w:bCs/>
        </w:rPr>
        <w:t>simplified rolling charge approach</w:t>
      </w:r>
      <w:r w:rsidRPr="008115C1">
        <w:t xml:space="preserve"> retains the </w:t>
      </w:r>
      <w:r w:rsidRPr="008115C1">
        <w:rPr>
          <w:b/>
          <w:bCs/>
        </w:rPr>
        <w:t>fundamental principle of dynamic proportionality</w:t>
      </w:r>
      <w:r w:rsidRPr="008115C1">
        <w:t xml:space="preserve"> while </w:t>
      </w:r>
      <w:r w:rsidRPr="008115C1">
        <w:rPr>
          <w:b/>
          <w:bCs/>
        </w:rPr>
        <w:t>reducing the frequency of recalculations</w:t>
      </w:r>
      <w:r w:rsidRPr="008115C1">
        <w:t xml:space="preserve">. Instead of </w:t>
      </w:r>
      <w:r w:rsidRPr="008115C1">
        <w:rPr>
          <w:b/>
          <w:bCs/>
        </w:rPr>
        <w:t>adjusting entitlements after every transaction</w:t>
      </w:r>
      <w:r w:rsidRPr="008115C1">
        <w:t xml:space="preserve">, this method </w:t>
      </w:r>
      <w:r w:rsidRPr="008115C1">
        <w:rPr>
          <w:b/>
          <w:bCs/>
        </w:rPr>
        <w:t>only rec</w:t>
      </w:r>
      <w:r w:rsidRPr="008115C1">
        <w:rPr>
          <w:b/>
          <w:bCs/>
          <w:highlight w:val="yellow"/>
        </w:rPr>
        <w:t>alculates proportions when significant changes occur</w:t>
      </w:r>
      <w:r w:rsidRPr="008115C1">
        <w:t xml:space="preserve">, making it </w:t>
      </w:r>
      <w:r w:rsidRPr="008115C1">
        <w:rPr>
          <w:b/>
          <w:bCs/>
        </w:rPr>
        <w:t>more practical for large-scale cases</w:t>
      </w:r>
      <w:r w:rsidRPr="008115C1">
        <w:t>.</w:t>
      </w:r>
    </w:p>
    <w:p w14:paraId="5C42182A" w14:textId="77777777" w:rsidR="00240306" w:rsidRPr="008115C1" w:rsidRDefault="00240306" w:rsidP="008115C1">
      <w:pPr>
        <w:spacing w:before="100" w:beforeAutospacing="1" w:after="240" w:line="360" w:lineRule="auto"/>
        <w:outlineLvl w:val="3"/>
        <w:rPr>
          <w:b/>
          <w:bCs/>
        </w:rPr>
      </w:pPr>
      <w:r w:rsidRPr="008115C1">
        <w:rPr>
          <w:b/>
          <w:bCs/>
        </w:rPr>
        <w:t>Caron v Jahani (No 2) [2020] NSWCA 117</w:t>
      </w:r>
    </w:p>
    <w:p w14:paraId="6EA5EA35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Facts:</w:t>
      </w:r>
    </w:p>
    <w:p w14:paraId="6E16E31F" w14:textId="77777777" w:rsidR="00240306" w:rsidRPr="008115C1" w:rsidRDefault="00240306" w:rsidP="008115C1">
      <w:pPr>
        <w:numPr>
          <w:ilvl w:val="1"/>
          <w:numId w:val="38"/>
        </w:numPr>
        <w:spacing w:before="100" w:beforeAutospacing="1" w:after="240" w:line="360" w:lineRule="auto"/>
      </w:pPr>
      <w:r w:rsidRPr="008115C1">
        <w:t xml:space="preserve">The </w:t>
      </w:r>
      <w:r w:rsidRPr="008115C1">
        <w:rPr>
          <w:b/>
          <w:bCs/>
        </w:rPr>
        <w:t>court in Caron v Jahani recognized that full rolling charge calculations were difficult to administer in large-scale fraud cases</w:t>
      </w:r>
      <w:r w:rsidRPr="008115C1">
        <w:t>.</w:t>
      </w:r>
    </w:p>
    <w:p w14:paraId="7F13FD71" w14:textId="77777777" w:rsidR="00240306" w:rsidRPr="008115C1" w:rsidRDefault="00240306" w:rsidP="008115C1">
      <w:pPr>
        <w:numPr>
          <w:ilvl w:val="1"/>
          <w:numId w:val="38"/>
        </w:numPr>
        <w:spacing w:before="100" w:beforeAutospacing="1" w:after="240" w:line="360" w:lineRule="auto"/>
      </w:pPr>
      <w:r w:rsidRPr="008115C1">
        <w:t xml:space="preserve">It instead </w:t>
      </w:r>
      <w:r w:rsidRPr="008115C1">
        <w:rPr>
          <w:b/>
          <w:bCs/>
        </w:rPr>
        <w:t>endorsed a simplified rolling charge approach</w:t>
      </w:r>
      <w:r w:rsidRPr="008115C1">
        <w:t xml:space="preserve">, balancing </w:t>
      </w:r>
      <w:r w:rsidRPr="008115C1">
        <w:rPr>
          <w:b/>
          <w:bCs/>
        </w:rPr>
        <w:t>fairness with practicality</w:t>
      </w:r>
      <w:r w:rsidRPr="008115C1">
        <w:t>.</w:t>
      </w:r>
    </w:p>
    <w:p w14:paraId="3CEEC885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Held:</w:t>
      </w:r>
    </w:p>
    <w:p w14:paraId="2F8F6285" w14:textId="77777777" w:rsidR="00240306" w:rsidRPr="008115C1" w:rsidRDefault="00240306" w:rsidP="008115C1">
      <w:pPr>
        <w:numPr>
          <w:ilvl w:val="1"/>
          <w:numId w:val="38"/>
        </w:numPr>
        <w:spacing w:before="100" w:beforeAutospacing="1" w:after="240" w:line="360" w:lineRule="auto"/>
      </w:pPr>
      <w:r w:rsidRPr="008115C1">
        <w:t xml:space="preserve">The </w:t>
      </w:r>
      <w:r w:rsidRPr="008115C1">
        <w:rPr>
          <w:b/>
          <w:bCs/>
        </w:rPr>
        <w:t>simplified approach retains the principle of proportional fairness</w:t>
      </w:r>
      <w:r w:rsidRPr="008115C1">
        <w:t xml:space="preserve"> but </w:t>
      </w:r>
      <w:r w:rsidRPr="008115C1">
        <w:rPr>
          <w:b/>
          <w:bCs/>
        </w:rPr>
        <w:t>reduces the administrative burden</w:t>
      </w:r>
      <w:r w:rsidRPr="008115C1">
        <w:t>.</w:t>
      </w:r>
    </w:p>
    <w:p w14:paraId="2AC357BE" w14:textId="77777777" w:rsidR="00240306" w:rsidRPr="008115C1" w:rsidRDefault="00240306" w:rsidP="008115C1">
      <w:pPr>
        <w:numPr>
          <w:ilvl w:val="1"/>
          <w:numId w:val="38"/>
        </w:numPr>
        <w:spacing w:before="100" w:beforeAutospacing="1" w:after="240" w:line="360" w:lineRule="auto"/>
      </w:pPr>
      <w:r w:rsidRPr="008115C1">
        <w:t xml:space="preserve">Instead of </w:t>
      </w:r>
      <w:r w:rsidRPr="008115C1">
        <w:rPr>
          <w:b/>
          <w:bCs/>
        </w:rPr>
        <w:t>reallocating proportions after every transaction</w:t>
      </w:r>
      <w:r w:rsidRPr="008115C1">
        <w:t xml:space="preserve">, adjustments are made </w:t>
      </w:r>
      <w:r w:rsidRPr="008115C1">
        <w:rPr>
          <w:b/>
          <w:bCs/>
        </w:rPr>
        <w:t>only when necessary to reflect significant changes</w:t>
      </w:r>
      <w:r w:rsidRPr="008115C1">
        <w:t>.</w:t>
      </w:r>
    </w:p>
    <w:p w14:paraId="2309DC2E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Reasoning:</w:t>
      </w:r>
    </w:p>
    <w:p w14:paraId="4C50A77A" w14:textId="77777777" w:rsidR="00240306" w:rsidRPr="008115C1" w:rsidRDefault="00240306" w:rsidP="008115C1">
      <w:pPr>
        <w:numPr>
          <w:ilvl w:val="1"/>
          <w:numId w:val="38"/>
        </w:numPr>
        <w:spacing w:before="100" w:beforeAutospacing="1" w:after="240" w:line="360" w:lineRule="auto"/>
      </w:pPr>
      <w:r w:rsidRPr="008115C1">
        <w:t xml:space="preserve">The court acknowledged that </w:t>
      </w:r>
      <w:r w:rsidRPr="008115C1">
        <w:rPr>
          <w:b/>
          <w:bCs/>
        </w:rPr>
        <w:t>absolute mathematical accuracy is not required to achieve substantial justice</w:t>
      </w:r>
      <w:r w:rsidRPr="008115C1">
        <w:t>.</w:t>
      </w:r>
    </w:p>
    <w:p w14:paraId="4D35DA32" w14:textId="77777777" w:rsidR="00240306" w:rsidRPr="008115C1" w:rsidRDefault="00240306" w:rsidP="008115C1">
      <w:pPr>
        <w:numPr>
          <w:ilvl w:val="1"/>
          <w:numId w:val="38"/>
        </w:numPr>
        <w:spacing w:before="100" w:beforeAutospacing="1" w:after="240" w:line="360" w:lineRule="auto"/>
      </w:pPr>
      <w:r w:rsidRPr="008115C1">
        <w:t xml:space="preserve">By </w:t>
      </w:r>
      <w:r w:rsidRPr="008115C1">
        <w:rPr>
          <w:b/>
          <w:bCs/>
        </w:rPr>
        <w:t>simplifying the recalculations</w:t>
      </w:r>
      <w:r w:rsidRPr="008115C1">
        <w:t xml:space="preserve">, the approach </w:t>
      </w:r>
      <w:r w:rsidRPr="008115C1">
        <w:rPr>
          <w:b/>
          <w:bCs/>
        </w:rPr>
        <w:t>remains administratively feasible while preserving fairness</w:t>
      </w:r>
      <w:r w:rsidRPr="008115C1">
        <w:t>.</w:t>
      </w:r>
    </w:p>
    <w:p w14:paraId="26009911" w14:textId="77777777" w:rsidR="00240306" w:rsidRPr="008115C1" w:rsidRDefault="00240306" w:rsidP="008115C1">
      <w:pPr>
        <w:spacing w:before="100" w:beforeAutospacing="1" w:after="240" w:line="360" w:lineRule="auto"/>
      </w:pPr>
      <w:r w:rsidRPr="008115C1">
        <w:rPr>
          <w:b/>
          <w:bCs/>
        </w:rPr>
        <w:t>Criticism:</w:t>
      </w:r>
    </w:p>
    <w:p w14:paraId="7FFCE009" w14:textId="77777777" w:rsidR="00240306" w:rsidRPr="008115C1" w:rsidRDefault="00240306" w:rsidP="008115C1">
      <w:pPr>
        <w:numPr>
          <w:ilvl w:val="1"/>
          <w:numId w:val="38"/>
        </w:numPr>
        <w:spacing w:before="100" w:beforeAutospacing="1" w:after="240" w:line="360" w:lineRule="auto"/>
      </w:pPr>
      <w:r w:rsidRPr="008115C1">
        <w:t xml:space="preserve">Some scholars argue that even the simplified rolling charge approach </w:t>
      </w:r>
      <w:r w:rsidRPr="008115C1">
        <w:rPr>
          <w:b/>
          <w:bCs/>
        </w:rPr>
        <w:t>still requires transaction tracking</w:t>
      </w:r>
      <w:r w:rsidRPr="008115C1">
        <w:t xml:space="preserve">, which may </w:t>
      </w:r>
      <w:r w:rsidRPr="008115C1">
        <w:rPr>
          <w:b/>
          <w:bCs/>
        </w:rPr>
        <w:t>not always be possible in cases with incomplete financial records</w:t>
      </w:r>
      <w:r w:rsidRPr="008115C1">
        <w:t>.</w:t>
      </w:r>
    </w:p>
    <w:p w14:paraId="232BC8AF" w14:textId="77777777" w:rsidR="00240306" w:rsidRPr="008115C1" w:rsidRDefault="00240306" w:rsidP="008115C1">
      <w:pPr>
        <w:numPr>
          <w:ilvl w:val="1"/>
          <w:numId w:val="38"/>
        </w:numPr>
        <w:spacing w:before="100" w:beforeAutospacing="1" w:after="240" w:line="360" w:lineRule="auto"/>
      </w:pPr>
      <w:r w:rsidRPr="008115C1">
        <w:lastRenderedPageBreak/>
        <w:t xml:space="preserve">However, </w:t>
      </w:r>
      <w:r w:rsidRPr="008115C1">
        <w:rPr>
          <w:b/>
          <w:bCs/>
        </w:rPr>
        <w:t>Bell P in Caron v Jahani dismissed this concern</w:t>
      </w:r>
      <w:r w:rsidRPr="008115C1">
        <w:t xml:space="preserve">, stating that </w:t>
      </w:r>
      <w:r w:rsidRPr="008115C1">
        <w:rPr>
          <w:b/>
          <w:bCs/>
        </w:rPr>
        <w:t>a simplified approach could achieve near-equitable results without excessive procedural burdens</w:t>
      </w:r>
      <w:r w:rsidRPr="008115C1">
        <w:t>.</w:t>
      </w:r>
    </w:p>
    <w:p w14:paraId="61BEAE60" w14:textId="77777777" w:rsidR="00240306" w:rsidRPr="008115C1" w:rsidRDefault="00E31F1B" w:rsidP="008115C1">
      <w:pPr>
        <w:spacing w:after="240" w:line="360" w:lineRule="auto"/>
      </w:pPr>
      <w:r w:rsidRPr="00E31F1B">
        <w:rPr>
          <w:noProof/>
          <w14:ligatures w14:val="standardContextual"/>
        </w:rPr>
        <w:pict w14:anchorId="34074D1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B3479AE" w14:textId="77777777" w:rsidR="00240306" w:rsidRPr="008115C1" w:rsidRDefault="00240306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5. Comparison of the Rolling Charge and Simplified Rolling Charge Approaches</w:t>
      </w:r>
    </w:p>
    <w:p w14:paraId="5D1831EB" w14:textId="77777777" w:rsidR="00240306" w:rsidRPr="008115C1" w:rsidRDefault="00240306" w:rsidP="008115C1">
      <w:pPr>
        <w:spacing w:before="100" w:beforeAutospacing="1" w:after="240" w:line="360" w:lineRule="auto"/>
        <w:outlineLvl w:val="3"/>
        <w:rPr>
          <w:b/>
          <w:bCs/>
        </w:rPr>
      </w:pPr>
      <w:r w:rsidRPr="008115C1">
        <w:rPr>
          <w:b/>
          <w:bCs/>
        </w:rPr>
        <w:t>Key Differences Between the Rolling Charge and the Simplified Rolling Charge Approaches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5"/>
        <w:gridCol w:w="3439"/>
        <w:gridCol w:w="3372"/>
      </w:tblGrid>
      <w:tr w:rsidR="00240306" w:rsidRPr="008115C1" w14:paraId="6987C863" w14:textId="77777777" w:rsidTr="004C37DB">
        <w:tc>
          <w:tcPr>
            <w:tcW w:w="0" w:type="auto"/>
            <w:hideMark/>
          </w:tcPr>
          <w:p w14:paraId="043FF212" w14:textId="77777777" w:rsidR="00240306" w:rsidRPr="008115C1" w:rsidRDefault="00240306" w:rsidP="008115C1">
            <w:pPr>
              <w:spacing w:after="240" w:line="360" w:lineRule="auto"/>
              <w:jc w:val="center"/>
              <w:rPr>
                <w:b/>
                <w:bCs/>
              </w:rPr>
            </w:pPr>
            <w:r w:rsidRPr="008115C1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24364D05" w14:textId="77777777" w:rsidR="00240306" w:rsidRPr="008115C1" w:rsidRDefault="00240306" w:rsidP="008115C1">
            <w:pPr>
              <w:spacing w:after="240" w:line="360" w:lineRule="auto"/>
              <w:jc w:val="center"/>
              <w:rPr>
                <w:b/>
                <w:bCs/>
              </w:rPr>
            </w:pPr>
            <w:r w:rsidRPr="008115C1">
              <w:rPr>
                <w:b/>
                <w:bCs/>
              </w:rPr>
              <w:t>Rolling Charge Approach</w:t>
            </w:r>
          </w:p>
        </w:tc>
        <w:tc>
          <w:tcPr>
            <w:tcW w:w="0" w:type="auto"/>
            <w:hideMark/>
          </w:tcPr>
          <w:p w14:paraId="5235804C" w14:textId="77777777" w:rsidR="00240306" w:rsidRPr="008115C1" w:rsidRDefault="00240306" w:rsidP="008115C1">
            <w:pPr>
              <w:spacing w:after="240" w:line="360" w:lineRule="auto"/>
              <w:jc w:val="center"/>
              <w:rPr>
                <w:b/>
                <w:bCs/>
              </w:rPr>
            </w:pPr>
            <w:r w:rsidRPr="008115C1">
              <w:rPr>
                <w:b/>
                <w:bCs/>
              </w:rPr>
              <w:t>Simplified Rolling Charge Approach</w:t>
            </w:r>
          </w:p>
        </w:tc>
      </w:tr>
      <w:tr w:rsidR="00240306" w:rsidRPr="008115C1" w14:paraId="5CFA1275" w14:textId="77777777" w:rsidTr="004C37DB">
        <w:tc>
          <w:tcPr>
            <w:tcW w:w="0" w:type="auto"/>
            <w:hideMark/>
          </w:tcPr>
          <w:p w14:paraId="191F6392" w14:textId="77777777" w:rsidR="00240306" w:rsidRPr="008115C1" w:rsidRDefault="00240306" w:rsidP="008115C1">
            <w:pPr>
              <w:spacing w:after="240" w:line="360" w:lineRule="auto"/>
            </w:pPr>
            <w:r w:rsidRPr="008115C1">
              <w:rPr>
                <w:b/>
                <w:bCs/>
              </w:rPr>
              <w:t>Recalculation Frequency</w:t>
            </w:r>
          </w:p>
        </w:tc>
        <w:tc>
          <w:tcPr>
            <w:tcW w:w="0" w:type="auto"/>
            <w:hideMark/>
          </w:tcPr>
          <w:p w14:paraId="643B9734" w14:textId="77777777" w:rsidR="00240306" w:rsidRPr="008115C1" w:rsidRDefault="00240306" w:rsidP="008115C1">
            <w:pPr>
              <w:spacing w:after="240" w:line="360" w:lineRule="auto"/>
            </w:pPr>
            <w:r w:rsidRPr="008115C1">
              <w:t xml:space="preserve">After every </w:t>
            </w:r>
            <w:r w:rsidRPr="008115C1">
              <w:rPr>
                <w:b/>
                <w:bCs/>
              </w:rPr>
              <w:t>deposit and withdrawal</w:t>
            </w:r>
          </w:p>
        </w:tc>
        <w:tc>
          <w:tcPr>
            <w:tcW w:w="0" w:type="auto"/>
            <w:hideMark/>
          </w:tcPr>
          <w:p w14:paraId="5D248473" w14:textId="77777777" w:rsidR="00240306" w:rsidRPr="008115C1" w:rsidRDefault="00240306" w:rsidP="008115C1">
            <w:pPr>
              <w:spacing w:after="240" w:line="360" w:lineRule="auto"/>
            </w:pPr>
            <w:r w:rsidRPr="008115C1">
              <w:t xml:space="preserve">Only when </w:t>
            </w:r>
            <w:r w:rsidRPr="008115C1">
              <w:rPr>
                <w:b/>
                <w:bCs/>
              </w:rPr>
              <w:t>significant changes</w:t>
            </w:r>
            <w:r w:rsidRPr="008115C1">
              <w:t xml:space="preserve"> occur</w:t>
            </w:r>
          </w:p>
        </w:tc>
      </w:tr>
      <w:tr w:rsidR="00240306" w:rsidRPr="008115C1" w14:paraId="03380BBD" w14:textId="77777777" w:rsidTr="004C37DB">
        <w:tc>
          <w:tcPr>
            <w:tcW w:w="0" w:type="auto"/>
            <w:hideMark/>
          </w:tcPr>
          <w:p w14:paraId="00A2F4D0" w14:textId="77777777" w:rsidR="00240306" w:rsidRPr="008115C1" w:rsidRDefault="00240306" w:rsidP="008115C1">
            <w:pPr>
              <w:spacing w:after="240" w:line="360" w:lineRule="auto"/>
            </w:pPr>
            <w:r w:rsidRPr="008115C1">
              <w:rPr>
                <w:b/>
                <w:bCs/>
              </w:rPr>
              <w:t>Complexity</w:t>
            </w:r>
          </w:p>
        </w:tc>
        <w:tc>
          <w:tcPr>
            <w:tcW w:w="0" w:type="auto"/>
            <w:hideMark/>
          </w:tcPr>
          <w:p w14:paraId="06968F08" w14:textId="77777777" w:rsidR="00240306" w:rsidRPr="008115C1" w:rsidRDefault="00240306" w:rsidP="008115C1">
            <w:pPr>
              <w:spacing w:after="240" w:line="360" w:lineRule="auto"/>
            </w:pPr>
            <w:r w:rsidRPr="008115C1">
              <w:t xml:space="preserve">High—requires </w:t>
            </w:r>
            <w:r w:rsidRPr="008115C1">
              <w:rPr>
                <w:b/>
                <w:bCs/>
              </w:rPr>
              <w:t>detailed accounting</w:t>
            </w:r>
          </w:p>
        </w:tc>
        <w:tc>
          <w:tcPr>
            <w:tcW w:w="0" w:type="auto"/>
            <w:hideMark/>
          </w:tcPr>
          <w:p w14:paraId="58F9D39D" w14:textId="77777777" w:rsidR="00240306" w:rsidRPr="008115C1" w:rsidRDefault="00240306" w:rsidP="008115C1">
            <w:pPr>
              <w:spacing w:after="240" w:line="360" w:lineRule="auto"/>
            </w:pPr>
            <w:r w:rsidRPr="008115C1">
              <w:t>Lower—reduces administrative costs</w:t>
            </w:r>
          </w:p>
        </w:tc>
      </w:tr>
      <w:tr w:rsidR="00240306" w:rsidRPr="008115C1" w14:paraId="52B1D079" w14:textId="77777777" w:rsidTr="004C37DB">
        <w:tc>
          <w:tcPr>
            <w:tcW w:w="0" w:type="auto"/>
            <w:hideMark/>
          </w:tcPr>
          <w:p w14:paraId="1826F76D" w14:textId="77777777" w:rsidR="00240306" w:rsidRPr="008115C1" w:rsidRDefault="00240306" w:rsidP="008115C1">
            <w:pPr>
              <w:spacing w:after="240" w:line="360" w:lineRule="auto"/>
            </w:pPr>
            <w:r w:rsidRPr="008115C1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29EED90F" w14:textId="77777777" w:rsidR="00240306" w:rsidRPr="008115C1" w:rsidRDefault="00240306" w:rsidP="008115C1">
            <w:pPr>
              <w:spacing w:after="240" w:line="360" w:lineRule="auto"/>
            </w:pPr>
            <w:r w:rsidRPr="008115C1">
              <w:t xml:space="preserve">Ensures </w:t>
            </w:r>
            <w:r w:rsidRPr="008115C1">
              <w:rPr>
                <w:b/>
                <w:bCs/>
              </w:rPr>
              <w:t>perfect proportionality</w:t>
            </w:r>
          </w:p>
        </w:tc>
        <w:tc>
          <w:tcPr>
            <w:tcW w:w="0" w:type="auto"/>
            <w:hideMark/>
          </w:tcPr>
          <w:p w14:paraId="4B09D15E" w14:textId="77777777" w:rsidR="00240306" w:rsidRPr="008115C1" w:rsidRDefault="00240306" w:rsidP="008115C1">
            <w:pPr>
              <w:spacing w:after="240" w:line="360" w:lineRule="auto"/>
            </w:pPr>
            <w:r w:rsidRPr="008115C1">
              <w:t xml:space="preserve">Achieves </w:t>
            </w:r>
            <w:r w:rsidRPr="008115C1">
              <w:rPr>
                <w:b/>
                <w:bCs/>
              </w:rPr>
              <w:t>substantial justice with minimal effort</w:t>
            </w:r>
          </w:p>
        </w:tc>
      </w:tr>
      <w:tr w:rsidR="00240306" w:rsidRPr="008115C1" w14:paraId="36A705B4" w14:textId="77777777" w:rsidTr="004C37DB">
        <w:tc>
          <w:tcPr>
            <w:tcW w:w="0" w:type="auto"/>
            <w:hideMark/>
          </w:tcPr>
          <w:p w14:paraId="0A979D2F" w14:textId="77777777" w:rsidR="00240306" w:rsidRPr="008115C1" w:rsidRDefault="00240306" w:rsidP="008115C1">
            <w:pPr>
              <w:spacing w:after="240" w:line="360" w:lineRule="auto"/>
            </w:pPr>
            <w:r w:rsidRPr="008115C1">
              <w:rPr>
                <w:b/>
                <w:bCs/>
              </w:rPr>
              <w:t>Judicial Support</w:t>
            </w:r>
          </w:p>
        </w:tc>
        <w:tc>
          <w:tcPr>
            <w:tcW w:w="0" w:type="auto"/>
            <w:hideMark/>
          </w:tcPr>
          <w:p w14:paraId="7575C4C6" w14:textId="77777777" w:rsidR="00240306" w:rsidRPr="008115C1" w:rsidRDefault="00240306" w:rsidP="008115C1">
            <w:pPr>
              <w:spacing w:after="240" w:line="360" w:lineRule="auto"/>
            </w:pPr>
            <w:r w:rsidRPr="008115C1">
              <w:t xml:space="preserve">Applied in </w:t>
            </w:r>
            <w:r w:rsidRPr="008115C1">
              <w:rPr>
                <w:b/>
                <w:bCs/>
              </w:rPr>
              <w:t>Re French Caledonia Travel Service</w:t>
            </w:r>
          </w:p>
        </w:tc>
        <w:tc>
          <w:tcPr>
            <w:tcW w:w="0" w:type="auto"/>
            <w:hideMark/>
          </w:tcPr>
          <w:p w14:paraId="420AE2AE" w14:textId="77777777" w:rsidR="00240306" w:rsidRPr="008115C1" w:rsidRDefault="00240306" w:rsidP="008115C1">
            <w:pPr>
              <w:spacing w:after="240" w:line="360" w:lineRule="auto"/>
            </w:pPr>
            <w:r w:rsidRPr="008115C1">
              <w:t xml:space="preserve">Adopted in </w:t>
            </w:r>
            <w:r w:rsidRPr="008115C1">
              <w:rPr>
                <w:b/>
                <w:bCs/>
              </w:rPr>
              <w:t>Caron v Jahani (No 2)</w:t>
            </w:r>
          </w:p>
        </w:tc>
      </w:tr>
    </w:tbl>
    <w:p w14:paraId="572CFC20" w14:textId="77777777" w:rsidR="00240306" w:rsidRPr="008115C1" w:rsidRDefault="00240306" w:rsidP="008115C1">
      <w:pPr>
        <w:spacing w:before="100" w:beforeAutospacing="1" w:after="240" w:line="360" w:lineRule="auto"/>
        <w:outlineLvl w:val="3"/>
        <w:rPr>
          <w:b/>
          <w:bCs/>
        </w:rPr>
      </w:pPr>
      <w:r w:rsidRPr="008115C1">
        <w:rPr>
          <w:b/>
          <w:bCs/>
        </w:rPr>
        <w:t>The Rolling Charge Approach</w:t>
      </w:r>
    </w:p>
    <w:p w14:paraId="73D13176" w14:textId="77777777" w:rsidR="00240306" w:rsidRPr="008115C1" w:rsidRDefault="00240306" w:rsidP="008115C1">
      <w:pPr>
        <w:numPr>
          <w:ilvl w:val="0"/>
          <w:numId w:val="39"/>
        </w:numPr>
        <w:spacing w:before="100" w:beforeAutospacing="1" w:after="240" w:line="360" w:lineRule="auto"/>
      </w:pPr>
      <w:r w:rsidRPr="008115C1">
        <w:rPr>
          <w:b/>
          <w:bCs/>
        </w:rPr>
        <w:t>Fully dynamic</w:t>
      </w:r>
      <w:r w:rsidRPr="008115C1">
        <w:t xml:space="preserve">, adjusting </w:t>
      </w:r>
      <w:r w:rsidRPr="008115C1">
        <w:rPr>
          <w:b/>
          <w:bCs/>
        </w:rPr>
        <w:t>proportions after each deposit and withdrawal</w:t>
      </w:r>
      <w:r w:rsidRPr="008115C1">
        <w:t>.</w:t>
      </w:r>
    </w:p>
    <w:p w14:paraId="3B6373E7" w14:textId="77777777" w:rsidR="00240306" w:rsidRPr="008115C1" w:rsidRDefault="00240306" w:rsidP="008115C1">
      <w:pPr>
        <w:numPr>
          <w:ilvl w:val="0"/>
          <w:numId w:val="39"/>
        </w:numPr>
        <w:spacing w:before="100" w:beforeAutospacing="1" w:after="240" w:line="360" w:lineRule="auto"/>
      </w:pPr>
      <w:r w:rsidRPr="008115C1">
        <w:t xml:space="preserve">Requires </w:t>
      </w:r>
      <w:r w:rsidRPr="008115C1">
        <w:rPr>
          <w:b/>
          <w:bCs/>
        </w:rPr>
        <w:t>detailed transaction records</w:t>
      </w:r>
      <w:r w:rsidRPr="008115C1">
        <w:t xml:space="preserve"> and </w:t>
      </w:r>
      <w:r w:rsidRPr="008115C1">
        <w:rPr>
          <w:b/>
          <w:bCs/>
        </w:rPr>
        <w:t>frequent recalculations</w:t>
      </w:r>
      <w:r w:rsidRPr="008115C1">
        <w:t>.</w:t>
      </w:r>
    </w:p>
    <w:p w14:paraId="71623E4E" w14:textId="77777777" w:rsidR="00240306" w:rsidRPr="008115C1" w:rsidRDefault="00240306" w:rsidP="008115C1">
      <w:pPr>
        <w:numPr>
          <w:ilvl w:val="0"/>
          <w:numId w:val="39"/>
        </w:numPr>
        <w:spacing w:before="100" w:beforeAutospacing="1" w:after="240" w:line="360" w:lineRule="auto"/>
      </w:pPr>
      <w:r w:rsidRPr="008115C1">
        <w:t xml:space="preserve">Courts </w:t>
      </w:r>
      <w:proofErr w:type="spellStart"/>
      <w:r w:rsidRPr="008115C1">
        <w:rPr>
          <w:b/>
          <w:bCs/>
        </w:rPr>
        <w:t>favor</w:t>
      </w:r>
      <w:proofErr w:type="spellEnd"/>
      <w:r w:rsidRPr="008115C1">
        <w:rPr>
          <w:b/>
          <w:bCs/>
        </w:rPr>
        <w:t xml:space="preserve"> it when precise tracing is possible</w:t>
      </w:r>
      <w:r w:rsidRPr="008115C1">
        <w:t xml:space="preserve">, ensuring that </w:t>
      </w:r>
      <w:r w:rsidRPr="008115C1">
        <w:rPr>
          <w:b/>
          <w:bCs/>
        </w:rPr>
        <w:t>each claimant bears losses proportionally to actual fund movements</w:t>
      </w:r>
      <w:r w:rsidRPr="008115C1">
        <w:t>.</w:t>
      </w:r>
    </w:p>
    <w:p w14:paraId="60FD2AEC" w14:textId="77777777" w:rsidR="00240306" w:rsidRPr="008115C1" w:rsidRDefault="00240306" w:rsidP="008115C1">
      <w:pPr>
        <w:spacing w:before="100" w:beforeAutospacing="1" w:after="240" w:line="360" w:lineRule="auto"/>
        <w:outlineLvl w:val="3"/>
        <w:rPr>
          <w:b/>
          <w:bCs/>
        </w:rPr>
      </w:pPr>
      <w:r w:rsidRPr="008115C1">
        <w:rPr>
          <w:b/>
          <w:bCs/>
        </w:rPr>
        <w:t>The Simplified Rolling Charge Approach</w:t>
      </w:r>
    </w:p>
    <w:p w14:paraId="6B6491D9" w14:textId="77777777" w:rsidR="00240306" w:rsidRPr="008115C1" w:rsidRDefault="00240306" w:rsidP="008115C1">
      <w:pPr>
        <w:numPr>
          <w:ilvl w:val="0"/>
          <w:numId w:val="40"/>
        </w:numPr>
        <w:spacing w:before="100" w:beforeAutospacing="1" w:after="240" w:line="360" w:lineRule="auto"/>
      </w:pPr>
      <w:r w:rsidRPr="008115C1">
        <w:t xml:space="preserve">Adjusts </w:t>
      </w:r>
      <w:r w:rsidRPr="008115C1">
        <w:rPr>
          <w:b/>
          <w:bCs/>
        </w:rPr>
        <w:t>proportions only when necessary</w:t>
      </w:r>
      <w:r w:rsidRPr="008115C1">
        <w:t>, rather than after every transaction.</w:t>
      </w:r>
    </w:p>
    <w:p w14:paraId="0C3C242D" w14:textId="77777777" w:rsidR="00240306" w:rsidRPr="008115C1" w:rsidRDefault="00240306" w:rsidP="008115C1">
      <w:pPr>
        <w:numPr>
          <w:ilvl w:val="0"/>
          <w:numId w:val="40"/>
        </w:numPr>
        <w:spacing w:before="100" w:beforeAutospacing="1" w:after="240" w:line="360" w:lineRule="auto"/>
      </w:pPr>
      <w:r w:rsidRPr="008115C1">
        <w:lastRenderedPageBreak/>
        <w:t xml:space="preserve">Maintains </w:t>
      </w:r>
      <w:r w:rsidRPr="008115C1">
        <w:rPr>
          <w:b/>
          <w:bCs/>
        </w:rPr>
        <w:t>equitable fairness while reducing computational complexity</w:t>
      </w:r>
      <w:r w:rsidRPr="008115C1">
        <w:t>.</w:t>
      </w:r>
    </w:p>
    <w:p w14:paraId="32DCF52B" w14:textId="61F6FCF2" w:rsidR="00240306" w:rsidRPr="008115C1" w:rsidRDefault="00240306" w:rsidP="008115C1">
      <w:pPr>
        <w:numPr>
          <w:ilvl w:val="0"/>
          <w:numId w:val="40"/>
        </w:numPr>
        <w:spacing w:before="100" w:beforeAutospacing="1" w:after="240" w:line="360" w:lineRule="auto"/>
      </w:pPr>
      <w:r w:rsidRPr="008115C1">
        <w:t xml:space="preserve">Courts </w:t>
      </w:r>
      <w:proofErr w:type="spellStart"/>
      <w:r w:rsidRPr="008115C1">
        <w:rPr>
          <w:b/>
          <w:bCs/>
        </w:rPr>
        <w:t>favor</w:t>
      </w:r>
      <w:proofErr w:type="spellEnd"/>
      <w:r w:rsidRPr="008115C1">
        <w:rPr>
          <w:b/>
          <w:bCs/>
        </w:rPr>
        <w:t xml:space="preserve"> it when full rolling charge is impractical</w:t>
      </w:r>
      <w:r w:rsidRPr="008115C1">
        <w:t xml:space="preserve">, particularly in </w:t>
      </w:r>
      <w:r w:rsidRPr="008115C1">
        <w:rPr>
          <w:b/>
          <w:bCs/>
        </w:rPr>
        <w:t>large-scale insolvencies or fraud cases</w:t>
      </w:r>
      <w:r w:rsidRPr="008115C1">
        <w:t>.</w:t>
      </w:r>
    </w:p>
    <w:p w14:paraId="61B64843" w14:textId="77777777" w:rsidR="00240306" w:rsidRPr="008115C1" w:rsidRDefault="00240306" w:rsidP="008115C1">
      <w:pPr>
        <w:spacing w:before="100" w:beforeAutospacing="1" w:after="240" w:line="360" w:lineRule="auto"/>
        <w:outlineLvl w:val="2"/>
        <w:rPr>
          <w:b/>
          <w:bCs/>
        </w:rPr>
      </w:pPr>
      <w:r w:rsidRPr="008115C1">
        <w:rPr>
          <w:b/>
          <w:bCs/>
        </w:rPr>
        <w:t>Conclusion</w:t>
      </w:r>
    </w:p>
    <w:p w14:paraId="28FF23C8" w14:textId="77777777" w:rsidR="00240306" w:rsidRPr="008115C1" w:rsidRDefault="00240306" w:rsidP="008115C1">
      <w:pPr>
        <w:numPr>
          <w:ilvl w:val="0"/>
          <w:numId w:val="41"/>
        </w:numPr>
        <w:spacing w:before="100" w:beforeAutospacing="1" w:after="240" w:line="360" w:lineRule="auto"/>
      </w:pPr>
      <w:r w:rsidRPr="008115C1">
        <w:t xml:space="preserve">The </w:t>
      </w:r>
      <w:r w:rsidRPr="008115C1">
        <w:rPr>
          <w:b/>
          <w:bCs/>
        </w:rPr>
        <w:t>rolling charge approach ensures proportional fairness</w:t>
      </w:r>
      <w:r w:rsidRPr="008115C1">
        <w:t xml:space="preserve">, but its </w:t>
      </w:r>
      <w:r w:rsidRPr="008115C1">
        <w:rPr>
          <w:b/>
          <w:bCs/>
        </w:rPr>
        <w:t>complexity limits its widespread adoption</w:t>
      </w:r>
      <w:r w:rsidRPr="008115C1">
        <w:t>.</w:t>
      </w:r>
    </w:p>
    <w:p w14:paraId="5F0C89A5" w14:textId="77777777" w:rsidR="00240306" w:rsidRPr="008115C1" w:rsidRDefault="00240306" w:rsidP="008115C1">
      <w:pPr>
        <w:numPr>
          <w:ilvl w:val="0"/>
          <w:numId w:val="41"/>
        </w:numPr>
        <w:spacing w:before="100" w:beforeAutospacing="1" w:after="240" w:line="360" w:lineRule="auto"/>
      </w:pPr>
      <w:r w:rsidRPr="008115C1">
        <w:t xml:space="preserve">The </w:t>
      </w:r>
      <w:r w:rsidRPr="008115C1">
        <w:rPr>
          <w:b/>
          <w:bCs/>
        </w:rPr>
        <w:t>simplified rolling charge approach balances fairness with practicality</w:t>
      </w:r>
      <w:r w:rsidRPr="008115C1">
        <w:t xml:space="preserve">, making it </w:t>
      </w:r>
      <w:r w:rsidRPr="008115C1">
        <w:rPr>
          <w:b/>
          <w:bCs/>
        </w:rPr>
        <w:t>more suitable for large-scale misappropriation cases</w:t>
      </w:r>
      <w:r w:rsidRPr="008115C1">
        <w:t>.</w:t>
      </w:r>
    </w:p>
    <w:p w14:paraId="7F095E8C" w14:textId="77777777" w:rsidR="00240306" w:rsidRPr="008115C1" w:rsidRDefault="00240306" w:rsidP="008115C1">
      <w:pPr>
        <w:numPr>
          <w:ilvl w:val="0"/>
          <w:numId w:val="41"/>
        </w:numPr>
        <w:spacing w:before="100" w:beforeAutospacing="1" w:after="240" w:line="360" w:lineRule="auto"/>
      </w:pPr>
      <w:r w:rsidRPr="008115C1">
        <w:t xml:space="preserve">The ruling in </w:t>
      </w:r>
      <w:r w:rsidRPr="008115C1">
        <w:rPr>
          <w:b/>
          <w:bCs/>
        </w:rPr>
        <w:t>Caron v Jahani (No 2) [2020] NSWCA 117</w:t>
      </w:r>
      <w:r w:rsidRPr="008115C1">
        <w:t xml:space="preserve"> signals a </w:t>
      </w:r>
      <w:r w:rsidRPr="008115C1">
        <w:rPr>
          <w:b/>
          <w:bCs/>
        </w:rPr>
        <w:t>judicial shift towards adopting the simplified rolling charge approach</w:t>
      </w:r>
      <w:r w:rsidRPr="008115C1">
        <w:t xml:space="preserve"> to </w:t>
      </w:r>
      <w:r w:rsidRPr="008115C1">
        <w:rPr>
          <w:b/>
          <w:bCs/>
        </w:rPr>
        <w:t>preserve equity while minimizing administrative burdens</w:t>
      </w:r>
      <w:r w:rsidRPr="008115C1">
        <w:t>.</w:t>
      </w:r>
    </w:p>
    <w:p w14:paraId="22E63D81" w14:textId="77777777" w:rsidR="00240306" w:rsidRPr="008115C1" w:rsidRDefault="00240306" w:rsidP="008115C1">
      <w:pPr>
        <w:spacing w:before="100" w:beforeAutospacing="1" w:after="240" w:line="360" w:lineRule="auto"/>
      </w:pPr>
    </w:p>
    <w:p w14:paraId="61EB2D98" w14:textId="77777777" w:rsidR="002A4EA8" w:rsidRPr="008115C1" w:rsidRDefault="002A4EA8" w:rsidP="008115C1">
      <w:pPr>
        <w:spacing w:before="100" w:beforeAutospacing="1" w:after="240" w:line="360" w:lineRule="auto"/>
      </w:pPr>
    </w:p>
    <w:p w14:paraId="5AF8DE3F" w14:textId="77777777" w:rsidR="002A4EA8" w:rsidRPr="008115C1" w:rsidRDefault="002A4EA8" w:rsidP="008115C1">
      <w:pPr>
        <w:spacing w:before="100" w:beforeAutospacing="1" w:after="240" w:line="360" w:lineRule="auto"/>
      </w:pPr>
    </w:p>
    <w:p w14:paraId="0CA0E036" w14:textId="77777777" w:rsidR="002A4EA8" w:rsidRPr="008115C1" w:rsidRDefault="002A4EA8" w:rsidP="008115C1">
      <w:pPr>
        <w:spacing w:before="100" w:beforeAutospacing="1" w:after="240" w:line="360" w:lineRule="auto"/>
      </w:pPr>
    </w:p>
    <w:p w14:paraId="582DC0DB" w14:textId="77777777" w:rsidR="002A4EA8" w:rsidRPr="008115C1" w:rsidRDefault="002A4EA8" w:rsidP="008115C1">
      <w:pPr>
        <w:spacing w:before="100" w:beforeAutospacing="1" w:after="240" w:line="360" w:lineRule="auto"/>
      </w:pPr>
    </w:p>
    <w:p w14:paraId="042B8075" w14:textId="77777777" w:rsidR="002A4EA8" w:rsidRPr="008115C1" w:rsidRDefault="002A4EA8" w:rsidP="008115C1">
      <w:pPr>
        <w:spacing w:before="100" w:beforeAutospacing="1" w:after="240" w:line="360" w:lineRule="auto"/>
      </w:pPr>
    </w:p>
    <w:p w14:paraId="5324BA0C" w14:textId="77777777" w:rsidR="002A4EA8" w:rsidRPr="008115C1" w:rsidRDefault="002A4EA8" w:rsidP="008115C1">
      <w:pPr>
        <w:spacing w:before="100" w:beforeAutospacing="1" w:after="240" w:line="360" w:lineRule="auto"/>
      </w:pPr>
    </w:p>
    <w:p w14:paraId="4988B34D" w14:textId="77777777" w:rsidR="002A4EA8" w:rsidRPr="008115C1" w:rsidRDefault="002A4EA8" w:rsidP="008115C1">
      <w:pPr>
        <w:spacing w:before="100" w:beforeAutospacing="1" w:after="240" w:line="360" w:lineRule="auto"/>
      </w:pPr>
    </w:p>
    <w:p w14:paraId="452A56C6" w14:textId="77777777" w:rsidR="002A4EA8" w:rsidRPr="008115C1" w:rsidRDefault="002A4EA8" w:rsidP="008115C1">
      <w:pPr>
        <w:spacing w:before="100" w:beforeAutospacing="1" w:after="240" w:line="360" w:lineRule="auto"/>
      </w:pPr>
    </w:p>
    <w:p w14:paraId="006FCCC3" w14:textId="77777777" w:rsidR="002A4EA8" w:rsidRPr="008115C1" w:rsidRDefault="002A4EA8" w:rsidP="008115C1">
      <w:pPr>
        <w:spacing w:before="100" w:beforeAutospacing="1" w:after="240" w:line="360" w:lineRule="auto"/>
      </w:pPr>
    </w:p>
    <w:p w14:paraId="49B30699" w14:textId="77777777" w:rsidR="002A4EA8" w:rsidRPr="008115C1" w:rsidRDefault="002A4EA8" w:rsidP="008115C1">
      <w:pPr>
        <w:spacing w:before="100" w:beforeAutospacing="1" w:after="240" w:line="360" w:lineRule="auto"/>
      </w:pPr>
    </w:p>
    <w:p w14:paraId="42F69AD1" w14:textId="099E2B68" w:rsidR="008115C1" w:rsidRPr="008115C1" w:rsidRDefault="002A4EA8" w:rsidP="008115C1">
      <w:pPr>
        <w:spacing w:before="100" w:beforeAutospacing="1" w:after="240" w:line="360" w:lineRule="auto"/>
        <w:rPr>
          <w:b/>
          <w:bCs/>
          <w:color w:val="2F5496" w:themeColor="accent1" w:themeShade="BF"/>
        </w:rPr>
      </w:pPr>
      <w:r w:rsidRPr="008115C1">
        <w:rPr>
          <w:b/>
          <w:bCs/>
          <w:color w:val="2F5496" w:themeColor="accent1" w:themeShade="BF"/>
        </w:rPr>
        <w:lastRenderedPageBreak/>
        <w:t>3. Alastair Hudson, Great debates in equity and trusts Ch11</w:t>
      </w:r>
    </w:p>
    <w:p w14:paraId="3E10BE32" w14:textId="77777777" w:rsidR="008115C1" w:rsidRPr="008115C1" w:rsidRDefault="008115C1" w:rsidP="008115C1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8115C1">
        <w:rPr>
          <w:b/>
          <w:bCs/>
        </w:rPr>
        <w:t>1. Common Law Tracing – FIFO (Clayton’s Case)</w:t>
      </w:r>
    </w:p>
    <w:p w14:paraId="235D54CA" w14:textId="77777777" w:rsidR="008115C1" w:rsidRPr="008115C1" w:rsidRDefault="008115C1" w:rsidP="008115C1">
      <w:pPr>
        <w:numPr>
          <w:ilvl w:val="0"/>
          <w:numId w:val="59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At common law, tracing is strictly proprietary</w:t>
      </w:r>
      <w:r w:rsidRPr="008115C1">
        <w:t>—a claimant must show that their exact property (or its direct substitute) remains identifiable.</w:t>
      </w:r>
    </w:p>
    <w:p w14:paraId="4E8A8DF1" w14:textId="77777777" w:rsidR="008115C1" w:rsidRPr="008115C1" w:rsidRDefault="008115C1" w:rsidP="008115C1">
      <w:pPr>
        <w:numPr>
          <w:ilvl w:val="0"/>
          <w:numId w:val="59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FIFO (First-In, First-Out) was the default rule</w:t>
      </w:r>
      <w:r w:rsidRPr="008115C1">
        <w:t xml:space="preserve">, as established in </w:t>
      </w:r>
      <w:r w:rsidRPr="008115C1">
        <w:rPr>
          <w:b/>
          <w:bCs/>
        </w:rPr>
        <w:t>Clayton’s Case (1816) 1 Mer 572</w:t>
      </w:r>
      <w:r w:rsidRPr="008115C1">
        <w:t xml:space="preserve">, which held that money is presumed to be withdrawn from a mixed account </w:t>
      </w:r>
      <w:r w:rsidRPr="008115C1">
        <w:rPr>
          <w:b/>
          <w:bCs/>
        </w:rPr>
        <w:t>in the order it was deposited</w:t>
      </w:r>
      <w:r w:rsidRPr="008115C1">
        <w:t>.</w:t>
      </w:r>
    </w:p>
    <w:p w14:paraId="3474381C" w14:textId="77777777" w:rsidR="008115C1" w:rsidRPr="008115C1" w:rsidRDefault="008115C1" w:rsidP="008115C1">
      <w:pPr>
        <w:numPr>
          <w:ilvl w:val="0"/>
          <w:numId w:val="59"/>
        </w:numPr>
        <w:spacing w:before="100" w:beforeAutospacing="1" w:after="100" w:afterAutospacing="1" w:line="360" w:lineRule="auto"/>
      </w:pPr>
      <w:r w:rsidRPr="008115C1">
        <w:t xml:space="preserve">This approach </w:t>
      </w:r>
      <w:r w:rsidRPr="008115C1">
        <w:rPr>
          <w:b/>
          <w:bCs/>
        </w:rPr>
        <w:t>worked well in simple banking transactions</w:t>
      </w:r>
      <w:r w:rsidRPr="008115C1">
        <w:t xml:space="preserve"> but has been widely criticized in cases of </w:t>
      </w:r>
      <w:r w:rsidRPr="008115C1">
        <w:rPr>
          <w:b/>
          <w:bCs/>
        </w:rPr>
        <w:t>fraud, investment schemes, and complex banking practices</w:t>
      </w:r>
      <w:r w:rsidRPr="008115C1">
        <w:t>.</w:t>
      </w:r>
    </w:p>
    <w:p w14:paraId="39B8FA21" w14:textId="35E16355" w:rsidR="008115C1" w:rsidRPr="008115C1" w:rsidRDefault="008115C1" w:rsidP="008115C1">
      <w:pPr>
        <w:numPr>
          <w:ilvl w:val="0"/>
          <w:numId w:val="59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Modern courts have moved away from strict FIFO application</w:t>
      </w:r>
      <w:r w:rsidRPr="008115C1">
        <w:t>, particularly in cases where it would produce unjust outcomes (</w:t>
      </w:r>
      <w:r w:rsidRPr="008115C1">
        <w:rPr>
          <w:b/>
          <w:bCs/>
        </w:rPr>
        <w:t>Barlow Clowes v Vaughan [1992] 4 All ER 22</w:t>
      </w:r>
      <w:r w:rsidRPr="008115C1">
        <w:t xml:space="preserve"> rejected FIFO in </w:t>
      </w:r>
      <w:proofErr w:type="spellStart"/>
      <w:r w:rsidRPr="008115C1">
        <w:t>favor</w:t>
      </w:r>
      <w:proofErr w:type="spellEnd"/>
      <w:r w:rsidRPr="008115C1">
        <w:t xml:space="preserve"> of fairness).</w:t>
      </w:r>
    </w:p>
    <w:p w14:paraId="08609271" w14:textId="77777777" w:rsidR="008115C1" w:rsidRPr="008115C1" w:rsidRDefault="008115C1" w:rsidP="008115C1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8115C1">
        <w:rPr>
          <w:b/>
          <w:bCs/>
        </w:rPr>
        <w:t>2. Equitable Tracing – Proportional Distribution</w:t>
      </w:r>
    </w:p>
    <w:p w14:paraId="7BDEB357" w14:textId="77777777" w:rsidR="008115C1" w:rsidRPr="008115C1" w:rsidRDefault="008115C1" w:rsidP="008115C1">
      <w:pPr>
        <w:numPr>
          <w:ilvl w:val="0"/>
          <w:numId w:val="60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Equitable tracing applies where there is a fiduciary or trust relationship</w:t>
      </w:r>
      <w:r w:rsidRPr="008115C1">
        <w:t xml:space="preserve">—this allows for greater </w:t>
      </w:r>
      <w:r w:rsidRPr="008115C1">
        <w:rPr>
          <w:b/>
          <w:bCs/>
        </w:rPr>
        <w:t>flexibility in following property</w:t>
      </w:r>
      <w:r w:rsidRPr="008115C1">
        <w:t xml:space="preserve"> even when it has changed form or been mixed.</w:t>
      </w:r>
    </w:p>
    <w:p w14:paraId="29931CF3" w14:textId="77777777" w:rsidR="008115C1" w:rsidRPr="008115C1" w:rsidRDefault="008115C1" w:rsidP="008115C1">
      <w:pPr>
        <w:numPr>
          <w:ilvl w:val="0"/>
          <w:numId w:val="60"/>
        </w:numPr>
        <w:spacing w:before="100" w:beforeAutospacing="1" w:after="100" w:afterAutospacing="1" w:line="360" w:lineRule="auto"/>
      </w:pPr>
      <w:r w:rsidRPr="008115C1">
        <w:t xml:space="preserve">Equity </w:t>
      </w:r>
      <w:r w:rsidRPr="008115C1">
        <w:rPr>
          <w:b/>
          <w:bCs/>
        </w:rPr>
        <w:t>does not strictly apply FIFO</w:t>
      </w:r>
      <w:r w:rsidRPr="008115C1">
        <w:t xml:space="preserve"> because its focus is on </w:t>
      </w:r>
      <w:r w:rsidRPr="008115C1">
        <w:rPr>
          <w:b/>
          <w:bCs/>
        </w:rPr>
        <w:t>fair allocation rather than mechanical sequencing</w:t>
      </w:r>
      <w:r w:rsidRPr="008115C1">
        <w:t>.</w:t>
      </w:r>
    </w:p>
    <w:p w14:paraId="0BCA5200" w14:textId="77777777" w:rsidR="008115C1" w:rsidRPr="008115C1" w:rsidRDefault="008115C1" w:rsidP="008115C1">
      <w:pPr>
        <w:numPr>
          <w:ilvl w:val="0"/>
          <w:numId w:val="60"/>
        </w:numPr>
        <w:spacing w:before="100" w:beforeAutospacing="1" w:after="100" w:afterAutospacing="1" w:line="360" w:lineRule="auto"/>
      </w:pPr>
      <w:r w:rsidRPr="008115C1">
        <w:t xml:space="preserve">The </w:t>
      </w:r>
      <w:r w:rsidRPr="008115C1">
        <w:rPr>
          <w:b/>
          <w:bCs/>
        </w:rPr>
        <w:t>proportional method</w:t>
      </w:r>
      <w:r w:rsidRPr="008115C1">
        <w:t xml:space="preserve"> was developed in </w:t>
      </w:r>
      <w:r w:rsidRPr="008115C1">
        <w:rPr>
          <w:b/>
          <w:bCs/>
        </w:rPr>
        <w:t>Re Ontario Securities (1988) 52 DLR (4th) 767</w:t>
      </w:r>
      <w:r w:rsidRPr="008115C1">
        <w:t xml:space="preserve"> and was later affirmed in English courts (</w:t>
      </w:r>
      <w:r w:rsidRPr="008115C1">
        <w:rPr>
          <w:b/>
          <w:bCs/>
        </w:rPr>
        <w:t>Barlow Clowes v Vaughan [1992]</w:t>
      </w:r>
      <w:r w:rsidRPr="008115C1">
        <w:t>), where it was held that FIFO should not be applied if it produces unfair results.</w:t>
      </w:r>
    </w:p>
    <w:p w14:paraId="1E5C7262" w14:textId="06D5ABD9" w:rsidR="008115C1" w:rsidRPr="008115C1" w:rsidRDefault="008115C1" w:rsidP="008115C1">
      <w:pPr>
        <w:numPr>
          <w:ilvl w:val="0"/>
          <w:numId w:val="60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Proportional tracing distributes assets among multiple claimants according to their contributions</w:t>
      </w:r>
      <w:r w:rsidRPr="008115C1">
        <w:t xml:space="preserve">, making it </w:t>
      </w:r>
      <w:r w:rsidRPr="008115C1">
        <w:rPr>
          <w:b/>
          <w:bCs/>
        </w:rPr>
        <w:t>fairer in cases involving multiple victims of fraud or mismanaged trust funds</w:t>
      </w:r>
      <w:r w:rsidRPr="008115C1">
        <w:t>.</w:t>
      </w:r>
    </w:p>
    <w:p w14:paraId="5B9CEABF" w14:textId="77777777" w:rsidR="008115C1" w:rsidRPr="008115C1" w:rsidRDefault="008115C1" w:rsidP="008115C1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8115C1">
        <w:rPr>
          <w:b/>
          <w:bCs/>
        </w:rPr>
        <w:t>3. Has the Distinction Between FIFO (Common Law) and Proportionality (Equity) Been Completely Rejected?</w:t>
      </w:r>
    </w:p>
    <w:p w14:paraId="2DE696BA" w14:textId="77777777" w:rsidR="008115C1" w:rsidRPr="008115C1" w:rsidRDefault="008115C1" w:rsidP="008115C1">
      <w:pPr>
        <w:numPr>
          <w:ilvl w:val="0"/>
          <w:numId w:val="61"/>
        </w:numPr>
        <w:spacing w:before="100" w:beforeAutospacing="1" w:after="100" w:afterAutospacing="1" w:line="360" w:lineRule="auto"/>
      </w:pPr>
      <w:r w:rsidRPr="008115C1">
        <w:t xml:space="preserve">While </w:t>
      </w:r>
      <w:r w:rsidRPr="008115C1">
        <w:rPr>
          <w:b/>
          <w:bCs/>
        </w:rPr>
        <w:t>Clayton’s Case (FIFO) still technically applies in common law tracing</w:t>
      </w:r>
      <w:r w:rsidRPr="008115C1">
        <w:t xml:space="preserve">, modern courts often </w:t>
      </w:r>
      <w:r w:rsidRPr="008115C1">
        <w:rPr>
          <w:b/>
          <w:bCs/>
        </w:rPr>
        <w:t>refuse to enforce it</w:t>
      </w:r>
      <w:r w:rsidRPr="008115C1">
        <w:t xml:space="preserve"> where it would lead to unjust results (</w:t>
      </w:r>
      <w:r w:rsidRPr="008115C1">
        <w:rPr>
          <w:b/>
          <w:bCs/>
        </w:rPr>
        <w:t>Russell-Cooke Trust v Prentis [2002] EWHC 2227</w:t>
      </w:r>
      <w:r w:rsidRPr="008115C1">
        <w:t>).</w:t>
      </w:r>
    </w:p>
    <w:p w14:paraId="02312249" w14:textId="77777777" w:rsidR="008115C1" w:rsidRPr="008115C1" w:rsidRDefault="008115C1" w:rsidP="008115C1">
      <w:pPr>
        <w:numPr>
          <w:ilvl w:val="0"/>
          <w:numId w:val="61"/>
        </w:numPr>
        <w:spacing w:before="100" w:beforeAutospacing="1" w:after="100" w:afterAutospacing="1" w:line="360" w:lineRule="auto"/>
      </w:pPr>
      <w:r w:rsidRPr="008115C1">
        <w:rPr>
          <w:b/>
          <w:bCs/>
        </w:rPr>
        <w:lastRenderedPageBreak/>
        <w:t>Equitable tracing is now the preferred approach in most complex cases</w:t>
      </w:r>
      <w:r w:rsidRPr="008115C1">
        <w:t>, especially when multiple innocent parties claim rights to a mixed fund.</w:t>
      </w:r>
    </w:p>
    <w:p w14:paraId="31FCED4A" w14:textId="77777777" w:rsidR="008115C1" w:rsidRPr="008115C1" w:rsidRDefault="008115C1" w:rsidP="008115C1">
      <w:pPr>
        <w:numPr>
          <w:ilvl w:val="0"/>
          <w:numId w:val="61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There is no fixed rule</w:t>
      </w:r>
      <w:r w:rsidRPr="008115C1">
        <w:t xml:space="preserve">—courts decide which method to apply based on </w:t>
      </w:r>
      <w:r w:rsidRPr="008115C1">
        <w:rPr>
          <w:b/>
          <w:bCs/>
        </w:rPr>
        <w:t>the specific facts of the case</w:t>
      </w:r>
      <w:r w:rsidRPr="008115C1">
        <w:t>.</w:t>
      </w:r>
    </w:p>
    <w:p w14:paraId="0E3EE7DE" w14:textId="25C3F950" w:rsidR="008115C1" w:rsidRPr="008115C1" w:rsidRDefault="00E31F1B" w:rsidP="008115C1">
      <w:pPr>
        <w:spacing w:before="100" w:beforeAutospacing="1" w:after="240" w:line="360" w:lineRule="auto"/>
        <w:rPr>
          <w:b/>
          <w:bCs/>
        </w:rPr>
      </w:pPr>
      <w:r w:rsidRPr="00E31F1B">
        <w:rPr>
          <w:noProof/>
          <w14:ligatures w14:val="standardContextual"/>
        </w:rPr>
        <w:pict w14:anchorId="6A40387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E888A53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2"/>
        <w:rPr>
          <w:b/>
          <w:bCs/>
          <w:color w:val="2F5496" w:themeColor="accent1" w:themeShade="BF"/>
        </w:rPr>
      </w:pPr>
      <w:r w:rsidRPr="008115C1">
        <w:rPr>
          <w:b/>
          <w:bCs/>
          <w:color w:val="2F5496" w:themeColor="accent1" w:themeShade="BF"/>
        </w:rPr>
        <w:t>Four major debates</w:t>
      </w:r>
    </w:p>
    <w:p w14:paraId="672F7BA6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8115C1">
        <w:rPr>
          <w:b/>
          <w:bCs/>
        </w:rPr>
        <w:t>I. The Debate on the Methodology of Equitable Tracing</w:t>
      </w:r>
    </w:p>
    <w:p w14:paraId="23A785EB" w14:textId="77777777" w:rsidR="002A4EA8" w:rsidRPr="008115C1" w:rsidRDefault="002A4EA8" w:rsidP="008115C1">
      <w:pPr>
        <w:spacing w:before="100" w:beforeAutospacing="1" w:after="100" w:afterAutospacing="1" w:line="360" w:lineRule="auto"/>
      </w:pPr>
      <w:r w:rsidRPr="008115C1">
        <w:t xml:space="preserve">A fundamental debate in tracing concerns </w:t>
      </w:r>
      <w:r w:rsidRPr="008115C1">
        <w:rPr>
          <w:b/>
          <w:bCs/>
        </w:rPr>
        <w:t>the appropriate methodology</w:t>
      </w:r>
      <w:r w:rsidRPr="008115C1">
        <w:t xml:space="preserve"> for equitable tracing, particularly in cases involving </w:t>
      </w:r>
      <w:r w:rsidRPr="008115C1">
        <w:rPr>
          <w:b/>
          <w:bCs/>
        </w:rPr>
        <w:t>mixed funds</w:t>
      </w:r>
      <w:r w:rsidRPr="008115C1">
        <w:t>.</w:t>
      </w:r>
    </w:p>
    <w:p w14:paraId="6CC95073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8115C1">
        <w:rPr>
          <w:b/>
          <w:bCs/>
        </w:rPr>
        <w:t>1. The "First-In, First-Out" (FIFO) Approach – Clayton’s Case (1816)</w:t>
      </w:r>
    </w:p>
    <w:p w14:paraId="32ADDCD8" w14:textId="77777777" w:rsidR="000034B1" w:rsidRPr="008115C1" w:rsidRDefault="000034B1" w:rsidP="008115C1">
      <w:pPr>
        <w:numPr>
          <w:ilvl w:val="0"/>
          <w:numId w:val="58"/>
        </w:numPr>
        <w:spacing w:before="100" w:beforeAutospacing="1" w:after="100" w:afterAutospacing="1" w:line="360" w:lineRule="auto"/>
      </w:pPr>
      <w:r w:rsidRPr="008115C1">
        <w:t xml:space="preserve">The </w:t>
      </w:r>
      <w:r w:rsidRPr="008115C1">
        <w:rPr>
          <w:rStyle w:val="Strong"/>
          <w:rFonts w:eastAsiaTheme="majorEastAsia"/>
        </w:rPr>
        <w:t>‘first in, first out’ (FIFO) rule</w:t>
      </w:r>
      <w:r w:rsidRPr="008115C1">
        <w:t xml:space="preserve"> was established in </w:t>
      </w:r>
      <w:r w:rsidRPr="008115C1">
        <w:rPr>
          <w:rStyle w:val="Strong"/>
          <w:rFonts w:eastAsiaTheme="majorEastAsia"/>
        </w:rPr>
        <w:t>Clayton’s Case (1816) 1 Mer 572</w:t>
      </w:r>
      <w:r w:rsidRPr="008115C1">
        <w:t>.</w:t>
      </w:r>
    </w:p>
    <w:p w14:paraId="52FE115A" w14:textId="77777777" w:rsidR="000034B1" w:rsidRPr="008115C1" w:rsidRDefault="000034B1" w:rsidP="008115C1">
      <w:pPr>
        <w:numPr>
          <w:ilvl w:val="0"/>
          <w:numId w:val="58"/>
        </w:numPr>
        <w:spacing w:before="100" w:beforeAutospacing="1" w:after="100" w:afterAutospacing="1" w:line="360" w:lineRule="auto"/>
      </w:pPr>
      <w:r w:rsidRPr="008115C1">
        <w:t xml:space="preserve">Under this approach, </w:t>
      </w:r>
      <w:r w:rsidRPr="008115C1">
        <w:rPr>
          <w:rStyle w:val="Strong"/>
          <w:rFonts w:eastAsiaTheme="majorEastAsia"/>
        </w:rPr>
        <w:t>money in a mixed bank account is presumed to be spent in the order in which it was deposited</w:t>
      </w:r>
      <w:r w:rsidRPr="008115C1">
        <w:t>.</w:t>
      </w:r>
    </w:p>
    <w:p w14:paraId="77EC7D16" w14:textId="77777777" w:rsidR="000034B1" w:rsidRPr="008115C1" w:rsidRDefault="000034B1" w:rsidP="008115C1">
      <w:pPr>
        <w:numPr>
          <w:ilvl w:val="0"/>
          <w:numId w:val="58"/>
        </w:numPr>
        <w:spacing w:before="100" w:beforeAutospacing="1" w:after="100" w:afterAutospacing="1" w:line="360" w:lineRule="auto"/>
      </w:pPr>
      <w:r w:rsidRPr="008115C1">
        <w:t xml:space="preserve">The rule has been </w:t>
      </w:r>
      <w:r w:rsidRPr="008115C1">
        <w:rPr>
          <w:rStyle w:val="Strong"/>
          <w:rFonts w:eastAsiaTheme="majorEastAsia"/>
        </w:rPr>
        <w:t>widely criticized</w:t>
      </w:r>
      <w:r w:rsidRPr="008115C1">
        <w:t xml:space="preserve"> as outdated, </w:t>
      </w:r>
      <w:r w:rsidRPr="008115C1">
        <w:rPr>
          <w:rStyle w:val="Strong"/>
          <w:rFonts w:eastAsiaTheme="majorEastAsia"/>
        </w:rPr>
        <w:t>leading to arbitrary and unfair outcomes</w:t>
      </w:r>
      <w:r w:rsidRPr="008115C1">
        <w:t>, particularly in modern banking and fraud cases​.</w:t>
      </w:r>
    </w:p>
    <w:p w14:paraId="4BF93688" w14:textId="367321D4" w:rsidR="000034B1" w:rsidRPr="008115C1" w:rsidRDefault="000034B1" w:rsidP="008115C1">
      <w:pPr>
        <w:numPr>
          <w:ilvl w:val="0"/>
          <w:numId w:val="58"/>
        </w:numPr>
        <w:spacing w:before="100" w:beforeAutospacing="1" w:after="100" w:afterAutospacing="1" w:line="360" w:lineRule="auto"/>
      </w:pPr>
      <w:r w:rsidRPr="008115C1">
        <w:t xml:space="preserve">Hudson notes that the FIFO method was designed for </w:t>
      </w:r>
      <w:r w:rsidRPr="008115C1">
        <w:rPr>
          <w:rStyle w:val="Strong"/>
          <w:rFonts w:eastAsiaTheme="majorEastAsia"/>
        </w:rPr>
        <w:t>physical assets</w:t>
      </w:r>
      <w:r w:rsidRPr="008115C1">
        <w:t xml:space="preserve"> (e.g., fruit storage warehouses), making it </w:t>
      </w:r>
      <w:r w:rsidRPr="008115C1">
        <w:rPr>
          <w:rStyle w:val="Strong"/>
          <w:rFonts w:eastAsiaTheme="majorEastAsia"/>
        </w:rPr>
        <w:t>ill-suited to modern financial transactions</w:t>
      </w:r>
      <w:r w:rsidRPr="008115C1">
        <w:t>.</w:t>
      </w:r>
    </w:p>
    <w:p w14:paraId="3460553A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8115C1">
        <w:rPr>
          <w:b/>
          <w:bCs/>
        </w:rPr>
        <w:t>2. The Proportional Share Approach – Re Ontario Securities (1988)</w:t>
      </w:r>
    </w:p>
    <w:p w14:paraId="6EB260AB" w14:textId="77777777" w:rsidR="002A4EA8" w:rsidRPr="008115C1" w:rsidRDefault="002A4EA8" w:rsidP="008115C1">
      <w:pPr>
        <w:numPr>
          <w:ilvl w:val="0"/>
          <w:numId w:val="43"/>
        </w:numPr>
        <w:spacing w:before="100" w:beforeAutospacing="1" w:after="100" w:afterAutospacing="1" w:line="360" w:lineRule="auto"/>
      </w:pPr>
      <w:r w:rsidRPr="008115C1">
        <w:t xml:space="preserve">In response to the </w:t>
      </w:r>
      <w:r w:rsidRPr="008115C1">
        <w:rPr>
          <w:b/>
          <w:bCs/>
        </w:rPr>
        <w:t>unfairness</w:t>
      </w:r>
      <w:r w:rsidRPr="008115C1">
        <w:t xml:space="preserve"> of FIFO, courts in Canada and some English decisions have preferred the </w:t>
      </w:r>
      <w:r w:rsidRPr="008115C1">
        <w:rPr>
          <w:b/>
          <w:bCs/>
        </w:rPr>
        <w:t>proportional share approach</w:t>
      </w:r>
      <w:r w:rsidRPr="008115C1">
        <w:t xml:space="preserve">, as seen in </w:t>
      </w:r>
      <w:r w:rsidRPr="008115C1">
        <w:rPr>
          <w:b/>
          <w:bCs/>
        </w:rPr>
        <w:t>Re Ontario Securities (1988) 52 DLR (4th) 767</w:t>
      </w:r>
      <w:r w:rsidRPr="008115C1">
        <w:t>.</w:t>
      </w:r>
    </w:p>
    <w:p w14:paraId="4C336EB7" w14:textId="77777777" w:rsidR="002A4EA8" w:rsidRPr="008115C1" w:rsidRDefault="002A4EA8" w:rsidP="008115C1">
      <w:pPr>
        <w:numPr>
          <w:ilvl w:val="0"/>
          <w:numId w:val="43"/>
        </w:numPr>
        <w:spacing w:before="100" w:beforeAutospacing="1" w:after="100" w:afterAutospacing="1" w:line="360" w:lineRule="auto"/>
      </w:pPr>
      <w:r w:rsidRPr="008115C1">
        <w:t xml:space="preserve">This approach </w:t>
      </w:r>
      <w:r w:rsidRPr="008115C1">
        <w:rPr>
          <w:b/>
          <w:bCs/>
        </w:rPr>
        <w:t>allocates shares proportionally</w:t>
      </w:r>
      <w:r w:rsidRPr="008115C1">
        <w:t xml:space="preserve"> based on the contributions of each party to a mixed fund​.</w:t>
      </w:r>
    </w:p>
    <w:p w14:paraId="6C2B4037" w14:textId="77777777" w:rsidR="002A4EA8" w:rsidRPr="008115C1" w:rsidRDefault="002A4EA8" w:rsidP="008115C1">
      <w:pPr>
        <w:numPr>
          <w:ilvl w:val="0"/>
          <w:numId w:val="43"/>
        </w:numPr>
        <w:spacing w:before="100" w:beforeAutospacing="1" w:after="100" w:afterAutospacing="1" w:line="360" w:lineRule="auto"/>
      </w:pPr>
      <w:r w:rsidRPr="008115C1">
        <w:t xml:space="preserve">The proportional method ensures </w:t>
      </w:r>
      <w:r w:rsidRPr="008115C1">
        <w:rPr>
          <w:b/>
          <w:bCs/>
        </w:rPr>
        <w:t>fairness</w:t>
      </w:r>
      <w:r w:rsidRPr="008115C1">
        <w:t xml:space="preserve">, especially when tracing into assets purchased with mixed funds, allowing each contributor to recover a </w:t>
      </w:r>
      <w:r w:rsidRPr="008115C1">
        <w:rPr>
          <w:b/>
          <w:bCs/>
        </w:rPr>
        <w:t>proportionate</w:t>
      </w:r>
      <w:r w:rsidRPr="008115C1">
        <w:t xml:space="preserve"> share of the resultant property.</w:t>
      </w:r>
    </w:p>
    <w:p w14:paraId="524B60BC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4"/>
        <w:rPr>
          <w:b/>
          <w:bCs/>
        </w:rPr>
      </w:pPr>
      <w:r w:rsidRPr="008115C1">
        <w:rPr>
          <w:b/>
          <w:bCs/>
        </w:rPr>
        <w:lastRenderedPageBreak/>
        <w:t>Which Method is Preferable?</w:t>
      </w:r>
    </w:p>
    <w:p w14:paraId="30CAF593" w14:textId="77777777" w:rsidR="002A4EA8" w:rsidRPr="008115C1" w:rsidRDefault="002A4EA8" w:rsidP="008115C1">
      <w:pPr>
        <w:numPr>
          <w:ilvl w:val="0"/>
          <w:numId w:val="44"/>
        </w:numPr>
        <w:spacing w:before="100" w:beforeAutospacing="1" w:after="100" w:afterAutospacing="1" w:line="360" w:lineRule="auto"/>
      </w:pPr>
      <w:r w:rsidRPr="008115C1">
        <w:t xml:space="preserve">The </w:t>
      </w:r>
      <w:r w:rsidRPr="008115C1">
        <w:rPr>
          <w:b/>
          <w:bCs/>
        </w:rPr>
        <w:t>FIFO method is criticized</w:t>
      </w:r>
      <w:r w:rsidRPr="008115C1">
        <w:t xml:space="preserve"> for being too </w:t>
      </w:r>
      <w:r w:rsidRPr="008115C1">
        <w:rPr>
          <w:b/>
          <w:bCs/>
        </w:rPr>
        <w:t>rigid</w:t>
      </w:r>
      <w:r w:rsidRPr="008115C1">
        <w:t xml:space="preserve"> and leading to </w:t>
      </w:r>
      <w:r w:rsidRPr="008115C1">
        <w:rPr>
          <w:b/>
          <w:bCs/>
        </w:rPr>
        <w:t>inequitable outcomes</w:t>
      </w:r>
      <w:r w:rsidRPr="008115C1">
        <w:t>, particularly in modern commercial settings where funds are frequently mixed.</w:t>
      </w:r>
    </w:p>
    <w:p w14:paraId="753BC3BE" w14:textId="77777777" w:rsidR="002A4EA8" w:rsidRPr="008115C1" w:rsidRDefault="002A4EA8" w:rsidP="008115C1">
      <w:pPr>
        <w:numPr>
          <w:ilvl w:val="0"/>
          <w:numId w:val="44"/>
        </w:numPr>
        <w:spacing w:before="100" w:beforeAutospacing="1" w:after="100" w:afterAutospacing="1" w:line="360" w:lineRule="auto"/>
      </w:pPr>
      <w:r w:rsidRPr="008115C1">
        <w:t xml:space="preserve">The </w:t>
      </w:r>
      <w:r w:rsidRPr="008115C1">
        <w:rPr>
          <w:b/>
          <w:bCs/>
        </w:rPr>
        <w:t>proportional method is considered more just</w:t>
      </w:r>
      <w:r w:rsidRPr="008115C1">
        <w:t xml:space="preserve">, as it prevents arbitrary allocation of losses, but some </w:t>
      </w:r>
      <w:r w:rsidRPr="008115C1">
        <w:rPr>
          <w:b/>
          <w:bCs/>
        </w:rPr>
        <w:t>traditionalists argue that it undermines established property law principles</w:t>
      </w:r>
      <w:r w:rsidRPr="008115C1">
        <w:t>​.</w:t>
      </w:r>
    </w:p>
    <w:p w14:paraId="28F5D429" w14:textId="73A1869B" w:rsidR="000034B1" w:rsidRPr="008115C1" w:rsidRDefault="000034B1" w:rsidP="008115C1">
      <w:pPr>
        <w:spacing w:before="100" w:beforeAutospacing="1" w:after="100" w:afterAutospacing="1" w:line="360" w:lineRule="auto"/>
        <w:rPr>
          <w:b/>
          <w:bCs/>
        </w:rPr>
      </w:pPr>
      <w:r w:rsidRPr="008115C1">
        <w:rPr>
          <w:b/>
          <w:bCs/>
        </w:rPr>
        <w:t xml:space="preserve">Details: </w:t>
      </w:r>
    </w:p>
    <w:p w14:paraId="2DB687ED" w14:textId="79039E4A" w:rsidR="000034B1" w:rsidRPr="008115C1" w:rsidRDefault="000034B1" w:rsidP="008115C1">
      <w:pPr>
        <w:spacing w:before="100" w:beforeAutospacing="1" w:after="100" w:afterAutospacing="1" w:line="360" w:lineRule="auto"/>
      </w:pPr>
      <w:r w:rsidRPr="008115C1">
        <w:t xml:space="preserve">- A core principle of property law is </w:t>
      </w:r>
      <w:r w:rsidRPr="008115C1">
        <w:rPr>
          <w:rStyle w:val="Strong"/>
          <w:rFonts w:eastAsiaTheme="majorEastAsia"/>
        </w:rPr>
        <w:t>certainty of title</w:t>
      </w:r>
      <w:r w:rsidRPr="008115C1">
        <w:t xml:space="preserve">, meaning that ownership of property must be </w:t>
      </w:r>
      <w:r w:rsidRPr="008115C1">
        <w:rPr>
          <w:rStyle w:val="Strong"/>
          <w:rFonts w:eastAsiaTheme="majorEastAsia"/>
        </w:rPr>
        <w:t>clearly identifiable</w:t>
      </w:r>
      <w:r w:rsidRPr="008115C1">
        <w:t xml:space="preserve">. </w:t>
      </w:r>
      <w:r w:rsidRPr="008115C1">
        <w:rPr>
          <w:rStyle w:val="Strong"/>
          <w:rFonts w:eastAsiaTheme="majorEastAsia"/>
        </w:rPr>
        <w:t>Tracing at common law adheres to this principle</w:t>
      </w:r>
      <w:r w:rsidRPr="008115C1">
        <w:t xml:space="preserve"> by requiring that a claimant can </w:t>
      </w:r>
      <w:r w:rsidRPr="008115C1">
        <w:rPr>
          <w:rStyle w:val="Strong"/>
          <w:rFonts w:eastAsiaTheme="majorEastAsia"/>
        </w:rPr>
        <w:t>specifically identify their property</w:t>
      </w:r>
      <w:r w:rsidRPr="008115C1">
        <w:t xml:space="preserve"> in order to make a proprietary claim.</w:t>
      </w:r>
    </w:p>
    <w:p w14:paraId="45767D64" w14:textId="6668D061" w:rsidR="000034B1" w:rsidRPr="008115C1" w:rsidRDefault="000034B1" w:rsidP="008115C1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8115C1">
        <w:t xml:space="preserve">- </w:t>
      </w:r>
      <w:r w:rsidRPr="008115C1">
        <w:rPr>
          <w:b/>
          <w:bCs/>
        </w:rPr>
        <w:t xml:space="preserve">Principle of Certainty in Property Rights: </w:t>
      </w:r>
      <w:r w:rsidRPr="008115C1">
        <w:t>The Traditional FIFO Approach – Clayton’s Case (1816)</w:t>
      </w:r>
    </w:p>
    <w:p w14:paraId="6DB53965" w14:textId="5C7791D2" w:rsidR="000034B1" w:rsidRPr="008115C1" w:rsidRDefault="000034B1" w:rsidP="008115C1">
      <w:pPr>
        <w:spacing w:before="100" w:beforeAutospacing="1" w:after="100" w:afterAutospacing="1" w:line="360" w:lineRule="auto"/>
      </w:pPr>
      <w:r w:rsidRPr="008115C1">
        <w:t xml:space="preserve">- One of the fundamental principles of property law is </w:t>
      </w:r>
      <w:r w:rsidRPr="008115C1">
        <w:rPr>
          <w:b/>
          <w:bCs/>
        </w:rPr>
        <w:t>certainty of title and ownership</w:t>
      </w:r>
      <w:r w:rsidRPr="008115C1">
        <w:t>. Property law requires that ownership rights over assets be clearly defined and identifiable.</w:t>
      </w:r>
    </w:p>
    <w:p w14:paraId="5C67D040" w14:textId="77777777" w:rsidR="000034B1" w:rsidRPr="008115C1" w:rsidRDefault="000034B1" w:rsidP="008115C1">
      <w:pPr>
        <w:numPr>
          <w:ilvl w:val="0"/>
          <w:numId w:val="57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The FIFO method (Clayton’s Case (1816)) aligns with traditional property principles</w:t>
      </w:r>
      <w:r w:rsidRPr="008115C1">
        <w:t xml:space="preserve"> because it treats the funds in an account as separate identifiable property belonging to specific contributors based on the order of deposits and withdrawals.</w:t>
      </w:r>
    </w:p>
    <w:p w14:paraId="15AD0B22" w14:textId="166601F6" w:rsidR="000034B1" w:rsidRPr="008115C1" w:rsidRDefault="000034B1" w:rsidP="008115C1">
      <w:pPr>
        <w:numPr>
          <w:ilvl w:val="0"/>
          <w:numId w:val="57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The proportional method departs from strict property law principles</w:t>
      </w:r>
      <w:r w:rsidRPr="008115C1">
        <w:t xml:space="preserve"> because it treats property </w:t>
      </w:r>
      <w:r w:rsidRPr="008115C1">
        <w:rPr>
          <w:b/>
          <w:bCs/>
        </w:rPr>
        <w:t>as a communal pool</w:t>
      </w:r>
      <w:r w:rsidRPr="008115C1">
        <w:t xml:space="preserve">, where rights are </w:t>
      </w:r>
      <w:r w:rsidRPr="008115C1">
        <w:rPr>
          <w:b/>
          <w:bCs/>
        </w:rPr>
        <w:t>divided proportionally</w:t>
      </w:r>
      <w:r w:rsidRPr="008115C1">
        <w:t xml:space="preserve"> rather than based on specific historical ownership </w:t>
      </w:r>
      <w:r w:rsidRPr="008115C1">
        <w:rPr>
          <w:b/>
          <w:bCs/>
        </w:rPr>
        <w:t>(Simple Pari Passu Approach and Rolling charge approach).</w:t>
      </w:r>
    </w:p>
    <w:p w14:paraId="1A9298ED" w14:textId="6FBBBDF6" w:rsidR="000034B1" w:rsidRPr="008115C1" w:rsidRDefault="000034B1" w:rsidP="008115C1">
      <w:pPr>
        <w:numPr>
          <w:ilvl w:val="0"/>
          <w:numId w:val="57"/>
        </w:numPr>
        <w:spacing w:before="100" w:beforeAutospacing="1" w:after="100" w:afterAutospacing="1" w:line="360" w:lineRule="auto"/>
      </w:pPr>
      <w:r w:rsidRPr="008115C1">
        <w:t xml:space="preserve">This creates a </w:t>
      </w:r>
      <w:r w:rsidRPr="008115C1">
        <w:rPr>
          <w:b/>
          <w:bCs/>
        </w:rPr>
        <w:t>risk of uncertainty in ownership</w:t>
      </w:r>
      <w:r w:rsidRPr="008115C1">
        <w:t xml:space="preserve"> since property rights are determined by a retrospective equitable calculation rather than by strict legal title.</w:t>
      </w:r>
    </w:p>
    <w:p w14:paraId="10D14AD6" w14:textId="77777777" w:rsidR="002A4EA8" w:rsidRPr="008115C1" w:rsidRDefault="00E31F1B" w:rsidP="008115C1">
      <w:pPr>
        <w:spacing w:line="360" w:lineRule="auto"/>
      </w:pPr>
      <w:r w:rsidRPr="00E31F1B">
        <w:rPr>
          <w:noProof/>
          <w14:ligatures w14:val="standardContextual"/>
        </w:rPr>
        <w:pict w14:anchorId="20D087B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8309C21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8115C1">
        <w:rPr>
          <w:b/>
          <w:bCs/>
        </w:rPr>
        <w:t>II. The Debate on Whether There Should Be One or Two Forms of Tracing</w:t>
      </w:r>
    </w:p>
    <w:p w14:paraId="0BE27429" w14:textId="77777777" w:rsidR="002A4EA8" w:rsidRPr="008115C1" w:rsidRDefault="002A4EA8" w:rsidP="008115C1">
      <w:pPr>
        <w:spacing w:before="100" w:beforeAutospacing="1" w:after="100" w:afterAutospacing="1" w:line="360" w:lineRule="auto"/>
      </w:pPr>
      <w:r w:rsidRPr="008115C1">
        <w:lastRenderedPageBreak/>
        <w:t xml:space="preserve">Another significant debate is whether </w:t>
      </w:r>
      <w:r w:rsidRPr="008115C1">
        <w:rPr>
          <w:b/>
          <w:bCs/>
        </w:rPr>
        <w:t>common law tracing and equitable tracing should remain distinct</w:t>
      </w:r>
      <w:r w:rsidRPr="008115C1">
        <w:t xml:space="preserve">, or whether there should be a </w:t>
      </w:r>
      <w:r w:rsidRPr="008115C1">
        <w:rPr>
          <w:b/>
          <w:bCs/>
        </w:rPr>
        <w:t>unified system</w:t>
      </w:r>
      <w:r w:rsidRPr="008115C1">
        <w:t xml:space="preserve"> of tracing.</w:t>
      </w:r>
    </w:p>
    <w:p w14:paraId="098EF807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8115C1">
        <w:rPr>
          <w:b/>
          <w:bCs/>
        </w:rPr>
        <w:t>1. The Argument for a Unitary Approach</w:t>
      </w:r>
    </w:p>
    <w:p w14:paraId="4CCDE1AF" w14:textId="77777777" w:rsidR="002A4EA8" w:rsidRPr="008115C1" w:rsidRDefault="002A4EA8" w:rsidP="008115C1">
      <w:pPr>
        <w:numPr>
          <w:ilvl w:val="0"/>
          <w:numId w:val="45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 xml:space="preserve">Lord Millett in </w:t>
      </w:r>
      <w:proofErr w:type="spellStart"/>
      <w:r w:rsidRPr="008115C1">
        <w:rPr>
          <w:b/>
          <w:bCs/>
        </w:rPr>
        <w:t>Foskett</w:t>
      </w:r>
      <w:proofErr w:type="spellEnd"/>
      <w:r w:rsidRPr="008115C1">
        <w:rPr>
          <w:b/>
          <w:bCs/>
        </w:rPr>
        <w:t xml:space="preserve"> v McKeown [2001] 1 AC 102</w:t>
      </w:r>
      <w:r w:rsidRPr="008115C1">
        <w:t xml:space="preserve"> argued that there is </w:t>
      </w:r>
      <w:r w:rsidRPr="008115C1">
        <w:rPr>
          <w:b/>
          <w:bCs/>
        </w:rPr>
        <w:t>"no sense in maintaining different rules for tracing at law and in equity"</w:t>
      </w:r>
      <w:r w:rsidRPr="008115C1">
        <w:t xml:space="preserve">, suggesting that </w:t>
      </w:r>
      <w:r w:rsidRPr="008115C1">
        <w:rPr>
          <w:b/>
          <w:bCs/>
        </w:rPr>
        <w:t>both systems should be merged</w:t>
      </w:r>
      <w:r w:rsidRPr="008115C1">
        <w:t>​.</w:t>
      </w:r>
    </w:p>
    <w:p w14:paraId="1157D8CF" w14:textId="77777777" w:rsidR="002A4EA8" w:rsidRPr="008115C1" w:rsidRDefault="002A4EA8" w:rsidP="008115C1">
      <w:pPr>
        <w:numPr>
          <w:ilvl w:val="0"/>
          <w:numId w:val="45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Professor Peter Birks and Andrew Burrows</w:t>
      </w:r>
      <w:r w:rsidRPr="008115C1">
        <w:t xml:space="preserve"> support the idea that </w:t>
      </w:r>
      <w:r w:rsidRPr="008115C1">
        <w:rPr>
          <w:b/>
          <w:bCs/>
        </w:rPr>
        <w:t>tracing should be available to all claimants</w:t>
      </w:r>
      <w:r w:rsidRPr="008115C1">
        <w:t>, not just those with an equitable interest​.</w:t>
      </w:r>
    </w:p>
    <w:p w14:paraId="722535B1" w14:textId="77777777" w:rsidR="002A4EA8" w:rsidRPr="008115C1" w:rsidRDefault="002A4EA8" w:rsidP="008115C1">
      <w:pPr>
        <w:numPr>
          <w:ilvl w:val="0"/>
          <w:numId w:val="45"/>
        </w:numPr>
        <w:spacing w:before="100" w:beforeAutospacing="1" w:after="100" w:afterAutospacing="1" w:line="360" w:lineRule="auto"/>
      </w:pPr>
      <w:r w:rsidRPr="008115C1">
        <w:t xml:space="preserve">A unified system would enhance </w:t>
      </w:r>
      <w:r w:rsidRPr="008115C1">
        <w:rPr>
          <w:b/>
          <w:bCs/>
        </w:rPr>
        <w:t>certainty and consistency</w:t>
      </w:r>
      <w:r w:rsidRPr="008115C1">
        <w:t xml:space="preserve">, ensuring that </w:t>
      </w:r>
      <w:r w:rsidRPr="008115C1">
        <w:rPr>
          <w:b/>
          <w:bCs/>
        </w:rPr>
        <w:t>claimants can rely on tracing rules regardless of their property’s original status</w:t>
      </w:r>
      <w:r w:rsidRPr="008115C1">
        <w:t>.</w:t>
      </w:r>
    </w:p>
    <w:p w14:paraId="1889C5DB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8115C1">
        <w:rPr>
          <w:b/>
          <w:bCs/>
        </w:rPr>
        <w:t>2. The Argument for Maintaining Separate Systems</w:t>
      </w:r>
    </w:p>
    <w:p w14:paraId="78783474" w14:textId="77777777" w:rsidR="002A4EA8" w:rsidRPr="008115C1" w:rsidRDefault="002A4EA8" w:rsidP="008115C1">
      <w:pPr>
        <w:numPr>
          <w:ilvl w:val="0"/>
          <w:numId w:val="46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Traditionalists argue</w:t>
      </w:r>
      <w:r w:rsidRPr="008115C1">
        <w:t xml:space="preserve"> that the division between common law and equity serves an </w:t>
      </w:r>
      <w:r w:rsidRPr="008115C1">
        <w:rPr>
          <w:b/>
          <w:bCs/>
        </w:rPr>
        <w:t>important function</w:t>
      </w:r>
      <w:r w:rsidRPr="008115C1">
        <w:t>:</w:t>
      </w:r>
    </w:p>
    <w:p w14:paraId="36813470" w14:textId="77777777" w:rsidR="002A4EA8" w:rsidRPr="008115C1" w:rsidRDefault="002A4EA8" w:rsidP="008115C1">
      <w:pPr>
        <w:spacing w:before="100" w:beforeAutospacing="1" w:after="100" w:afterAutospacing="1" w:line="360" w:lineRule="auto"/>
      </w:pPr>
      <w:r w:rsidRPr="008115C1">
        <w:rPr>
          <w:b/>
          <w:bCs/>
        </w:rPr>
        <w:t>Equitable tracing requires a fiduciary or trust relationship</w:t>
      </w:r>
      <w:r w:rsidRPr="008115C1">
        <w:t>, while common law tracing is available to legal owners​.</w:t>
      </w:r>
    </w:p>
    <w:p w14:paraId="15C56E8D" w14:textId="77777777" w:rsidR="002A4EA8" w:rsidRPr="008115C1" w:rsidRDefault="002A4EA8" w:rsidP="008115C1">
      <w:pPr>
        <w:spacing w:before="100" w:beforeAutospacing="1" w:after="100" w:afterAutospacing="1" w:line="360" w:lineRule="auto"/>
      </w:pPr>
      <w:r w:rsidRPr="008115C1">
        <w:rPr>
          <w:b/>
          <w:bCs/>
        </w:rPr>
        <w:t>The flexibility of equity allows for greater discretion</w:t>
      </w:r>
      <w:r w:rsidRPr="008115C1">
        <w:t xml:space="preserve">, while common law tracing remains bound by </w:t>
      </w:r>
      <w:r w:rsidRPr="008115C1">
        <w:rPr>
          <w:b/>
          <w:bCs/>
        </w:rPr>
        <w:t>stricter property rules</w:t>
      </w:r>
      <w:r w:rsidRPr="008115C1">
        <w:t>​.</w:t>
      </w:r>
    </w:p>
    <w:p w14:paraId="522EE419" w14:textId="77777777" w:rsidR="002A4EA8" w:rsidRPr="008115C1" w:rsidRDefault="002A4EA8" w:rsidP="008115C1">
      <w:pPr>
        <w:numPr>
          <w:ilvl w:val="0"/>
          <w:numId w:val="46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 xml:space="preserve">Professor </w:t>
      </w:r>
      <w:proofErr w:type="spellStart"/>
      <w:r w:rsidRPr="008115C1">
        <w:rPr>
          <w:b/>
          <w:bCs/>
        </w:rPr>
        <w:t>Jaffey</w:t>
      </w:r>
      <w:proofErr w:type="spellEnd"/>
      <w:r w:rsidRPr="008115C1">
        <w:t xml:space="preserve"> defends separate tracing principles, emphasizing that </w:t>
      </w:r>
      <w:r w:rsidRPr="008115C1">
        <w:rPr>
          <w:b/>
          <w:bCs/>
        </w:rPr>
        <w:t>equitable remedies should only be available where there is an equitable interest</w:t>
      </w:r>
      <w:r w:rsidRPr="008115C1">
        <w:t>​.</w:t>
      </w:r>
    </w:p>
    <w:p w14:paraId="6BF17ADB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4"/>
        <w:rPr>
          <w:b/>
          <w:bCs/>
        </w:rPr>
      </w:pPr>
      <w:r w:rsidRPr="008115C1">
        <w:rPr>
          <w:b/>
          <w:bCs/>
        </w:rPr>
        <w:t>Should the Two Systems Be Merged?</w:t>
      </w:r>
    </w:p>
    <w:p w14:paraId="2A03135A" w14:textId="77777777" w:rsidR="002A4EA8" w:rsidRPr="008115C1" w:rsidRDefault="002A4EA8" w:rsidP="008115C1">
      <w:pPr>
        <w:numPr>
          <w:ilvl w:val="0"/>
          <w:numId w:val="47"/>
        </w:numPr>
        <w:spacing w:before="100" w:beforeAutospacing="1" w:after="100" w:afterAutospacing="1" w:line="360" w:lineRule="auto"/>
      </w:pPr>
      <w:r w:rsidRPr="008115C1">
        <w:t xml:space="preserve">The </w:t>
      </w:r>
      <w:r w:rsidRPr="008115C1">
        <w:rPr>
          <w:b/>
          <w:bCs/>
        </w:rPr>
        <w:t>unitary model would simplify tracing</w:t>
      </w:r>
      <w:r w:rsidRPr="008115C1">
        <w:t xml:space="preserve">, particularly in commercial fraud cases, where assets are often mixed across </w:t>
      </w:r>
      <w:r w:rsidRPr="008115C1">
        <w:rPr>
          <w:b/>
          <w:bCs/>
        </w:rPr>
        <w:t>legal and equitable ownership structures</w:t>
      </w:r>
      <w:r w:rsidRPr="008115C1">
        <w:t>.</w:t>
      </w:r>
    </w:p>
    <w:p w14:paraId="530A3DD5" w14:textId="77777777" w:rsidR="002A4EA8" w:rsidRPr="008115C1" w:rsidRDefault="002A4EA8" w:rsidP="008115C1">
      <w:pPr>
        <w:numPr>
          <w:ilvl w:val="0"/>
          <w:numId w:val="47"/>
        </w:numPr>
        <w:spacing w:before="100" w:beforeAutospacing="1" w:after="100" w:afterAutospacing="1" w:line="360" w:lineRule="auto"/>
      </w:pPr>
      <w:r w:rsidRPr="008115C1">
        <w:t xml:space="preserve">However, </w:t>
      </w:r>
      <w:r w:rsidRPr="008115C1">
        <w:rPr>
          <w:b/>
          <w:bCs/>
        </w:rPr>
        <w:t>retaining two systems preserves the integrity of equity’s distinct jurisdiction</w:t>
      </w:r>
      <w:r w:rsidRPr="008115C1">
        <w:t xml:space="preserve">, ensuring that </w:t>
      </w:r>
      <w:r w:rsidRPr="008115C1">
        <w:rPr>
          <w:b/>
          <w:bCs/>
          <w:color w:val="FF0000"/>
        </w:rPr>
        <w:t>remedies remain tailored to specific contexts</w:t>
      </w:r>
      <w:r w:rsidRPr="008115C1">
        <w:t>​.</w:t>
      </w:r>
    </w:p>
    <w:p w14:paraId="4AF301EC" w14:textId="77777777" w:rsidR="002A4EA8" w:rsidRPr="008115C1" w:rsidRDefault="00E31F1B" w:rsidP="008115C1">
      <w:pPr>
        <w:spacing w:line="360" w:lineRule="auto"/>
      </w:pPr>
      <w:r w:rsidRPr="00E31F1B">
        <w:rPr>
          <w:noProof/>
          <w14:ligatures w14:val="standardContextual"/>
        </w:rPr>
        <w:pict w14:anchorId="0494EB9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9DAA00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8115C1">
        <w:rPr>
          <w:b/>
          <w:bCs/>
        </w:rPr>
        <w:t>III. The Debate on Whether Tracing is a Proprietary or Unjust Enrichment Process</w:t>
      </w:r>
    </w:p>
    <w:p w14:paraId="268FB817" w14:textId="77777777" w:rsidR="002A4EA8" w:rsidRPr="008115C1" w:rsidRDefault="002A4EA8" w:rsidP="008115C1">
      <w:pPr>
        <w:spacing w:before="100" w:beforeAutospacing="1" w:after="100" w:afterAutospacing="1" w:line="360" w:lineRule="auto"/>
      </w:pPr>
      <w:r w:rsidRPr="008115C1">
        <w:lastRenderedPageBreak/>
        <w:t xml:space="preserve">A </w:t>
      </w:r>
      <w:r w:rsidRPr="008115C1">
        <w:rPr>
          <w:b/>
          <w:bCs/>
        </w:rPr>
        <w:t>critical theoretical debate</w:t>
      </w:r>
      <w:r w:rsidRPr="008115C1">
        <w:t xml:space="preserve"> in tracing law is whether tracing is </w:t>
      </w:r>
      <w:r w:rsidRPr="008115C1">
        <w:rPr>
          <w:b/>
          <w:bCs/>
        </w:rPr>
        <w:t>a proprietary doctrine</w:t>
      </w:r>
      <w:r w:rsidRPr="008115C1">
        <w:t xml:space="preserve"> or </w:t>
      </w:r>
      <w:r w:rsidRPr="008115C1">
        <w:rPr>
          <w:b/>
          <w:bCs/>
        </w:rPr>
        <w:t xml:space="preserve">a </w:t>
      </w:r>
      <w:proofErr w:type="spellStart"/>
      <w:r w:rsidRPr="008115C1">
        <w:rPr>
          <w:b/>
          <w:bCs/>
        </w:rPr>
        <w:t>restitutionary</w:t>
      </w:r>
      <w:proofErr w:type="spellEnd"/>
      <w:r w:rsidRPr="008115C1">
        <w:rPr>
          <w:b/>
          <w:bCs/>
        </w:rPr>
        <w:t xml:space="preserve"> process aimed at reversing unjust enrichment</w:t>
      </w:r>
      <w:r w:rsidRPr="008115C1">
        <w:t>.</w:t>
      </w:r>
    </w:p>
    <w:p w14:paraId="72960805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8115C1">
        <w:rPr>
          <w:b/>
          <w:bCs/>
        </w:rPr>
        <w:t>1. Tracing as a Proprietary Process</w:t>
      </w:r>
    </w:p>
    <w:p w14:paraId="00BE9477" w14:textId="77777777" w:rsidR="002A4EA8" w:rsidRPr="008115C1" w:rsidRDefault="002A4EA8" w:rsidP="008115C1">
      <w:pPr>
        <w:numPr>
          <w:ilvl w:val="0"/>
          <w:numId w:val="48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 xml:space="preserve">Lord Millett in </w:t>
      </w:r>
      <w:proofErr w:type="spellStart"/>
      <w:r w:rsidRPr="008115C1">
        <w:rPr>
          <w:b/>
          <w:bCs/>
        </w:rPr>
        <w:t>Foskett</w:t>
      </w:r>
      <w:proofErr w:type="spellEnd"/>
      <w:r w:rsidRPr="008115C1">
        <w:rPr>
          <w:b/>
          <w:bCs/>
        </w:rPr>
        <w:t xml:space="preserve"> v McKeown</w:t>
      </w:r>
      <w:r w:rsidRPr="008115C1">
        <w:t xml:space="preserve"> asserted that tracing is </w:t>
      </w:r>
      <w:r w:rsidRPr="008115C1">
        <w:rPr>
          <w:b/>
          <w:bCs/>
        </w:rPr>
        <w:t>a part of property law</w:t>
      </w:r>
      <w:r w:rsidRPr="008115C1">
        <w:t>, not unjust enrichment:</w:t>
      </w:r>
    </w:p>
    <w:p w14:paraId="2A525B3E" w14:textId="77777777" w:rsidR="002A4EA8" w:rsidRPr="008115C1" w:rsidRDefault="002A4EA8" w:rsidP="008115C1">
      <w:pPr>
        <w:spacing w:beforeAutospacing="1" w:afterAutospacing="1" w:line="360" w:lineRule="auto"/>
      </w:pPr>
      <w:r w:rsidRPr="008115C1">
        <w:t>“The transmission of a claimant’s property rights from one asset to its traceable proceeds is part of our law of property, not of the law of unjust enrichment”​.</w:t>
      </w:r>
    </w:p>
    <w:p w14:paraId="34833457" w14:textId="77777777" w:rsidR="002A4EA8" w:rsidRPr="008115C1" w:rsidRDefault="002A4EA8" w:rsidP="008115C1">
      <w:pPr>
        <w:numPr>
          <w:ilvl w:val="0"/>
          <w:numId w:val="48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Tracing allows claimants to recover their property</w:t>
      </w:r>
      <w:r w:rsidRPr="008115C1">
        <w:t>, rather than merely reversing wrongful enrichment.</w:t>
      </w:r>
    </w:p>
    <w:p w14:paraId="287BB247" w14:textId="77777777" w:rsidR="002A4EA8" w:rsidRPr="008115C1" w:rsidRDefault="002A4EA8" w:rsidP="008115C1">
      <w:pPr>
        <w:numPr>
          <w:ilvl w:val="0"/>
          <w:numId w:val="48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Professor Graham Virgo</w:t>
      </w:r>
      <w:r w:rsidRPr="008115C1">
        <w:t xml:space="preserve"> supports this view, arguing that tracing is concerned with </w:t>
      </w:r>
      <w:r w:rsidRPr="008115C1">
        <w:rPr>
          <w:b/>
          <w:bCs/>
        </w:rPr>
        <w:t>vindicating proprietary rights</w:t>
      </w:r>
      <w:r w:rsidRPr="008115C1">
        <w:t>, ensuring that a claimant’s property is restored in its identifiable form​.</w:t>
      </w:r>
    </w:p>
    <w:p w14:paraId="2C73269F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8115C1">
        <w:rPr>
          <w:b/>
          <w:bCs/>
        </w:rPr>
        <w:t>2. Tracing as an Unjust Enrichment Process</w:t>
      </w:r>
    </w:p>
    <w:p w14:paraId="589D7545" w14:textId="77777777" w:rsidR="002A4EA8" w:rsidRPr="008115C1" w:rsidRDefault="002A4EA8" w:rsidP="008115C1">
      <w:pPr>
        <w:numPr>
          <w:ilvl w:val="0"/>
          <w:numId w:val="49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Professor Lionel Smith and the Oxford Restitution School</w:t>
      </w:r>
      <w:r w:rsidRPr="008115C1">
        <w:t xml:space="preserve"> argue that tracing should be treated as a </w:t>
      </w:r>
      <w:r w:rsidRPr="008115C1">
        <w:rPr>
          <w:b/>
          <w:bCs/>
        </w:rPr>
        <w:t>form of unjust enrichment</w:t>
      </w:r>
      <w:r w:rsidRPr="008115C1">
        <w:t>.</w:t>
      </w:r>
    </w:p>
    <w:p w14:paraId="2BA8AF8C" w14:textId="77777777" w:rsidR="002A4EA8" w:rsidRPr="008115C1" w:rsidRDefault="002A4EA8" w:rsidP="008115C1">
      <w:pPr>
        <w:numPr>
          <w:ilvl w:val="0"/>
          <w:numId w:val="49"/>
        </w:numPr>
        <w:spacing w:before="100" w:beforeAutospacing="1" w:after="100" w:afterAutospacing="1" w:line="360" w:lineRule="auto"/>
      </w:pPr>
      <w:r w:rsidRPr="008115C1">
        <w:t xml:space="preserve">They contend that </w:t>
      </w:r>
      <w:r w:rsidRPr="008115C1">
        <w:rPr>
          <w:b/>
          <w:bCs/>
        </w:rPr>
        <w:t>when a defendant wrongfully receives property, the law should work to reverse the enrichment</w:t>
      </w:r>
      <w:r w:rsidRPr="008115C1">
        <w:t>, rather than focus on strict proprietary rights​.</w:t>
      </w:r>
    </w:p>
    <w:p w14:paraId="01635712" w14:textId="77777777" w:rsidR="002A4EA8" w:rsidRPr="008115C1" w:rsidRDefault="002A4EA8" w:rsidP="008115C1">
      <w:pPr>
        <w:numPr>
          <w:ilvl w:val="0"/>
          <w:numId w:val="49"/>
        </w:numPr>
        <w:spacing w:before="100" w:beforeAutospacing="1" w:after="100" w:afterAutospacing="1" w:line="360" w:lineRule="auto"/>
      </w:pPr>
      <w:r w:rsidRPr="008115C1">
        <w:t xml:space="preserve">This theory aligns tracing with </w:t>
      </w:r>
      <w:r w:rsidRPr="008115C1">
        <w:rPr>
          <w:b/>
          <w:bCs/>
        </w:rPr>
        <w:t>restitution law</w:t>
      </w:r>
      <w:r w:rsidRPr="008115C1">
        <w:t>, which seeks to restore unjust benefits to their rightful owner.</w:t>
      </w:r>
    </w:p>
    <w:p w14:paraId="5B0FEC68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4"/>
        <w:rPr>
          <w:b/>
          <w:bCs/>
        </w:rPr>
      </w:pPr>
      <w:r w:rsidRPr="008115C1">
        <w:rPr>
          <w:b/>
          <w:bCs/>
        </w:rPr>
        <w:t>Which Approach is Correct?</w:t>
      </w:r>
    </w:p>
    <w:p w14:paraId="0CED4BB2" w14:textId="77777777" w:rsidR="002A4EA8" w:rsidRPr="008115C1" w:rsidRDefault="002A4EA8" w:rsidP="008115C1">
      <w:pPr>
        <w:numPr>
          <w:ilvl w:val="0"/>
          <w:numId w:val="50"/>
        </w:numPr>
        <w:spacing w:before="100" w:beforeAutospacing="1" w:after="100" w:afterAutospacing="1" w:line="360" w:lineRule="auto"/>
      </w:pPr>
      <w:r w:rsidRPr="008115C1">
        <w:t xml:space="preserve">The </w:t>
      </w:r>
      <w:r w:rsidRPr="008115C1">
        <w:rPr>
          <w:b/>
          <w:bCs/>
        </w:rPr>
        <w:t xml:space="preserve">House of Lords in </w:t>
      </w:r>
      <w:proofErr w:type="spellStart"/>
      <w:r w:rsidRPr="008115C1">
        <w:rPr>
          <w:b/>
          <w:bCs/>
        </w:rPr>
        <w:t>Westdeutsche</w:t>
      </w:r>
      <w:proofErr w:type="spellEnd"/>
      <w:r w:rsidRPr="008115C1">
        <w:rPr>
          <w:b/>
          <w:bCs/>
        </w:rPr>
        <w:t xml:space="preserve"> </w:t>
      </w:r>
      <w:proofErr w:type="spellStart"/>
      <w:r w:rsidRPr="008115C1">
        <w:rPr>
          <w:b/>
          <w:bCs/>
        </w:rPr>
        <w:t>Landesbank</w:t>
      </w:r>
      <w:proofErr w:type="spellEnd"/>
      <w:r w:rsidRPr="008115C1">
        <w:rPr>
          <w:b/>
          <w:bCs/>
        </w:rPr>
        <w:t xml:space="preserve"> v Islington [1996] AC 669</w:t>
      </w:r>
      <w:r w:rsidRPr="008115C1">
        <w:t xml:space="preserve"> rejected the unjust enrichment model, reaffirming that </w:t>
      </w:r>
      <w:r w:rsidRPr="008115C1">
        <w:rPr>
          <w:b/>
          <w:bCs/>
        </w:rPr>
        <w:t>tracing is a proprietary doctrine</w:t>
      </w:r>
      <w:r w:rsidRPr="008115C1">
        <w:t>​.</w:t>
      </w:r>
    </w:p>
    <w:p w14:paraId="067D988D" w14:textId="77777777" w:rsidR="002A4EA8" w:rsidRPr="008115C1" w:rsidRDefault="002A4EA8" w:rsidP="008115C1">
      <w:pPr>
        <w:numPr>
          <w:ilvl w:val="0"/>
          <w:numId w:val="50"/>
        </w:numPr>
        <w:spacing w:before="100" w:beforeAutospacing="1" w:after="100" w:afterAutospacing="1" w:line="360" w:lineRule="auto"/>
      </w:pPr>
      <w:r w:rsidRPr="008115C1">
        <w:t xml:space="preserve">However, in </w:t>
      </w:r>
      <w:r w:rsidRPr="008115C1">
        <w:rPr>
          <w:b/>
          <w:bCs/>
        </w:rPr>
        <w:t>modern commercial and banking fraud cases</w:t>
      </w:r>
      <w:r w:rsidRPr="008115C1">
        <w:t xml:space="preserve">, many courts have shown </w:t>
      </w:r>
      <w:r w:rsidRPr="008115C1">
        <w:rPr>
          <w:b/>
          <w:bCs/>
        </w:rPr>
        <w:t>pragmatic flexibility</w:t>
      </w:r>
      <w:r w:rsidRPr="008115C1">
        <w:t>, sometimes treating tracing as a tool for reversing unjust enrichment rather than strictly a proprietary claim​.</w:t>
      </w:r>
    </w:p>
    <w:p w14:paraId="1B520522" w14:textId="77777777" w:rsidR="002A4EA8" w:rsidRPr="008115C1" w:rsidRDefault="00E31F1B" w:rsidP="008115C1">
      <w:pPr>
        <w:spacing w:line="360" w:lineRule="auto"/>
      </w:pPr>
      <w:r w:rsidRPr="00E31F1B">
        <w:rPr>
          <w:noProof/>
          <w14:ligatures w14:val="standardContextual"/>
        </w:rPr>
        <w:pict w14:anchorId="23F5673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49BADC3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8115C1">
        <w:rPr>
          <w:b/>
          <w:bCs/>
        </w:rPr>
        <w:t>IV. The Debate on Why a Proprietary Doctrine Uses Non-Proprietary Remedies</w:t>
      </w:r>
    </w:p>
    <w:p w14:paraId="5365E575" w14:textId="77777777" w:rsidR="002A4EA8" w:rsidRPr="008115C1" w:rsidRDefault="002A4EA8" w:rsidP="008115C1">
      <w:pPr>
        <w:spacing w:before="100" w:beforeAutospacing="1" w:after="100" w:afterAutospacing="1" w:line="360" w:lineRule="auto"/>
      </w:pPr>
      <w:r w:rsidRPr="008115C1">
        <w:lastRenderedPageBreak/>
        <w:t xml:space="preserve">One of the most </w:t>
      </w:r>
      <w:r w:rsidRPr="008115C1">
        <w:rPr>
          <w:b/>
          <w:bCs/>
        </w:rPr>
        <w:t>puzzling aspects of tracing</w:t>
      </w:r>
      <w:r w:rsidRPr="008115C1">
        <w:t xml:space="preserve"> is that </w:t>
      </w:r>
      <w:r w:rsidRPr="008115C1">
        <w:rPr>
          <w:b/>
          <w:bCs/>
        </w:rPr>
        <w:t>although it is a proprietary process, many of its remedies are non-proprietary</w:t>
      </w:r>
      <w:r w:rsidRPr="008115C1">
        <w:t>.</w:t>
      </w:r>
    </w:p>
    <w:p w14:paraId="0720AE9F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8115C1">
        <w:rPr>
          <w:b/>
          <w:bCs/>
        </w:rPr>
        <w:t>1. The Inconsistency in Remedies</w:t>
      </w:r>
    </w:p>
    <w:p w14:paraId="0BD7B992" w14:textId="77777777" w:rsidR="002A4EA8" w:rsidRPr="008115C1" w:rsidRDefault="002A4EA8" w:rsidP="008115C1">
      <w:pPr>
        <w:numPr>
          <w:ilvl w:val="0"/>
          <w:numId w:val="51"/>
        </w:numPr>
        <w:spacing w:before="100" w:beforeAutospacing="1" w:after="100" w:afterAutospacing="1" w:line="360" w:lineRule="auto"/>
      </w:pPr>
      <w:r w:rsidRPr="008115C1">
        <w:t xml:space="preserve">After tracing is established, claimants may be awarded </w:t>
      </w:r>
      <w:r w:rsidRPr="008115C1">
        <w:rPr>
          <w:b/>
          <w:bCs/>
        </w:rPr>
        <w:t>remedies that do not always confer ownership</w:t>
      </w:r>
      <w:r w:rsidRPr="008115C1">
        <w:t>, such as:</w:t>
      </w:r>
    </w:p>
    <w:p w14:paraId="6DF6C52B" w14:textId="77777777" w:rsidR="002A4EA8" w:rsidRPr="008115C1" w:rsidRDefault="002A4EA8" w:rsidP="008115C1">
      <w:pPr>
        <w:pStyle w:val="ListParagraph"/>
        <w:numPr>
          <w:ilvl w:val="0"/>
          <w:numId w:val="55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Equitable liens</w:t>
      </w:r>
      <w:r w:rsidRPr="008115C1">
        <w:t xml:space="preserve">: A claimant gets a </w:t>
      </w:r>
      <w:r w:rsidRPr="008115C1">
        <w:rPr>
          <w:b/>
          <w:bCs/>
        </w:rPr>
        <w:t>security interest</w:t>
      </w:r>
      <w:r w:rsidRPr="008115C1">
        <w:t xml:space="preserve"> over traced property, but not full ownership.</w:t>
      </w:r>
    </w:p>
    <w:p w14:paraId="2EF6E621" w14:textId="77777777" w:rsidR="002A4EA8" w:rsidRPr="008115C1" w:rsidRDefault="002A4EA8" w:rsidP="008115C1">
      <w:pPr>
        <w:pStyle w:val="ListParagraph"/>
        <w:numPr>
          <w:ilvl w:val="0"/>
          <w:numId w:val="55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Charges</w:t>
      </w:r>
      <w:r w:rsidRPr="008115C1">
        <w:t xml:space="preserve">: Requires </w:t>
      </w:r>
      <w:r w:rsidRPr="008115C1">
        <w:rPr>
          <w:b/>
          <w:bCs/>
        </w:rPr>
        <w:t>court permission</w:t>
      </w:r>
      <w:r w:rsidRPr="008115C1">
        <w:t xml:space="preserve"> to enforce the right.</w:t>
      </w:r>
    </w:p>
    <w:p w14:paraId="50E73BDB" w14:textId="77777777" w:rsidR="002A4EA8" w:rsidRPr="008115C1" w:rsidRDefault="002A4EA8" w:rsidP="008115C1">
      <w:pPr>
        <w:pStyle w:val="ListParagraph"/>
        <w:numPr>
          <w:ilvl w:val="0"/>
          <w:numId w:val="55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Subrogation</w:t>
      </w:r>
      <w:r w:rsidRPr="008115C1">
        <w:t xml:space="preserve">: Allows a claimant to </w:t>
      </w:r>
      <w:r w:rsidRPr="008115C1">
        <w:rPr>
          <w:b/>
          <w:bCs/>
        </w:rPr>
        <w:t>step into the shoes of another creditor</w:t>
      </w:r>
      <w:r w:rsidRPr="008115C1">
        <w:t>​.</w:t>
      </w:r>
    </w:p>
    <w:p w14:paraId="51F01F6B" w14:textId="77777777" w:rsidR="002A4EA8" w:rsidRPr="008115C1" w:rsidRDefault="002A4EA8" w:rsidP="008115C1">
      <w:pPr>
        <w:spacing w:before="100" w:beforeAutospacing="1" w:after="100" w:afterAutospacing="1" w:line="360" w:lineRule="auto"/>
      </w:pPr>
      <w:r w:rsidRPr="008115C1">
        <w:t xml:space="preserve">The </w:t>
      </w:r>
      <w:r w:rsidRPr="008115C1">
        <w:rPr>
          <w:b/>
          <w:bCs/>
        </w:rPr>
        <w:t>most proprietary remedy</w:t>
      </w:r>
      <w:r w:rsidRPr="008115C1">
        <w:t xml:space="preserve"> available is the </w:t>
      </w:r>
      <w:r w:rsidRPr="008115C1">
        <w:rPr>
          <w:b/>
          <w:bCs/>
        </w:rPr>
        <w:t>constructive trust</w:t>
      </w:r>
      <w:r w:rsidRPr="008115C1">
        <w:t xml:space="preserve">, which confers </w:t>
      </w:r>
      <w:r w:rsidRPr="008115C1">
        <w:rPr>
          <w:b/>
          <w:bCs/>
        </w:rPr>
        <w:t>full equitable ownership</w:t>
      </w:r>
      <w:r w:rsidRPr="008115C1">
        <w:t xml:space="preserve"> over the traced property​.</w:t>
      </w:r>
    </w:p>
    <w:p w14:paraId="03F22411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3"/>
        <w:rPr>
          <w:b/>
          <w:bCs/>
        </w:rPr>
      </w:pPr>
      <w:r w:rsidRPr="008115C1">
        <w:rPr>
          <w:b/>
          <w:bCs/>
        </w:rPr>
        <w:t>2. Theoretical Explanations for the Use of Non-Proprietary Remedies</w:t>
      </w:r>
    </w:p>
    <w:p w14:paraId="7B5E4BA2" w14:textId="77777777" w:rsidR="002A4EA8" w:rsidRPr="008115C1" w:rsidRDefault="002A4EA8" w:rsidP="008115C1">
      <w:pPr>
        <w:numPr>
          <w:ilvl w:val="0"/>
          <w:numId w:val="52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Professor Craig Rotherham</w:t>
      </w:r>
      <w:r w:rsidRPr="008115C1">
        <w:t xml:space="preserve"> argues that tracing effectively creates </w:t>
      </w:r>
      <w:r w:rsidRPr="008115C1">
        <w:rPr>
          <w:b/>
          <w:bCs/>
        </w:rPr>
        <w:t>new property rights</w:t>
      </w:r>
      <w:r w:rsidRPr="008115C1">
        <w:t xml:space="preserve">, which is why it necessitates </w:t>
      </w:r>
      <w:r w:rsidRPr="008115C1">
        <w:rPr>
          <w:b/>
          <w:bCs/>
        </w:rPr>
        <w:t>a mix of proprietary and non-proprietary remedies</w:t>
      </w:r>
      <w:r w:rsidRPr="008115C1">
        <w:t>​.</w:t>
      </w:r>
    </w:p>
    <w:p w14:paraId="6B886D2D" w14:textId="77777777" w:rsidR="002A4EA8" w:rsidRPr="008115C1" w:rsidRDefault="002A4EA8" w:rsidP="008115C1">
      <w:pPr>
        <w:numPr>
          <w:ilvl w:val="0"/>
          <w:numId w:val="52"/>
        </w:numPr>
        <w:spacing w:before="100" w:beforeAutospacing="1" w:after="100" w:afterAutospacing="1" w:line="360" w:lineRule="auto"/>
      </w:pPr>
      <w:r w:rsidRPr="008115C1">
        <w:rPr>
          <w:b/>
          <w:bCs/>
        </w:rPr>
        <w:t>Traditionalists argue</w:t>
      </w:r>
      <w:r w:rsidRPr="008115C1">
        <w:t xml:space="preserve"> that non-proprietary remedies, such as liens and charges, are simply </w:t>
      </w:r>
      <w:r w:rsidRPr="008115C1">
        <w:rPr>
          <w:b/>
          <w:bCs/>
        </w:rPr>
        <w:t>pragmatic responses to tracing claims</w:t>
      </w:r>
      <w:r w:rsidRPr="008115C1">
        <w:t xml:space="preserve"> and </w:t>
      </w:r>
      <w:r w:rsidRPr="008115C1">
        <w:rPr>
          <w:b/>
          <w:bCs/>
        </w:rPr>
        <w:t>do not alter the fundamental proprietary nature of tracing</w:t>
      </w:r>
      <w:r w:rsidRPr="008115C1">
        <w:t>​.</w:t>
      </w:r>
    </w:p>
    <w:p w14:paraId="6BD143C4" w14:textId="77777777" w:rsidR="002A4EA8" w:rsidRPr="008115C1" w:rsidRDefault="002A4EA8" w:rsidP="008115C1">
      <w:pPr>
        <w:spacing w:before="100" w:beforeAutospacing="1" w:after="100" w:afterAutospacing="1" w:line="360" w:lineRule="auto"/>
        <w:outlineLvl w:val="4"/>
        <w:rPr>
          <w:b/>
          <w:bCs/>
        </w:rPr>
      </w:pPr>
      <w:r w:rsidRPr="008115C1">
        <w:rPr>
          <w:b/>
          <w:bCs/>
        </w:rPr>
        <w:t>Why Does This Matter?</w:t>
      </w:r>
    </w:p>
    <w:p w14:paraId="5621B01C" w14:textId="77777777" w:rsidR="002A4EA8" w:rsidRPr="008115C1" w:rsidRDefault="002A4EA8" w:rsidP="008115C1">
      <w:pPr>
        <w:numPr>
          <w:ilvl w:val="0"/>
          <w:numId w:val="53"/>
        </w:numPr>
        <w:spacing w:before="100" w:beforeAutospacing="1" w:after="100" w:afterAutospacing="1" w:line="360" w:lineRule="auto"/>
      </w:pPr>
      <w:r w:rsidRPr="008115C1">
        <w:t xml:space="preserve">The </w:t>
      </w:r>
      <w:r w:rsidRPr="008115C1">
        <w:rPr>
          <w:b/>
          <w:bCs/>
        </w:rPr>
        <w:t>choice of remedy impacts the strength of the claimant’s position</w:t>
      </w:r>
      <w:r w:rsidRPr="008115C1">
        <w:t>.</w:t>
      </w:r>
    </w:p>
    <w:p w14:paraId="656E1064" w14:textId="77777777" w:rsidR="002A4EA8" w:rsidRPr="008115C1" w:rsidRDefault="002A4EA8" w:rsidP="008115C1">
      <w:pPr>
        <w:numPr>
          <w:ilvl w:val="0"/>
          <w:numId w:val="53"/>
        </w:numPr>
        <w:spacing w:before="100" w:beforeAutospacing="1" w:after="100" w:afterAutospacing="1" w:line="360" w:lineRule="auto"/>
      </w:pPr>
      <w:r w:rsidRPr="008115C1">
        <w:t xml:space="preserve">If the law </w:t>
      </w:r>
      <w:r w:rsidRPr="008115C1">
        <w:rPr>
          <w:b/>
          <w:bCs/>
        </w:rPr>
        <w:t>strictly adhered to proprietary principles</w:t>
      </w:r>
      <w:r w:rsidRPr="008115C1">
        <w:t xml:space="preserve">, all successful tracing claims would result in </w:t>
      </w:r>
      <w:r w:rsidRPr="008115C1">
        <w:rPr>
          <w:b/>
          <w:bCs/>
        </w:rPr>
        <w:t>constructive trusts</w:t>
      </w:r>
      <w:r w:rsidRPr="008115C1">
        <w:t xml:space="preserve"> rather than liens or charges​.</w:t>
      </w:r>
    </w:p>
    <w:p w14:paraId="4A77AD96" w14:textId="77777777" w:rsidR="002A4EA8" w:rsidRPr="008115C1" w:rsidRDefault="002A4EA8" w:rsidP="008115C1">
      <w:pPr>
        <w:numPr>
          <w:ilvl w:val="0"/>
          <w:numId w:val="53"/>
        </w:numPr>
        <w:spacing w:before="100" w:beforeAutospacing="1" w:after="100" w:afterAutospacing="1" w:line="360" w:lineRule="auto"/>
      </w:pPr>
      <w:r w:rsidRPr="008115C1">
        <w:t xml:space="preserve">However, </w:t>
      </w:r>
      <w:r w:rsidRPr="008115C1">
        <w:rPr>
          <w:b/>
          <w:bCs/>
        </w:rPr>
        <w:t>the courts’ flexibility in remedies allows for fairer and more practical outcomes</w:t>
      </w:r>
      <w:r w:rsidRPr="008115C1">
        <w:t xml:space="preserve">, particularly in complex </w:t>
      </w:r>
      <w:r w:rsidRPr="008115C1">
        <w:rPr>
          <w:b/>
          <w:bCs/>
        </w:rPr>
        <w:t>commercial fraud cases</w:t>
      </w:r>
      <w:r w:rsidRPr="008115C1">
        <w:t>​.</w:t>
      </w:r>
    </w:p>
    <w:p w14:paraId="6C4B247D" w14:textId="77777777" w:rsidR="002A4EA8" w:rsidRPr="008115C1" w:rsidRDefault="00E31F1B" w:rsidP="008115C1">
      <w:pPr>
        <w:spacing w:line="360" w:lineRule="auto"/>
      </w:pPr>
      <w:r w:rsidRPr="00E31F1B">
        <w:rPr>
          <w:noProof/>
          <w14:ligatures w14:val="standardContextual"/>
        </w:rPr>
        <w:pict w14:anchorId="5BC6759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F5E0AD0" w14:textId="77777777" w:rsidR="002A4EA8" w:rsidRPr="008115C1" w:rsidRDefault="002A4EA8" w:rsidP="008115C1">
      <w:pPr>
        <w:spacing w:before="100" w:beforeAutospacing="1" w:after="240" w:line="360" w:lineRule="auto"/>
        <w:rPr>
          <w:b/>
          <w:bCs/>
        </w:rPr>
      </w:pPr>
    </w:p>
    <w:p w14:paraId="680B6BF8" w14:textId="77777777" w:rsidR="003D6F5F" w:rsidRPr="008115C1" w:rsidRDefault="003D6F5F" w:rsidP="008115C1">
      <w:pPr>
        <w:spacing w:after="240" w:line="360" w:lineRule="auto"/>
        <w:rPr>
          <w:b/>
          <w:bCs/>
          <w:lang w:val="en-US"/>
        </w:rPr>
      </w:pPr>
    </w:p>
    <w:sectPr w:rsidR="003D6F5F" w:rsidRPr="00811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A69E2"/>
    <w:multiLevelType w:val="multilevel"/>
    <w:tmpl w:val="A314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5C10"/>
    <w:multiLevelType w:val="multilevel"/>
    <w:tmpl w:val="5AB09C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00C5B"/>
    <w:multiLevelType w:val="multilevel"/>
    <w:tmpl w:val="60F0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D7009"/>
    <w:multiLevelType w:val="hybridMultilevel"/>
    <w:tmpl w:val="A09C1E6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CD199B"/>
    <w:multiLevelType w:val="multilevel"/>
    <w:tmpl w:val="F3989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B5EFA"/>
    <w:multiLevelType w:val="multilevel"/>
    <w:tmpl w:val="CBA65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70961"/>
    <w:multiLevelType w:val="multilevel"/>
    <w:tmpl w:val="E8B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B2C4E"/>
    <w:multiLevelType w:val="multilevel"/>
    <w:tmpl w:val="B498AE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566B7"/>
    <w:multiLevelType w:val="multilevel"/>
    <w:tmpl w:val="7252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24049"/>
    <w:multiLevelType w:val="multilevel"/>
    <w:tmpl w:val="C34C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D5B44"/>
    <w:multiLevelType w:val="multilevel"/>
    <w:tmpl w:val="20A23F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F75FF"/>
    <w:multiLevelType w:val="multilevel"/>
    <w:tmpl w:val="313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55084"/>
    <w:multiLevelType w:val="multilevel"/>
    <w:tmpl w:val="17AC80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B21B9"/>
    <w:multiLevelType w:val="multilevel"/>
    <w:tmpl w:val="242C05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06D97"/>
    <w:multiLevelType w:val="multilevel"/>
    <w:tmpl w:val="16A8B2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26766"/>
    <w:multiLevelType w:val="multilevel"/>
    <w:tmpl w:val="99C6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E10A8"/>
    <w:multiLevelType w:val="multilevel"/>
    <w:tmpl w:val="5C66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33446"/>
    <w:multiLevelType w:val="multilevel"/>
    <w:tmpl w:val="305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42A4F"/>
    <w:multiLevelType w:val="multilevel"/>
    <w:tmpl w:val="B62EA4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B2709"/>
    <w:multiLevelType w:val="multilevel"/>
    <w:tmpl w:val="65C6E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F656E"/>
    <w:multiLevelType w:val="multilevel"/>
    <w:tmpl w:val="DB32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55A77"/>
    <w:multiLevelType w:val="multilevel"/>
    <w:tmpl w:val="A4D4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624B9"/>
    <w:multiLevelType w:val="multilevel"/>
    <w:tmpl w:val="1CE031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63375"/>
    <w:multiLevelType w:val="multilevel"/>
    <w:tmpl w:val="B434DC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C4F3E"/>
    <w:multiLevelType w:val="multilevel"/>
    <w:tmpl w:val="62B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71BC9"/>
    <w:multiLevelType w:val="multilevel"/>
    <w:tmpl w:val="680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C71E7F"/>
    <w:multiLevelType w:val="hybridMultilevel"/>
    <w:tmpl w:val="15F82C0A"/>
    <w:lvl w:ilvl="0" w:tplc="3742467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5A5AFF"/>
    <w:multiLevelType w:val="multilevel"/>
    <w:tmpl w:val="4648AF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3A9649E9"/>
    <w:multiLevelType w:val="multilevel"/>
    <w:tmpl w:val="7848C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66FFC"/>
    <w:multiLevelType w:val="multilevel"/>
    <w:tmpl w:val="B08ED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135BD7"/>
    <w:multiLevelType w:val="multilevel"/>
    <w:tmpl w:val="21A03F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615323"/>
    <w:multiLevelType w:val="multilevel"/>
    <w:tmpl w:val="392E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033788"/>
    <w:multiLevelType w:val="multilevel"/>
    <w:tmpl w:val="54FE12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B3319"/>
    <w:multiLevelType w:val="multilevel"/>
    <w:tmpl w:val="26E2FD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BB2726"/>
    <w:multiLevelType w:val="multilevel"/>
    <w:tmpl w:val="1F5A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BE6CB2"/>
    <w:multiLevelType w:val="multilevel"/>
    <w:tmpl w:val="4F2CB3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91735B"/>
    <w:multiLevelType w:val="multilevel"/>
    <w:tmpl w:val="80EC6C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968F8"/>
    <w:multiLevelType w:val="multilevel"/>
    <w:tmpl w:val="A354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5D580B"/>
    <w:multiLevelType w:val="multilevel"/>
    <w:tmpl w:val="C57222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FC215F"/>
    <w:multiLevelType w:val="multilevel"/>
    <w:tmpl w:val="E28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516005"/>
    <w:multiLevelType w:val="multilevel"/>
    <w:tmpl w:val="C87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F27805"/>
    <w:multiLevelType w:val="multilevel"/>
    <w:tmpl w:val="6B48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442E33"/>
    <w:multiLevelType w:val="multilevel"/>
    <w:tmpl w:val="3DF68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C76C55"/>
    <w:multiLevelType w:val="multilevel"/>
    <w:tmpl w:val="81C4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843C07"/>
    <w:multiLevelType w:val="multilevel"/>
    <w:tmpl w:val="247895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D87F8E"/>
    <w:multiLevelType w:val="multilevel"/>
    <w:tmpl w:val="848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0E0FF1"/>
    <w:multiLevelType w:val="multilevel"/>
    <w:tmpl w:val="6ECC1E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BC2EC9"/>
    <w:multiLevelType w:val="multilevel"/>
    <w:tmpl w:val="0F3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52427E"/>
    <w:multiLevelType w:val="multilevel"/>
    <w:tmpl w:val="61F680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FF1142"/>
    <w:multiLevelType w:val="multilevel"/>
    <w:tmpl w:val="8482F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DE4A51"/>
    <w:multiLevelType w:val="multilevel"/>
    <w:tmpl w:val="AB02E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FF2AC4"/>
    <w:multiLevelType w:val="multilevel"/>
    <w:tmpl w:val="A34AD7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062C8D"/>
    <w:multiLevelType w:val="multilevel"/>
    <w:tmpl w:val="B91631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8D009B"/>
    <w:multiLevelType w:val="multilevel"/>
    <w:tmpl w:val="F0BE30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8D5271"/>
    <w:multiLevelType w:val="multilevel"/>
    <w:tmpl w:val="094AA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45712F"/>
    <w:multiLevelType w:val="multilevel"/>
    <w:tmpl w:val="EE7487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0851E3"/>
    <w:multiLevelType w:val="multilevel"/>
    <w:tmpl w:val="4C40A5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810140"/>
    <w:multiLevelType w:val="multilevel"/>
    <w:tmpl w:val="447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7152AC"/>
    <w:multiLevelType w:val="multilevel"/>
    <w:tmpl w:val="8DD4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941216"/>
    <w:multiLevelType w:val="multilevel"/>
    <w:tmpl w:val="0D46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853219"/>
    <w:multiLevelType w:val="multilevel"/>
    <w:tmpl w:val="5A4C74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10752820">
    <w:abstractNumId w:val="0"/>
  </w:num>
  <w:num w:numId="2" w16cid:durableId="1221287045">
    <w:abstractNumId w:val="43"/>
  </w:num>
  <w:num w:numId="3" w16cid:durableId="706878854">
    <w:abstractNumId w:val="16"/>
  </w:num>
  <w:num w:numId="4" w16cid:durableId="581455577">
    <w:abstractNumId w:val="39"/>
  </w:num>
  <w:num w:numId="5" w16cid:durableId="938609065">
    <w:abstractNumId w:val="17"/>
  </w:num>
  <w:num w:numId="6" w16cid:durableId="442312704">
    <w:abstractNumId w:val="31"/>
  </w:num>
  <w:num w:numId="7" w16cid:durableId="1166674642">
    <w:abstractNumId w:val="29"/>
  </w:num>
  <w:num w:numId="8" w16cid:durableId="1243294602">
    <w:abstractNumId w:val="28"/>
  </w:num>
  <w:num w:numId="9" w16cid:durableId="1699356393">
    <w:abstractNumId w:val="10"/>
  </w:num>
  <w:num w:numId="10" w16cid:durableId="111632582">
    <w:abstractNumId w:val="13"/>
  </w:num>
  <w:num w:numId="11" w16cid:durableId="819469941">
    <w:abstractNumId w:val="42"/>
  </w:num>
  <w:num w:numId="12" w16cid:durableId="2037000390">
    <w:abstractNumId w:val="24"/>
  </w:num>
  <w:num w:numId="13" w16cid:durableId="829558948">
    <w:abstractNumId w:val="59"/>
  </w:num>
  <w:num w:numId="14" w16cid:durableId="1583295346">
    <w:abstractNumId w:val="19"/>
  </w:num>
  <w:num w:numId="15" w16cid:durableId="1173954935">
    <w:abstractNumId w:val="8"/>
  </w:num>
  <w:num w:numId="16" w16cid:durableId="347874604">
    <w:abstractNumId w:val="6"/>
  </w:num>
  <w:num w:numId="17" w16cid:durableId="430585650">
    <w:abstractNumId w:val="47"/>
  </w:num>
  <w:num w:numId="18" w16cid:durableId="1537427131">
    <w:abstractNumId w:val="37"/>
  </w:num>
  <w:num w:numId="19" w16cid:durableId="1976443199">
    <w:abstractNumId w:val="52"/>
  </w:num>
  <w:num w:numId="20" w16cid:durableId="1505126808">
    <w:abstractNumId w:val="15"/>
  </w:num>
  <w:num w:numId="21" w16cid:durableId="841899060">
    <w:abstractNumId w:val="40"/>
  </w:num>
  <w:num w:numId="22" w16cid:durableId="1250193848">
    <w:abstractNumId w:val="49"/>
  </w:num>
  <w:num w:numId="23" w16cid:durableId="1932394789">
    <w:abstractNumId w:val="53"/>
  </w:num>
  <w:num w:numId="24" w16cid:durableId="67267406">
    <w:abstractNumId w:val="18"/>
  </w:num>
  <w:num w:numId="25" w16cid:durableId="1080254200">
    <w:abstractNumId w:val="45"/>
  </w:num>
  <w:num w:numId="26" w16cid:durableId="229654562">
    <w:abstractNumId w:val="14"/>
  </w:num>
  <w:num w:numId="27" w16cid:durableId="1021320302">
    <w:abstractNumId w:val="4"/>
  </w:num>
  <w:num w:numId="28" w16cid:durableId="1867255610">
    <w:abstractNumId w:val="38"/>
  </w:num>
  <w:num w:numId="29" w16cid:durableId="886454003">
    <w:abstractNumId w:val="30"/>
  </w:num>
  <w:num w:numId="30" w16cid:durableId="668604766">
    <w:abstractNumId w:val="34"/>
  </w:num>
  <w:num w:numId="31" w16cid:durableId="1108089471">
    <w:abstractNumId w:val="60"/>
  </w:num>
  <w:num w:numId="32" w16cid:durableId="1263029372">
    <w:abstractNumId w:val="20"/>
  </w:num>
  <w:num w:numId="33" w16cid:durableId="518086605">
    <w:abstractNumId w:val="2"/>
  </w:num>
  <w:num w:numId="34" w16cid:durableId="617639459">
    <w:abstractNumId w:val="58"/>
  </w:num>
  <w:num w:numId="35" w16cid:durableId="1843083065">
    <w:abstractNumId w:val="9"/>
  </w:num>
  <w:num w:numId="36" w16cid:durableId="1605452466">
    <w:abstractNumId w:val="25"/>
  </w:num>
  <w:num w:numId="37" w16cid:durableId="644042377">
    <w:abstractNumId w:val="57"/>
  </w:num>
  <w:num w:numId="38" w16cid:durableId="1965498213">
    <w:abstractNumId w:val="11"/>
  </w:num>
  <w:num w:numId="39" w16cid:durableId="1586497671">
    <w:abstractNumId w:val="21"/>
  </w:num>
  <w:num w:numId="40" w16cid:durableId="1435709894">
    <w:abstractNumId w:val="36"/>
  </w:num>
  <w:num w:numId="41" w16cid:durableId="406659339">
    <w:abstractNumId w:val="27"/>
  </w:num>
  <w:num w:numId="42" w16cid:durableId="802842647">
    <w:abstractNumId w:val="12"/>
  </w:num>
  <w:num w:numId="43" w16cid:durableId="58553457">
    <w:abstractNumId w:val="54"/>
  </w:num>
  <w:num w:numId="44" w16cid:durableId="875199382">
    <w:abstractNumId w:val="48"/>
  </w:num>
  <w:num w:numId="45" w16cid:durableId="475666">
    <w:abstractNumId w:val="55"/>
  </w:num>
  <w:num w:numId="46" w16cid:durableId="889923794">
    <w:abstractNumId w:val="46"/>
  </w:num>
  <w:num w:numId="47" w16cid:durableId="1748334177">
    <w:abstractNumId w:val="22"/>
  </w:num>
  <w:num w:numId="48" w16cid:durableId="1818258964">
    <w:abstractNumId w:val="32"/>
  </w:num>
  <w:num w:numId="49" w16cid:durableId="689919369">
    <w:abstractNumId w:val="33"/>
  </w:num>
  <w:num w:numId="50" w16cid:durableId="1297301384">
    <w:abstractNumId w:val="23"/>
  </w:num>
  <w:num w:numId="51" w16cid:durableId="1740130728">
    <w:abstractNumId w:val="1"/>
  </w:num>
  <w:num w:numId="52" w16cid:durableId="461113503">
    <w:abstractNumId w:val="50"/>
  </w:num>
  <w:num w:numId="53" w16cid:durableId="985087582">
    <w:abstractNumId w:val="56"/>
  </w:num>
  <w:num w:numId="54" w16cid:durableId="1169054510">
    <w:abstractNumId w:val="41"/>
  </w:num>
  <w:num w:numId="55" w16cid:durableId="128011785">
    <w:abstractNumId w:val="3"/>
  </w:num>
  <w:num w:numId="56" w16cid:durableId="94634541">
    <w:abstractNumId w:val="26"/>
  </w:num>
  <w:num w:numId="57" w16cid:durableId="711803771">
    <w:abstractNumId w:val="7"/>
  </w:num>
  <w:num w:numId="58" w16cid:durableId="1973436017">
    <w:abstractNumId w:val="51"/>
  </w:num>
  <w:num w:numId="59" w16cid:durableId="2125269919">
    <w:abstractNumId w:val="44"/>
  </w:num>
  <w:num w:numId="60" w16cid:durableId="1507133625">
    <w:abstractNumId w:val="5"/>
  </w:num>
  <w:num w:numId="61" w16cid:durableId="61081719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8D"/>
    <w:rsid w:val="000034B1"/>
    <w:rsid w:val="000046A5"/>
    <w:rsid w:val="00012117"/>
    <w:rsid w:val="000147A9"/>
    <w:rsid w:val="00042755"/>
    <w:rsid w:val="00055964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137E5"/>
    <w:rsid w:val="00121A80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0306"/>
    <w:rsid w:val="00243CED"/>
    <w:rsid w:val="00247BCC"/>
    <w:rsid w:val="00257540"/>
    <w:rsid w:val="0026510F"/>
    <w:rsid w:val="0028028D"/>
    <w:rsid w:val="0028741A"/>
    <w:rsid w:val="00291F37"/>
    <w:rsid w:val="0029568E"/>
    <w:rsid w:val="00297C6E"/>
    <w:rsid w:val="002A4EA8"/>
    <w:rsid w:val="002B3377"/>
    <w:rsid w:val="002C38C0"/>
    <w:rsid w:val="002C6D8B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95105"/>
    <w:rsid w:val="003A1271"/>
    <w:rsid w:val="003A398D"/>
    <w:rsid w:val="003A5DF7"/>
    <w:rsid w:val="003B1F95"/>
    <w:rsid w:val="003B3510"/>
    <w:rsid w:val="003B6520"/>
    <w:rsid w:val="003C116C"/>
    <w:rsid w:val="003D0CDD"/>
    <w:rsid w:val="003D6F5F"/>
    <w:rsid w:val="003D710F"/>
    <w:rsid w:val="003E1CAA"/>
    <w:rsid w:val="0040210F"/>
    <w:rsid w:val="00412F9B"/>
    <w:rsid w:val="004222FD"/>
    <w:rsid w:val="004319FA"/>
    <w:rsid w:val="00442F56"/>
    <w:rsid w:val="0044616D"/>
    <w:rsid w:val="004656AC"/>
    <w:rsid w:val="00474DD1"/>
    <w:rsid w:val="004751B5"/>
    <w:rsid w:val="0048097D"/>
    <w:rsid w:val="004816F7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1130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7702"/>
    <w:rsid w:val="005F33FC"/>
    <w:rsid w:val="00605F8E"/>
    <w:rsid w:val="00613954"/>
    <w:rsid w:val="006159E0"/>
    <w:rsid w:val="00622488"/>
    <w:rsid w:val="006350B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15C1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378C7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3A77"/>
    <w:rsid w:val="00B651D9"/>
    <w:rsid w:val="00B67231"/>
    <w:rsid w:val="00B73742"/>
    <w:rsid w:val="00B8622A"/>
    <w:rsid w:val="00B914E6"/>
    <w:rsid w:val="00B95747"/>
    <w:rsid w:val="00BC4186"/>
    <w:rsid w:val="00BC5F25"/>
    <w:rsid w:val="00BD1450"/>
    <w:rsid w:val="00BD7714"/>
    <w:rsid w:val="00BD7C9B"/>
    <w:rsid w:val="00BE07C8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31F1B"/>
    <w:rsid w:val="00E4366A"/>
    <w:rsid w:val="00E438AC"/>
    <w:rsid w:val="00E51987"/>
    <w:rsid w:val="00E5689E"/>
    <w:rsid w:val="00E60DF5"/>
    <w:rsid w:val="00E64DD3"/>
    <w:rsid w:val="00E80D33"/>
    <w:rsid w:val="00E9484C"/>
    <w:rsid w:val="00E95D8D"/>
    <w:rsid w:val="00EA6ED5"/>
    <w:rsid w:val="00EB7051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5C49"/>
    <w:rsid w:val="00FC6A56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9595495"/>
  <w15:chartTrackingRefBased/>
  <w15:docId w15:val="{8D4BFF69-D89D-2C4C-A4EB-8B2BEF44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52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9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39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39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9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9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9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9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98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A398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A398D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A398D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3A398D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98D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98D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98D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98D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A39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98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9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98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A39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98D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A3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98D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A398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78C7"/>
    <w:rPr>
      <w:b/>
      <w:bCs/>
    </w:rPr>
  </w:style>
  <w:style w:type="character" w:styleId="Emphasis">
    <w:name w:val="Emphasis"/>
    <w:basedOn w:val="DefaultParagraphFont"/>
    <w:uiPriority w:val="20"/>
    <w:qFormat/>
    <w:rsid w:val="009378C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378C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240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20</Pages>
  <Words>4194</Words>
  <Characters>23906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9</cp:revision>
  <dcterms:created xsi:type="dcterms:W3CDTF">2025-02-17T10:22:00Z</dcterms:created>
  <dcterms:modified xsi:type="dcterms:W3CDTF">2025-02-17T15:37:00Z</dcterms:modified>
</cp:coreProperties>
</file>