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AD7BD9" w14:textId="77777777" w:rsidR="00FA3C91" w:rsidRPr="00B652FC" w:rsidRDefault="00FA3C91" w:rsidP="00B652FC">
      <w:pPr>
        <w:spacing w:before="100" w:beforeAutospacing="1" w:after="100" w:afterAutospacing="1" w:line="360" w:lineRule="auto"/>
        <w:outlineLvl w:val="2"/>
        <w:rPr>
          <w:rFonts w:ascii="Times New Roman" w:hAnsi="Times New Roman"/>
          <w:b/>
          <w:bCs/>
          <w:lang w:val="en-HK"/>
        </w:rPr>
      </w:pPr>
      <w:r w:rsidRPr="00B652FC">
        <w:rPr>
          <w:rFonts w:ascii="Times New Roman" w:hAnsi="Times New Roman"/>
          <w:b/>
          <w:bCs/>
          <w:lang w:val="en-HK"/>
        </w:rPr>
        <w:t>I. The Rule in Clayton’s Case and its Criticisms</w:t>
      </w:r>
    </w:p>
    <w:p w14:paraId="4774E9C8" w14:textId="77777777" w:rsidR="00FA3C91" w:rsidRPr="00B652FC" w:rsidRDefault="00FA3C91" w:rsidP="00B652FC">
      <w:pPr>
        <w:spacing w:before="100" w:beforeAutospacing="1" w:after="100" w:afterAutospacing="1" w:line="360" w:lineRule="auto"/>
        <w:outlineLvl w:val="3"/>
        <w:rPr>
          <w:rFonts w:ascii="Times New Roman" w:hAnsi="Times New Roman"/>
          <w:b/>
          <w:bCs/>
          <w:lang w:val="en-HK"/>
        </w:rPr>
      </w:pPr>
      <w:r w:rsidRPr="00B652FC">
        <w:rPr>
          <w:rFonts w:ascii="Times New Roman" w:hAnsi="Times New Roman"/>
          <w:b/>
          <w:bCs/>
          <w:lang w:val="en-HK"/>
        </w:rPr>
        <w:t>1. Origin and Explanation of the Rule</w:t>
      </w:r>
    </w:p>
    <w:p w14:paraId="6B396F1A"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The </w:t>
      </w:r>
      <w:r w:rsidRPr="00B652FC">
        <w:rPr>
          <w:rFonts w:ascii="Times New Roman" w:hAnsi="Times New Roman"/>
          <w:b/>
          <w:bCs/>
          <w:lang w:val="en-HK"/>
        </w:rPr>
        <w:t>rule in Clayton’s Case</w:t>
      </w:r>
      <w:r w:rsidRPr="00B652FC">
        <w:rPr>
          <w:rFonts w:ascii="Times New Roman" w:hAnsi="Times New Roman"/>
          <w:lang w:val="en-HK"/>
        </w:rPr>
        <w:t xml:space="preserve"> originates from </w:t>
      </w:r>
      <w:proofErr w:type="spellStart"/>
      <w:r w:rsidRPr="00B652FC">
        <w:rPr>
          <w:rFonts w:ascii="Times New Roman" w:hAnsi="Times New Roman"/>
          <w:b/>
          <w:bCs/>
          <w:lang w:val="en-HK"/>
        </w:rPr>
        <w:t>Devaynes</w:t>
      </w:r>
      <w:proofErr w:type="spellEnd"/>
      <w:r w:rsidRPr="00B652FC">
        <w:rPr>
          <w:rFonts w:ascii="Times New Roman" w:hAnsi="Times New Roman"/>
          <w:b/>
          <w:bCs/>
          <w:lang w:val="en-HK"/>
        </w:rPr>
        <w:t xml:space="preserve"> v Noble (1816) 1 Mer 572; 35 ER 781</w:t>
      </w:r>
      <w:r w:rsidRPr="00B652FC">
        <w:rPr>
          <w:rFonts w:ascii="Times New Roman" w:hAnsi="Times New Roman"/>
          <w:lang w:val="en-HK"/>
        </w:rPr>
        <w:t xml:space="preserve">, a seminal decision in English banking law. It establishes the </w:t>
      </w:r>
      <w:r w:rsidRPr="00B652FC">
        <w:rPr>
          <w:rFonts w:ascii="Times New Roman" w:hAnsi="Times New Roman"/>
          <w:b/>
          <w:bCs/>
          <w:lang w:val="en-HK"/>
        </w:rPr>
        <w:t>“first in, first out” (FIFO) rule</w:t>
      </w:r>
      <w:r w:rsidRPr="00B652FC">
        <w:rPr>
          <w:rFonts w:ascii="Times New Roman" w:hAnsi="Times New Roman"/>
          <w:lang w:val="en-HK"/>
        </w:rPr>
        <w:t xml:space="preserve">, which presumes that </w:t>
      </w:r>
      <w:r w:rsidRPr="00B652FC">
        <w:rPr>
          <w:rFonts w:ascii="Times New Roman" w:hAnsi="Times New Roman"/>
          <w:b/>
          <w:bCs/>
          <w:lang w:val="en-HK"/>
        </w:rPr>
        <w:t>withdrawals from a mixed fund are attributed to the earliest deposits first</w:t>
      </w:r>
      <w:r w:rsidRPr="00B652FC">
        <w:rPr>
          <w:rFonts w:ascii="Times New Roman" w:hAnsi="Times New Roman"/>
          <w:lang w:val="en-HK"/>
        </w:rPr>
        <w:t xml:space="preserve">. This method is primarily concerned with the </w:t>
      </w:r>
      <w:r w:rsidRPr="00B652FC">
        <w:rPr>
          <w:rFonts w:ascii="Times New Roman" w:hAnsi="Times New Roman"/>
          <w:b/>
          <w:bCs/>
          <w:lang w:val="en-HK"/>
        </w:rPr>
        <w:t>order of transactions</w:t>
      </w:r>
      <w:r w:rsidRPr="00B652FC">
        <w:rPr>
          <w:rFonts w:ascii="Times New Roman" w:hAnsi="Times New Roman"/>
          <w:lang w:val="en-HK"/>
        </w:rPr>
        <w:t xml:space="preserve"> rather than the </w:t>
      </w:r>
      <w:r w:rsidRPr="00B652FC">
        <w:rPr>
          <w:rFonts w:ascii="Times New Roman" w:hAnsi="Times New Roman"/>
          <w:b/>
          <w:bCs/>
          <w:lang w:val="en-HK"/>
        </w:rPr>
        <w:t>nature of proprietary rights</w:t>
      </w:r>
      <w:r w:rsidRPr="00B652FC">
        <w:rPr>
          <w:rFonts w:ascii="Times New Roman" w:hAnsi="Times New Roman"/>
          <w:lang w:val="en-HK"/>
        </w:rPr>
        <w:t>.</w:t>
      </w:r>
    </w:p>
    <w:p w14:paraId="1568234C"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In </w:t>
      </w:r>
      <w:r w:rsidRPr="00B652FC">
        <w:rPr>
          <w:rFonts w:ascii="Times New Roman" w:hAnsi="Times New Roman"/>
          <w:b/>
          <w:bCs/>
          <w:lang w:val="en-HK"/>
        </w:rPr>
        <w:t>banking and trust contexts</w:t>
      </w:r>
      <w:r w:rsidRPr="00B652FC">
        <w:rPr>
          <w:rFonts w:ascii="Times New Roman" w:hAnsi="Times New Roman"/>
          <w:lang w:val="en-HK"/>
        </w:rPr>
        <w:t xml:space="preserve">, the rule applies when funds from </w:t>
      </w:r>
      <w:r w:rsidRPr="00B652FC">
        <w:rPr>
          <w:rFonts w:ascii="Times New Roman" w:hAnsi="Times New Roman"/>
          <w:b/>
          <w:bCs/>
          <w:lang w:val="en-HK"/>
        </w:rPr>
        <w:t>multiple claimants</w:t>
      </w:r>
      <w:r w:rsidRPr="00B652FC">
        <w:rPr>
          <w:rFonts w:ascii="Times New Roman" w:hAnsi="Times New Roman"/>
          <w:lang w:val="en-HK"/>
        </w:rPr>
        <w:t xml:space="preserve"> are deposited into a single account, and later withdrawals deplete the account. If a </w:t>
      </w:r>
      <w:r w:rsidRPr="00B652FC">
        <w:rPr>
          <w:rFonts w:ascii="Times New Roman" w:hAnsi="Times New Roman"/>
          <w:b/>
          <w:bCs/>
          <w:lang w:val="en-HK"/>
        </w:rPr>
        <w:t>defaulting trustee or fiduciary commingles funds from multiple beneficiaries</w:t>
      </w:r>
      <w:r w:rsidRPr="00B652FC">
        <w:rPr>
          <w:rFonts w:ascii="Times New Roman" w:hAnsi="Times New Roman"/>
          <w:lang w:val="en-HK"/>
        </w:rPr>
        <w:t xml:space="preserve">, Clayton’s rule dictates that the </w:t>
      </w:r>
      <w:r w:rsidRPr="00B652FC">
        <w:rPr>
          <w:rFonts w:ascii="Times New Roman" w:hAnsi="Times New Roman"/>
          <w:b/>
          <w:bCs/>
          <w:lang w:val="en-HK"/>
        </w:rPr>
        <w:t>earliest beneficiaries bear the first losses</w:t>
      </w:r>
      <w:r w:rsidRPr="00B652FC">
        <w:rPr>
          <w:rFonts w:ascii="Times New Roman" w:hAnsi="Times New Roman"/>
          <w:lang w:val="en-HK"/>
        </w:rPr>
        <w:t xml:space="preserve"> because their funds are presumed to be </w:t>
      </w:r>
      <w:r w:rsidRPr="00B652FC">
        <w:rPr>
          <w:rFonts w:ascii="Times New Roman" w:hAnsi="Times New Roman"/>
          <w:b/>
          <w:bCs/>
          <w:lang w:val="en-HK"/>
        </w:rPr>
        <w:t>withdrawn first</w:t>
      </w:r>
      <w:r w:rsidRPr="00B652FC">
        <w:rPr>
          <w:rFonts w:ascii="Times New Roman" w:hAnsi="Times New Roman"/>
          <w:lang w:val="en-HK"/>
        </w:rPr>
        <w:t>.</w:t>
      </w:r>
    </w:p>
    <w:p w14:paraId="571ECED5"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This rule has historically been applied in cases involving </w:t>
      </w:r>
      <w:r w:rsidRPr="00B652FC">
        <w:rPr>
          <w:rFonts w:ascii="Times New Roman" w:hAnsi="Times New Roman"/>
          <w:b/>
          <w:bCs/>
          <w:lang w:val="en-HK"/>
        </w:rPr>
        <w:t>creditor-debtor relationships between bankers and customers</w:t>
      </w:r>
      <w:r w:rsidRPr="00B652FC">
        <w:rPr>
          <w:rFonts w:ascii="Times New Roman" w:hAnsi="Times New Roman"/>
          <w:lang w:val="en-HK"/>
        </w:rPr>
        <w:t xml:space="preserve">, where it determined which debts were repaid first. However, its </w:t>
      </w:r>
      <w:r w:rsidRPr="00B652FC">
        <w:rPr>
          <w:rFonts w:ascii="Times New Roman" w:hAnsi="Times New Roman"/>
          <w:b/>
          <w:bCs/>
          <w:lang w:val="en-HK"/>
        </w:rPr>
        <w:t>application to trust funds and mixed claims has been widely challenged</w:t>
      </w:r>
      <w:r w:rsidRPr="00B652FC">
        <w:rPr>
          <w:rFonts w:ascii="Times New Roman" w:hAnsi="Times New Roman"/>
          <w:lang w:val="en-HK"/>
        </w:rPr>
        <w:t xml:space="preserve"> due to its </w:t>
      </w:r>
      <w:r w:rsidRPr="00B652FC">
        <w:rPr>
          <w:rFonts w:ascii="Times New Roman" w:hAnsi="Times New Roman"/>
          <w:b/>
          <w:bCs/>
          <w:lang w:val="en-HK"/>
        </w:rPr>
        <w:t>arbitrariness and failure to recognize equitable principles</w:t>
      </w:r>
      <w:r w:rsidRPr="00B652FC">
        <w:rPr>
          <w:rFonts w:ascii="Times New Roman" w:hAnsi="Times New Roman"/>
          <w:lang w:val="en-HK"/>
        </w:rPr>
        <w:t>.</w:t>
      </w:r>
    </w:p>
    <w:p w14:paraId="53F1B25F" w14:textId="77777777" w:rsidR="00FA3C91" w:rsidRPr="00B652FC" w:rsidRDefault="00FA3C91" w:rsidP="00B652FC">
      <w:pPr>
        <w:spacing w:before="100" w:beforeAutospacing="1" w:after="100" w:afterAutospacing="1" w:line="360" w:lineRule="auto"/>
        <w:outlineLvl w:val="3"/>
        <w:rPr>
          <w:rFonts w:ascii="Times New Roman" w:hAnsi="Times New Roman"/>
          <w:b/>
          <w:bCs/>
          <w:lang w:val="en-HK"/>
        </w:rPr>
      </w:pPr>
      <w:r w:rsidRPr="00B652FC">
        <w:rPr>
          <w:rFonts w:ascii="Times New Roman" w:hAnsi="Times New Roman"/>
          <w:b/>
          <w:bCs/>
          <w:lang w:val="en-HK"/>
        </w:rPr>
        <w:t>2. Application of Clayton’s Rule in Tracing Claims</w:t>
      </w:r>
    </w:p>
    <w:p w14:paraId="7A54BD0D"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In cases where </w:t>
      </w:r>
      <w:r w:rsidRPr="00B652FC">
        <w:rPr>
          <w:rFonts w:ascii="Times New Roman" w:hAnsi="Times New Roman"/>
          <w:b/>
          <w:bCs/>
          <w:lang w:val="en-HK"/>
        </w:rPr>
        <w:t>multiple claimants assert equitable proprietary rights over a depleted fund</w:t>
      </w:r>
      <w:r w:rsidRPr="00B652FC">
        <w:rPr>
          <w:rFonts w:ascii="Times New Roman" w:hAnsi="Times New Roman"/>
          <w:lang w:val="en-HK"/>
        </w:rPr>
        <w:t xml:space="preserve">, Clayton’s rule operates </w:t>
      </w:r>
      <w:r w:rsidRPr="00B652FC">
        <w:rPr>
          <w:rFonts w:ascii="Times New Roman" w:hAnsi="Times New Roman"/>
          <w:b/>
          <w:bCs/>
          <w:lang w:val="en-HK"/>
        </w:rPr>
        <w:t>to the detriment of earlier contributors</w:t>
      </w:r>
      <w:r w:rsidRPr="00B652FC">
        <w:rPr>
          <w:rFonts w:ascii="Times New Roman" w:hAnsi="Times New Roman"/>
          <w:lang w:val="en-HK"/>
        </w:rPr>
        <w:t>. Consider the example in the article:</w:t>
      </w:r>
    </w:p>
    <w:p w14:paraId="1FE5940F" w14:textId="77777777" w:rsidR="00FA3C91" w:rsidRPr="00B652FC" w:rsidRDefault="00FA3C91" w:rsidP="00B652FC">
      <w:pPr>
        <w:numPr>
          <w:ilvl w:val="0"/>
          <w:numId w:val="1"/>
        </w:num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A trustee misappropriates </w:t>
      </w:r>
      <w:r w:rsidRPr="00B652FC">
        <w:rPr>
          <w:rFonts w:ascii="Times New Roman" w:hAnsi="Times New Roman"/>
          <w:b/>
          <w:bCs/>
          <w:lang w:val="en-HK"/>
        </w:rPr>
        <w:t>£1,000 from Trust A</w:t>
      </w:r>
      <w:r w:rsidRPr="00B652FC">
        <w:rPr>
          <w:rFonts w:ascii="Times New Roman" w:hAnsi="Times New Roman"/>
          <w:lang w:val="en-HK"/>
        </w:rPr>
        <w:t xml:space="preserve"> and </w:t>
      </w:r>
      <w:r w:rsidRPr="00B652FC">
        <w:rPr>
          <w:rFonts w:ascii="Times New Roman" w:hAnsi="Times New Roman"/>
          <w:b/>
          <w:bCs/>
          <w:lang w:val="en-HK"/>
        </w:rPr>
        <w:t>£1,000 from Trust B</w:t>
      </w:r>
      <w:r w:rsidRPr="00B652FC">
        <w:rPr>
          <w:rFonts w:ascii="Times New Roman" w:hAnsi="Times New Roman"/>
          <w:lang w:val="en-HK"/>
        </w:rPr>
        <w:t>, depositing them sequentially into a personal bank account.</w:t>
      </w:r>
    </w:p>
    <w:p w14:paraId="456DD259" w14:textId="77777777" w:rsidR="00FA3C91" w:rsidRPr="00B652FC" w:rsidRDefault="00FA3C91" w:rsidP="00B652FC">
      <w:pPr>
        <w:numPr>
          <w:ilvl w:val="0"/>
          <w:numId w:val="1"/>
        </w:num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The trustee </w:t>
      </w:r>
      <w:r w:rsidRPr="00B652FC">
        <w:rPr>
          <w:rFonts w:ascii="Times New Roman" w:hAnsi="Times New Roman"/>
          <w:b/>
          <w:bCs/>
          <w:lang w:val="en-HK"/>
        </w:rPr>
        <w:t>dissipates £1,000</w:t>
      </w:r>
      <w:r w:rsidRPr="00B652FC">
        <w:rPr>
          <w:rFonts w:ascii="Times New Roman" w:hAnsi="Times New Roman"/>
          <w:lang w:val="en-HK"/>
        </w:rPr>
        <w:t xml:space="preserve">, then </w:t>
      </w:r>
      <w:r w:rsidRPr="00B652FC">
        <w:rPr>
          <w:rFonts w:ascii="Times New Roman" w:hAnsi="Times New Roman"/>
          <w:b/>
          <w:bCs/>
          <w:lang w:val="en-HK"/>
        </w:rPr>
        <w:t>misappropriates £1,000 from Trust C</w:t>
      </w:r>
      <w:r w:rsidRPr="00B652FC">
        <w:rPr>
          <w:rFonts w:ascii="Times New Roman" w:hAnsi="Times New Roman"/>
          <w:lang w:val="en-HK"/>
        </w:rPr>
        <w:t xml:space="preserve"> and deposits it into the same account.</w:t>
      </w:r>
    </w:p>
    <w:p w14:paraId="212B8470" w14:textId="77777777" w:rsidR="00FA3C91" w:rsidRPr="00B652FC" w:rsidRDefault="00FA3C91" w:rsidP="00B652FC">
      <w:pPr>
        <w:numPr>
          <w:ilvl w:val="0"/>
          <w:numId w:val="1"/>
        </w:num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Another </w:t>
      </w:r>
      <w:r w:rsidRPr="00B652FC">
        <w:rPr>
          <w:rFonts w:ascii="Times New Roman" w:hAnsi="Times New Roman"/>
          <w:b/>
          <w:bCs/>
          <w:lang w:val="en-HK"/>
        </w:rPr>
        <w:t>£200 is withdrawn</w:t>
      </w:r>
      <w:r w:rsidRPr="00B652FC">
        <w:rPr>
          <w:rFonts w:ascii="Times New Roman" w:hAnsi="Times New Roman"/>
          <w:lang w:val="en-HK"/>
        </w:rPr>
        <w:t xml:space="preserve">, leaving </w:t>
      </w:r>
      <w:r w:rsidRPr="00B652FC">
        <w:rPr>
          <w:rFonts w:ascii="Times New Roman" w:hAnsi="Times New Roman"/>
          <w:b/>
          <w:bCs/>
          <w:lang w:val="en-HK"/>
        </w:rPr>
        <w:t>£1,800</w:t>
      </w:r>
      <w:r w:rsidRPr="00B652FC">
        <w:rPr>
          <w:rFonts w:ascii="Times New Roman" w:hAnsi="Times New Roman"/>
          <w:lang w:val="en-HK"/>
        </w:rPr>
        <w:t xml:space="preserve"> in the account.</w:t>
      </w:r>
    </w:p>
    <w:p w14:paraId="1D8489F1"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Under Clayton’s rule:</w:t>
      </w:r>
    </w:p>
    <w:p w14:paraId="00ACA072" w14:textId="77777777" w:rsidR="00FA3C91" w:rsidRPr="00B652FC" w:rsidRDefault="00FA3C91" w:rsidP="00B652FC">
      <w:pPr>
        <w:numPr>
          <w:ilvl w:val="0"/>
          <w:numId w:val="2"/>
        </w:numPr>
        <w:spacing w:before="100" w:beforeAutospacing="1" w:after="100" w:afterAutospacing="1" w:line="360" w:lineRule="auto"/>
        <w:rPr>
          <w:rFonts w:ascii="Times New Roman" w:hAnsi="Times New Roman"/>
          <w:lang w:val="en-HK"/>
        </w:rPr>
      </w:pPr>
      <w:r w:rsidRPr="00B652FC">
        <w:rPr>
          <w:rFonts w:ascii="Times New Roman" w:hAnsi="Times New Roman"/>
          <w:lang w:val="en-HK"/>
        </w:rPr>
        <w:lastRenderedPageBreak/>
        <w:t xml:space="preserve">The </w:t>
      </w:r>
      <w:r w:rsidRPr="00B652FC">
        <w:rPr>
          <w:rFonts w:ascii="Times New Roman" w:hAnsi="Times New Roman"/>
          <w:b/>
          <w:bCs/>
          <w:lang w:val="en-HK"/>
        </w:rPr>
        <w:t>£1,000 withdrawn first is attributed entirely to Trust A</w:t>
      </w:r>
      <w:r w:rsidRPr="00B652FC">
        <w:rPr>
          <w:rFonts w:ascii="Times New Roman" w:hAnsi="Times New Roman"/>
          <w:lang w:val="en-HK"/>
        </w:rPr>
        <w:t xml:space="preserve">, meaning </w:t>
      </w:r>
      <w:r w:rsidRPr="00B652FC">
        <w:rPr>
          <w:rFonts w:ascii="Times New Roman" w:hAnsi="Times New Roman"/>
          <w:b/>
          <w:bCs/>
          <w:lang w:val="en-HK"/>
        </w:rPr>
        <w:t>A recovers nothing</w:t>
      </w:r>
      <w:r w:rsidRPr="00B652FC">
        <w:rPr>
          <w:rFonts w:ascii="Times New Roman" w:hAnsi="Times New Roman"/>
          <w:lang w:val="en-HK"/>
        </w:rPr>
        <w:t>.</w:t>
      </w:r>
    </w:p>
    <w:p w14:paraId="7993EA3C" w14:textId="77777777" w:rsidR="00FA3C91" w:rsidRPr="00B652FC" w:rsidRDefault="00FA3C91" w:rsidP="00B652FC">
      <w:pPr>
        <w:numPr>
          <w:ilvl w:val="0"/>
          <w:numId w:val="2"/>
        </w:num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The </w:t>
      </w:r>
      <w:r w:rsidRPr="00B652FC">
        <w:rPr>
          <w:rFonts w:ascii="Times New Roman" w:hAnsi="Times New Roman"/>
          <w:b/>
          <w:bCs/>
          <w:lang w:val="en-HK"/>
        </w:rPr>
        <w:t>next £200 is attributed to Trust B</w:t>
      </w:r>
      <w:r w:rsidRPr="00B652FC">
        <w:rPr>
          <w:rFonts w:ascii="Times New Roman" w:hAnsi="Times New Roman"/>
          <w:lang w:val="en-HK"/>
        </w:rPr>
        <w:t xml:space="preserve">, leaving </w:t>
      </w:r>
      <w:r w:rsidRPr="00B652FC">
        <w:rPr>
          <w:rFonts w:ascii="Times New Roman" w:hAnsi="Times New Roman"/>
          <w:b/>
          <w:bCs/>
          <w:lang w:val="en-HK"/>
        </w:rPr>
        <w:t>B with a recoverable balance of only £800</w:t>
      </w:r>
      <w:r w:rsidRPr="00B652FC">
        <w:rPr>
          <w:rFonts w:ascii="Times New Roman" w:hAnsi="Times New Roman"/>
          <w:lang w:val="en-HK"/>
        </w:rPr>
        <w:t>.</w:t>
      </w:r>
    </w:p>
    <w:p w14:paraId="3A8E022D" w14:textId="77777777" w:rsidR="00FA3C91" w:rsidRPr="00B652FC" w:rsidRDefault="00FA3C91" w:rsidP="00B652FC">
      <w:pPr>
        <w:numPr>
          <w:ilvl w:val="0"/>
          <w:numId w:val="2"/>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C, the latest depositor, retains a full proprietary interest of £1,000</w:t>
      </w:r>
      <w:r w:rsidRPr="00B652FC">
        <w:rPr>
          <w:rFonts w:ascii="Times New Roman" w:hAnsi="Times New Roman"/>
          <w:lang w:val="en-HK"/>
        </w:rPr>
        <w:t>.</w:t>
      </w:r>
    </w:p>
    <w:p w14:paraId="74F63975"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This </w:t>
      </w:r>
      <w:r w:rsidRPr="00B652FC">
        <w:rPr>
          <w:rFonts w:ascii="Times New Roman" w:hAnsi="Times New Roman"/>
          <w:b/>
          <w:bCs/>
          <w:lang w:val="en-HK"/>
        </w:rPr>
        <w:t>mechanical allocation</w:t>
      </w:r>
      <w:r w:rsidRPr="00B652FC">
        <w:rPr>
          <w:rFonts w:ascii="Times New Roman" w:hAnsi="Times New Roman"/>
          <w:lang w:val="en-HK"/>
        </w:rPr>
        <w:t xml:space="preserve"> ignores equitable considerations and is particularly unjust when claimants have </w:t>
      </w:r>
      <w:r w:rsidRPr="00B652FC">
        <w:rPr>
          <w:rFonts w:ascii="Times New Roman" w:hAnsi="Times New Roman"/>
          <w:b/>
          <w:bCs/>
          <w:lang w:val="en-HK"/>
        </w:rPr>
        <w:t>equal proprietary interests in the remaining fund</w:t>
      </w:r>
      <w:r w:rsidRPr="00B652FC">
        <w:rPr>
          <w:rFonts w:ascii="Times New Roman" w:hAnsi="Times New Roman"/>
          <w:lang w:val="en-HK"/>
        </w:rPr>
        <w:t>.</w:t>
      </w:r>
    </w:p>
    <w:p w14:paraId="250737CA" w14:textId="77777777" w:rsidR="00FA3C91" w:rsidRPr="00B652FC" w:rsidRDefault="00FA3C91" w:rsidP="00B652FC">
      <w:pPr>
        <w:spacing w:before="100" w:beforeAutospacing="1" w:after="100" w:afterAutospacing="1" w:line="360" w:lineRule="auto"/>
        <w:outlineLvl w:val="3"/>
        <w:rPr>
          <w:rFonts w:ascii="Times New Roman" w:hAnsi="Times New Roman"/>
          <w:b/>
          <w:bCs/>
          <w:lang w:val="en-HK"/>
        </w:rPr>
      </w:pPr>
      <w:r w:rsidRPr="00B652FC">
        <w:rPr>
          <w:rFonts w:ascii="Times New Roman" w:hAnsi="Times New Roman"/>
          <w:b/>
          <w:bCs/>
          <w:lang w:val="en-HK"/>
        </w:rPr>
        <w:t>3. Judicial Criticism and Rejection in Modern Trusts and Tracing Law</w:t>
      </w:r>
    </w:p>
    <w:p w14:paraId="20F404A5"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The </w:t>
      </w:r>
      <w:r w:rsidRPr="00B652FC">
        <w:rPr>
          <w:rFonts w:ascii="Times New Roman" w:hAnsi="Times New Roman"/>
          <w:b/>
          <w:bCs/>
          <w:lang w:val="en-HK"/>
        </w:rPr>
        <w:t>primary criticism of Clayton’s Case is its arbitrariness</w:t>
      </w:r>
      <w:r w:rsidRPr="00B652FC">
        <w:rPr>
          <w:rFonts w:ascii="Times New Roman" w:hAnsi="Times New Roman"/>
          <w:lang w:val="en-HK"/>
        </w:rPr>
        <w:t xml:space="preserve"> in resolving competing equitable claims. Courts and scholars have widely rejected its application in cases involving </w:t>
      </w:r>
      <w:r w:rsidRPr="00B652FC">
        <w:rPr>
          <w:rFonts w:ascii="Times New Roman" w:hAnsi="Times New Roman"/>
          <w:b/>
          <w:bCs/>
          <w:lang w:val="en-HK"/>
        </w:rPr>
        <w:t>fiduciary obligations, tracing, and mixed funds</w:t>
      </w:r>
      <w:r w:rsidRPr="00B652FC">
        <w:rPr>
          <w:rFonts w:ascii="Times New Roman" w:hAnsi="Times New Roman"/>
          <w:lang w:val="en-HK"/>
        </w:rPr>
        <w:t>.</w:t>
      </w:r>
    </w:p>
    <w:p w14:paraId="4C62F3A0" w14:textId="77777777" w:rsidR="00FA3C91" w:rsidRPr="00B652FC" w:rsidRDefault="00FA3C91" w:rsidP="00B652FC">
      <w:pPr>
        <w:spacing w:before="100" w:beforeAutospacing="1" w:after="100" w:afterAutospacing="1" w:line="360" w:lineRule="auto"/>
        <w:outlineLvl w:val="4"/>
        <w:rPr>
          <w:rFonts w:ascii="Times New Roman" w:hAnsi="Times New Roman"/>
          <w:b/>
          <w:bCs/>
          <w:lang w:val="en-HK"/>
        </w:rPr>
      </w:pPr>
      <w:r w:rsidRPr="00B652FC">
        <w:rPr>
          <w:rFonts w:ascii="Times New Roman" w:hAnsi="Times New Roman"/>
          <w:b/>
          <w:bCs/>
          <w:lang w:val="en-HK"/>
        </w:rPr>
        <w:t>(</w:t>
      </w:r>
      <w:proofErr w:type="spellStart"/>
      <w:r w:rsidRPr="00B652FC">
        <w:rPr>
          <w:rFonts w:ascii="Times New Roman" w:hAnsi="Times New Roman"/>
          <w:b/>
          <w:bCs/>
          <w:lang w:val="en-HK"/>
        </w:rPr>
        <w:t>i</w:t>
      </w:r>
      <w:proofErr w:type="spellEnd"/>
      <w:r w:rsidRPr="00B652FC">
        <w:rPr>
          <w:rFonts w:ascii="Times New Roman" w:hAnsi="Times New Roman"/>
          <w:b/>
          <w:bCs/>
          <w:lang w:val="en-HK"/>
        </w:rPr>
        <w:t>) The Rule is Unjust and Irrational</w:t>
      </w:r>
    </w:p>
    <w:p w14:paraId="0B29181F" w14:textId="77777777" w:rsidR="00FA3C91" w:rsidRPr="00B652FC" w:rsidRDefault="00FA3C91" w:rsidP="00B652FC">
      <w:pPr>
        <w:numPr>
          <w:ilvl w:val="0"/>
          <w:numId w:val="3"/>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Learned Hand J (Re Walter J Schmidt &amp; Co 298 F 314, 316 (1923))</w:t>
      </w:r>
      <w:r w:rsidRPr="00B652FC">
        <w:rPr>
          <w:rFonts w:ascii="Times New Roman" w:hAnsi="Times New Roman"/>
          <w:lang w:val="en-HK"/>
        </w:rPr>
        <w:t xml:space="preserve"> described Clayton’s rule as </w:t>
      </w:r>
      <w:r w:rsidRPr="00B652FC">
        <w:rPr>
          <w:rFonts w:ascii="Times New Roman" w:hAnsi="Times New Roman"/>
          <w:b/>
          <w:bCs/>
          <w:lang w:val="en-HK"/>
        </w:rPr>
        <w:t>“irrational and arbitrary”</w:t>
      </w:r>
      <w:r w:rsidRPr="00B652FC">
        <w:rPr>
          <w:rFonts w:ascii="Times New Roman" w:hAnsi="Times New Roman"/>
          <w:lang w:val="en-HK"/>
        </w:rPr>
        <w:t xml:space="preserve">, stating that </w:t>
      </w:r>
      <w:r w:rsidRPr="00B652FC">
        <w:rPr>
          <w:rFonts w:ascii="Times New Roman" w:hAnsi="Times New Roman"/>
          <w:b/>
          <w:bCs/>
          <w:lang w:val="en-HK"/>
        </w:rPr>
        <w:t>“to adopt it here is to apportion a common misfortune through a test which has no relation whatever to the justice of the case.”</w:t>
      </w:r>
    </w:p>
    <w:p w14:paraId="428F0C51" w14:textId="77777777" w:rsidR="00FA3C91" w:rsidRPr="00B652FC" w:rsidRDefault="00FA3C91" w:rsidP="00B652FC">
      <w:pPr>
        <w:numPr>
          <w:ilvl w:val="0"/>
          <w:numId w:val="3"/>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 xml:space="preserve">Barlow Clowes International Ltd (in </w:t>
      </w:r>
      <w:proofErr w:type="spellStart"/>
      <w:r w:rsidRPr="00B652FC">
        <w:rPr>
          <w:rFonts w:ascii="Times New Roman" w:hAnsi="Times New Roman"/>
          <w:b/>
          <w:bCs/>
          <w:lang w:val="en-HK"/>
        </w:rPr>
        <w:t>liq</w:t>
      </w:r>
      <w:proofErr w:type="spellEnd"/>
      <w:r w:rsidRPr="00B652FC">
        <w:rPr>
          <w:rFonts w:ascii="Times New Roman" w:hAnsi="Times New Roman"/>
          <w:b/>
          <w:bCs/>
          <w:lang w:val="en-HK"/>
        </w:rPr>
        <w:t>) v Vaughan [1992] 4 All ER 22</w:t>
      </w:r>
      <w:r w:rsidRPr="00B652FC">
        <w:rPr>
          <w:rFonts w:ascii="Times New Roman" w:hAnsi="Times New Roman"/>
          <w:lang w:val="en-HK"/>
        </w:rPr>
        <w:t xml:space="preserve">: The </w:t>
      </w:r>
      <w:r w:rsidRPr="00B652FC">
        <w:rPr>
          <w:rFonts w:ascii="Times New Roman" w:hAnsi="Times New Roman"/>
          <w:b/>
          <w:bCs/>
          <w:lang w:val="en-HK"/>
        </w:rPr>
        <w:t>English Court of Appeal</w:t>
      </w:r>
      <w:r w:rsidRPr="00B652FC">
        <w:rPr>
          <w:rFonts w:ascii="Times New Roman" w:hAnsi="Times New Roman"/>
          <w:lang w:val="en-HK"/>
        </w:rPr>
        <w:t xml:space="preserve"> acknowledged that </w:t>
      </w:r>
      <w:r w:rsidRPr="00B652FC">
        <w:rPr>
          <w:rFonts w:ascii="Times New Roman" w:hAnsi="Times New Roman"/>
          <w:b/>
          <w:bCs/>
          <w:lang w:val="en-HK"/>
        </w:rPr>
        <w:t>Clayton’s rule was an arbitrary and unjust mechanism</w:t>
      </w:r>
      <w:r w:rsidRPr="00B652FC">
        <w:rPr>
          <w:rFonts w:ascii="Times New Roman" w:hAnsi="Times New Roman"/>
          <w:lang w:val="en-HK"/>
        </w:rPr>
        <w:t xml:space="preserve"> but felt constrained by precedent.</w:t>
      </w:r>
    </w:p>
    <w:p w14:paraId="04D85BF7" w14:textId="77777777" w:rsidR="00FA3C91" w:rsidRPr="00B652FC" w:rsidRDefault="00FA3C91" w:rsidP="00B652FC">
      <w:pPr>
        <w:numPr>
          <w:ilvl w:val="0"/>
          <w:numId w:val="3"/>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Woolf LJ (Barlow Clowes, at 35)</w:t>
      </w:r>
      <w:r w:rsidRPr="00B652FC">
        <w:rPr>
          <w:rFonts w:ascii="Times New Roman" w:hAnsi="Times New Roman"/>
          <w:lang w:val="en-HK"/>
        </w:rPr>
        <w:t xml:space="preserve">: Observed that the rule </w:t>
      </w:r>
      <w:r w:rsidRPr="00B652FC">
        <w:rPr>
          <w:rFonts w:ascii="Times New Roman" w:hAnsi="Times New Roman"/>
          <w:b/>
          <w:bCs/>
          <w:lang w:val="en-HK"/>
        </w:rPr>
        <w:t>“need only be applied when it is convenient to do so and when its application can be said to do broad justice having regard to the nature of the competing claims.”</w:t>
      </w:r>
    </w:p>
    <w:p w14:paraId="7B4CD2B7" w14:textId="77777777" w:rsidR="00FA3C91" w:rsidRPr="00B652FC" w:rsidRDefault="00FA3C91" w:rsidP="00B652FC">
      <w:pPr>
        <w:numPr>
          <w:ilvl w:val="0"/>
          <w:numId w:val="3"/>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Lindsay J (Russell-Cooke Trust Co v Prentis [2003] 2 All ER 478, [55])</w:t>
      </w:r>
      <w:r w:rsidRPr="00B652FC">
        <w:rPr>
          <w:rFonts w:ascii="Times New Roman" w:hAnsi="Times New Roman"/>
          <w:lang w:val="en-HK"/>
        </w:rPr>
        <w:t xml:space="preserve">: Noted that Clayton’s Case was essentially </w:t>
      </w:r>
      <w:r w:rsidRPr="00B652FC">
        <w:rPr>
          <w:rFonts w:ascii="Times New Roman" w:hAnsi="Times New Roman"/>
          <w:b/>
          <w:bCs/>
          <w:lang w:val="en-HK"/>
        </w:rPr>
        <w:t>“more of an exception than a rule”</w:t>
      </w:r>
      <w:r w:rsidRPr="00B652FC">
        <w:rPr>
          <w:rFonts w:ascii="Times New Roman" w:hAnsi="Times New Roman"/>
          <w:lang w:val="en-HK"/>
        </w:rPr>
        <w:t xml:space="preserve"> in practical application.</w:t>
      </w:r>
    </w:p>
    <w:p w14:paraId="4D3CBB54" w14:textId="77777777" w:rsidR="00FA3C91" w:rsidRPr="00B652FC" w:rsidRDefault="00FA3C91" w:rsidP="00B652FC">
      <w:pPr>
        <w:spacing w:before="100" w:beforeAutospacing="1" w:after="100" w:afterAutospacing="1" w:line="360" w:lineRule="auto"/>
        <w:outlineLvl w:val="4"/>
        <w:rPr>
          <w:rFonts w:ascii="Times New Roman" w:hAnsi="Times New Roman"/>
          <w:b/>
          <w:bCs/>
          <w:lang w:val="en-HK"/>
        </w:rPr>
      </w:pPr>
      <w:r w:rsidRPr="00B652FC">
        <w:rPr>
          <w:rFonts w:ascii="Times New Roman" w:hAnsi="Times New Roman"/>
          <w:b/>
          <w:bCs/>
          <w:lang w:val="en-HK"/>
        </w:rPr>
        <w:t>(ii) The Rule is Historically Misapplied to Tracing Cases</w:t>
      </w:r>
    </w:p>
    <w:p w14:paraId="2DEB614E" w14:textId="77777777" w:rsidR="00FA3C91" w:rsidRPr="00B652FC" w:rsidRDefault="00FA3C91" w:rsidP="00B652FC">
      <w:pPr>
        <w:numPr>
          <w:ilvl w:val="0"/>
          <w:numId w:val="4"/>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Re French Caledonia Travel Service Pty Ltd (2003) 59 NSWLR 361, [31] (Campbell J)</w:t>
      </w:r>
      <w:r w:rsidRPr="00B652FC">
        <w:rPr>
          <w:rFonts w:ascii="Times New Roman" w:hAnsi="Times New Roman"/>
          <w:lang w:val="en-HK"/>
        </w:rPr>
        <w:t xml:space="preserve">: Stated that Clayton’s Case was originally a </w:t>
      </w:r>
      <w:r w:rsidRPr="00B652FC">
        <w:rPr>
          <w:rFonts w:ascii="Times New Roman" w:hAnsi="Times New Roman"/>
          <w:b/>
          <w:bCs/>
          <w:lang w:val="en-HK"/>
        </w:rPr>
        <w:t>rule for appropriating payments in a running account</w:t>
      </w:r>
      <w:r w:rsidRPr="00B652FC">
        <w:rPr>
          <w:rFonts w:ascii="Times New Roman" w:hAnsi="Times New Roman"/>
          <w:lang w:val="en-HK"/>
        </w:rPr>
        <w:t xml:space="preserve">, not a principle for </w:t>
      </w:r>
      <w:r w:rsidRPr="00B652FC">
        <w:rPr>
          <w:rFonts w:ascii="Times New Roman" w:hAnsi="Times New Roman"/>
          <w:b/>
          <w:bCs/>
          <w:lang w:val="en-HK"/>
        </w:rPr>
        <w:t>tracing equitable proprietary rights</w:t>
      </w:r>
      <w:r w:rsidRPr="00B652FC">
        <w:rPr>
          <w:rFonts w:ascii="Times New Roman" w:hAnsi="Times New Roman"/>
          <w:lang w:val="en-HK"/>
        </w:rPr>
        <w:t>.</w:t>
      </w:r>
    </w:p>
    <w:p w14:paraId="3A00B45E" w14:textId="77777777" w:rsidR="00FA3C91" w:rsidRPr="00B652FC" w:rsidRDefault="00FA3C91" w:rsidP="00B652FC">
      <w:pPr>
        <w:numPr>
          <w:ilvl w:val="0"/>
          <w:numId w:val="4"/>
        </w:numPr>
        <w:spacing w:before="100" w:beforeAutospacing="1" w:after="100" w:afterAutospacing="1" w:line="360" w:lineRule="auto"/>
        <w:rPr>
          <w:rFonts w:ascii="Times New Roman" w:hAnsi="Times New Roman"/>
          <w:lang w:val="en-HK"/>
        </w:rPr>
      </w:pPr>
      <w:proofErr w:type="spellStart"/>
      <w:r w:rsidRPr="00B652FC">
        <w:rPr>
          <w:rFonts w:ascii="Times New Roman" w:hAnsi="Times New Roman"/>
          <w:b/>
          <w:bCs/>
          <w:lang w:val="en-HK"/>
        </w:rPr>
        <w:lastRenderedPageBreak/>
        <w:t>A.Nair</w:t>
      </w:r>
      <w:proofErr w:type="spellEnd"/>
      <w:r w:rsidRPr="00B652FC">
        <w:rPr>
          <w:rFonts w:ascii="Times New Roman" w:hAnsi="Times New Roman"/>
          <w:b/>
          <w:bCs/>
          <w:lang w:val="en-HK"/>
        </w:rPr>
        <w:t>, Claims to Traceable Proceeds: Law, Equity, and the Control of Assets (Oxford: OUP, 2018) 161-164</w:t>
      </w:r>
      <w:r w:rsidRPr="00B652FC">
        <w:rPr>
          <w:rFonts w:ascii="Times New Roman" w:hAnsi="Times New Roman"/>
          <w:lang w:val="en-HK"/>
        </w:rPr>
        <w:t xml:space="preserve">: Argues that </w:t>
      </w:r>
      <w:r w:rsidRPr="00B652FC">
        <w:rPr>
          <w:rFonts w:ascii="Times New Roman" w:hAnsi="Times New Roman"/>
          <w:b/>
          <w:bCs/>
          <w:lang w:val="en-HK"/>
        </w:rPr>
        <w:t>Clayton’s rule mistakenly treats all funds in a mixed account as fungible, disregarding equitable ownership principles</w:t>
      </w:r>
      <w:r w:rsidRPr="00B652FC">
        <w:rPr>
          <w:rFonts w:ascii="Times New Roman" w:hAnsi="Times New Roman"/>
          <w:lang w:val="en-HK"/>
        </w:rPr>
        <w:t>.</w:t>
      </w:r>
    </w:p>
    <w:p w14:paraId="48145B7B" w14:textId="77777777" w:rsidR="00FA3C91" w:rsidRPr="00B652FC" w:rsidRDefault="00FA3C91" w:rsidP="00B652FC">
      <w:pPr>
        <w:numPr>
          <w:ilvl w:val="0"/>
          <w:numId w:val="4"/>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Smith, The Law of Tracing (Oxford: Clarendon Press, 1997) 185-188</w:t>
      </w:r>
      <w:r w:rsidRPr="00B652FC">
        <w:rPr>
          <w:rFonts w:ascii="Times New Roman" w:hAnsi="Times New Roman"/>
          <w:lang w:val="en-HK"/>
        </w:rPr>
        <w:t xml:space="preserve">: Critiques Clayton’s rule as an outdated principle, noting that it fails to recognize that a </w:t>
      </w:r>
      <w:r w:rsidRPr="00B652FC">
        <w:rPr>
          <w:rFonts w:ascii="Times New Roman" w:hAnsi="Times New Roman"/>
          <w:b/>
          <w:bCs/>
          <w:lang w:val="en-HK"/>
        </w:rPr>
        <w:t>bank account does not involve a series of separate debts</w:t>
      </w:r>
      <w:r w:rsidRPr="00B652FC">
        <w:rPr>
          <w:rFonts w:ascii="Times New Roman" w:hAnsi="Times New Roman"/>
          <w:lang w:val="en-HK"/>
        </w:rPr>
        <w:t>.</w:t>
      </w:r>
    </w:p>
    <w:p w14:paraId="500655A6" w14:textId="77777777" w:rsidR="00FA3C91" w:rsidRPr="00B652FC" w:rsidRDefault="00FA3C91" w:rsidP="00B652FC">
      <w:pPr>
        <w:spacing w:before="100" w:beforeAutospacing="1" w:after="100" w:afterAutospacing="1" w:line="360" w:lineRule="auto"/>
        <w:outlineLvl w:val="4"/>
        <w:rPr>
          <w:rFonts w:ascii="Times New Roman" w:hAnsi="Times New Roman"/>
          <w:b/>
          <w:bCs/>
          <w:lang w:val="en-HK"/>
        </w:rPr>
      </w:pPr>
      <w:r w:rsidRPr="00B652FC">
        <w:rPr>
          <w:rFonts w:ascii="Times New Roman" w:hAnsi="Times New Roman"/>
          <w:b/>
          <w:bCs/>
          <w:lang w:val="en-HK"/>
        </w:rPr>
        <w:t>(iii) Courts Routinely Displace the Rule</w:t>
      </w:r>
    </w:p>
    <w:p w14:paraId="1E10A496"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English and Australian courts routinely displace Clayton’s rule</w:t>
      </w:r>
      <w:r w:rsidRPr="00B652FC">
        <w:rPr>
          <w:rFonts w:ascii="Times New Roman" w:hAnsi="Times New Roman"/>
          <w:lang w:val="en-HK"/>
        </w:rPr>
        <w:t xml:space="preserve"> in </w:t>
      </w:r>
      <w:proofErr w:type="spellStart"/>
      <w:r w:rsidRPr="00B652FC">
        <w:rPr>
          <w:rFonts w:ascii="Times New Roman" w:hAnsi="Times New Roman"/>
          <w:lang w:val="en-HK"/>
        </w:rPr>
        <w:t>favor</w:t>
      </w:r>
      <w:proofErr w:type="spellEnd"/>
      <w:r w:rsidRPr="00B652FC">
        <w:rPr>
          <w:rFonts w:ascii="Times New Roman" w:hAnsi="Times New Roman"/>
          <w:lang w:val="en-HK"/>
        </w:rPr>
        <w:t xml:space="preserve"> of </w:t>
      </w:r>
      <w:r w:rsidRPr="00B652FC">
        <w:rPr>
          <w:rFonts w:ascii="Times New Roman" w:hAnsi="Times New Roman"/>
          <w:b/>
          <w:bCs/>
          <w:lang w:val="en-HK"/>
        </w:rPr>
        <w:t>fairer and more equitable approaches</w:t>
      </w:r>
      <w:r w:rsidRPr="00B652FC">
        <w:rPr>
          <w:rFonts w:ascii="Times New Roman" w:hAnsi="Times New Roman"/>
          <w:lang w:val="en-HK"/>
        </w:rPr>
        <w:t>:</w:t>
      </w:r>
    </w:p>
    <w:p w14:paraId="7F86DBD1" w14:textId="77777777" w:rsidR="00FA3C91" w:rsidRPr="00B652FC" w:rsidRDefault="00FA3C91" w:rsidP="00B652FC">
      <w:pPr>
        <w:numPr>
          <w:ilvl w:val="0"/>
          <w:numId w:val="5"/>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 xml:space="preserve">El </w:t>
      </w:r>
      <w:proofErr w:type="spellStart"/>
      <w:r w:rsidRPr="00B652FC">
        <w:rPr>
          <w:rFonts w:ascii="Times New Roman" w:hAnsi="Times New Roman"/>
          <w:b/>
          <w:bCs/>
          <w:lang w:val="en-HK"/>
        </w:rPr>
        <w:t>Ajou</w:t>
      </w:r>
      <w:proofErr w:type="spellEnd"/>
      <w:r w:rsidRPr="00B652FC">
        <w:rPr>
          <w:rFonts w:ascii="Times New Roman" w:hAnsi="Times New Roman"/>
          <w:b/>
          <w:bCs/>
          <w:lang w:val="en-HK"/>
        </w:rPr>
        <w:t xml:space="preserve"> v Dollar Land Holdings plc (No 2) [1995] 2 All ER 213, 222</w:t>
      </w:r>
      <w:r w:rsidRPr="00B652FC">
        <w:rPr>
          <w:rFonts w:ascii="Times New Roman" w:hAnsi="Times New Roman"/>
          <w:lang w:val="en-HK"/>
        </w:rPr>
        <w:t>: Refused to apply Clayton’s rule in a large-scale fraud case.</w:t>
      </w:r>
    </w:p>
    <w:p w14:paraId="73ABCC25" w14:textId="77777777" w:rsidR="00FA3C91" w:rsidRPr="00B652FC" w:rsidRDefault="00FA3C91" w:rsidP="00B652FC">
      <w:pPr>
        <w:numPr>
          <w:ilvl w:val="0"/>
          <w:numId w:val="5"/>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Barlow Clowes (at 44)</w:t>
      </w:r>
      <w:r w:rsidRPr="00B652FC">
        <w:rPr>
          <w:rFonts w:ascii="Times New Roman" w:hAnsi="Times New Roman"/>
          <w:lang w:val="en-HK"/>
        </w:rPr>
        <w:t xml:space="preserve">: English courts held that the rule is </w:t>
      </w:r>
      <w:r w:rsidRPr="00B652FC">
        <w:rPr>
          <w:rFonts w:ascii="Times New Roman" w:hAnsi="Times New Roman"/>
          <w:b/>
          <w:bCs/>
          <w:lang w:val="en-HK"/>
        </w:rPr>
        <w:t>“frequently displaced”</w:t>
      </w:r>
      <w:r w:rsidRPr="00B652FC">
        <w:rPr>
          <w:rFonts w:ascii="Times New Roman" w:hAnsi="Times New Roman"/>
          <w:lang w:val="en-HK"/>
        </w:rPr>
        <w:t xml:space="preserve"> when it is deemed </w:t>
      </w:r>
      <w:r w:rsidRPr="00B652FC">
        <w:rPr>
          <w:rFonts w:ascii="Times New Roman" w:hAnsi="Times New Roman"/>
          <w:b/>
          <w:bCs/>
          <w:lang w:val="en-HK"/>
        </w:rPr>
        <w:t>too expensive, impracticable, or unjust</w:t>
      </w:r>
      <w:r w:rsidRPr="00B652FC">
        <w:rPr>
          <w:rFonts w:ascii="Times New Roman" w:hAnsi="Times New Roman"/>
          <w:lang w:val="en-HK"/>
        </w:rPr>
        <w:t>.</w:t>
      </w:r>
    </w:p>
    <w:p w14:paraId="20C3A4F3" w14:textId="77777777" w:rsidR="00FA3C91" w:rsidRPr="00B652FC" w:rsidRDefault="00FA3C91" w:rsidP="00B652FC">
      <w:pPr>
        <w:numPr>
          <w:ilvl w:val="0"/>
          <w:numId w:val="5"/>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Commerzbank v IMB Morgan plc [2005] 2 All ER (Comm) 564, [50]</w:t>
      </w:r>
      <w:r w:rsidRPr="00B652FC">
        <w:rPr>
          <w:rFonts w:ascii="Times New Roman" w:hAnsi="Times New Roman"/>
          <w:lang w:val="en-HK"/>
        </w:rPr>
        <w:t xml:space="preserve">: Held that Clayton’s rule should not apply </w:t>
      </w:r>
      <w:r w:rsidRPr="00B652FC">
        <w:rPr>
          <w:rFonts w:ascii="Times New Roman" w:hAnsi="Times New Roman"/>
          <w:b/>
          <w:bCs/>
          <w:lang w:val="en-HK"/>
        </w:rPr>
        <w:t>if it contradicts the presumed intentions of the parties</w:t>
      </w:r>
      <w:r w:rsidRPr="00B652FC">
        <w:rPr>
          <w:rFonts w:ascii="Times New Roman" w:hAnsi="Times New Roman"/>
          <w:lang w:val="en-HK"/>
        </w:rPr>
        <w:t>.</w:t>
      </w:r>
    </w:p>
    <w:p w14:paraId="0C9BBB59" w14:textId="77777777" w:rsidR="00FA3C91" w:rsidRPr="00B652FC" w:rsidRDefault="00FA3C91" w:rsidP="00B652FC">
      <w:pPr>
        <w:numPr>
          <w:ilvl w:val="0"/>
          <w:numId w:val="5"/>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National Crime Agency v Robb [2015] Ch 520, [65]</w:t>
      </w:r>
      <w:r w:rsidRPr="00B652FC">
        <w:rPr>
          <w:rFonts w:ascii="Times New Roman" w:hAnsi="Times New Roman"/>
          <w:lang w:val="en-HK"/>
        </w:rPr>
        <w:t xml:space="preserve">: Rejected Clayton’s rule on the basis that </w:t>
      </w:r>
      <w:r w:rsidRPr="00B652FC">
        <w:rPr>
          <w:rFonts w:ascii="Times New Roman" w:hAnsi="Times New Roman"/>
          <w:b/>
          <w:bCs/>
          <w:lang w:val="en-HK"/>
        </w:rPr>
        <w:t>equitable claimants should not be prejudiced by mere timing of deposits</w:t>
      </w:r>
      <w:r w:rsidRPr="00B652FC">
        <w:rPr>
          <w:rFonts w:ascii="Times New Roman" w:hAnsi="Times New Roman"/>
          <w:lang w:val="en-HK"/>
        </w:rPr>
        <w:t>.</w:t>
      </w:r>
    </w:p>
    <w:p w14:paraId="4D6EFA3B" w14:textId="77777777" w:rsidR="00FA3C91" w:rsidRPr="00B652FC" w:rsidRDefault="00FA3C91" w:rsidP="00B652FC">
      <w:pPr>
        <w:spacing w:before="100" w:beforeAutospacing="1" w:after="100" w:afterAutospacing="1" w:line="360" w:lineRule="auto"/>
        <w:outlineLvl w:val="4"/>
        <w:rPr>
          <w:rFonts w:ascii="Times New Roman" w:hAnsi="Times New Roman"/>
          <w:b/>
          <w:bCs/>
          <w:lang w:val="en-HK"/>
        </w:rPr>
      </w:pPr>
      <w:r w:rsidRPr="00B652FC">
        <w:rPr>
          <w:rFonts w:ascii="Times New Roman" w:hAnsi="Times New Roman"/>
          <w:b/>
          <w:bCs/>
          <w:lang w:val="en-HK"/>
        </w:rPr>
        <w:t>(iv) The Australian Rejection of Clayton’s Case</w:t>
      </w:r>
    </w:p>
    <w:p w14:paraId="35828C6A"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Australian courts have explicitly rejected Clayton’s rule in </w:t>
      </w:r>
      <w:r w:rsidRPr="00B652FC">
        <w:rPr>
          <w:rFonts w:ascii="Times New Roman" w:hAnsi="Times New Roman"/>
          <w:b/>
          <w:bCs/>
          <w:lang w:val="en-HK"/>
        </w:rPr>
        <w:t>cases involving mixed funds and multiple innocent claimants</w:t>
      </w:r>
      <w:r w:rsidRPr="00B652FC">
        <w:rPr>
          <w:rFonts w:ascii="Times New Roman" w:hAnsi="Times New Roman"/>
          <w:lang w:val="en-HK"/>
        </w:rPr>
        <w:t>:</w:t>
      </w:r>
    </w:p>
    <w:p w14:paraId="6C519652" w14:textId="77777777" w:rsidR="00FA3C91" w:rsidRPr="00B652FC" w:rsidRDefault="00FA3C91" w:rsidP="00B652FC">
      <w:pPr>
        <w:numPr>
          <w:ilvl w:val="0"/>
          <w:numId w:val="6"/>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ASIC v Edwards [2009] QSC 360, [14]</w:t>
      </w:r>
      <w:r w:rsidRPr="00B652FC">
        <w:rPr>
          <w:rFonts w:ascii="Times New Roman" w:hAnsi="Times New Roman"/>
          <w:lang w:val="en-HK"/>
        </w:rPr>
        <w:t xml:space="preserve">: Found that Clayton’s rule was </w:t>
      </w:r>
      <w:r w:rsidRPr="00B652FC">
        <w:rPr>
          <w:rFonts w:ascii="Times New Roman" w:hAnsi="Times New Roman"/>
          <w:b/>
          <w:bCs/>
          <w:lang w:val="en-HK"/>
        </w:rPr>
        <w:t>unjust and contrary to equitable principles</w:t>
      </w:r>
      <w:r w:rsidRPr="00B652FC">
        <w:rPr>
          <w:rFonts w:ascii="Times New Roman" w:hAnsi="Times New Roman"/>
          <w:lang w:val="en-HK"/>
        </w:rPr>
        <w:t>.</w:t>
      </w:r>
    </w:p>
    <w:p w14:paraId="1100C380" w14:textId="77777777" w:rsidR="00FA3C91" w:rsidRPr="00B652FC" w:rsidRDefault="00FA3C91" w:rsidP="00B652FC">
      <w:pPr>
        <w:numPr>
          <w:ilvl w:val="0"/>
          <w:numId w:val="6"/>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Re Secured Mortgage Management Ltd [2017] QSC 254, [23]-[25]</w:t>
      </w:r>
      <w:r w:rsidRPr="00B652FC">
        <w:rPr>
          <w:rFonts w:ascii="Times New Roman" w:hAnsi="Times New Roman"/>
          <w:lang w:val="en-HK"/>
        </w:rPr>
        <w:t xml:space="preserve">: Australian courts prefer </w:t>
      </w:r>
      <w:r w:rsidRPr="00B652FC">
        <w:rPr>
          <w:rFonts w:ascii="Times New Roman" w:hAnsi="Times New Roman"/>
          <w:b/>
          <w:bCs/>
          <w:lang w:val="en-HK"/>
        </w:rPr>
        <w:t>rateable distribution rather than strict FIFO rules</w:t>
      </w:r>
      <w:r w:rsidRPr="00B652FC">
        <w:rPr>
          <w:rFonts w:ascii="Times New Roman" w:hAnsi="Times New Roman"/>
          <w:lang w:val="en-HK"/>
        </w:rPr>
        <w:t>.</w:t>
      </w:r>
    </w:p>
    <w:p w14:paraId="6558B4C7" w14:textId="77777777" w:rsidR="00FA3C91" w:rsidRPr="00B652FC" w:rsidRDefault="00FA3C91" w:rsidP="00B652FC">
      <w:pPr>
        <w:numPr>
          <w:ilvl w:val="0"/>
          <w:numId w:val="6"/>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Caron v Jahani (No 2) [2020] NSWCA 117, [81]-[83]</w:t>
      </w:r>
      <w:r w:rsidRPr="00B652FC">
        <w:rPr>
          <w:rFonts w:ascii="Times New Roman" w:hAnsi="Times New Roman"/>
          <w:lang w:val="en-HK"/>
        </w:rPr>
        <w:t xml:space="preserve">: Held that </w:t>
      </w:r>
      <w:r w:rsidRPr="00B652FC">
        <w:rPr>
          <w:rFonts w:ascii="Times New Roman" w:hAnsi="Times New Roman"/>
          <w:b/>
          <w:bCs/>
          <w:lang w:val="en-HK"/>
        </w:rPr>
        <w:t>Clayton’s rule should never apply in cases involving fiduciary breaches and trust misappropriations</w:t>
      </w:r>
      <w:r w:rsidRPr="00B652FC">
        <w:rPr>
          <w:rFonts w:ascii="Times New Roman" w:hAnsi="Times New Roman"/>
          <w:lang w:val="en-HK"/>
        </w:rPr>
        <w:t>.</w:t>
      </w:r>
    </w:p>
    <w:p w14:paraId="171C27BD" w14:textId="77777777" w:rsidR="00FA3C91" w:rsidRPr="00B652FC" w:rsidRDefault="00F5763C" w:rsidP="00B652FC">
      <w:pPr>
        <w:spacing w:line="360" w:lineRule="auto"/>
        <w:rPr>
          <w:rFonts w:ascii="Times New Roman" w:hAnsi="Times New Roman"/>
          <w:lang w:val="en-HK"/>
        </w:rPr>
      </w:pPr>
      <w:r>
        <w:rPr>
          <w:noProof/>
        </w:rPr>
      </w:r>
      <w:r>
        <w:pict w14:anchorId="33B1C9BA">
          <v:rect id="Rectangle 5" o:spid="_x0000_s10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14:paraId="2E2D314A" w14:textId="77777777" w:rsidR="00FA3C91" w:rsidRPr="00B652FC" w:rsidRDefault="00FA3C91" w:rsidP="00B652FC">
      <w:pPr>
        <w:spacing w:before="100" w:beforeAutospacing="1" w:after="100" w:afterAutospacing="1" w:line="360" w:lineRule="auto"/>
        <w:outlineLvl w:val="3"/>
        <w:rPr>
          <w:rFonts w:ascii="Times New Roman" w:hAnsi="Times New Roman"/>
          <w:b/>
          <w:bCs/>
          <w:lang w:val="en-HK"/>
        </w:rPr>
      </w:pPr>
      <w:r w:rsidRPr="00B652FC">
        <w:rPr>
          <w:rFonts w:ascii="Times New Roman" w:hAnsi="Times New Roman"/>
          <w:b/>
          <w:bCs/>
          <w:lang w:val="en-HK"/>
        </w:rPr>
        <w:t>4. Conclusion: The Need for Reform</w:t>
      </w:r>
    </w:p>
    <w:p w14:paraId="16C89D22"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lastRenderedPageBreak/>
        <w:t xml:space="preserve">The </w:t>
      </w:r>
      <w:r w:rsidRPr="00B652FC">
        <w:rPr>
          <w:rFonts w:ascii="Times New Roman" w:hAnsi="Times New Roman"/>
          <w:b/>
          <w:bCs/>
          <w:lang w:val="en-HK"/>
        </w:rPr>
        <w:t>rule in Clayton’s Case is a historical relic</w:t>
      </w:r>
      <w:r w:rsidRPr="00B652FC">
        <w:rPr>
          <w:rFonts w:ascii="Times New Roman" w:hAnsi="Times New Roman"/>
          <w:lang w:val="en-HK"/>
        </w:rPr>
        <w:t xml:space="preserve"> that should no longer apply in </w:t>
      </w:r>
      <w:r w:rsidRPr="00B652FC">
        <w:rPr>
          <w:rFonts w:ascii="Times New Roman" w:hAnsi="Times New Roman"/>
          <w:b/>
          <w:bCs/>
          <w:lang w:val="en-HK"/>
        </w:rPr>
        <w:t>modern trust and tracing disputes</w:t>
      </w:r>
      <w:r w:rsidRPr="00B652FC">
        <w:rPr>
          <w:rFonts w:ascii="Times New Roman" w:hAnsi="Times New Roman"/>
          <w:lang w:val="en-HK"/>
        </w:rPr>
        <w:t>. The consensus among courts and scholars is that it:</w:t>
      </w:r>
    </w:p>
    <w:p w14:paraId="2940CC23" w14:textId="77777777" w:rsidR="00FA3C91" w:rsidRPr="00B652FC" w:rsidRDefault="00FA3C91" w:rsidP="00B652FC">
      <w:pPr>
        <w:numPr>
          <w:ilvl w:val="0"/>
          <w:numId w:val="7"/>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Produces arbitrary and unjust outcomes</w:t>
      </w:r>
      <w:r w:rsidRPr="00B652FC">
        <w:rPr>
          <w:rFonts w:ascii="Times New Roman" w:hAnsi="Times New Roman"/>
          <w:lang w:val="en-HK"/>
        </w:rPr>
        <w:t>, forcing earlier claimants to bear disproportionate losses.</w:t>
      </w:r>
    </w:p>
    <w:p w14:paraId="35E429B1" w14:textId="77777777" w:rsidR="00FA3C91" w:rsidRPr="00B652FC" w:rsidRDefault="00FA3C91" w:rsidP="00B652FC">
      <w:pPr>
        <w:numPr>
          <w:ilvl w:val="0"/>
          <w:numId w:val="7"/>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Misapplies banking principles to trust law</w:t>
      </w:r>
      <w:r w:rsidRPr="00B652FC">
        <w:rPr>
          <w:rFonts w:ascii="Times New Roman" w:hAnsi="Times New Roman"/>
          <w:lang w:val="en-HK"/>
        </w:rPr>
        <w:t>, treating all deposits as fungible without regard for equitable proprietary rights.</w:t>
      </w:r>
    </w:p>
    <w:p w14:paraId="0D203003" w14:textId="77777777" w:rsidR="00FA3C91" w:rsidRPr="00B652FC" w:rsidRDefault="00FA3C91" w:rsidP="00B652FC">
      <w:pPr>
        <w:numPr>
          <w:ilvl w:val="0"/>
          <w:numId w:val="7"/>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Has been displaced in practice</w:t>
      </w:r>
      <w:r w:rsidRPr="00B652FC">
        <w:rPr>
          <w:rFonts w:ascii="Times New Roman" w:hAnsi="Times New Roman"/>
          <w:lang w:val="en-HK"/>
        </w:rPr>
        <w:t xml:space="preserve">, as courts routinely refuse to apply it when it </w:t>
      </w:r>
      <w:r w:rsidRPr="00B652FC">
        <w:rPr>
          <w:rFonts w:ascii="Times New Roman" w:hAnsi="Times New Roman"/>
          <w:b/>
          <w:bCs/>
          <w:lang w:val="en-HK"/>
        </w:rPr>
        <w:t>contradicts equitable fairness</w:t>
      </w:r>
      <w:r w:rsidRPr="00B652FC">
        <w:rPr>
          <w:rFonts w:ascii="Times New Roman" w:hAnsi="Times New Roman"/>
          <w:lang w:val="en-HK"/>
        </w:rPr>
        <w:t>.</w:t>
      </w:r>
    </w:p>
    <w:p w14:paraId="26DEAC39"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Instead, courts </w:t>
      </w:r>
      <w:proofErr w:type="spellStart"/>
      <w:r w:rsidRPr="00B652FC">
        <w:rPr>
          <w:rFonts w:ascii="Times New Roman" w:hAnsi="Times New Roman"/>
          <w:lang w:val="en-HK"/>
        </w:rPr>
        <w:t>favor</w:t>
      </w:r>
      <w:proofErr w:type="spellEnd"/>
      <w:r w:rsidRPr="00B652FC">
        <w:rPr>
          <w:rFonts w:ascii="Times New Roman" w:hAnsi="Times New Roman"/>
          <w:lang w:val="en-HK"/>
        </w:rPr>
        <w:t xml:space="preserve"> more </w:t>
      </w:r>
      <w:r w:rsidRPr="00B652FC">
        <w:rPr>
          <w:rFonts w:ascii="Times New Roman" w:hAnsi="Times New Roman"/>
          <w:b/>
          <w:bCs/>
          <w:lang w:val="en-HK"/>
        </w:rPr>
        <w:t>principled approaches</w:t>
      </w:r>
      <w:r w:rsidRPr="00B652FC">
        <w:rPr>
          <w:rFonts w:ascii="Times New Roman" w:hAnsi="Times New Roman"/>
          <w:lang w:val="en-HK"/>
        </w:rPr>
        <w:t xml:space="preserve"> such as:</w:t>
      </w:r>
    </w:p>
    <w:p w14:paraId="4781C4F9" w14:textId="77777777" w:rsidR="00FA3C91" w:rsidRPr="00B652FC" w:rsidRDefault="00FA3C91" w:rsidP="00B652FC">
      <w:pPr>
        <w:numPr>
          <w:ilvl w:val="0"/>
          <w:numId w:val="8"/>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The Simple Pari Passu Approach</w:t>
      </w:r>
      <w:r w:rsidRPr="00B652FC">
        <w:rPr>
          <w:rFonts w:ascii="Times New Roman" w:hAnsi="Times New Roman"/>
          <w:lang w:val="en-HK"/>
        </w:rPr>
        <w:t xml:space="preserve">, which distributes losses </w:t>
      </w:r>
      <w:r w:rsidRPr="00B652FC">
        <w:rPr>
          <w:rFonts w:ascii="Times New Roman" w:hAnsi="Times New Roman"/>
          <w:b/>
          <w:bCs/>
          <w:lang w:val="en-HK"/>
        </w:rPr>
        <w:t>proportionally</w:t>
      </w:r>
      <w:r w:rsidRPr="00B652FC">
        <w:rPr>
          <w:rFonts w:ascii="Times New Roman" w:hAnsi="Times New Roman"/>
          <w:lang w:val="en-HK"/>
        </w:rPr>
        <w:t xml:space="preserve"> among all claimants.</w:t>
      </w:r>
    </w:p>
    <w:p w14:paraId="586E5C1F" w14:textId="77777777" w:rsidR="00FA3C91" w:rsidRPr="00B652FC" w:rsidRDefault="00FA3C91" w:rsidP="00B652FC">
      <w:pPr>
        <w:numPr>
          <w:ilvl w:val="0"/>
          <w:numId w:val="8"/>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The Rolling Charge Approach</w:t>
      </w:r>
      <w:r w:rsidRPr="00B652FC">
        <w:rPr>
          <w:rFonts w:ascii="Times New Roman" w:hAnsi="Times New Roman"/>
          <w:lang w:val="en-HK"/>
        </w:rPr>
        <w:t xml:space="preserve">, which </w:t>
      </w:r>
      <w:r w:rsidRPr="00B652FC">
        <w:rPr>
          <w:rFonts w:ascii="Times New Roman" w:hAnsi="Times New Roman"/>
          <w:b/>
          <w:bCs/>
          <w:lang w:val="en-HK"/>
        </w:rPr>
        <w:t>recalculates equitable interests dynamically</w:t>
      </w:r>
      <w:r w:rsidRPr="00B652FC">
        <w:rPr>
          <w:rFonts w:ascii="Times New Roman" w:hAnsi="Times New Roman"/>
          <w:lang w:val="en-HK"/>
        </w:rPr>
        <w:t xml:space="preserve"> after each transaction, ensuring that </w:t>
      </w:r>
      <w:r w:rsidRPr="00B652FC">
        <w:rPr>
          <w:rFonts w:ascii="Times New Roman" w:hAnsi="Times New Roman"/>
          <w:b/>
          <w:bCs/>
          <w:lang w:val="en-HK"/>
        </w:rPr>
        <w:t>later depositors do not subsidize earlier ones</w:t>
      </w:r>
      <w:r w:rsidRPr="00B652FC">
        <w:rPr>
          <w:rFonts w:ascii="Times New Roman" w:hAnsi="Times New Roman"/>
          <w:lang w:val="en-HK"/>
        </w:rPr>
        <w:t>.</w:t>
      </w:r>
    </w:p>
    <w:p w14:paraId="1CD0FF09"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The decision in </w:t>
      </w:r>
      <w:r w:rsidRPr="00B652FC">
        <w:rPr>
          <w:rFonts w:ascii="Times New Roman" w:hAnsi="Times New Roman"/>
          <w:b/>
          <w:bCs/>
          <w:lang w:val="en-HK"/>
        </w:rPr>
        <w:t>Caron v Jahani (No 2) [2020] NSWCA 117</w:t>
      </w:r>
      <w:r w:rsidRPr="00B652FC">
        <w:rPr>
          <w:rFonts w:ascii="Times New Roman" w:hAnsi="Times New Roman"/>
          <w:lang w:val="en-HK"/>
        </w:rPr>
        <w:t xml:space="preserve"> provides a </w:t>
      </w:r>
      <w:r w:rsidRPr="00B652FC">
        <w:rPr>
          <w:rFonts w:ascii="Times New Roman" w:hAnsi="Times New Roman"/>
          <w:b/>
          <w:bCs/>
          <w:lang w:val="en-HK"/>
        </w:rPr>
        <w:t>clear precedent for English courts to formally reject Clayton’s Case</w:t>
      </w:r>
      <w:r w:rsidRPr="00B652FC">
        <w:rPr>
          <w:rFonts w:ascii="Times New Roman" w:hAnsi="Times New Roman"/>
          <w:lang w:val="en-HK"/>
        </w:rPr>
        <w:t xml:space="preserve"> and adopt a </w:t>
      </w:r>
      <w:r w:rsidRPr="00B652FC">
        <w:rPr>
          <w:rFonts w:ascii="Times New Roman" w:hAnsi="Times New Roman"/>
          <w:b/>
          <w:bCs/>
          <w:lang w:val="en-HK"/>
        </w:rPr>
        <w:t>fairer tracing mechanism that aligns with equity and justice</w:t>
      </w:r>
      <w:r w:rsidRPr="00B652FC">
        <w:rPr>
          <w:rFonts w:ascii="Times New Roman" w:hAnsi="Times New Roman"/>
          <w:lang w:val="en-HK"/>
        </w:rPr>
        <w:t>.</w:t>
      </w:r>
    </w:p>
    <w:p w14:paraId="2B31B7F0" w14:textId="77777777" w:rsidR="00FA3C91" w:rsidRPr="00B652FC" w:rsidRDefault="00FA3C91" w:rsidP="00B652FC">
      <w:pPr>
        <w:spacing w:before="100" w:beforeAutospacing="1" w:after="100" w:afterAutospacing="1" w:line="360" w:lineRule="auto"/>
        <w:outlineLvl w:val="2"/>
        <w:rPr>
          <w:rFonts w:ascii="Times New Roman" w:hAnsi="Times New Roman"/>
          <w:b/>
          <w:bCs/>
          <w:lang w:val="en-HK"/>
        </w:rPr>
      </w:pPr>
      <w:r w:rsidRPr="00B652FC">
        <w:rPr>
          <w:rFonts w:ascii="Times New Roman" w:hAnsi="Times New Roman"/>
          <w:b/>
          <w:bCs/>
          <w:lang w:val="en-HK"/>
        </w:rPr>
        <w:t>II. The ‘Simple Pari Passu’ Approach and its Criticisms</w:t>
      </w:r>
    </w:p>
    <w:p w14:paraId="2D6A4955" w14:textId="77777777" w:rsidR="00FA3C91" w:rsidRPr="00B652FC" w:rsidRDefault="00FA3C91" w:rsidP="00B652FC">
      <w:pPr>
        <w:spacing w:before="100" w:beforeAutospacing="1" w:after="100" w:afterAutospacing="1" w:line="360" w:lineRule="auto"/>
        <w:outlineLvl w:val="3"/>
        <w:rPr>
          <w:rFonts w:ascii="Times New Roman" w:hAnsi="Times New Roman"/>
          <w:b/>
          <w:bCs/>
          <w:lang w:val="en-HK"/>
        </w:rPr>
      </w:pPr>
      <w:r w:rsidRPr="00B652FC">
        <w:rPr>
          <w:rFonts w:ascii="Times New Roman" w:hAnsi="Times New Roman"/>
          <w:b/>
          <w:bCs/>
          <w:lang w:val="en-HK"/>
        </w:rPr>
        <w:t>1. Explanation of the Simple Pari Passu Approach</w:t>
      </w:r>
    </w:p>
    <w:p w14:paraId="618BFEDE"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The </w:t>
      </w:r>
      <w:r w:rsidRPr="00B652FC">
        <w:rPr>
          <w:rFonts w:ascii="Times New Roman" w:hAnsi="Times New Roman"/>
          <w:b/>
          <w:bCs/>
          <w:lang w:val="en-HK"/>
        </w:rPr>
        <w:t xml:space="preserve">simple </w:t>
      </w:r>
      <w:proofErr w:type="spellStart"/>
      <w:r w:rsidRPr="00B652FC">
        <w:rPr>
          <w:rFonts w:ascii="Times New Roman" w:hAnsi="Times New Roman"/>
          <w:b/>
          <w:bCs/>
          <w:lang w:val="en-HK"/>
        </w:rPr>
        <w:t>pari</w:t>
      </w:r>
      <w:proofErr w:type="spellEnd"/>
      <w:r w:rsidRPr="00B652FC">
        <w:rPr>
          <w:rFonts w:ascii="Times New Roman" w:hAnsi="Times New Roman"/>
          <w:b/>
          <w:bCs/>
          <w:lang w:val="en-HK"/>
        </w:rPr>
        <w:t xml:space="preserve"> passu approach</w:t>
      </w:r>
      <w:r w:rsidRPr="00B652FC">
        <w:rPr>
          <w:rFonts w:ascii="Times New Roman" w:hAnsi="Times New Roman"/>
          <w:lang w:val="en-HK"/>
        </w:rPr>
        <w:t xml:space="preserve"> is one of the primary methods used by courts to allocate funds where </w:t>
      </w:r>
      <w:r w:rsidRPr="00B652FC">
        <w:rPr>
          <w:rFonts w:ascii="Times New Roman" w:hAnsi="Times New Roman"/>
          <w:b/>
          <w:bCs/>
          <w:lang w:val="en-HK"/>
        </w:rPr>
        <w:t>multiple innocent claimants have contributed to a mixed fund</w:t>
      </w:r>
      <w:r w:rsidRPr="00B652FC">
        <w:rPr>
          <w:rFonts w:ascii="Times New Roman" w:hAnsi="Times New Roman"/>
          <w:lang w:val="en-HK"/>
        </w:rPr>
        <w:t xml:space="preserve">, but the total sum is insufficient to meet all claims. Under this approach, the remaining funds are distributed </w:t>
      </w:r>
      <w:r w:rsidRPr="00B652FC">
        <w:rPr>
          <w:rFonts w:ascii="Times New Roman" w:hAnsi="Times New Roman"/>
          <w:b/>
          <w:bCs/>
          <w:lang w:val="en-HK"/>
        </w:rPr>
        <w:t>proportionately based on each claimant’s original contribution</w:t>
      </w:r>
      <w:r w:rsidRPr="00B652FC">
        <w:rPr>
          <w:rFonts w:ascii="Times New Roman" w:hAnsi="Times New Roman"/>
          <w:lang w:val="en-HK"/>
        </w:rPr>
        <w:t xml:space="preserve">, without regard to </w:t>
      </w:r>
      <w:r w:rsidRPr="00B652FC">
        <w:rPr>
          <w:rFonts w:ascii="Times New Roman" w:hAnsi="Times New Roman"/>
          <w:b/>
          <w:bCs/>
          <w:lang w:val="en-HK"/>
        </w:rPr>
        <w:t>the sequence of deposits or withdrawals</w:t>
      </w:r>
      <w:r w:rsidRPr="00B652FC">
        <w:rPr>
          <w:rFonts w:ascii="Times New Roman" w:hAnsi="Times New Roman"/>
          <w:lang w:val="en-HK"/>
        </w:rPr>
        <w:t>.</w:t>
      </w:r>
    </w:p>
    <w:p w14:paraId="52BD854E"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This approach is grounded in the principle that, where multiple innocent parties suffer loss due to </w:t>
      </w:r>
      <w:r w:rsidRPr="00B652FC">
        <w:rPr>
          <w:rFonts w:ascii="Times New Roman" w:hAnsi="Times New Roman"/>
          <w:b/>
          <w:bCs/>
          <w:lang w:val="en-HK"/>
        </w:rPr>
        <w:t>fraud or fiduciary breaches</w:t>
      </w:r>
      <w:r w:rsidRPr="00B652FC">
        <w:rPr>
          <w:rFonts w:ascii="Times New Roman" w:hAnsi="Times New Roman"/>
          <w:lang w:val="en-HK"/>
        </w:rPr>
        <w:t xml:space="preserve">, </w:t>
      </w:r>
      <w:r w:rsidRPr="00B652FC">
        <w:rPr>
          <w:rFonts w:ascii="Times New Roman" w:hAnsi="Times New Roman"/>
          <w:b/>
          <w:bCs/>
          <w:lang w:val="en-HK"/>
        </w:rPr>
        <w:t>no claimant should be unfairly subordinated to another</w:t>
      </w:r>
      <w:r w:rsidRPr="00B652FC">
        <w:rPr>
          <w:rFonts w:ascii="Times New Roman" w:hAnsi="Times New Roman"/>
          <w:lang w:val="en-HK"/>
        </w:rPr>
        <w:t xml:space="preserve">. Instead of attempting to trace individual funds within a mixed account, the court applies a </w:t>
      </w:r>
      <w:r w:rsidRPr="00B652FC">
        <w:rPr>
          <w:rFonts w:ascii="Times New Roman" w:hAnsi="Times New Roman"/>
          <w:b/>
          <w:bCs/>
          <w:lang w:val="en-HK"/>
        </w:rPr>
        <w:t>pro-rata division</w:t>
      </w:r>
      <w:r w:rsidRPr="00B652FC">
        <w:rPr>
          <w:rFonts w:ascii="Times New Roman" w:hAnsi="Times New Roman"/>
          <w:lang w:val="en-HK"/>
        </w:rPr>
        <w:t xml:space="preserve">, treating all claimants as </w:t>
      </w:r>
      <w:r w:rsidRPr="00B652FC">
        <w:rPr>
          <w:rFonts w:ascii="Times New Roman" w:hAnsi="Times New Roman"/>
          <w:b/>
          <w:bCs/>
          <w:lang w:val="en-HK"/>
        </w:rPr>
        <w:t>equal participants in a common misfortune</w:t>
      </w:r>
      <w:r w:rsidRPr="00B652FC">
        <w:rPr>
          <w:rFonts w:ascii="Times New Roman" w:hAnsi="Times New Roman"/>
          <w:lang w:val="en-HK"/>
        </w:rPr>
        <w:t>.</w:t>
      </w:r>
    </w:p>
    <w:p w14:paraId="4BAFE870" w14:textId="77777777" w:rsidR="00FA3C91" w:rsidRPr="00B652FC" w:rsidRDefault="00FA3C91" w:rsidP="00B652FC">
      <w:pPr>
        <w:spacing w:before="100" w:beforeAutospacing="1" w:after="100" w:afterAutospacing="1" w:line="360" w:lineRule="auto"/>
        <w:outlineLvl w:val="3"/>
        <w:rPr>
          <w:rFonts w:ascii="Times New Roman" w:hAnsi="Times New Roman"/>
          <w:b/>
          <w:bCs/>
          <w:lang w:val="en-HK"/>
        </w:rPr>
      </w:pPr>
      <w:r w:rsidRPr="00B652FC">
        <w:rPr>
          <w:rFonts w:ascii="Times New Roman" w:hAnsi="Times New Roman"/>
          <w:b/>
          <w:bCs/>
          <w:lang w:val="en-HK"/>
        </w:rPr>
        <w:lastRenderedPageBreak/>
        <w:t>2. Application of the Simple Pari Passu Approach in Tracing Claims</w:t>
      </w:r>
    </w:p>
    <w:p w14:paraId="3674E821"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In cases where </w:t>
      </w:r>
      <w:r w:rsidRPr="00B652FC">
        <w:rPr>
          <w:rFonts w:ascii="Times New Roman" w:hAnsi="Times New Roman"/>
          <w:b/>
          <w:bCs/>
          <w:lang w:val="en-HK"/>
        </w:rPr>
        <w:t>trust money is misappropriated and commingled</w:t>
      </w:r>
      <w:r w:rsidRPr="00B652FC">
        <w:rPr>
          <w:rFonts w:ascii="Times New Roman" w:hAnsi="Times New Roman"/>
          <w:lang w:val="en-HK"/>
        </w:rPr>
        <w:t xml:space="preserve">, the </w:t>
      </w:r>
      <w:r w:rsidRPr="00B652FC">
        <w:rPr>
          <w:rFonts w:ascii="Times New Roman" w:hAnsi="Times New Roman"/>
          <w:b/>
          <w:bCs/>
          <w:lang w:val="en-HK"/>
        </w:rPr>
        <w:t xml:space="preserve">simple </w:t>
      </w:r>
      <w:proofErr w:type="spellStart"/>
      <w:r w:rsidRPr="00B652FC">
        <w:rPr>
          <w:rFonts w:ascii="Times New Roman" w:hAnsi="Times New Roman"/>
          <w:b/>
          <w:bCs/>
          <w:lang w:val="en-HK"/>
        </w:rPr>
        <w:t>pari</w:t>
      </w:r>
      <w:proofErr w:type="spellEnd"/>
      <w:r w:rsidRPr="00B652FC">
        <w:rPr>
          <w:rFonts w:ascii="Times New Roman" w:hAnsi="Times New Roman"/>
          <w:b/>
          <w:bCs/>
          <w:lang w:val="en-HK"/>
        </w:rPr>
        <w:t xml:space="preserve"> passu</w:t>
      </w:r>
      <w:r w:rsidRPr="00B652FC">
        <w:rPr>
          <w:rFonts w:ascii="Times New Roman" w:hAnsi="Times New Roman"/>
          <w:lang w:val="en-HK"/>
        </w:rPr>
        <w:t xml:space="preserve"> approach ensures that losses are borne </w:t>
      </w:r>
      <w:r w:rsidRPr="00B652FC">
        <w:rPr>
          <w:rFonts w:ascii="Times New Roman" w:hAnsi="Times New Roman"/>
          <w:b/>
          <w:bCs/>
          <w:lang w:val="en-HK"/>
        </w:rPr>
        <w:t>proportionally</w:t>
      </w:r>
      <w:r w:rsidRPr="00B652FC">
        <w:rPr>
          <w:rFonts w:ascii="Times New Roman" w:hAnsi="Times New Roman"/>
          <w:lang w:val="en-HK"/>
        </w:rPr>
        <w:t xml:space="preserve"> rather than </w:t>
      </w:r>
      <w:r w:rsidRPr="00B652FC">
        <w:rPr>
          <w:rFonts w:ascii="Times New Roman" w:hAnsi="Times New Roman"/>
          <w:b/>
          <w:bCs/>
          <w:lang w:val="en-HK"/>
        </w:rPr>
        <w:t>based on the order of deposits and withdrawals</w:t>
      </w:r>
      <w:r w:rsidRPr="00B652FC">
        <w:rPr>
          <w:rFonts w:ascii="Times New Roman" w:hAnsi="Times New Roman"/>
          <w:lang w:val="en-HK"/>
        </w:rPr>
        <w:t>. Consider the example given in the article:</w:t>
      </w:r>
    </w:p>
    <w:p w14:paraId="3DFA12DB" w14:textId="77777777" w:rsidR="00FA3C91" w:rsidRPr="00B652FC" w:rsidRDefault="00FA3C91" w:rsidP="00B652FC">
      <w:pPr>
        <w:numPr>
          <w:ilvl w:val="0"/>
          <w:numId w:val="9"/>
        </w:num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A trustee misappropriates </w:t>
      </w:r>
      <w:r w:rsidRPr="00B652FC">
        <w:rPr>
          <w:rFonts w:ascii="Times New Roman" w:hAnsi="Times New Roman"/>
          <w:b/>
          <w:bCs/>
          <w:lang w:val="en-HK"/>
        </w:rPr>
        <w:t>£1,000 from Trust A</w:t>
      </w:r>
      <w:r w:rsidRPr="00B652FC">
        <w:rPr>
          <w:rFonts w:ascii="Times New Roman" w:hAnsi="Times New Roman"/>
          <w:lang w:val="en-HK"/>
        </w:rPr>
        <w:t xml:space="preserve">, </w:t>
      </w:r>
      <w:r w:rsidRPr="00B652FC">
        <w:rPr>
          <w:rFonts w:ascii="Times New Roman" w:hAnsi="Times New Roman"/>
          <w:b/>
          <w:bCs/>
          <w:lang w:val="en-HK"/>
        </w:rPr>
        <w:t>£1,000 from Trust B</w:t>
      </w:r>
      <w:r w:rsidRPr="00B652FC">
        <w:rPr>
          <w:rFonts w:ascii="Times New Roman" w:hAnsi="Times New Roman"/>
          <w:lang w:val="en-HK"/>
        </w:rPr>
        <w:t xml:space="preserve">, and </w:t>
      </w:r>
      <w:r w:rsidRPr="00B652FC">
        <w:rPr>
          <w:rFonts w:ascii="Times New Roman" w:hAnsi="Times New Roman"/>
          <w:b/>
          <w:bCs/>
          <w:lang w:val="en-HK"/>
        </w:rPr>
        <w:t>£1,000 from Trust C</w:t>
      </w:r>
      <w:r w:rsidRPr="00B652FC">
        <w:rPr>
          <w:rFonts w:ascii="Times New Roman" w:hAnsi="Times New Roman"/>
          <w:lang w:val="en-HK"/>
        </w:rPr>
        <w:t>, depositing them into a personal account.</w:t>
      </w:r>
    </w:p>
    <w:p w14:paraId="3DB21F5F" w14:textId="77777777" w:rsidR="00FA3C91" w:rsidRPr="00B652FC" w:rsidRDefault="00FA3C91" w:rsidP="00B652FC">
      <w:pPr>
        <w:numPr>
          <w:ilvl w:val="0"/>
          <w:numId w:val="9"/>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£1,000 is withdrawn</w:t>
      </w:r>
      <w:r w:rsidRPr="00B652FC">
        <w:rPr>
          <w:rFonts w:ascii="Times New Roman" w:hAnsi="Times New Roman"/>
          <w:lang w:val="en-HK"/>
        </w:rPr>
        <w:t xml:space="preserve">, followed by </w:t>
      </w:r>
      <w:r w:rsidRPr="00B652FC">
        <w:rPr>
          <w:rFonts w:ascii="Times New Roman" w:hAnsi="Times New Roman"/>
          <w:b/>
          <w:bCs/>
          <w:lang w:val="en-HK"/>
        </w:rPr>
        <w:t>another £200 withdrawal</w:t>
      </w:r>
      <w:r w:rsidRPr="00B652FC">
        <w:rPr>
          <w:rFonts w:ascii="Times New Roman" w:hAnsi="Times New Roman"/>
          <w:lang w:val="en-HK"/>
        </w:rPr>
        <w:t xml:space="preserve">, leaving </w:t>
      </w:r>
      <w:r w:rsidRPr="00B652FC">
        <w:rPr>
          <w:rFonts w:ascii="Times New Roman" w:hAnsi="Times New Roman"/>
          <w:b/>
          <w:bCs/>
          <w:lang w:val="en-HK"/>
        </w:rPr>
        <w:t>£1,800</w:t>
      </w:r>
      <w:r w:rsidRPr="00B652FC">
        <w:rPr>
          <w:rFonts w:ascii="Times New Roman" w:hAnsi="Times New Roman"/>
          <w:lang w:val="en-HK"/>
        </w:rPr>
        <w:t xml:space="preserve"> in the account.</w:t>
      </w:r>
    </w:p>
    <w:p w14:paraId="756A41BF" w14:textId="77777777" w:rsidR="00FA3C91" w:rsidRPr="00B652FC" w:rsidRDefault="00FA3C91" w:rsidP="00B652FC">
      <w:pPr>
        <w:numPr>
          <w:ilvl w:val="0"/>
          <w:numId w:val="9"/>
        </w:num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Each trust </w:t>
      </w:r>
      <w:r w:rsidRPr="00B652FC">
        <w:rPr>
          <w:rFonts w:ascii="Times New Roman" w:hAnsi="Times New Roman"/>
          <w:b/>
          <w:bCs/>
          <w:lang w:val="en-HK"/>
        </w:rPr>
        <w:t>claims £1,000</w:t>
      </w:r>
      <w:r w:rsidRPr="00B652FC">
        <w:rPr>
          <w:rFonts w:ascii="Times New Roman" w:hAnsi="Times New Roman"/>
          <w:lang w:val="en-HK"/>
        </w:rPr>
        <w:t xml:space="preserve">, but the </w:t>
      </w:r>
      <w:r w:rsidRPr="00B652FC">
        <w:rPr>
          <w:rFonts w:ascii="Times New Roman" w:hAnsi="Times New Roman"/>
          <w:b/>
          <w:bCs/>
          <w:lang w:val="en-HK"/>
        </w:rPr>
        <w:t>remaining funds cannot satisfy all claims in full</w:t>
      </w:r>
      <w:r w:rsidRPr="00B652FC">
        <w:rPr>
          <w:rFonts w:ascii="Times New Roman" w:hAnsi="Times New Roman"/>
          <w:lang w:val="en-HK"/>
        </w:rPr>
        <w:t>.</w:t>
      </w:r>
    </w:p>
    <w:p w14:paraId="08692C1C"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Under the </w:t>
      </w:r>
      <w:r w:rsidRPr="00B652FC">
        <w:rPr>
          <w:rFonts w:ascii="Times New Roman" w:hAnsi="Times New Roman"/>
          <w:b/>
          <w:bCs/>
          <w:lang w:val="en-HK"/>
        </w:rPr>
        <w:t xml:space="preserve">simple </w:t>
      </w:r>
      <w:proofErr w:type="spellStart"/>
      <w:r w:rsidRPr="00B652FC">
        <w:rPr>
          <w:rFonts w:ascii="Times New Roman" w:hAnsi="Times New Roman"/>
          <w:b/>
          <w:bCs/>
          <w:lang w:val="en-HK"/>
        </w:rPr>
        <w:t>pari</w:t>
      </w:r>
      <w:proofErr w:type="spellEnd"/>
      <w:r w:rsidRPr="00B652FC">
        <w:rPr>
          <w:rFonts w:ascii="Times New Roman" w:hAnsi="Times New Roman"/>
          <w:b/>
          <w:bCs/>
          <w:lang w:val="en-HK"/>
        </w:rPr>
        <w:t xml:space="preserve"> passu approach</w:t>
      </w:r>
      <w:r w:rsidRPr="00B652FC">
        <w:rPr>
          <w:rFonts w:ascii="Times New Roman" w:hAnsi="Times New Roman"/>
          <w:lang w:val="en-HK"/>
        </w:rPr>
        <w:t>:</w:t>
      </w:r>
    </w:p>
    <w:p w14:paraId="45CDDB0E" w14:textId="77777777" w:rsidR="00FA3C91" w:rsidRPr="00B652FC" w:rsidRDefault="00FA3C91" w:rsidP="00B652FC">
      <w:pPr>
        <w:numPr>
          <w:ilvl w:val="0"/>
          <w:numId w:val="10"/>
        </w:num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Each claimant </w:t>
      </w:r>
      <w:r w:rsidRPr="00B652FC">
        <w:rPr>
          <w:rFonts w:ascii="Times New Roman" w:hAnsi="Times New Roman"/>
          <w:b/>
          <w:bCs/>
          <w:lang w:val="en-HK"/>
        </w:rPr>
        <w:t>receives a proportionate share of the remaining £1,800</w:t>
      </w:r>
      <w:r w:rsidRPr="00B652FC">
        <w:rPr>
          <w:rFonts w:ascii="Times New Roman" w:hAnsi="Times New Roman"/>
          <w:lang w:val="en-HK"/>
        </w:rPr>
        <w:t xml:space="preserve"> based on their initial contributions.</w:t>
      </w:r>
    </w:p>
    <w:p w14:paraId="05597A5C" w14:textId="77777777" w:rsidR="00FA3C91" w:rsidRPr="00B652FC" w:rsidRDefault="00FA3C91" w:rsidP="00B652FC">
      <w:pPr>
        <w:numPr>
          <w:ilvl w:val="0"/>
          <w:numId w:val="10"/>
        </w:num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Since A, B, and C each contributed </w:t>
      </w:r>
      <w:r w:rsidRPr="00B652FC">
        <w:rPr>
          <w:rFonts w:ascii="Times New Roman" w:hAnsi="Times New Roman"/>
          <w:b/>
          <w:bCs/>
          <w:lang w:val="en-HK"/>
        </w:rPr>
        <w:t>£1,000</w:t>
      </w:r>
      <w:r w:rsidRPr="00B652FC">
        <w:rPr>
          <w:rFonts w:ascii="Times New Roman" w:hAnsi="Times New Roman"/>
          <w:lang w:val="en-HK"/>
        </w:rPr>
        <w:t xml:space="preserve">, they each receive </w:t>
      </w:r>
      <w:r w:rsidRPr="00B652FC">
        <w:rPr>
          <w:rFonts w:ascii="Times New Roman" w:hAnsi="Times New Roman"/>
          <w:b/>
          <w:bCs/>
          <w:lang w:val="en-HK"/>
        </w:rPr>
        <w:t>one-third of the remaining fund</w:t>
      </w:r>
      <w:r w:rsidRPr="00B652FC">
        <w:rPr>
          <w:rFonts w:ascii="Times New Roman" w:hAnsi="Times New Roman"/>
          <w:lang w:val="en-HK"/>
        </w:rPr>
        <w:t xml:space="preserve">, i.e., </w:t>
      </w:r>
      <w:r w:rsidRPr="00B652FC">
        <w:rPr>
          <w:rFonts w:ascii="Times New Roman" w:hAnsi="Times New Roman"/>
          <w:b/>
          <w:bCs/>
          <w:lang w:val="en-HK"/>
        </w:rPr>
        <w:t>£600 each</w:t>
      </w:r>
      <w:r w:rsidRPr="00B652FC">
        <w:rPr>
          <w:rFonts w:ascii="Times New Roman" w:hAnsi="Times New Roman"/>
          <w:lang w:val="en-HK"/>
        </w:rPr>
        <w:t>.</w:t>
      </w:r>
    </w:p>
    <w:p w14:paraId="54B7DFD5"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This method </w:t>
      </w:r>
      <w:r w:rsidRPr="00B652FC">
        <w:rPr>
          <w:rFonts w:ascii="Times New Roman" w:hAnsi="Times New Roman"/>
          <w:b/>
          <w:bCs/>
          <w:lang w:val="en-HK"/>
        </w:rPr>
        <w:t>ignores the sequence of transactions</w:t>
      </w:r>
      <w:r w:rsidRPr="00B652FC">
        <w:rPr>
          <w:rFonts w:ascii="Times New Roman" w:hAnsi="Times New Roman"/>
          <w:lang w:val="en-HK"/>
        </w:rPr>
        <w:t xml:space="preserve">, ensuring </w:t>
      </w:r>
      <w:r w:rsidRPr="00B652FC">
        <w:rPr>
          <w:rFonts w:ascii="Times New Roman" w:hAnsi="Times New Roman"/>
          <w:b/>
          <w:bCs/>
          <w:lang w:val="en-HK"/>
        </w:rPr>
        <w:t>equal treatment among all claimants</w:t>
      </w:r>
      <w:r w:rsidRPr="00B652FC">
        <w:rPr>
          <w:rFonts w:ascii="Times New Roman" w:hAnsi="Times New Roman"/>
          <w:lang w:val="en-HK"/>
        </w:rPr>
        <w:t xml:space="preserve">, regardless of whether their funds were </w:t>
      </w:r>
      <w:r w:rsidRPr="00B652FC">
        <w:rPr>
          <w:rFonts w:ascii="Times New Roman" w:hAnsi="Times New Roman"/>
          <w:b/>
          <w:bCs/>
          <w:lang w:val="en-HK"/>
        </w:rPr>
        <w:t>deposited first or last</w:t>
      </w:r>
      <w:r w:rsidRPr="00B652FC">
        <w:rPr>
          <w:rFonts w:ascii="Times New Roman" w:hAnsi="Times New Roman"/>
          <w:lang w:val="en-HK"/>
        </w:rPr>
        <w:t>.</w:t>
      </w:r>
    </w:p>
    <w:p w14:paraId="2D12C200" w14:textId="77777777" w:rsidR="00FA3C91" w:rsidRPr="00B652FC" w:rsidRDefault="00FA3C91" w:rsidP="00B652FC">
      <w:pPr>
        <w:spacing w:before="100" w:beforeAutospacing="1" w:after="100" w:afterAutospacing="1" w:line="360" w:lineRule="auto"/>
        <w:outlineLvl w:val="3"/>
        <w:rPr>
          <w:rFonts w:ascii="Times New Roman" w:hAnsi="Times New Roman"/>
          <w:b/>
          <w:bCs/>
          <w:lang w:val="en-HK"/>
        </w:rPr>
      </w:pPr>
      <w:r w:rsidRPr="00B652FC">
        <w:rPr>
          <w:rFonts w:ascii="Times New Roman" w:hAnsi="Times New Roman"/>
          <w:b/>
          <w:bCs/>
          <w:lang w:val="en-HK"/>
        </w:rPr>
        <w:t>3. Judicial Support for the Simple Pari Passu Approach</w:t>
      </w:r>
    </w:p>
    <w:p w14:paraId="43A948C0"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The </w:t>
      </w:r>
      <w:r w:rsidRPr="00B652FC">
        <w:rPr>
          <w:rFonts w:ascii="Times New Roman" w:hAnsi="Times New Roman"/>
          <w:b/>
          <w:bCs/>
          <w:lang w:val="en-HK"/>
        </w:rPr>
        <w:t xml:space="preserve">simple </w:t>
      </w:r>
      <w:proofErr w:type="spellStart"/>
      <w:r w:rsidRPr="00B652FC">
        <w:rPr>
          <w:rFonts w:ascii="Times New Roman" w:hAnsi="Times New Roman"/>
          <w:b/>
          <w:bCs/>
          <w:lang w:val="en-HK"/>
        </w:rPr>
        <w:t>pari</w:t>
      </w:r>
      <w:proofErr w:type="spellEnd"/>
      <w:r w:rsidRPr="00B652FC">
        <w:rPr>
          <w:rFonts w:ascii="Times New Roman" w:hAnsi="Times New Roman"/>
          <w:b/>
          <w:bCs/>
          <w:lang w:val="en-HK"/>
        </w:rPr>
        <w:t xml:space="preserve"> passu approach</w:t>
      </w:r>
      <w:r w:rsidRPr="00B652FC">
        <w:rPr>
          <w:rFonts w:ascii="Times New Roman" w:hAnsi="Times New Roman"/>
          <w:lang w:val="en-HK"/>
        </w:rPr>
        <w:t xml:space="preserve"> has been widely applied in </w:t>
      </w:r>
      <w:r w:rsidRPr="00B652FC">
        <w:rPr>
          <w:rFonts w:ascii="Times New Roman" w:hAnsi="Times New Roman"/>
          <w:b/>
          <w:bCs/>
          <w:lang w:val="en-HK"/>
        </w:rPr>
        <w:t>English and Australian law</w:t>
      </w:r>
      <w:r w:rsidRPr="00B652FC">
        <w:rPr>
          <w:rFonts w:ascii="Times New Roman" w:hAnsi="Times New Roman"/>
          <w:lang w:val="en-HK"/>
        </w:rPr>
        <w:t xml:space="preserve">, particularly when </w:t>
      </w:r>
      <w:r w:rsidRPr="00B652FC">
        <w:rPr>
          <w:rFonts w:ascii="Times New Roman" w:hAnsi="Times New Roman"/>
          <w:b/>
          <w:bCs/>
          <w:lang w:val="en-HK"/>
        </w:rPr>
        <w:t>Clayton’s rule has been displaced</w:t>
      </w:r>
      <w:r w:rsidRPr="00B652FC">
        <w:rPr>
          <w:rFonts w:ascii="Times New Roman" w:hAnsi="Times New Roman"/>
          <w:lang w:val="en-HK"/>
        </w:rPr>
        <w:t>:</w:t>
      </w:r>
    </w:p>
    <w:p w14:paraId="5058C3EB" w14:textId="77777777" w:rsidR="00FA3C91" w:rsidRPr="00B652FC" w:rsidRDefault="00FA3C91" w:rsidP="00B652FC">
      <w:pPr>
        <w:numPr>
          <w:ilvl w:val="0"/>
          <w:numId w:val="11"/>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 xml:space="preserve">Barlow Clowes International Ltd (in </w:t>
      </w:r>
      <w:proofErr w:type="spellStart"/>
      <w:r w:rsidRPr="00B652FC">
        <w:rPr>
          <w:rFonts w:ascii="Times New Roman" w:hAnsi="Times New Roman"/>
          <w:b/>
          <w:bCs/>
          <w:lang w:val="en-HK"/>
        </w:rPr>
        <w:t>liq</w:t>
      </w:r>
      <w:proofErr w:type="spellEnd"/>
      <w:r w:rsidRPr="00B652FC">
        <w:rPr>
          <w:rFonts w:ascii="Times New Roman" w:hAnsi="Times New Roman"/>
          <w:b/>
          <w:bCs/>
          <w:lang w:val="en-HK"/>
        </w:rPr>
        <w:t>) v Vaughan [1992] 4 All ER 22</w:t>
      </w:r>
      <w:r w:rsidRPr="00B652FC">
        <w:rPr>
          <w:rFonts w:ascii="Times New Roman" w:hAnsi="Times New Roman"/>
          <w:lang w:val="en-HK"/>
        </w:rPr>
        <w:t xml:space="preserve">: The </w:t>
      </w:r>
      <w:r w:rsidRPr="00B652FC">
        <w:rPr>
          <w:rFonts w:ascii="Times New Roman" w:hAnsi="Times New Roman"/>
          <w:b/>
          <w:bCs/>
          <w:lang w:val="en-HK"/>
        </w:rPr>
        <w:t>English Court of Appeal</w:t>
      </w:r>
      <w:r w:rsidRPr="00B652FC">
        <w:rPr>
          <w:rFonts w:ascii="Times New Roman" w:hAnsi="Times New Roman"/>
          <w:lang w:val="en-HK"/>
        </w:rPr>
        <w:t xml:space="preserve"> held that Clayton’s rule need </w:t>
      </w:r>
      <w:r w:rsidRPr="00B652FC">
        <w:rPr>
          <w:rFonts w:ascii="Times New Roman" w:hAnsi="Times New Roman"/>
          <w:b/>
          <w:bCs/>
          <w:lang w:val="en-HK"/>
        </w:rPr>
        <w:t>not be followed</w:t>
      </w:r>
      <w:r w:rsidRPr="00B652FC">
        <w:rPr>
          <w:rFonts w:ascii="Times New Roman" w:hAnsi="Times New Roman"/>
          <w:lang w:val="en-HK"/>
        </w:rPr>
        <w:t xml:space="preserve"> if it produces an </w:t>
      </w:r>
      <w:r w:rsidRPr="00B652FC">
        <w:rPr>
          <w:rFonts w:ascii="Times New Roman" w:hAnsi="Times New Roman"/>
          <w:b/>
          <w:bCs/>
          <w:lang w:val="en-HK"/>
        </w:rPr>
        <w:t>unjust result</w:t>
      </w:r>
      <w:r w:rsidRPr="00B652FC">
        <w:rPr>
          <w:rFonts w:ascii="Times New Roman" w:hAnsi="Times New Roman"/>
          <w:lang w:val="en-HK"/>
        </w:rPr>
        <w:t xml:space="preserve"> and </w:t>
      </w:r>
      <w:proofErr w:type="spellStart"/>
      <w:r w:rsidRPr="00B652FC">
        <w:rPr>
          <w:rFonts w:ascii="Times New Roman" w:hAnsi="Times New Roman"/>
          <w:lang w:val="en-HK"/>
        </w:rPr>
        <w:t>favored</w:t>
      </w:r>
      <w:proofErr w:type="spellEnd"/>
      <w:r w:rsidRPr="00B652FC">
        <w:rPr>
          <w:rFonts w:ascii="Times New Roman" w:hAnsi="Times New Roman"/>
          <w:lang w:val="en-HK"/>
        </w:rPr>
        <w:t xml:space="preserve"> the </w:t>
      </w:r>
      <w:proofErr w:type="spellStart"/>
      <w:r w:rsidRPr="00B652FC">
        <w:rPr>
          <w:rFonts w:ascii="Times New Roman" w:hAnsi="Times New Roman"/>
          <w:b/>
          <w:bCs/>
          <w:lang w:val="en-HK"/>
        </w:rPr>
        <w:t>pari</w:t>
      </w:r>
      <w:proofErr w:type="spellEnd"/>
      <w:r w:rsidRPr="00B652FC">
        <w:rPr>
          <w:rFonts w:ascii="Times New Roman" w:hAnsi="Times New Roman"/>
          <w:b/>
          <w:bCs/>
          <w:lang w:val="en-HK"/>
        </w:rPr>
        <w:t xml:space="preserve"> passu</w:t>
      </w:r>
      <w:r w:rsidRPr="00B652FC">
        <w:rPr>
          <w:rFonts w:ascii="Times New Roman" w:hAnsi="Times New Roman"/>
          <w:lang w:val="en-HK"/>
        </w:rPr>
        <w:t xml:space="preserve"> approach where possible.</w:t>
      </w:r>
    </w:p>
    <w:p w14:paraId="7860E3DC" w14:textId="77777777" w:rsidR="00FA3C91" w:rsidRPr="00B652FC" w:rsidRDefault="00FA3C91" w:rsidP="00B652FC">
      <w:pPr>
        <w:numPr>
          <w:ilvl w:val="0"/>
          <w:numId w:val="11"/>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Sinclair v Brougham [1914] AC 398, 442</w:t>
      </w:r>
      <w:r w:rsidRPr="00B652FC">
        <w:rPr>
          <w:rFonts w:ascii="Times New Roman" w:hAnsi="Times New Roman"/>
          <w:lang w:val="en-HK"/>
        </w:rPr>
        <w:t xml:space="preserve">: Established that, </w:t>
      </w:r>
      <w:r w:rsidRPr="00B652FC">
        <w:rPr>
          <w:rFonts w:ascii="Times New Roman" w:hAnsi="Times New Roman"/>
          <w:b/>
          <w:bCs/>
          <w:lang w:val="en-HK"/>
        </w:rPr>
        <w:t>where tracing into a mixed fund is impracticable, courts should distribute available assets rateably</w:t>
      </w:r>
      <w:r w:rsidRPr="00B652FC">
        <w:rPr>
          <w:rFonts w:ascii="Times New Roman" w:hAnsi="Times New Roman"/>
          <w:lang w:val="en-HK"/>
        </w:rPr>
        <w:t>.</w:t>
      </w:r>
    </w:p>
    <w:p w14:paraId="381278CA" w14:textId="77777777" w:rsidR="00FA3C91" w:rsidRPr="00B652FC" w:rsidRDefault="00FA3C91" w:rsidP="00B652FC">
      <w:pPr>
        <w:numPr>
          <w:ilvl w:val="0"/>
          <w:numId w:val="11"/>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Re Diplock [1948] 1 Ch 465, 524, 533-534, 539</w:t>
      </w:r>
      <w:r w:rsidRPr="00B652FC">
        <w:rPr>
          <w:rFonts w:ascii="Times New Roman" w:hAnsi="Times New Roman"/>
          <w:lang w:val="en-HK"/>
        </w:rPr>
        <w:t xml:space="preserve">: Recognized that </w:t>
      </w:r>
      <w:r w:rsidRPr="00B652FC">
        <w:rPr>
          <w:rFonts w:ascii="Times New Roman" w:hAnsi="Times New Roman"/>
          <w:b/>
          <w:bCs/>
          <w:lang w:val="en-HK"/>
        </w:rPr>
        <w:t>claimants to a mixed fund should bear gains and losses proportionately</w:t>
      </w:r>
      <w:r w:rsidRPr="00B652FC">
        <w:rPr>
          <w:rFonts w:ascii="Times New Roman" w:hAnsi="Times New Roman"/>
          <w:lang w:val="en-HK"/>
        </w:rPr>
        <w:t xml:space="preserve"> unless individual tracing is feasible.</w:t>
      </w:r>
    </w:p>
    <w:p w14:paraId="37B0BF9D" w14:textId="77777777" w:rsidR="00FA3C91" w:rsidRPr="00B652FC" w:rsidRDefault="00FA3C91" w:rsidP="00B652FC">
      <w:pPr>
        <w:numPr>
          <w:ilvl w:val="0"/>
          <w:numId w:val="11"/>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Caron v Jahani (No 2) [2020] NSWCA 117</w:t>
      </w:r>
      <w:r w:rsidRPr="00B652FC">
        <w:rPr>
          <w:rFonts w:ascii="Times New Roman" w:hAnsi="Times New Roman"/>
          <w:lang w:val="en-HK"/>
        </w:rPr>
        <w:t xml:space="preserve">: Confirmed that </w:t>
      </w:r>
      <w:r w:rsidRPr="00B652FC">
        <w:rPr>
          <w:rFonts w:ascii="Times New Roman" w:hAnsi="Times New Roman"/>
          <w:b/>
          <w:bCs/>
          <w:lang w:val="en-HK"/>
        </w:rPr>
        <w:t xml:space="preserve">English and Australian courts generally apply the simple </w:t>
      </w:r>
      <w:proofErr w:type="spellStart"/>
      <w:r w:rsidRPr="00B652FC">
        <w:rPr>
          <w:rFonts w:ascii="Times New Roman" w:hAnsi="Times New Roman"/>
          <w:b/>
          <w:bCs/>
          <w:lang w:val="en-HK"/>
        </w:rPr>
        <w:t>pari</w:t>
      </w:r>
      <w:proofErr w:type="spellEnd"/>
      <w:r w:rsidRPr="00B652FC">
        <w:rPr>
          <w:rFonts w:ascii="Times New Roman" w:hAnsi="Times New Roman"/>
          <w:b/>
          <w:bCs/>
          <w:lang w:val="en-HK"/>
        </w:rPr>
        <w:t xml:space="preserve"> passu approach in cases of mixed trust funds</w:t>
      </w:r>
      <w:r w:rsidRPr="00B652FC">
        <w:rPr>
          <w:rFonts w:ascii="Times New Roman" w:hAnsi="Times New Roman"/>
          <w:lang w:val="en-HK"/>
        </w:rPr>
        <w:t>.</w:t>
      </w:r>
    </w:p>
    <w:p w14:paraId="12B3C8E6"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lastRenderedPageBreak/>
        <w:t xml:space="preserve">This </w:t>
      </w:r>
      <w:r w:rsidRPr="00B652FC">
        <w:rPr>
          <w:rFonts w:ascii="Times New Roman" w:hAnsi="Times New Roman"/>
          <w:b/>
          <w:bCs/>
          <w:lang w:val="en-HK"/>
        </w:rPr>
        <w:t>method is preferred in insolvency and fiduciary breach cases</w:t>
      </w:r>
      <w:r w:rsidRPr="00B652FC">
        <w:rPr>
          <w:rFonts w:ascii="Times New Roman" w:hAnsi="Times New Roman"/>
          <w:lang w:val="en-HK"/>
        </w:rPr>
        <w:t xml:space="preserve"> where multiple investors have </w:t>
      </w:r>
      <w:r w:rsidRPr="00B652FC">
        <w:rPr>
          <w:rFonts w:ascii="Times New Roman" w:hAnsi="Times New Roman"/>
          <w:b/>
          <w:bCs/>
          <w:lang w:val="en-HK"/>
        </w:rPr>
        <w:t>equal moral and equitable claims</w:t>
      </w:r>
      <w:r w:rsidRPr="00B652FC">
        <w:rPr>
          <w:rFonts w:ascii="Times New Roman" w:hAnsi="Times New Roman"/>
          <w:lang w:val="en-HK"/>
        </w:rPr>
        <w:t xml:space="preserve"> but where </w:t>
      </w:r>
      <w:r w:rsidRPr="00B652FC">
        <w:rPr>
          <w:rFonts w:ascii="Times New Roman" w:hAnsi="Times New Roman"/>
          <w:b/>
          <w:bCs/>
          <w:lang w:val="en-HK"/>
        </w:rPr>
        <w:t>full tracing is difficult or impossible</w:t>
      </w:r>
      <w:r w:rsidRPr="00B652FC">
        <w:rPr>
          <w:rFonts w:ascii="Times New Roman" w:hAnsi="Times New Roman"/>
          <w:lang w:val="en-HK"/>
        </w:rPr>
        <w:t>.</w:t>
      </w:r>
    </w:p>
    <w:p w14:paraId="162ED163" w14:textId="77777777" w:rsidR="00FA3C91" w:rsidRPr="00B652FC" w:rsidRDefault="00F5763C" w:rsidP="00B652FC">
      <w:pPr>
        <w:spacing w:line="360" w:lineRule="auto"/>
        <w:rPr>
          <w:rFonts w:ascii="Times New Roman" w:hAnsi="Times New Roman"/>
          <w:lang w:val="en-HK"/>
        </w:rPr>
      </w:pPr>
      <w:r w:rsidRPr="00F5763C">
        <w:rPr>
          <w:rFonts w:ascii="Times New Roman" w:hAnsi="Times New Roman"/>
          <w:noProof/>
          <w:lang w:val="en-HK"/>
          <w14:ligatures w14:val="standardContextual"/>
        </w:rPr>
        <w:pict w14:anchorId="3B470AFD">
          <v:rect id="_x0000_i1031" alt="" style="width:451.3pt;height:.05pt;mso-width-percent:0;mso-height-percent:0;mso-width-percent:0;mso-height-percent:0" o:hralign="center" o:hrstd="t" o:hr="t" fillcolor="#a0a0a0" stroked="f"/>
        </w:pict>
      </w:r>
    </w:p>
    <w:p w14:paraId="1D236E6D" w14:textId="77777777" w:rsidR="00FA3C91" w:rsidRPr="00B652FC" w:rsidRDefault="00FA3C91" w:rsidP="00B652FC">
      <w:pPr>
        <w:spacing w:before="100" w:beforeAutospacing="1" w:after="100" w:afterAutospacing="1" w:line="360" w:lineRule="auto"/>
        <w:outlineLvl w:val="2"/>
        <w:rPr>
          <w:rFonts w:ascii="Times New Roman" w:hAnsi="Times New Roman"/>
          <w:b/>
          <w:bCs/>
          <w:lang w:val="en-HK"/>
        </w:rPr>
      </w:pPr>
      <w:r w:rsidRPr="00B652FC">
        <w:rPr>
          <w:rFonts w:ascii="Times New Roman" w:hAnsi="Times New Roman"/>
          <w:b/>
          <w:bCs/>
          <w:lang w:val="en-HK"/>
        </w:rPr>
        <w:t>4. Criticisms of the Simple Pari Passu Approach</w:t>
      </w:r>
    </w:p>
    <w:p w14:paraId="73500C8F"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While the </w:t>
      </w:r>
      <w:r w:rsidRPr="00B652FC">
        <w:rPr>
          <w:rFonts w:ascii="Times New Roman" w:hAnsi="Times New Roman"/>
          <w:b/>
          <w:bCs/>
          <w:lang w:val="en-HK"/>
        </w:rPr>
        <w:t xml:space="preserve">simple </w:t>
      </w:r>
      <w:proofErr w:type="spellStart"/>
      <w:r w:rsidRPr="00B652FC">
        <w:rPr>
          <w:rFonts w:ascii="Times New Roman" w:hAnsi="Times New Roman"/>
          <w:b/>
          <w:bCs/>
          <w:lang w:val="en-HK"/>
        </w:rPr>
        <w:t>pari</w:t>
      </w:r>
      <w:proofErr w:type="spellEnd"/>
      <w:r w:rsidRPr="00B652FC">
        <w:rPr>
          <w:rFonts w:ascii="Times New Roman" w:hAnsi="Times New Roman"/>
          <w:b/>
          <w:bCs/>
          <w:lang w:val="en-HK"/>
        </w:rPr>
        <w:t xml:space="preserve"> passu</w:t>
      </w:r>
      <w:r w:rsidRPr="00B652FC">
        <w:rPr>
          <w:rFonts w:ascii="Times New Roman" w:hAnsi="Times New Roman"/>
          <w:lang w:val="en-HK"/>
        </w:rPr>
        <w:t xml:space="preserve"> approach is widely regarded as </w:t>
      </w:r>
      <w:r w:rsidRPr="00B652FC">
        <w:rPr>
          <w:rFonts w:ascii="Times New Roman" w:hAnsi="Times New Roman"/>
          <w:b/>
          <w:bCs/>
          <w:lang w:val="en-HK"/>
        </w:rPr>
        <w:t>a fairer alternative to Clayton’s rule</w:t>
      </w:r>
      <w:r w:rsidRPr="00B652FC">
        <w:rPr>
          <w:rFonts w:ascii="Times New Roman" w:hAnsi="Times New Roman"/>
          <w:lang w:val="en-HK"/>
        </w:rPr>
        <w:t xml:space="preserve">, it is </w:t>
      </w:r>
      <w:r w:rsidRPr="00B652FC">
        <w:rPr>
          <w:rFonts w:ascii="Times New Roman" w:hAnsi="Times New Roman"/>
          <w:b/>
          <w:bCs/>
          <w:lang w:val="en-HK"/>
        </w:rPr>
        <w:t>not without criticism</w:t>
      </w:r>
      <w:r w:rsidRPr="00B652FC">
        <w:rPr>
          <w:rFonts w:ascii="Times New Roman" w:hAnsi="Times New Roman"/>
          <w:lang w:val="en-HK"/>
        </w:rPr>
        <w:t xml:space="preserve">. The article highlights </w:t>
      </w:r>
      <w:r w:rsidRPr="00B652FC">
        <w:rPr>
          <w:rFonts w:ascii="Times New Roman" w:hAnsi="Times New Roman"/>
          <w:b/>
          <w:bCs/>
          <w:lang w:val="en-HK"/>
        </w:rPr>
        <w:t>four primary weaknesses</w:t>
      </w:r>
      <w:r w:rsidRPr="00B652FC">
        <w:rPr>
          <w:rFonts w:ascii="Times New Roman" w:hAnsi="Times New Roman"/>
          <w:lang w:val="en-HK"/>
        </w:rPr>
        <w:t>:</w:t>
      </w:r>
    </w:p>
    <w:p w14:paraId="60FEB64B" w14:textId="77777777" w:rsidR="00FA3C91" w:rsidRPr="00B652FC" w:rsidRDefault="00FA3C91" w:rsidP="00B652FC">
      <w:pPr>
        <w:spacing w:before="100" w:beforeAutospacing="1" w:after="100" w:afterAutospacing="1" w:line="360" w:lineRule="auto"/>
        <w:outlineLvl w:val="3"/>
        <w:rPr>
          <w:rFonts w:ascii="Times New Roman" w:hAnsi="Times New Roman"/>
          <w:b/>
          <w:bCs/>
          <w:lang w:val="en-HK"/>
        </w:rPr>
      </w:pPr>
      <w:r w:rsidRPr="00B652FC">
        <w:rPr>
          <w:rFonts w:ascii="Times New Roman" w:hAnsi="Times New Roman"/>
          <w:b/>
          <w:bCs/>
          <w:lang w:val="en-HK"/>
        </w:rPr>
        <w:t>(</w:t>
      </w:r>
      <w:proofErr w:type="spellStart"/>
      <w:r w:rsidRPr="00B652FC">
        <w:rPr>
          <w:rFonts w:ascii="Times New Roman" w:hAnsi="Times New Roman"/>
          <w:b/>
          <w:bCs/>
          <w:lang w:val="en-HK"/>
        </w:rPr>
        <w:t>i</w:t>
      </w:r>
      <w:proofErr w:type="spellEnd"/>
      <w:r w:rsidRPr="00B652FC">
        <w:rPr>
          <w:rFonts w:ascii="Times New Roman" w:hAnsi="Times New Roman"/>
          <w:b/>
          <w:bCs/>
          <w:lang w:val="en-HK"/>
        </w:rPr>
        <w:t>) The Approach Disregards Individual Tracing Rights</w:t>
      </w:r>
    </w:p>
    <w:p w14:paraId="26A44E1D"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One of the most significant criticisms is that </w:t>
      </w:r>
      <w:proofErr w:type="spellStart"/>
      <w:r w:rsidRPr="00B652FC">
        <w:rPr>
          <w:rFonts w:ascii="Times New Roman" w:hAnsi="Times New Roman"/>
          <w:b/>
          <w:bCs/>
          <w:lang w:val="en-HK"/>
        </w:rPr>
        <w:t>pari</w:t>
      </w:r>
      <w:proofErr w:type="spellEnd"/>
      <w:r w:rsidRPr="00B652FC">
        <w:rPr>
          <w:rFonts w:ascii="Times New Roman" w:hAnsi="Times New Roman"/>
          <w:b/>
          <w:bCs/>
          <w:lang w:val="en-HK"/>
        </w:rPr>
        <w:t xml:space="preserve"> passu allocation disregards the historical movement of funds</w:t>
      </w:r>
      <w:r w:rsidRPr="00B652FC">
        <w:rPr>
          <w:rFonts w:ascii="Times New Roman" w:hAnsi="Times New Roman"/>
          <w:lang w:val="en-HK"/>
        </w:rPr>
        <w:t xml:space="preserve">, treating </w:t>
      </w:r>
      <w:r w:rsidRPr="00B652FC">
        <w:rPr>
          <w:rFonts w:ascii="Times New Roman" w:hAnsi="Times New Roman"/>
          <w:b/>
          <w:bCs/>
          <w:lang w:val="en-HK"/>
        </w:rPr>
        <w:t>all claimants equally even when they are not equally affected</w:t>
      </w:r>
      <w:r w:rsidRPr="00B652FC">
        <w:rPr>
          <w:rFonts w:ascii="Times New Roman" w:hAnsi="Times New Roman"/>
          <w:lang w:val="en-HK"/>
        </w:rPr>
        <w:t>.</w:t>
      </w:r>
    </w:p>
    <w:p w14:paraId="08557379" w14:textId="77777777" w:rsidR="00FA3C91" w:rsidRPr="00B652FC" w:rsidRDefault="00FA3C91" w:rsidP="00B652FC">
      <w:pPr>
        <w:numPr>
          <w:ilvl w:val="0"/>
          <w:numId w:val="12"/>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Caron v Jahani (No 2) [2020] NSWCA 117, [93], [98]-[99]</w:t>
      </w:r>
      <w:r w:rsidRPr="00B652FC">
        <w:rPr>
          <w:rFonts w:ascii="Times New Roman" w:hAnsi="Times New Roman"/>
          <w:lang w:val="en-HK"/>
        </w:rPr>
        <w:t xml:space="preserve">: Bell P noted that the approach </w:t>
      </w:r>
      <w:r w:rsidRPr="00B652FC">
        <w:rPr>
          <w:rFonts w:ascii="Times New Roman" w:hAnsi="Times New Roman"/>
          <w:b/>
          <w:bCs/>
          <w:lang w:val="en-HK"/>
        </w:rPr>
        <w:t>“ignores whether certain contributions have been dissipated more than others”</w:t>
      </w:r>
      <w:r w:rsidRPr="00B652FC">
        <w:rPr>
          <w:rFonts w:ascii="Times New Roman" w:hAnsi="Times New Roman"/>
          <w:lang w:val="en-HK"/>
        </w:rPr>
        <w:t>.</w:t>
      </w:r>
    </w:p>
    <w:p w14:paraId="513BA0A1" w14:textId="77777777" w:rsidR="00FA3C91" w:rsidRPr="00B652FC" w:rsidRDefault="00FA3C91" w:rsidP="00B652FC">
      <w:pPr>
        <w:numPr>
          <w:ilvl w:val="0"/>
          <w:numId w:val="12"/>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Law Society of Upper Canada v Toronto Dominion Bank (1998) 169 DLR (4th) 353, [51]</w:t>
      </w:r>
      <w:r w:rsidRPr="00B652FC">
        <w:rPr>
          <w:rFonts w:ascii="Times New Roman" w:hAnsi="Times New Roman"/>
          <w:lang w:val="en-HK"/>
        </w:rPr>
        <w:t xml:space="preserve">: Found that </w:t>
      </w:r>
      <w:r w:rsidRPr="00B652FC">
        <w:rPr>
          <w:rFonts w:ascii="Times New Roman" w:hAnsi="Times New Roman"/>
          <w:b/>
          <w:bCs/>
          <w:lang w:val="en-HK"/>
        </w:rPr>
        <w:t>later contributors sometimes subsidize earlier contributors</w:t>
      </w:r>
      <w:r w:rsidRPr="00B652FC">
        <w:rPr>
          <w:rFonts w:ascii="Times New Roman" w:hAnsi="Times New Roman"/>
          <w:lang w:val="en-HK"/>
        </w:rPr>
        <w:t xml:space="preserve">, leading to </w:t>
      </w:r>
      <w:r w:rsidRPr="00B652FC">
        <w:rPr>
          <w:rFonts w:ascii="Times New Roman" w:hAnsi="Times New Roman"/>
          <w:b/>
          <w:bCs/>
          <w:lang w:val="en-HK"/>
        </w:rPr>
        <w:t>inequitable outcomes</w:t>
      </w:r>
      <w:r w:rsidRPr="00B652FC">
        <w:rPr>
          <w:rFonts w:ascii="Times New Roman" w:hAnsi="Times New Roman"/>
          <w:lang w:val="en-HK"/>
        </w:rPr>
        <w:t>.</w:t>
      </w:r>
    </w:p>
    <w:p w14:paraId="778E18C0" w14:textId="77777777" w:rsidR="00FA3C91" w:rsidRPr="00B652FC" w:rsidRDefault="00FA3C91" w:rsidP="00B652FC">
      <w:pPr>
        <w:numPr>
          <w:ilvl w:val="0"/>
          <w:numId w:val="12"/>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Barlow Clowes, at 32</w:t>
      </w:r>
      <w:r w:rsidRPr="00B652FC">
        <w:rPr>
          <w:rFonts w:ascii="Times New Roman" w:hAnsi="Times New Roman"/>
          <w:lang w:val="en-HK"/>
        </w:rPr>
        <w:t xml:space="preserve">: Observed that the </w:t>
      </w:r>
      <w:proofErr w:type="spellStart"/>
      <w:r w:rsidRPr="00B652FC">
        <w:rPr>
          <w:rFonts w:ascii="Times New Roman" w:hAnsi="Times New Roman"/>
          <w:b/>
          <w:bCs/>
          <w:lang w:val="en-HK"/>
        </w:rPr>
        <w:t>pari</w:t>
      </w:r>
      <w:proofErr w:type="spellEnd"/>
      <w:r w:rsidRPr="00B652FC">
        <w:rPr>
          <w:rFonts w:ascii="Times New Roman" w:hAnsi="Times New Roman"/>
          <w:b/>
          <w:bCs/>
          <w:lang w:val="en-HK"/>
        </w:rPr>
        <w:t xml:space="preserve"> passu</w:t>
      </w:r>
      <w:r w:rsidRPr="00B652FC">
        <w:rPr>
          <w:rFonts w:ascii="Times New Roman" w:hAnsi="Times New Roman"/>
          <w:lang w:val="en-HK"/>
        </w:rPr>
        <w:t xml:space="preserve"> approach can </w:t>
      </w:r>
      <w:r w:rsidRPr="00B652FC">
        <w:rPr>
          <w:rFonts w:ascii="Times New Roman" w:hAnsi="Times New Roman"/>
          <w:b/>
          <w:bCs/>
          <w:lang w:val="en-HK"/>
        </w:rPr>
        <w:t>“artificially create equality where real-world facts suggest otherwise.”</w:t>
      </w:r>
    </w:p>
    <w:p w14:paraId="21587CE8"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This criticism is particularly evident where </w:t>
      </w:r>
      <w:r w:rsidRPr="00B652FC">
        <w:rPr>
          <w:rFonts w:ascii="Times New Roman" w:hAnsi="Times New Roman"/>
          <w:b/>
          <w:bCs/>
          <w:lang w:val="en-HK"/>
        </w:rPr>
        <w:t>some claimants have had their deposits partially or fully withdrawn</w:t>
      </w:r>
      <w:r w:rsidRPr="00B652FC">
        <w:rPr>
          <w:rFonts w:ascii="Times New Roman" w:hAnsi="Times New Roman"/>
          <w:lang w:val="en-HK"/>
        </w:rPr>
        <w:t xml:space="preserve">, while </w:t>
      </w:r>
      <w:r w:rsidRPr="00B652FC">
        <w:rPr>
          <w:rFonts w:ascii="Times New Roman" w:hAnsi="Times New Roman"/>
          <w:b/>
          <w:bCs/>
          <w:lang w:val="en-HK"/>
        </w:rPr>
        <w:t>others still have their funds intact</w:t>
      </w:r>
      <w:r w:rsidRPr="00B652FC">
        <w:rPr>
          <w:rFonts w:ascii="Times New Roman" w:hAnsi="Times New Roman"/>
          <w:lang w:val="en-HK"/>
        </w:rPr>
        <w:t xml:space="preserve">. The </w:t>
      </w:r>
      <w:r w:rsidRPr="00B652FC">
        <w:rPr>
          <w:rFonts w:ascii="Times New Roman" w:hAnsi="Times New Roman"/>
          <w:b/>
          <w:bCs/>
          <w:lang w:val="en-HK"/>
        </w:rPr>
        <w:t xml:space="preserve">simple </w:t>
      </w:r>
      <w:proofErr w:type="spellStart"/>
      <w:r w:rsidRPr="00B652FC">
        <w:rPr>
          <w:rFonts w:ascii="Times New Roman" w:hAnsi="Times New Roman"/>
          <w:b/>
          <w:bCs/>
          <w:lang w:val="en-HK"/>
        </w:rPr>
        <w:t>pari</w:t>
      </w:r>
      <w:proofErr w:type="spellEnd"/>
      <w:r w:rsidRPr="00B652FC">
        <w:rPr>
          <w:rFonts w:ascii="Times New Roman" w:hAnsi="Times New Roman"/>
          <w:b/>
          <w:bCs/>
          <w:lang w:val="en-HK"/>
        </w:rPr>
        <w:t xml:space="preserve"> passu approach fails to account for these differences</w:t>
      </w:r>
      <w:r w:rsidRPr="00B652FC">
        <w:rPr>
          <w:rFonts w:ascii="Times New Roman" w:hAnsi="Times New Roman"/>
          <w:lang w:val="en-HK"/>
        </w:rPr>
        <w:t xml:space="preserve">, potentially </w:t>
      </w:r>
      <w:r w:rsidRPr="00B652FC">
        <w:rPr>
          <w:rFonts w:ascii="Times New Roman" w:hAnsi="Times New Roman"/>
          <w:b/>
          <w:bCs/>
          <w:lang w:val="en-HK"/>
        </w:rPr>
        <w:t>unjustly reducing the entitlement of later investors</w:t>
      </w:r>
      <w:r w:rsidRPr="00B652FC">
        <w:rPr>
          <w:rFonts w:ascii="Times New Roman" w:hAnsi="Times New Roman"/>
          <w:lang w:val="en-HK"/>
        </w:rPr>
        <w:t>.</w:t>
      </w:r>
    </w:p>
    <w:p w14:paraId="5ABC8D32" w14:textId="77777777" w:rsidR="00FA3C91" w:rsidRPr="00B652FC" w:rsidRDefault="00FA3C91" w:rsidP="00B652FC">
      <w:pPr>
        <w:spacing w:before="100" w:beforeAutospacing="1" w:after="100" w:afterAutospacing="1" w:line="360" w:lineRule="auto"/>
        <w:outlineLvl w:val="3"/>
        <w:rPr>
          <w:rFonts w:ascii="Times New Roman" w:hAnsi="Times New Roman"/>
          <w:b/>
          <w:bCs/>
          <w:lang w:val="en-HK"/>
        </w:rPr>
      </w:pPr>
      <w:r w:rsidRPr="00B652FC">
        <w:rPr>
          <w:rFonts w:ascii="Times New Roman" w:hAnsi="Times New Roman"/>
          <w:b/>
          <w:bCs/>
          <w:lang w:val="en-HK"/>
        </w:rPr>
        <w:t>(ii) It Forces Later Investors to Subsidize Earlier Investors</w:t>
      </w:r>
    </w:p>
    <w:p w14:paraId="0E81AADB"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A key </w:t>
      </w:r>
      <w:r w:rsidRPr="00B652FC">
        <w:rPr>
          <w:rFonts w:ascii="Times New Roman" w:hAnsi="Times New Roman"/>
          <w:b/>
          <w:bCs/>
          <w:lang w:val="en-HK"/>
        </w:rPr>
        <w:t>inequity</w:t>
      </w:r>
      <w:r w:rsidRPr="00B652FC">
        <w:rPr>
          <w:rFonts w:ascii="Times New Roman" w:hAnsi="Times New Roman"/>
          <w:lang w:val="en-HK"/>
        </w:rPr>
        <w:t xml:space="preserve"> of the simple </w:t>
      </w:r>
      <w:proofErr w:type="spellStart"/>
      <w:r w:rsidRPr="00B652FC">
        <w:rPr>
          <w:rFonts w:ascii="Times New Roman" w:hAnsi="Times New Roman"/>
          <w:b/>
          <w:bCs/>
          <w:lang w:val="en-HK"/>
        </w:rPr>
        <w:t>pari</w:t>
      </w:r>
      <w:proofErr w:type="spellEnd"/>
      <w:r w:rsidRPr="00B652FC">
        <w:rPr>
          <w:rFonts w:ascii="Times New Roman" w:hAnsi="Times New Roman"/>
          <w:b/>
          <w:bCs/>
          <w:lang w:val="en-HK"/>
        </w:rPr>
        <w:t xml:space="preserve"> passu approach</w:t>
      </w:r>
      <w:r w:rsidRPr="00B652FC">
        <w:rPr>
          <w:rFonts w:ascii="Times New Roman" w:hAnsi="Times New Roman"/>
          <w:lang w:val="en-HK"/>
        </w:rPr>
        <w:t xml:space="preserve"> is that it </w:t>
      </w:r>
      <w:r w:rsidRPr="00B652FC">
        <w:rPr>
          <w:rFonts w:ascii="Times New Roman" w:hAnsi="Times New Roman"/>
          <w:b/>
          <w:bCs/>
          <w:lang w:val="en-HK"/>
        </w:rPr>
        <w:t>fails to recognize that some funds may have been withdrawn before later contributions were made</w:t>
      </w:r>
      <w:r w:rsidRPr="00B652FC">
        <w:rPr>
          <w:rFonts w:ascii="Times New Roman" w:hAnsi="Times New Roman"/>
          <w:lang w:val="en-HK"/>
        </w:rPr>
        <w:t>.</w:t>
      </w:r>
    </w:p>
    <w:p w14:paraId="1F84586C"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Example from the article</w:t>
      </w:r>
      <w:r w:rsidRPr="00B652FC">
        <w:rPr>
          <w:rFonts w:ascii="Times New Roman" w:hAnsi="Times New Roman"/>
          <w:lang w:val="en-HK"/>
        </w:rPr>
        <w:t>:</w:t>
      </w:r>
    </w:p>
    <w:p w14:paraId="3340D7F0" w14:textId="77777777" w:rsidR="00FA3C91" w:rsidRPr="00B652FC" w:rsidRDefault="00FA3C91" w:rsidP="00B652FC">
      <w:pPr>
        <w:numPr>
          <w:ilvl w:val="1"/>
          <w:numId w:val="13"/>
        </w:numPr>
        <w:spacing w:before="100" w:beforeAutospacing="1" w:after="100" w:afterAutospacing="1" w:line="360" w:lineRule="auto"/>
        <w:rPr>
          <w:rFonts w:ascii="Times New Roman" w:hAnsi="Times New Roman"/>
          <w:lang w:val="en-HK"/>
        </w:rPr>
      </w:pPr>
      <w:r w:rsidRPr="00B652FC">
        <w:rPr>
          <w:rFonts w:ascii="Times New Roman" w:hAnsi="Times New Roman"/>
          <w:lang w:val="en-HK"/>
        </w:rPr>
        <w:lastRenderedPageBreak/>
        <w:t xml:space="preserve">Trust C’s funds were deposited </w:t>
      </w:r>
      <w:r w:rsidRPr="00B652FC">
        <w:rPr>
          <w:rFonts w:ascii="Times New Roman" w:hAnsi="Times New Roman"/>
          <w:b/>
          <w:bCs/>
          <w:lang w:val="en-HK"/>
        </w:rPr>
        <w:t>after</w:t>
      </w:r>
      <w:r w:rsidRPr="00B652FC">
        <w:rPr>
          <w:rFonts w:ascii="Times New Roman" w:hAnsi="Times New Roman"/>
          <w:lang w:val="en-HK"/>
        </w:rPr>
        <w:t xml:space="preserve"> the </w:t>
      </w:r>
      <w:r w:rsidRPr="00B652FC">
        <w:rPr>
          <w:rFonts w:ascii="Times New Roman" w:hAnsi="Times New Roman"/>
          <w:b/>
          <w:bCs/>
          <w:lang w:val="en-HK"/>
        </w:rPr>
        <w:t>£1,000 withdrawal</w:t>
      </w:r>
      <w:r w:rsidRPr="00B652FC">
        <w:rPr>
          <w:rFonts w:ascii="Times New Roman" w:hAnsi="Times New Roman"/>
          <w:lang w:val="en-HK"/>
        </w:rPr>
        <w:t>.</w:t>
      </w:r>
    </w:p>
    <w:p w14:paraId="59A8EE93" w14:textId="77777777" w:rsidR="00FA3C91" w:rsidRPr="00B652FC" w:rsidRDefault="00FA3C91" w:rsidP="00B652FC">
      <w:pPr>
        <w:numPr>
          <w:ilvl w:val="1"/>
          <w:numId w:val="13"/>
        </w:num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Under the </w:t>
      </w:r>
      <w:r w:rsidRPr="00B652FC">
        <w:rPr>
          <w:rFonts w:ascii="Times New Roman" w:hAnsi="Times New Roman"/>
          <w:b/>
          <w:bCs/>
          <w:lang w:val="en-HK"/>
        </w:rPr>
        <w:t xml:space="preserve">simple </w:t>
      </w:r>
      <w:proofErr w:type="spellStart"/>
      <w:r w:rsidRPr="00B652FC">
        <w:rPr>
          <w:rFonts w:ascii="Times New Roman" w:hAnsi="Times New Roman"/>
          <w:b/>
          <w:bCs/>
          <w:lang w:val="en-HK"/>
        </w:rPr>
        <w:t>pari</w:t>
      </w:r>
      <w:proofErr w:type="spellEnd"/>
      <w:r w:rsidRPr="00B652FC">
        <w:rPr>
          <w:rFonts w:ascii="Times New Roman" w:hAnsi="Times New Roman"/>
          <w:b/>
          <w:bCs/>
          <w:lang w:val="en-HK"/>
        </w:rPr>
        <w:t xml:space="preserve"> passu</w:t>
      </w:r>
      <w:r w:rsidRPr="00B652FC">
        <w:rPr>
          <w:rFonts w:ascii="Times New Roman" w:hAnsi="Times New Roman"/>
          <w:lang w:val="en-HK"/>
        </w:rPr>
        <w:t xml:space="preserve"> method, </w:t>
      </w:r>
      <w:r w:rsidRPr="00B652FC">
        <w:rPr>
          <w:rFonts w:ascii="Times New Roman" w:hAnsi="Times New Roman"/>
          <w:b/>
          <w:bCs/>
          <w:lang w:val="en-HK"/>
        </w:rPr>
        <w:t>C still suffers losses equal to A and B</w:t>
      </w:r>
      <w:r w:rsidRPr="00B652FC">
        <w:rPr>
          <w:rFonts w:ascii="Times New Roman" w:hAnsi="Times New Roman"/>
          <w:lang w:val="en-HK"/>
        </w:rPr>
        <w:t xml:space="preserve">, despite C’s funds </w:t>
      </w:r>
      <w:r w:rsidRPr="00B652FC">
        <w:rPr>
          <w:rFonts w:ascii="Times New Roman" w:hAnsi="Times New Roman"/>
          <w:b/>
          <w:bCs/>
          <w:lang w:val="en-HK"/>
        </w:rPr>
        <w:t>not being depleted to the same extent</w:t>
      </w:r>
      <w:r w:rsidRPr="00B652FC">
        <w:rPr>
          <w:rFonts w:ascii="Times New Roman" w:hAnsi="Times New Roman"/>
          <w:lang w:val="en-HK"/>
        </w:rPr>
        <w:t>.</w:t>
      </w:r>
    </w:p>
    <w:p w14:paraId="40D555D1" w14:textId="77777777" w:rsidR="00FA3C91" w:rsidRPr="00B652FC" w:rsidRDefault="00FA3C91" w:rsidP="00B652FC">
      <w:pPr>
        <w:numPr>
          <w:ilvl w:val="1"/>
          <w:numId w:val="13"/>
        </w:num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Had tracing been applied, </w:t>
      </w:r>
      <w:r w:rsidRPr="00B652FC">
        <w:rPr>
          <w:rFonts w:ascii="Times New Roman" w:hAnsi="Times New Roman"/>
          <w:b/>
          <w:bCs/>
          <w:lang w:val="en-HK"/>
        </w:rPr>
        <w:t>C’s losses would have been limited to £200</w:t>
      </w:r>
      <w:r w:rsidRPr="00B652FC">
        <w:rPr>
          <w:rFonts w:ascii="Times New Roman" w:hAnsi="Times New Roman"/>
          <w:lang w:val="en-HK"/>
        </w:rPr>
        <w:t>, rather than £400.</w:t>
      </w:r>
    </w:p>
    <w:p w14:paraId="534A19A7"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This flaw was acknowledged in:</w:t>
      </w:r>
    </w:p>
    <w:p w14:paraId="5CC6F6A1" w14:textId="77777777" w:rsidR="00FA3C91" w:rsidRPr="00B652FC" w:rsidRDefault="00FA3C91" w:rsidP="00B652FC">
      <w:pPr>
        <w:numPr>
          <w:ilvl w:val="0"/>
          <w:numId w:val="14"/>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Caron v Jahani (No 2), at [164]-[165]</w:t>
      </w:r>
      <w:r w:rsidRPr="00B652FC">
        <w:rPr>
          <w:rFonts w:ascii="Times New Roman" w:hAnsi="Times New Roman"/>
          <w:lang w:val="en-HK"/>
        </w:rPr>
        <w:t xml:space="preserve">: Bell P criticized the approach, stating that </w:t>
      </w:r>
      <w:r w:rsidRPr="00B652FC">
        <w:rPr>
          <w:rFonts w:ascii="Times New Roman" w:hAnsi="Times New Roman"/>
          <w:b/>
          <w:bCs/>
          <w:lang w:val="en-HK"/>
        </w:rPr>
        <w:t>“forcibly redistributing property among claimants distorts equitable ownership”</w:t>
      </w:r>
      <w:r w:rsidRPr="00B652FC">
        <w:rPr>
          <w:rFonts w:ascii="Times New Roman" w:hAnsi="Times New Roman"/>
          <w:lang w:val="en-HK"/>
        </w:rPr>
        <w:t>.</w:t>
      </w:r>
    </w:p>
    <w:p w14:paraId="57F06BF5" w14:textId="77777777" w:rsidR="00FA3C91" w:rsidRPr="00B652FC" w:rsidRDefault="00FA3C91" w:rsidP="00B652FC">
      <w:pPr>
        <w:numPr>
          <w:ilvl w:val="0"/>
          <w:numId w:val="14"/>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Law Reform Commission of British Columbia, Report on Competing Rights to Mingled Property (1983) 53-54</w:t>
      </w:r>
      <w:r w:rsidRPr="00B652FC">
        <w:rPr>
          <w:rFonts w:ascii="Times New Roman" w:hAnsi="Times New Roman"/>
          <w:lang w:val="en-HK"/>
        </w:rPr>
        <w:t xml:space="preserve">: Noted that </w:t>
      </w:r>
      <w:r w:rsidRPr="00B652FC">
        <w:rPr>
          <w:rFonts w:ascii="Times New Roman" w:hAnsi="Times New Roman"/>
          <w:b/>
          <w:bCs/>
          <w:lang w:val="en-HK"/>
        </w:rPr>
        <w:t>later contributors may unfairly bear the burden of earlier depletions</w:t>
      </w:r>
      <w:r w:rsidRPr="00B652FC">
        <w:rPr>
          <w:rFonts w:ascii="Times New Roman" w:hAnsi="Times New Roman"/>
          <w:lang w:val="en-HK"/>
        </w:rPr>
        <w:t>.</w:t>
      </w:r>
    </w:p>
    <w:p w14:paraId="3D6A7E4E"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Thus, the approach </w:t>
      </w:r>
      <w:r w:rsidRPr="00B652FC">
        <w:rPr>
          <w:rFonts w:ascii="Times New Roman" w:hAnsi="Times New Roman"/>
          <w:b/>
          <w:bCs/>
          <w:lang w:val="en-HK"/>
        </w:rPr>
        <w:t>fails to preserve equitable property rights and operates as an unjust redistribution mechanism</w:t>
      </w:r>
      <w:r w:rsidRPr="00B652FC">
        <w:rPr>
          <w:rFonts w:ascii="Times New Roman" w:hAnsi="Times New Roman"/>
          <w:lang w:val="en-HK"/>
        </w:rPr>
        <w:t>.</w:t>
      </w:r>
    </w:p>
    <w:p w14:paraId="397C4A2E" w14:textId="77777777" w:rsidR="00FA3C91" w:rsidRPr="00B652FC" w:rsidRDefault="00FA3C91" w:rsidP="00B652FC">
      <w:pPr>
        <w:spacing w:before="100" w:beforeAutospacing="1" w:after="100" w:afterAutospacing="1" w:line="360" w:lineRule="auto"/>
        <w:outlineLvl w:val="3"/>
        <w:rPr>
          <w:rFonts w:ascii="Times New Roman" w:hAnsi="Times New Roman"/>
          <w:b/>
          <w:bCs/>
          <w:lang w:val="en-HK"/>
        </w:rPr>
      </w:pPr>
      <w:r w:rsidRPr="00B652FC">
        <w:rPr>
          <w:rFonts w:ascii="Times New Roman" w:hAnsi="Times New Roman"/>
          <w:b/>
          <w:bCs/>
          <w:lang w:val="en-HK"/>
        </w:rPr>
        <w:t>(iii) It Contradicts the Lowest Intermediate Balance Rule</w:t>
      </w:r>
    </w:p>
    <w:p w14:paraId="7036AA5D"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The </w:t>
      </w:r>
      <w:r w:rsidRPr="00B652FC">
        <w:rPr>
          <w:rFonts w:ascii="Times New Roman" w:hAnsi="Times New Roman"/>
          <w:b/>
          <w:bCs/>
          <w:lang w:val="en-HK"/>
        </w:rPr>
        <w:t>lowest intermediate balance rule (LIBR)</w:t>
      </w:r>
      <w:r w:rsidRPr="00B652FC">
        <w:rPr>
          <w:rFonts w:ascii="Times New Roman" w:hAnsi="Times New Roman"/>
          <w:lang w:val="en-HK"/>
        </w:rPr>
        <w:t xml:space="preserve"> states that </w:t>
      </w:r>
      <w:r w:rsidRPr="00B652FC">
        <w:rPr>
          <w:rFonts w:ascii="Times New Roman" w:hAnsi="Times New Roman"/>
          <w:b/>
          <w:bCs/>
          <w:lang w:val="en-HK"/>
        </w:rPr>
        <w:t>claimants can only trace into the lowest amount their funds ever constituted in the account</w:t>
      </w:r>
      <w:r w:rsidRPr="00B652FC">
        <w:rPr>
          <w:rFonts w:ascii="Times New Roman" w:hAnsi="Times New Roman"/>
          <w:lang w:val="en-HK"/>
        </w:rPr>
        <w:t>.</w:t>
      </w:r>
    </w:p>
    <w:p w14:paraId="7C32A1F3" w14:textId="77777777" w:rsidR="00FA3C91" w:rsidRPr="00B652FC" w:rsidRDefault="00FA3C91" w:rsidP="00B652FC">
      <w:pPr>
        <w:numPr>
          <w:ilvl w:val="0"/>
          <w:numId w:val="15"/>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James Roscoe (Bolton) Ltd v Winder [1915] 1 Ch 62, 69</w:t>
      </w:r>
      <w:r w:rsidRPr="00B652FC">
        <w:rPr>
          <w:rFonts w:ascii="Times New Roman" w:hAnsi="Times New Roman"/>
          <w:lang w:val="en-HK"/>
        </w:rPr>
        <w:t xml:space="preserve">: Confirmed that </w:t>
      </w:r>
      <w:r w:rsidRPr="00B652FC">
        <w:rPr>
          <w:rFonts w:ascii="Times New Roman" w:hAnsi="Times New Roman"/>
          <w:b/>
          <w:bCs/>
          <w:lang w:val="en-HK"/>
        </w:rPr>
        <w:t>beneficiaries cannot claim more than the lowest balance remaining at any point after their funds were deposited</w:t>
      </w:r>
      <w:r w:rsidRPr="00B652FC">
        <w:rPr>
          <w:rFonts w:ascii="Times New Roman" w:hAnsi="Times New Roman"/>
          <w:lang w:val="en-HK"/>
        </w:rPr>
        <w:t>.</w:t>
      </w:r>
    </w:p>
    <w:p w14:paraId="3D7BE455" w14:textId="77777777" w:rsidR="00FA3C91" w:rsidRPr="00B652FC" w:rsidRDefault="00FA3C91" w:rsidP="00B652FC">
      <w:pPr>
        <w:numPr>
          <w:ilvl w:val="0"/>
          <w:numId w:val="15"/>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 xml:space="preserve">Bishopsgate Investment Management Ltd (in </w:t>
      </w:r>
      <w:proofErr w:type="spellStart"/>
      <w:r w:rsidRPr="00B652FC">
        <w:rPr>
          <w:rFonts w:ascii="Times New Roman" w:hAnsi="Times New Roman"/>
          <w:b/>
          <w:bCs/>
          <w:lang w:val="en-HK"/>
        </w:rPr>
        <w:t>liq</w:t>
      </w:r>
      <w:proofErr w:type="spellEnd"/>
      <w:r w:rsidRPr="00B652FC">
        <w:rPr>
          <w:rFonts w:ascii="Times New Roman" w:hAnsi="Times New Roman"/>
          <w:b/>
          <w:bCs/>
          <w:lang w:val="en-HK"/>
        </w:rPr>
        <w:t>) v Homan [1995] Ch 211, 219</w:t>
      </w:r>
      <w:r w:rsidRPr="00B652FC">
        <w:rPr>
          <w:rFonts w:ascii="Times New Roman" w:hAnsi="Times New Roman"/>
          <w:lang w:val="en-HK"/>
        </w:rPr>
        <w:t xml:space="preserve">: Reaffirmed that </w:t>
      </w:r>
      <w:r w:rsidRPr="00B652FC">
        <w:rPr>
          <w:rFonts w:ascii="Times New Roman" w:hAnsi="Times New Roman"/>
          <w:b/>
          <w:bCs/>
          <w:lang w:val="en-HK"/>
        </w:rPr>
        <w:t>a claimant’s funds cease to exist if the account drops to zero or below their initial deposit</w:t>
      </w:r>
      <w:r w:rsidRPr="00B652FC">
        <w:rPr>
          <w:rFonts w:ascii="Times New Roman" w:hAnsi="Times New Roman"/>
          <w:lang w:val="en-HK"/>
        </w:rPr>
        <w:t>.</w:t>
      </w:r>
    </w:p>
    <w:p w14:paraId="54F370DC"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The </w:t>
      </w:r>
      <w:r w:rsidRPr="00B652FC">
        <w:rPr>
          <w:rFonts w:ascii="Times New Roman" w:hAnsi="Times New Roman"/>
          <w:b/>
          <w:bCs/>
          <w:lang w:val="en-HK"/>
        </w:rPr>
        <w:t xml:space="preserve">simple </w:t>
      </w:r>
      <w:proofErr w:type="spellStart"/>
      <w:r w:rsidRPr="00B652FC">
        <w:rPr>
          <w:rFonts w:ascii="Times New Roman" w:hAnsi="Times New Roman"/>
          <w:b/>
          <w:bCs/>
          <w:lang w:val="en-HK"/>
        </w:rPr>
        <w:t>pari</w:t>
      </w:r>
      <w:proofErr w:type="spellEnd"/>
      <w:r w:rsidRPr="00B652FC">
        <w:rPr>
          <w:rFonts w:ascii="Times New Roman" w:hAnsi="Times New Roman"/>
          <w:b/>
          <w:bCs/>
          <w:lang w:val="en-HK"/>
        </w:rPr>
        <w:t xml:space="preserve"> passu approach ignores this rule</w:t>
      </w:r>
      <w:r w:rsidRPr="00B652FC">
        <w:rPr>
          <w:rFonts w:ascii="Times New Roman" w:hAnsi="Times New Roman"/>
          <w:lang w:val="en-HK"/>
        </w:rPr>
        <w:t xml:space="preserve"> by distributing the </w:t>
      </w:r>
      <w:r w:rsidRPr="00B652FC">
        <w:rPr>
          <w:rFonts w:ascii="Times New Roman" w:hAnsi="Times New Roman"/>
          <w:b/>
          <w:bCs/>
          <w:lang w:val="en-HK"/>
        </w:rPr>
        <w:t>final balance</w:t>
      </w:r>
      <w:r w:rsidRPr="00B652FC">
        <w:rPr>
          <w:rFonts w:ascii="Times New Roman" w:hAnsi="Times New Roman"/>
          <w:lang w:val="en-HK"/>
        </w:rPr>
        <w:t xml:space="preserve"> rateably, regardless of </w:t>
      </w:r>
      <w:r w:rsidRPr="00B652FC">
        <w:rPr>
          <w:rFonts w:ascii="Times New Roman" w:hAnsi="Times New Roman"/>
          <w:b/>
          <w:bCs/>
          <w:lang w:val="en-HK"/>
        </w:rPr>
        <w:t>how much each claimant’s funds had already been dissipated</w:t>
      </w:r>
      <w:r w:rsidRPr="00B652FC">
        <w:rPr>
          <w:rFonts w:ascii="Times New Roman" w:hAnsi="Times New Roman"/>
          <w:lang w:val="en-HK"/>
        </w:rPr>
        <w:t>.</w:t>
      </w:r>
    </w:p>
    <w:p w14:paraId="1A3D9BEA" w14:textId="77777777" w:rsidR="00FA3C91" w:rsidRPr="00B652FC" w:rsidRDefault="00FA3C91" w:rsidP="00B652FC">
      <w:pPr>
        <w:spacing w:before="100" w:beforeAutospacing="1" w:after="100" w:afterAutospacing="1" w:line="360" w:lineRule="auto"/>
        <w:outlineLvl w:val="3"/>
        <w:rPr>
          <w:rFonts w:ascii="Times New Roman" w:hAnsi="Times New Roman"/>
          <w:b/>
          <w:bCs/>
          <w:lang w:val="en-HK"/>
        </w:rPr>
      </w:pPr>
      <w:r w:rsidRPr="00B652FC">
        <w:rPr>
          <w:rFonts w:ascii="Times New Roman" w:hAnsi="Times New Roman"/>
          <w:b/>
          <w:bCs/>
          <w:lang w:val="en-HK"/>
        </w:rPr>
        <w:t>(iv) The Approach is Based on Convenience Rather than Equity</w:t>
      </w:r>
    </w:p>
    <w:p w14:paraId="48931A60"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Courts often </w:t>
      </w:r>
      <w:proofErr w:type="spellStart"/>
      <w:r w:rsidRPr="00B652FC">
        <w:rPr>
          <w:rFonts w:ascii="Times New Roman" w:hAnsi="Times New Roman"/>
          <w:lang w:val="en-HK"/>
        </w:rPr>
        <w:t>favor</w:t>
      </w:r>
      <w:proofErr w:type="spellEnd"/>
      <w:r w:rsidRPr="00B652FC">
        <w:rPr>
          <w:rFonts w:ascii="Times New Roman" w:hAnsi="Times New Roman"/>
          <w:lang w:val="en-HK"/>
        </w:rPr>
        <w:t xml:space="preserve"> </w:t>
      </w:r>
      <w:r w:rsidRPr="00B652FC">
        <w:rPr>
          <w:rFonts w:ascii="Times New Roman" w:hAnsi="Times New Roman"/>
          <w:b/>
          <w:bCs/>
          <w:lang w:val="en-HK"/>
        </w:rPr>
        <w:t xml:space="preserve">the simple </w:t>
      </w:r>
      <w:proofErr w:type="spellStart"/>
      <w:r w:rsidRPr="00B652FC">
        <w:rPr>
          <w:rFonts w:ascii="Times New Roman" w:hAnsi="Times New Roman"/>
          <w:b/>
          <w:bCs/>
          <w:lang w:val="en-HK"/>
        </w:rPr>
        <w:t>pari</w:t>
      </w:r>
      <w:proofErr w:type="spellEnd"/>
      <w:r w:rsidRPr="00B652FC">
        <w:rPr>
          <w:rFonts w:ascii="Times New Roman" w:hAnsi="Times New Roman"/>
          <w:b/>
          <w:bCs/>
          <w:lang w:val="en-HK"/>
        </w:rPr>
        <w:t xml:space="preserve"> passu approach</w:t>
      </w:r>
      <w:r w:rsidRPr="00B652FC">
        <w:rPr>
          <w:rFonts w:ascii="Times New Roman" w:hAnsi="Times New Roman"/>
          <w:lang w:val="en-HK"/>
        </w:rPr>
        <w:t xml:space="preserve"> for </w:t>
      </w:r>
      <w:r w:rsidRPr="00B652FC">
        <w:rPr>
          <w:rFonts w:ascii="Times New Roman" w:hAnsi="Times New Roman"/>
          <w:b/>
          <w:bCs/>
          <w:lang w:val="en-HK"/>
        </w:rPr>
        <w:t>ease of administration</w:t>
      </w:r>
      <w:r w:rsidRPr="00B652FC">
        <w:rPr>
          <w:rFonts w:ascii="Times New Roman" w:hAnsi="Times New Roman"/>
          <w:lang w:val="en-HK"/>
        </w:rPr>
        <w:t xml:space="preserve"> rather than for </w:t>
      </w:r>
      <w:r w:rsidRPr="00B652FC">
        <w:rPr>
          <w:rFonts w:ascii="Times New Roman" w:hAnsi="Times New Roman"/>
          <w:b/>
          <w:bCs/>
          <w:lang w:val="en-HK"/>
        </w:rPr>
        <w:t>principled legal reasons</w:t>
      </w:r>
      <w:r w:rsidRPr="00B652FC">
        <w:rPr>
          <w:rFonts w:ascii="Times New Roman" w:hAnsi="Times New Roman"/>
          <w:lang w:val="en-HK"/>
        </w:rPr>
        <w:t>.</w:t>
      </w:r>
    </w:p>
    <w:p w14:paraId="4E67C1D2" w14:textId="77777777" w:rsidR="00FA3C91" w:rsidRPr="00B652FC" w:rsidRDefault="00FA3C91" w:rsidP="00B652FC">
      <w:pPr>
        <w:numPr>
          <w:ilvl w:val="0"/>
          <w:numId w:val="16"/>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lastRenderedPageBreak/>
        <w:t>Barlow Clowes, at 36</w:t>
      </w:r>
      <w:r w:rsidRPr="00B652FC">
        <w:rPr>
          <w:rFonts w:ascii="Times New Roman" w:hAnsi="Times New Roman"/>
          <w:lang w:val="en-HK"/>
        </w:rPr>
        <w:t xml:space="preserve">: Recognized that courts </w:t>
      </w:r>
      <w:r w:rsidRPr="00B652FC">
        <w:rPr>
          <w:rFonts w:ascii="Times New Roman" w:hAnsi="Times New Roman"/>
          <w:b/>
          <w:bCs/>
          <w:lang w:val="en-HK"/>
        </w:rPr>
        <w:t>apply it because it is simpler and cheaper</w:t>
      </w:r>
      <w:r w:rsidRPr="00B652FC">
        <w:rPr>
          <w:rFonts w:ascii="Times New Roman" w:hAnsi="Times New Roman"/>
          <w:lang w:val="en-HK"/>
        </w:rPr>
        <w:t xml:space="preserve"> than tracing each claimant’s funds separately.</w:t>
      </w:r>
    </w:p>
    <w:p w14:paraId="7D83732C" w14:textId="77777777" w:rsidR="00FA3C91" w:rsidRPr="00B652FC" w:rsidRDefault="00FA3C91" w:rsidP="00B652FC">
      <w:pPr>
        <w:numPr>
          <w:ilvl w:val="0"/>
          <w:numId w:val="16"/>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Lionel Smith (2000) 33 Can Bus LJ 75, 88</w:t>
      </w:r>
      <w:r w:rsidRPr="00B652FC">
        <w:rPr>
          <w:rFonts w:ascii="Times New Roman" w:hAnsi="Times New Roman"/>
          <w:lang w:val="en-HK"/>
        </w:rPr>
        <w:t xml:space="preserve">: </w:t>
      </w:r>
      <w:r w:rsidRPr="00B652FC">
        <w:rPr>
          <w:rFonts w:ascii="Times New Roman" w:hAnsi="Times New Roman"/>
          <w:b/>
          <w:bCs/>
          <w:lang w:val="en-HK"/>
        </w:rPr>
        <w:t>“Convenience cannot justify sacrificing clear property rights.”</w:t>
      </w:r>
    </w:p>
    <w:p w14:paraId="36E64FAD" w14:textId="77777777" w:rsidR="00FA3C91" w:rsidRPr="00B652FC" w:rsidRDefault="00FA3C91" w:rsidP="00B652FC">
      <w:pPr>
        <w:numPr>
          <w:ilvl w:val="0"/>
          <w:numId w:val="16"/>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General Medical Council v Spackman [1943] AC 627, 638</w:t>
      </w:r>
      <w:r w:rsidRPr="00B652FC">
        <w:rPr>
          <w:rFonts w:ascii="Times New Roman" w:hAnsi="Times New Roman"/>
          <w:lang w:val="en-HK"/>
        </w:rPr>
        <w:t xml:space="preserve">: Lord Atkin noted that </w:t>
      </w:r>
      <w:r w:rsidRPr="00B652FC">
        <w:rPr>
          <w:rFonts w:ascii="Times New Roman" w:hAnsi="Times New Roman"/>
          <w:b/>
          <w:bCs/>
          <w:lang w:val="en-HK"/>
        </w:rPr>
        <w:t>“convenience and justice are often not on speaking terms”</w:t>
      </w:r>
      <w:r w:rsidRPr="00B652FC">
        <w:rPr>
          <w:rFonts w:ascii="Times New Roman" w:hAnsi="Times New Roman"/>
          <w:lang w:val="en-HK"/>
        </w:rPr>
        <w:t>.</w:t>
      </w:r>
    </w:p>
    <w:p w14:paraId="3C8B80E1"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Thus, </w:t>
      </w:r>
      <w:r w:rsidRPr="00B652FC">
        <w:rPr>
          <w:rFonts w:ascii="Times New Roman" w:hAnsi="Times New Roman"/>
          <w:b/>
          <w:bCs/>
          <w:lang w:val="en-HK"/>
        </w:rPr>
        <w:t>although administratively efficient, the method lacks strong legal justification</w:t>
      </w:r>
      <w:r w:rsidRPr="00B652FC">
        <w:rPr>
          <w:rFonts w:ascii="Times New Roman" w:hAnsi="Times New Roman"/>
          <w:lang w:val="en-HK"/>
        </w:rPr>
        <w:t xml:space="preserve"> and often </w:t>
      </w:r>
      <w:r w:rsidRPr="00B652FC">
        <w:rPr>
          <w:rFonts w:ascii="Times New Roman" w:hAnsi="Times New Roman"/>
          <w:b/>
          <w:bCs/>
          <w:lang w:val="en-HK"/>
        </w:rPr>
        <w:t>compromises equitable fairness</w:t>
      </w:r>
      <w:r w:rsidRPr="00B652FC">
        <w:rPr>
          <w:rFonts w:ascii="Times New Roman" w:hAnsi="Times New Roman"/>
          <w:lang w:val="en-HK"/>
        </w:rPr>
        <w:t>.</w:t>
      </w:r>
    </w:p>
    <w:p w14:paraId="4EDC1A32" w14:textId="77777777" w:rsidR="00FA3C91" w:rsidRPr="00B652FC" w:rsidRDefault="00F5763C" w:rsidP="00B652FC">
      <w:pPr>
        <w:spacing w:line="360" w:lineRule="auto"/>
        <w:rPr>
          <w:rFonts w:ascii="Times New Roman" w:hAnsi="Times New Roman"/>
          <w:lang w:val="en-HK"/>
        </w:rPr>
      </w:pPr>
      <w:r>
        <w:rPr>
          <w:noProof/>
        </w:rPr>
      </w:r>
      <w:r>
        <w:pict w14:anchorId="037FF0AE">
          <v:rect id="Rectangle 3" o:spid="_x0000_s10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14:paraId="6CE5BD90" w14:textId="77777777" w:rsidR="00FA3C91" w:rsidRPr="00B652FC" w:rsidRDefault="00FA3C91" w:rsidP="00B652FC">
      <w:pPr>
        <w:spacing w:before="100" w:beforeAutospacing="1" w:after="100" w:afterAutospacing="1" w:line="360" w:lineRule="auto"/>
        <w:outlineLvl w:val="2"/>
        <w:rPr>
          <w:rFonts w:ascii="Times New Roman" w:hAnsi="Times New Roman"/>
          <w:b/>
          <w:bCs/>
          <w:lang w:val="en-HK"/>
        </w:rPr>
      </w:pPr>
      <w:r w:rsidRPr="00B652FC">
        <w:rPr>
          <w:rFonts w:ascii="Times New Roman" w:hAnsi="Times New Roman"/>
          <w:b/>
          <w:bCs/>
          <w:lang w:val="en-HK"/>
        </w:rPr>
        <w:t>5. Conclusion: A Call for a More Equitable Approach</w:t>
      </w:r>
    </w:p>
    <w:p w14:paraId="44A62F81"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While the </w:t>
      </w:r>
      <w:r w:rsidRPr="00B652FC">
        <w:rPr>
          <w:rFonts w:ascii="Times New Roman" w:hAnsi="Times New Roman"/>
          <w:b/>
          <w:bCs/>
          <w:lang w:val="en-HK"/>
        </w:rPr>
        <w:t xml:space="preserve">simple </w:t>
      </w:r>
      <w:proofErr w:type="spellStart"/>
      <w:r w:rsidRPr="00B652FC">
        <w:rPr>
          <w:rFonts w:ascii="Times New Roman" w:hAnsi="Times New Roman"/>
          <w:b/>
          <w:bCs/>
          <w:lang w:val="en-HK"/>
        </w:rPr>
        <w:t>pari</w:t>
      </w:r>
      <w:proofErr w:type="spellEnd"/>
      <w:r w:rsidRPr="00B652FC">
        <w:rPr>
          <w:rFonts w:ascii="Times New Roman" w:hAnsi="Times New Roman"/>
          <w:b/>
          <w:bCs/>
          <w:lang w:val="en-HK"/>
        </w:rPr>
        <w:t xml:space="preserve"> passu approach</w:t>
      </w:r>
      <w:r w:rsidRPr="00B652FC">
        <w:rPr>
          <w:rFonts w:ascii="Times New Roman" w:hAnsi="Times New Roman"/>
          <w:lang w:val="en-HK"/>
        </w:rPr>
        <w:t xml:space="preserve"> is widely used in </w:t>
      </w:r>
      <w:r w:rsidRPr="00B652FC">
        <w:rPr>
          <w:rFonts w:ascii="Times New Roman" w:hAnsi="Times New Roman"/>
          <w:b/>
          <w:bCs/>
          <w:lang w:val="en-HK"/>
        </w:rPr>
        <w:t>English and Australian trust law</w:t>
      </w:r>
      <w:r w:rsidRPr="00B652FC">
        <w:rPr>
          <w:rFonts w:ascii="Times New Roman" w:hAnsi="Times New Roman"/>
          <w:lang w:val="en-HK"/>
        </w:rPr>
        <w:t xml:space="preserve">, it is </w:t>
      </w:r>
      <w:r w:rsidRPr="00B652FC">
        <w:rPr>
          <w:rFonts w:ascii="Times New Roman" w:hAnsi="Times New Roman"/>
          <w:b/>
          <w:bCs/>
          <w:lang w:val="en-HK"/>
        </w:rPr>
        <w:t>not the most equitable solution</w:t>
      </w:r>
      <w:r w:rsidRPr="00B652FC">
        <w:rPr>
          <w:rFonts w:ascii="Times New Roman" w:hAnsi="Times New Roman"/>
          <w:lang w:val="en-HK"/>
        </w:rPr>
        <w:t xml:space="preserve">. Courts should </w:t>
      </w:r>
      <w:r w:rsidRPr="00B652FC">
        <w:rPr>
          <w:rFonts w:ascii="Times New Roman" w:hAnsi="Times New Roman"/>
          <w:b/>
          <w:bCs/>
          <w:lang w:val="en-HK"/>
        </w:rPr>
        <w:t>move towards more refined methods</w:t>
      </w:r>
      <w:r w:rsidRPr="00B652FC">
        <w:rPr>
          <w:rFonts w:ascii="Times New Roman" w:hAnsi="Times New Roman"/>
          <w:lang w:val="en-HK"/>
        </w:rPr>
        <w:t xml:space="preserve">, such as the </w:t>
      </w:r>
      <w:r w:rsidRPr="00B652FC">
        <w:rPr>
          <w:rFonts w:ascii="Times New Roman" w:hAnsi="Times New Roman"/>
          <w:b/>
          <w:bCs/>
          <w:lang w:val="en-HK"/>
        </w:rPr>
        <w:t>rolling charge approach</w:t>
      </w:r>
      <w:r w:rsidRPr="00B652FC">
        <w:rPr>
          <w:rFonts w:ascii="Times New Roman" w:hAnsi="Times New Roman"/>
          <w:lang w:val="en-HK"/>
        </w:rPr>
        <w:t>, which:</w:t>
      </w:r>
    </w:p>
    <w:p w14:paraId="36793ACF" w14:textId="77777777" w:rsidR="00FA3C91" w:rsidRPr="00B652FC" w:rsidRDefault="00FA3C91" w:rsidP="00B652FC">
      <w:pPr>
        <w:numPr>
          <w:ilvl w:val="0"/>
          <w:numId w:val="17"/>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Respects individual tracing rights</w:t>
      </w:r>
      <w:r w:rsidRPr="00B652FC">
        <w:rPr>
          <w:rFonts w:ascii="Times New Roman" w:hAnsi="Times New Roman"/>
          <w:lang w:val="en-HK"/>
        </w:rPr>
        <w:t>.</w:t>
      </w:r>
    </w:p>
    <w:p w14:paraId="63D1F3F5" w14:textId="77777777" w:rsidR="00FA3C91" w:rsidRPr="00B652FC" w:rsidRDefault="00FA3C91" w:rsidP="00B652FC">
      <w:pPr>
        <w:numPr>
          <w:ilvl w:val="0"/>
          <w:numId w:val="17"/>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Prevents later investors from subsidizing earlier ones</w:t>
      </w:r>
      <w:r w:rsidRPr="00B652FC">
        <w:rPr>
          <w:rFonts w:ascii="Times New Roman" w:hAnsi="Times New Roman"/>
          <w:lang w:val="en-HK"/>
        </w:rPr>
        <w:t>.</w:t>
      </w:r>
    </w:p>
    <w:p w14:paraId="0888F944" w14:textId="77777777" w:rsidR="00FA3C91" w:rsidRPr="00B652FC" w:rsidRDefault="00FA3C91" w:rsidP="00B652FC">
      <w:pPr>
        <w:numPr>
          <w:ilvl w:val="0"/>
          <w:numId w:val="17"/>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Aligns with the lowest intermediate balance rule</w:t>
      </w:r>
      <w:r w:rsidRPr="00B652FC">
        <w:rPr>
          <w:rFonts w:ascii="Times New Roman" w:hAnsi="Times New Roman"/>
          <w:lang w:val="en-HK"/>
        </w:rPr>
        <w:t>.</w:t>
      </w:r>
    </w:p>
    <w:p w14:paraId="09CF5177" w14:textId="77777777" w:rsidR="00FA3C91" w:rsidRPr="00B652FC" w:rsidRDefault="00FA3C91" w:rsidP="00B652FC">
      <w:pPr>
        <w:numPr>
          <w:ilvl w:val="0"/>
          <w:numId w:val="17"/>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Ensures that each claimant’s losses reflect actual fund movements</w:t>
      </w:r>
      <w:r w:rsidRPr="00B652FC">
        <w:rPr>
          <w:rFonts w:ascii="Times New Roman" w:hAnsi="Times New Roman"/>
          <w:lang w:val="en-HK"/>
        </w:rPr>
        <w:t>.</w:t>
      </w:r>
    </w:p>
    <w:p w14:paraId="7174F8B3"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The decision in </w:t>
      </w:r>
      <w:r w:rsidRPr="00B652FC">
        <w:rPr>
          <w:rFonts w:ascii="Times New Roman" w:hAnsi="Times New Roman"/>
          <w:b/>
          <w:bCs/>
          <w:lang w:val="en-HK"/>
        </w:rPr>
        <w:t>Caron v Jahani (No 2)</w:t>
      </w:r>
      <w:r w:rsidRPr="00B652FC">
        <w:rPr>
          <w:rFonts w:ascii="Times New Roman" w:hAnsi="Times New Roman"/>
          <w:lang w:val="en-HK"/>
        </w:rPr>
        <w:t xml:space="preserve"> highlights the need to </w:t>
      </w:r>
      <w:r w:rsidRPr="00B652FC">
        <w:rPr>
          <w:rFonts w:ascii="Times New Roman" w:hAnsi="Times New Roman"/>
          <w:b/>
          <w:bCs/>
          <w:lang w:val="en-HK"/>
        </w:rPr>
        <w:t>move beyond mere administrative simplicity</w:t>
      </w:r>
      <w:r w:rsidRPr="00B652FC">
        <w:rPr>
          <w:rFonts w:ascii="Times New Roman" w:hAnsi="Times New Roman"/>
          <w:lang w:val="en-HK"/>
        </w:rPr>
        <w:t xml:space="preserve"> and apply an approach that </w:t>
      </w:r>
      <w:r w:rsidRPr="00B652FC">
        <w:rPr>
          <w:rFonts w:ascii="Times New Roman" w:hAnsi="Times New Roman"/>
          <w:b/>
          <w:bCs/>
          <w:lang w:val="en-HK"/>
        </w:rPr>
        <w:t>more accurately reflects equitable ownership principles</w:t>
      </w:r>
      <w:r w:rsidRPr="00B652FC">
        <w:rPr>
          <w:rFonts w:ascii="Times New Roman" w:hAnsi="Times New Roman"/>
          <w:lang w:val="en-HK"/>
        </w:rPr>
        <w:t>.</w:t>
      </w:r>
    </w:p>
    <w:p w14:paraId="7557FAEE" w14:textId="4B426E6E" w:rsidR="00B652FC" w:rsidRPr="00B652FC" w:rsidRDefault="00F5763C" w:rsidP="00B652FC">
      <w:pPr>
        <w:spacing w:before="100" w:beforeAutospacing="1" w:after="100" w:afterAutospacing="1" w:line="360" w:lineRule="auto"/>
        <w:rPr>
          <w:rFonts w:ascii="Times New Roman" w:hAnsi="Times New Roman"/>
          <w:lang w:val="en-HK"/>
        </w:rPr>
      </w:pPr>
      <w:r w:rsidRPr="00F5763C">
        <w:rPr>
          <w:rFonts w:ascii="Times New Roman" w:hAnsi="Times New Roman"/>
          <w:noProof/>
          <w:lang w:val="en-HK"/>
          <w14:ligatures w14:val="standardContextual"/>
        </w:rPr>
        <w:pict w14:anchorId="4E934701">
          <v:rect id="_x0000_i1029" alt="" style="width:451.3pt;height:.05pt;mso-width-percent:0;mso-height-percent:0;mso-width-percent:0;mso-height-percent:0" o:hralign="center" o:hrstd="t" o:hr="t" fillcolor="#a0a0a0" stroked="f"/>
        </w:pict>
      </w:r>
    </w:p>
    <w:p w14:paraId="75DA10C9" w14:textId="77777777" w:rsidR="00FA3C91" w:rsidRPr="00B652FC" w:rsidRDefault="00FA3C91" w:rsidP="00B652FC">
      <w:pPr>
        <w:spacing w:before="100" w:beforeAutospacing="1" w:after="100" w:afterAutospacing="1" w:line="360" w:lineRule="auto"/>
        <w:outlineLvl w:val="2"/>
        <w:rPr>
          <w:rFonts w:ascii="Times New Roman" w:hAnsi="Times New Roman"/>
          <w:b/>
          <w:bCs/>
          <w:lang w:val="en-HK"/>
        </w:rPr>
      </w:pPr>
      <w:r w:rsidRPr="00B652FC">
        <w:rPr>
          <w:rFonts w:ascii="Times New Roman" w:hAnsi="Times New Roman"/>
          <w:b/>
          <w:bCs/>
          <w:lang w:val="en-HK"/>
        </w:rPr>
        <w:t>III. The ‘Rolling Charge’ Approach</w:t>
      </w:r>
    </w:p>
    <w:p w14:paraId="49C2ECD3" w14:textId="77777777" w:rsidR="00FA3C91" w:rsidRPr="00B652FC" w:rsidRDefault="00FA3C91" w:rsidP="00B652FC">
      <w:pPr>
        <w:spacing w:before="100" w:beforeAutospacing="1" w:after="100" w:afterAutospacing="1" w:line="360" w:lineRule="auto"/>
        <w:outlineLvl w:val="3"/>
        <w:rPr>
          <w:rFonts w:ascii="Times New Roman" w:hAnsi="Times New Roman"/>
          <w:b/>
          <w:bCs/>
          <w:lang w:val="en-HK"/>
        </w:rPr>
      </w:pPr>
      <w:r w:rsidRPr="00B652FC">
        <w:rPr>
          <w:rFonts w:ascii="Times New Roman" w:hAnsi="Times New Roman"/>
          <w:b/>
          <w:bCs/>
          <w:lang w:val="en-HK"/>
        </w:rPr>
        <w:t>1. Introduction to the Rolling Charge Approach</w:t>
      </w:r>
    </w:p>
    <w:p w14:paraId="56043397"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The </w:t>
      </w:r>
      <w:r w:rsidRPr="00B652FC">
        <w:rPr>
          <w:rFonts w:ascii="Times New Roman" w:hAnsi="Times New Roman"/>
          <w:b/>
          <w:bCs/>
          <w:lang w:val="en-HK"/>
        </w:rPr>
        <w:t>rolling charge approach</w:t>
      </w:r>
      <w:r w:rsidRPr="00B652FC">
        <w:rPr>
          <w:rFonts w:ascii="Times New Roman" w:hAnsi="Times New Roman"/>
          <w:lang w:val="en-HK"/>
        </w:rPr>
        <w:t xml:space="preserve"> is an alternative to </w:t>
      </w:r>
      <w:r w:rsidRPr="00B652FC">
        <w:rPr>
          <w:rFonts w:ascii="Times New Roman" w:hAnsi="Times New Roman"/>
          <w:b/>
          <w:bCs/>
          <w:lang w:val="en-HK"/>
        </w:rPr>
        <w:t>Clayton’s Case</w:t>
      </w:r>
      <w:r w:rsidRPr="00B652FC">
        <w:rPr>
          <w:rFonts w:ascii="Times New Roman" w:hAnsi="Times New Roman"/>
          <w:lang w:val="en-HK"/>
        </w:rPr>
        <w:t xml:space="preserve"> and the </w:t>
      </w:r>
      <w:r w:rsidRPr="00B652FC">
        <w:rPr>
          <w:rFonts w:ascii="Times New Roman" w:hAnsi="Times New Roman"/>
          <w:b/>
          <w:bCs/>
          <w:lang w:val="en-HK"/>
        </w:rPr>
        <w:t xml:space="preserve">simple </w:t>
      </w:r>
      <w:proofErr w:type="spellStart"/>
      <w:r w:rsidRPr="00B652FC">
        <w:rPr>
          <w:rFonts w:ascii="Times New Roman" w:hAnsi="Times New Roman"/>
          <w:b/>
          <w:bCs/>
          <w:lang w:val="en-HK"/>
        </w:rPr>
        <w:t>pari</w:t>
      </w:r>
      <w:proofErr w:type="spellEnd"/>
      <w:r w:rsidRPr="00B652FC">
        <w:rPr>
          <w:rFonts w:ascii="Times New Roman" w:hAnsi="Times New Roman"/>
          <w:b/>
          <w:bCs/>
          <w:lang w:val="en-HK"/>
        </w:rPr>
        <w:t xml:space="preserve"> passu approach</w:t>
      </w:r>
      <w:r w:rsidRPr="00B652FC">
        <w:rPr>
          <w:rFonts w:ascii="Times New Roman" w:hAnsi="Times New Roman"/>
          <w:lang w:val="en-HK"/>
        </w:rPr>
        <w:t xml:space="preserve"> for allocating funds where </w:t>
      </w:r>
      <w:r w:rsidRPr="00B652FC">
        <w:rPr>
          <w:rFonts w:ascii="Times New Roman" w:hAnsi="Times New Roman"/>
          <w:b/>
          <w:bCs/>
          <w:lang w:val="en-HK"/>
        </w:rPr>
        <w:t>multiple innocent claimants have contributed to a mixed account that has been depleted</w:t>
      </w:r>
      <w:r w:rsidRPr="00B652FC">
        <w:rPr>
          <w:rFonts w:ascii="Times New Roman" w:hAnsi="Times New Roman"/>
          <w:lang w:val="en-HK"/>
        </w:rPr>
        <w:t xml:space="preserve">. Unlike these earlier methods, the rolling charge approach is </w:t>
      </w:r>
      <w:r w:rsidRPr="00B652FC">
        <w:rPr>
          <w:rFonts w:ascii="Times New Roman" w:hAnsi="Times New Roman"/>
          <w:b/>
          <w:bCs/>
          <w:lang w:val="en-HK"/>
        </w:rPr>
        <w:t>dynamic</w:t>
      </w:r>
      <w:r w:rsidRPr="00B652FC">
        <w:rPr>
          <w:rFonts w:ascii="Times New Roman" w:hAnsi="Times New Roman"/>
          <w:lang w:val="en-HK"/>
        </w:rPr>
        <w:t xml:space="preserve">, recalculating claimants' entitlements </w:t>
      </w:r>
      <w:r w:rsidRPr="00B652FC">
        <w:rPr>
          <w:rFonts w:ascii="Times New Roman" w:hAnsi="Times New Roman"/>
          <w:b/>
          <w:bCs/>
          <w:lang w:val="en-HK"/>
        </w:rPr>
        <w:t>after each transaction</w:t>
      </w:r>
      <w:r w:rsidRPr="00B652FC">
        <w:rPr>
          <w:rFonts w:ascii="Times New Roman" w:hAnsi="Times New Roman"/>
          <w:lang w:val="en-HK"/>
        </w:rPr>
        <w:t xml:space="preserve">. This </w:t>
      </w:r>
      <w:r w:rsidRPr="00B652FC">
        <w:rPr>
          <w:rFonts w:ascii="Times New Roman" w:hAnsi="Times New Roman"/>
          <w:lang w:val="en-HK"/>
        </w:rPr>
        <w:lastRenderedPageBreak/>
        <w:t xml:space="preserve">ensures that withdrawals </w:t>
      </w:r>
      <w:r w:rsidRPr="00B652FC">
        <w:rPr>
          <w:rFonts w:ascii="Times New Roman" w:hAnsi="Times New Roman"/>
          <w:b/>
          <w:bCs/>
          <w:lang w:val="en-HK"/>
        </w:rPr>
        <w:t>do not disproportionately burden earlier or later contributors</w:t>
      </w:r>
      <w:r w:rsidRPr="00B652FC">
        <w:rPr>
          <w:rFonts w:ascii="Times New Roman" w:hAnsi="Times New Roman"/>
          <w:lang w:val="en-HK"/>
        </w:rPr>
        <w:t xml:space="preserve">, thereby </w:t>
      </w:r>
      <w:r w:rsidRPr="00B652FC">
        <w:rPr>
          <w:rFonts w:ascii="Times New Roman" w:hAnsi="Times New Roman"/>
          <w:b/>
          <w:bCs/>
          <w:lang w:val="en-HK"/>
        </w:rPr>
        <w:t>preserving equitable property rights more accurately</w:t>
      </w:r>
      <w:r w:rsidRPr="00B652FC">
        <w:rPr>
          <w:rFonts w:ascii="Times New Roman" w:hAnsi="Times New Roman"/>
          <w:lang w:val="en-HK"/>
        </w:rPr>
        <w:t>.</w:t>
      </w:r>
    </w:p>
    <w:p w14:paraId="7A3C18FE"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The </w:t>
      </w:r>
      <w:r w:rsidRPr="00B652FC">
        <w:rPr>
          <w:rFonts w:ascii="Times New Roman" w:hAnsi="Times New Roman"/>
          <w:b/>
          <w:bCs/>
          <w:lang w:val="en-HK"/>
        </w:rPr>
        <w:t>rolling charge method</w:t>
      </w:r>
      <w:r w:rsidRPr="00B652FC">
        <w:rPr>
          <w:rFonts w:ascii="Times New Roman" w:hAnsi="Times New Roman"/>
          <w:lang w:val="en-HK"/>
        </w:rPr>
        <w:t xml:space="preserve"> is particularly relevant in </w:t>
      </w:r>
      <w:r w:rsidRPr="00B652FC">
        <w:rPr>
          <w:rFonts w:ascii="Times New Roman" w:hAnsi="Times New Roman"/>
          <w:b/>
          <w:bCs/>
          <w:lang w:val="en-HK"/>
        </w:rPr>
        <w:t>fiduciary breaches, fraud, and insolvency cases</w:t>
      </w:r>
      <w:r w:rsidRPr="00B652FC">
        <w:rPr>
          <w:rFonts w:ascii="Times New Roman" w:hAnsi="Times New Roman"/>
          <w:lang w:val="en-HK"/>
        </w:rPr>
        <w:t xml:space="preserve">, where </w:t>
      </w:r>
      <w:r w:rsidRPr="00B652FC">
        <w:rPr>
          <w:rFonts w:ascii="Times New Roman" w:hAnsi="Times New Roman"/>
          <w:b/>
          <w:bCs/>
          <w:lang w:val="en-HK"/>
        </w:rPr>
        <w:t>multiple victims have legitimate claims to an insufficient fund</w:t>
      </w:r>
      <w:r w:rsidRPr="00B652FC">
        <w:rPr>
          <w:rFonts w:ascii="Times New Roman" w:hAnsi="Times New Roman"/>
          <w:lang w:val="en-HK"/>
        </w:rPr>
        <w:t xml:space="preserve">. It aligns with the </w:t>
      </w:r>
      <w:r w:rsidRPr="00B652FC">
        <w:rPr>
          <w:rFonts w:ascii="Times New Roman" w:hAnsi="Times New Roman"/>
          <w:b/>
          <w:bCs/>
          <w:lang w:val="en-HK"/>
        </w:rPr>
        <w:t>lowest intermediate balance rule (LIBR)</w:t>
      </w:r>
      <w:r w:rsidRPr="00B652FC">
        <w:rPr>
          <w:rFonts w:ascii="Times New Roman" w:hAnsi="Times New Roman"/>
          <w:lang w:val="en-HK"/>
        </w:rPr>
        <w:t xml:space="preserve"> and prevents the </w:t>
      </w:r>
      <w:r w:rsidRPr="00B652FC">
        <w:rPr>
          <w:rFonts w:ascii="Times New Roman" w:hAnsi="Times New Roman"/>
          <w:b/>
          <w:bCs/>
          <w:lang w:val="en-HK"/>
        </w:rPr>
        <w:t xml:space="preserve">artificial equality created by the simple </w:t>
      </w:r>
      <w:proofErr w:type="spellStart"/>
      <w:r w:rsidRPr="00B652FC">
        <w:rPr>
          <w:rFonts w:ascii="Times New Roman" w:hAnsi="Times New Roman"/>
          <w:b/>
          <w:bCs/>
          <w:lang w:val="en-HK"/>
        </w:rPr>
        <w:t>pari</w:t>
      </w:r>
      <w:proofErr w:type="spellEnd"/>
      <w:r w:rsidRPr="00B652FC">
        <w:rPr>
          <w:rFonts w:ascii="Times New Roman" w:hAnsi="Times New Roman"/>
          <w:b/>
          <w:bCs/>
          <w:lang w:val="en-HK"/>
        </w:rPr>
        <w:t xml:space="preserve"> passu approach</w:t>
      </w:r>
      <w:r w:rsidRPr="00B652FC">
        <w:rPr>
          <w:rFonts w:ascii="Times New Roman" w:hAnsi="Times New Roman"/>
          <w:lang w:val="en-HK"/>
        </w:rPr>
        <w:t>.</w:t>
      </w:r>
    </w:p>
    <w:p w14:paraId="6E97D31D" w14:textId="77777777" w:rsidR="00FA3C91" w:rsidRPr="00B652FC" w:rsidRDefault="00F5763C" w:rsidP="00B652FC">
      <w:pPr>
        <w:spacing w:line="360" w:lineRule="auto"/>
        <w:rPr>
          <w:rFonts w:ascii="Times New Roman" w:hAnsi="Times New Roman"/>
          <w:lang w:val="en-HK"/>
        </w:rPr>
      </w:pPr>
      <w:r w:rsidRPr="00F5763C">
        <w:rPr>
          <w:rFonts w:ascii="Times New Roman" w:hAnsi="Times New Roman"/>
          <w:noProof/>
          <w:lang w:val="en-HK"/>
          <w14:ligatures w14:val="standardContextual"/>
        </w:rPr>
        <w:pict w14:anchorId="7900050E">
          <v:rect id="_x0000_i1028" alt="" style="width:451.3pt;height:.05pt;mso-width-percent:0;mso-height-percent:0;mso-width-percent:0;mso-height-percent:0" o:hralign="center" o:hrstd="t" o:hr="t" fillcolor="#a0a0a0" stroked="f"/>
        </w:pict>
      </w:r>
    </w:p>
    <w:p w14:paraId="518AEFB4" w14:textId="77777777" w:rsidR="00FA3C91" w:rsidRPr="00B652FC" w:rsidRDefault="00FA3C91" w:rsidP="00B652FC">
      <w:pPr>
        <w:spacing w:before="100" w:beforeAutospacing="1" w:after="100" w:afterAutospacing="1" w:line="360" w:lineRule="auto"/>
        <w:outlineLvl w:val="2"/>
        <w:rPr>
          <w:rFonts w:ascii="Times New Roman" w:hAnsi="Times New Roman"/>
          <w:b/>
          <w:bCs/>
          <w:lang w:val="en-HK"/>
        </w:rPr>
      </w:pPr>
      <w:r w:rsidRPr="00B652FC">
        <w:rPr>
          <w:rFonts w:ascii="Times New Roman" w:hAnsi="Times New Roman"/>
          <w:b/>
          <w:bCs/>
          <w:lang w:val="en-HK"/>
        </w:rPr>
        <w:t>2. The Rolling Charge Approach</w:t>
      </w:r>
    </w:p>
    <w:p w14:paraId="5A1AA315"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The </w:t>
      </w:r>
      <w:r w:rsidRPr="00B652FC">
        <w:rPr>
          <w:rFonts w:ascii="Times New Roman" w:hAnsi="Times New Roman"/>
          <w:b/>
          <w:bCs/>
          <w:lang w:val="en-HK"/>
        </w:rPr>
        <w:t>rolling charge approach</w:t>
      </w:r>
      <w:r w:rsidRPr="00B652FC">
        <w:rPr>
          <w:rFonts w:ascii="Times New Roman" w:hAnsi="Times New Roman"/>
          <w:lang w:val="en-HK"/>
        </w:rPr>
        <w:t xml:space="preserve"> works by continuously </w:t>
      </w:r>
      <w:r w:rsidRPr="00B652FC">
        <w:rPr>
          <w:rFonts w:ascii="Times New Roman" w:hAnsi="Times New Roman"/>
          <w:b/>
          <w:bCs/>
          <w:lang w:val="en-HK"/>
        </w:rPr>
        <w:t>recalculating</w:t>
      </w:r>
      <w:r w:rsidRPr="00B652FC">
        <w:rPr>
          <w:rFonts w:ascii="Times New Roman" w:hAnsi="Times New Roman"/>
          <w:lang w:val="en-HK"/>
        </w:rPr>
        <w:t xml:space="preserve"> each claimant’s share after every deposit and withdrawal in a mixed account. This ensures that </w:t>
      </w:r>
      <w:r w:rsidRPr="00B652FC">
        <w:rPr>
          <w:rFonts w:ascii="Times New Roman" w:hAnsi="Times New Roman"/>
          <w:b/>
          <w:bCs/>
          <w:lang w:val="en-HK"/>
        </w:rPr>
        <w:t>proportional allocations remain fair throughout the entire series of transactions</w:t>
      </w:r>
      <w:r w:rsidRPr="00B652FC">
        <w:rPr>
          <w:rFonts w:ascii="Times New Roman" w:hAnsi="Times New Roman"/>
          <w:lang w:val="en-HK"/>
        </w:rPr>
        <w:t>.</w:t>
      </w:r>
    </w:p>
    <w:p w14:paraId="4AEF3C89" w14:textId="77777777" w:rsidR="00FA3C91" w:rsidRPr="00B652FC" w:rsidRDefault="00FA3C91" w:rsidP="00B652FC">
      <w:pPr>
        <w:spacing w:before="100" w:beforeAutospacing="1" w:after="100" w:afterAutospacing="1" w:line="360" w:lineRule="auto"/>
        <w:outlineLvl w:val="3"/>
        <w:rPr>
          <w:rFonts w:ascii="Times New Roman" w:hAnsi="Times New Roman"/>
          <w:b/>
          <w:bCs/>
          <w:lang w:val="en-HK"/>
        </w:rPr>
      </w:pPr>
      <w:r w:rsidRPr="00B652FC">
        <w:rPr>
          <w:rFonts w:ascii="Times New Roman" w:hAnsi="Times New Roman"/>
          <w:b/>
          <w:bCs/>
          <w:lang w:val="en-HK"/>
        </w:rPr>
        <w:t>Application of the Rolling Charge Approach</w:t>
      </w:r>
    </w:p>
    <w:p w14:paraId="56F240CA"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Using the example from the article:</w:t>
      </w:r>
    </w:p>
    <w:p w14:paraId="26AC6A3D" w14:textId="77777777" w:rsidR="00FA3C91" w:rsidRPr="00B652FC" w:rsidRDefault="00FA3C91" w:rsidP="00B652FC">
      <w:pPr>
        <w:numPr>
          <w:ilvl w:val="0"/>
          <w:numId w:val="18"/>
        </w:num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A trustee misappropriates </w:t>
      </w:r>
      <w:r w:rsidRPr="00B652FC">
        <w:rPr>
          <w:rFonts w:ascii="Times New Roman" w:hAnsi="Times New Roman"/>
          <w:b/>
          <w:bCs/>
          <w:lang w:val="en-HK"/>
        </w:rPr>
        <w:t>£1,000 from Trust A</w:t>
      </w:r>
      <w:r w:rsidRPr="00B652FC">
        <w:rPr>
          <w:rFonts w:ascii="Times New Roman" w:hAnsi="Times New Roman"/>
          <w:lang w:val="en-HK"/>
        </w:rPr>
        <w:t xml:space="preserve"> and </w:t>
      </w:r>
      <w:r w:rsidRPr="00B652FC">
        <w:rPr>
          <w:rFonts w:ascii="Times New Roman" w:hAnsi="Times New Roman"/>
          <w:b/>
          <w:bCs/>
          <w:lang w:val="en-HK"/>
        </w:rPr>
        <w:t>£1,000 from Trust B</w:t>
      </w:r>
      <w:r w:rsidRPr="00B652FC">
        <w:rPr>
          <w:rFonts w:ascii="Times New Roman" w:hAnsi="Times New Roman"/>
          <w:lang w:val="en-HK"/>
        </w:rPr>
        <w:t>, depositing them into a personal account.</w:t>
      </w:r>
    </w:p>
    <w:p w14:paraId="3F746C5E" w14:textId="77777777" w:rsidR="00FA3C91" w:rsidRPr="00B652FC" w:rsidRDefault="00FA3C91" w:rsidP="00B652FC">
      <w:pPr>
        <w:numPr>
          <w:ilvl w:val="0"/>
          <w:numId w:val="18"/>
        </w:num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The trustee then </w:t>
      </w:r>
      <w:r w:rsidRPr="00B652FC">
        <w:rPr>
          <w:rFonts w:ascii="Times New Roman" w:hAnsi="Times New Roman"/>
          <w:b/>
          <w:bCs/>
          <w:lang w:val="en-HK"/>
        </w:rPr>
        <w:t>withdraws £1,000</w:t>
      </w:r>
      <w:r w:rsidRPr="00B652FC">
        <w:rPr>
          <w:rFonts w:ascii="Times New Roman" w:hAnsi="Times New Roman"/>
          <w:lang w:val="en-HK"/>
        </w:rPr>
        <w:t xml:space="preserve">, reducing the account balance to </w:t>
      </w:r>
      <w:r w:rsidRPr="00B652FC">
        <w:rPr>
          <w:rFonts w:ascii="Times New Roman" w:hAnsi="Times New Roman"/>
          <w:b/>
          <w:bCs/>
          <w:lang w:val="en-HK"/>
        </w:rPr>
        <w:t>£1,000</w:t>
      </w:r>
      <w:r w:rsidRPr="00B652FC">
        <w:rPr>
          <w:rFonts w:ascii="Times New Roman" w:hAnsi="Times New Roman"/>
          <w:lang w:val="en-HK"/>
        </w:rPr>
        <w:t>.</w:t>
      </w:r>
    </w:p>
    <w:p w14:paraId="706E338D" w14:textId="77777777" w:rsidR="00FA3C91" w:rsidRPr="00B652FC" w:rsidRDefault="00FA3C91" w:rsidP="00B652FC">
      <w:pPr>
        <w:numPr>
          <w:ilvl w:val="0"/>
          <w:numId w:val="18"/>
        </w:num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A further </w:t>
      </w:r>
      <w:r w:rsidRPr="00B652FC">
        <w:rPr>
          <w:rFonts w:ascii="Times New Roman" w:hAnsi="Times New Roman"/>
          <w:b/>
          <w:bCs/>
          <w:lang w:val="en-HK"/>
        </w:rPr>
        <w:t>£1,000 from Trust C</w:t>
      </w:r>
      <w:r w:rsidRPr="00B652FC">
        <w:rPr>
          <w:rFonts w:ascii="Times New Roman" w:hAnsi="Times New Roman"/>
          <w:lang w:val="en-HK"/>
        </w:rPr>
        <w:t xml:space="preserve"> is deposited.</w:t>
      </w:r>
    </w:p>
    <w:p w14:paraId="4EBCAD85" w14:textId="77777777" w:rsidR="00FA3C91" w:rsidRPr="00B652FC" w:rsidRDefault="00FA3C91" w:rsidP="00B652FC">
      <w:pPr>
        <w:numPr>
          <w:ilvl w:val="0"/>
          <w:numId w:val="18"/>
        </w:num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Another </w:t>
      </w:r>
      <w:r w:rsidRPr="00B652FC">
        <w:rPr>
          <w:rFonts w:ascii="Times New Roman" w:hAnsi="Times New Roman"/>
          <w:b/>
          <w:bCs/>
          <w:lang w:val="en-HK"/>
        </w:rPr>
        <w:t>£200 is withdrawn</w:t>
      </w:r>
      <w:r w:rsidRPr="00B652FC">
        <w:rPr>
          <w:rFonts w:ascii="Times New Roman" w:hAnsi="Times New Roman"/>
          <w:lang w:val="en-HK"/>
        </w:rPr>
        <w:t xml:space="preserve">, leaving </w:t>
      </w:r>
      <w:r w:rsidRPr="00B652FC">
        <w:rPr>
          <w:rFonts w:ascii="Times New Roman" w:hAnsi="Times New Roman"/>
          <w:b/>
          <w:bCs/>
          <w:lang w:val="en-HK"/>
        </w:rPr>
        <w:t>£1,800 in the account</w:t>
      </w:r>
      <w:r w:rsidRPr="00B652FC">
        <w:rPr>
          <w:rFonts w:ascii="Times New Roman" w:hAnsi="Times New Roman"/>
          <w:lang w:val="en-HK"/>
        </w:rPr>
        <w:t>.</w:t>
      </w:r>
    </w:p>
    <w:p w14:paraId="3759A68D"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Under the </w:t>
      </w:r>
      <w:r w:rsidRPr="00B652FC">
        <w:rPr>
          <w:rFonts w:ascii="Times New Roman" w:hAnsi="Times New Roman"/>
          <w:b/>
          <w:bCs/>
          <w:lang w:val="en-HK"/>
        </w:rPr>
        <w:t>rolling charge approach</w:t>
      </w:r>
      <w:r w:rsidRPr="00B652FC">
        <w:rPr>
          <w:rFonts w:ascii="Times New Roman" w:hAnsi="Times New Roman"/>
          <w:lang w:val="en-HK"/>
        </w:rPr>
        <w:t>:</w:t>
      </w:r>
    </w:p>
    <w:p w14:paraId="055743E5" w14:textId="77777777" w:rsidR="00FA3C91" w:rsidRPr="00B652FC" w:rsidRDefault="00FA3C91" w:rsidP="00B652FC">
      <w:pPr>
        <w:numPr>
          <w:ilvl w:val="0"/>
          <w:numId w:val="19"/>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After the first withdrawal of £1,000</w:t>
      </w:r>
      <w:r w:rsidRPr="00B652FC">
        <w:rPr>
          <w:rFonts w:ascii="Times New Roman" w:hAnsi="Times New Roman"/>
          <w:lang w:val="en-HK"/>
        </w:rPr>
        <w:t xml:space="preserve">: Since A and B </w:t>
      </w:r>
      <w:r w:rsidRPr="00B652FC">
        <w:rPr>
          <w:rFonts w:ascii="Times New Roman" w:hAnsi="Times New Roman"/>
          <w:b/>
          <w:bCs/>
          <w:lang w:val="en-HK"/>
        </w:rPr>
        <w:t>originally held 50% each</w:t>
      </w:r>
      <w:r w:rsidRPr="00B652FC">
        <w:rPr>
          <w:rFonts w:ascii="Times New Roman" w:hAnsi="Times New Roman"/>
          <w:lang w:val="en-HK"/>
        </w:rPr>
        <w:t xml:space="preserve">, the withdrawn amount is deducted in that proportion. This leaves A and B with </w:t>
      </w:r>
      <w:r w:rsidRPr="00B652FC">
        <w:rPr>
          <w:rFonts w:ascii="Times New Roman" w:hAnsi="Times New Roman"/>
          <w:b/>
          <w:bCs/>
          <w:lang w:val="en-HK"/>
        </w:rPr>
        <w:t>£500 each</w:t>
      </w:r>
      <w:r w:rsidRPr="00B652FC">
        <w:rPr>
          <w:rFonts w:ascii="Times New Roman" w:hAnsi="Times New Roman"/>
          <w:lang w:val="en-HK"/>
        </w:rPr>
        <w:t>.</w:t>
      </w:r>
    </w:p>
    <w:p w14:paraId="7FD46567" w14:textId="77777777" w:rsidR="00FA3C91" w:rsidRPr="00B652FC" w:rsidRDefault="00FA3C91" w:rsidP="00B652FC">
      <w:pPr>
        <w:numPr>
          <w:ilvl w:val="0"/>
          <w:numId w:val="19"/>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After C deposits £1,000</w:t>
      </w:r>
      <w:r w:rsidRPr="00B652FC">
        <w:rPr>
          <w:rFonts w:ascii="Times New Roman" w:hAnsi="Times New Roman"/>
          <w:lang w:val="en-HK"/>
        </w:rPr>
        <w:t xml:space="preserve">: The </w:t>
      </w:r>
      <w:r w:rsidRPr="00B652FC">
        <w:rPr>
          <w:rFonts w:ascii="Times New Roman" w:hAnsi="Times New Roman"/>
          <w:b/>
          <w:bCs/>
          <w:lang w:val="en-HK"/>
        </w:rPr>
        <w:t>new proportions</w:t>
      </w:r>
      <w:r w:rsidRPr="00B652FC">
        <w:rPr>
          <w:rFonts w:ascii="Times New Roman" w:hAnsi="Times New Roman"/>
          <w:lang w:val="en-HK"/>
        </w:rPr>
        <w:t xml:space="preserve"> are recalculated:</w:t>
      </w:r>
    </w:p>
    <w:p w14:paraId="12432FFC" w14:textId="77777777" w:rsidR="00FA3C91" w:rsidRPr="00B652FC" w:rsidRDefault="00FA3C91" w:rsidP="00B652FC">
      <w:pPr>
        <w:numPr>
          <w:ilvl w:val="1"/>
          <w:numId w:val="19"/>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A: £500 / £2,000 (25%)</w:t>
      </w:r>
    </w:p>
    <w:p w14:paraId="36948AEC" w14:textId="77777777" w:rsidR="00FA3C91" w:rsidRPr="00B652FC" w:rsidRDefault="00FA3C91" w:rsidP="00B652FC">
      <w:pPr>
        <w:numPr>
          <w:ilvl w:val="1"/>
          <w:numId w:val="19"/>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B: £500 / £2,000 (25%)</w:t>
      </w:r>
    </w:p>
    <w:p w14:paraId="7BA2584C" w14:textId="77777777" w:rsidR="00FA3C91" w:rsidRPr="00B652FC" w:rsidRDefault="00FA3C91" w:rsidP="00B652FC">
      <w:pPr>
        <w:numPr>
          <w:ilvl w:val="1"/>
          <w:numId w:val="19"/>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C: £1,000 / £2,000 (50%)</w:t>
      </w:r>
    </w:p>
    <w:p w14:paraId="1E225046" w14:textId="77777777" w:rsidR="00FA3C91" w:rsidRPr="00B652FC" w:rsidRDefault="00FA3C91" w:rsidP="00B652FC">
      <w:pPr>
        <w:numPr>
          <w:ilvl w:val="0"/>
          <w:numId w:val="19"/>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After the second withdrawal of £200</w:t>
      </w:r>
      <w:r w:rsidRPr="00B652FC">
        <w:rPr>
          <w:rFonts w:ascii="Times New Roman" w:hAnsi="Times New Roman"/>
          <w:lang w:val="en-HK"/>
        </w:rPr>
        <w:t>:</w:t>
      </w:r>
    </w:p>
    <w:p w14:paraId="256E603A" w14:textId="77777777" w:rsidR="00FA3C91" w:rsidRPr="00B652FC" w:rsidRDefault="00FA3C91" w:rsidP="00B652FC">
      <w:pPr>
        <w:numPr>
          <w:ilvl w:val="1"/>
          <w:numId w:val="19"/>
        </w:num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A loses </w:t>
      </w:r>
      <w:r w:rsidRPr="00B652FC">
        <w:rPr>
          <w:rFonts w:ascii="Times New Roman" w:hAnsi="Times New Roman"/>
          <w:b/>
          <w:bCs/>
          <w:lang w:val="en-HK"/>
        </w:rPr>
        <w:t>25% of £200</w:t>
      </w:r>
      <w:r w:rsidRPr="00B652FC">
        <w:rPr>
          <w:rFonts w:ascii="Times New Roman" w:hAnsi="Times New Roman"/>
          <w:lang w:val="en-HK"/>
        </w:rPr>
        <w:t xml:space="preserve"> = £50</w:t>
      </w:r>
    </w:p>
    <w:p w14:paraId="166E5FE6" w14:textId="77777777" w:rsidR="00FA3C91" w:rsidRPr="00B652FC" w:rsidRDefault="00FA3C91" w:rsidP="00B652FC">
      <w:pPr>
        <w:numPr>
          <w:ilvl w:val="1"/>
          <w:numId w:val="19"/>
        </w:numPr>
        <w:spacing w:before="100" w:beforeAutospacing="1" w:after="100" w:afterAutospacing="1" w:line="360" w:lineRule="auto"/>
        <w:rPr>
          <w:rFonts w:ascii="Times New Roman" w:hAnsi="Times New Roman"/>
          <w:lang w:val="en-HK"/>
        </w:rPr>
      </w:pPr>
      <w:r w:rsidRPr="00B652FC">
        <w:rPr>
          <w:rFonts w:ascii="Times New Roman" w:hAnsi="Times New Roman"/>
          <w:lang w:val="en-HK"/>
        </w:rPr>
        <w:lastRenderedPageBreak/>
        <w:t xml:space="preserve">B loses </w:t>
      </w:r>
      <w:r w:rsidRPr="00B652FC">
        <w:rPr>
          <w:rFonts w:ascii="Times New Roman" w:hAnsi="Times New Roman"/>
          <w:b/>
          <w:bCs/>
          <w:lang w:val="en-HK"/>
        </w:rPr>
        <w:t>25% of £200</w:t>
      </w:r>
      <w:r w:rsidRPr="00B652FC">
        <w:rPr>
          <w:rFonts w:ascii="Times New Roman" w:hAnsi="Times New Roman"/>
          <w:lang w:val="en-HK"/>
        </w:rPr>
        <w:t xml:space="preserve"> = £50</w:t>
      </w:r>
    </w:p>
    <w:p w14:paraId="2361B154" w14:textId="77777777" w:rsidR="00FA3C91" w:rsidRPr="00B652FC" w:rsidRDefault="00FA3C91" w:rsidP="00B652FC">
      <w:pPr>
        <w:numPr>
          <w:ilvl w:val="1"/>
          <w:numId w:val="19"/>
        </w:num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C loses </w:t>
      </w:r>
      <w:r w:rsidRPr="00B652FC">
        <w:rPr>
          <w:rFonts w:ascii="Times New Roman" w:hAnsi="Times New Roman"/>
          <w:b/>
          <w:bCs/>
          <w:lang w:val="en-HK"/>
        </w:rPr>
        <w:t>50% of £200</w:t>
      </w:r>
      <w:r w:rsidRPr="00B652FC">
        <w:rPr>
          <w:rFonts w:ascii="Times New Roman" w:hAnsi="Times New Roman"/>
          <w:lang w:val="en-HK"/>
        </w:rPr>
        <w:t xml:space="preserve"> = £100</w:t>
      </w:r>
    </w:p>
    <w:p w14:paraId="75DCB4E3" w14:textId="77777777" w:rsidR="00FA3C91" w:rsidRPr="00B652FC" w:rsidRDefault="00FA3C91" w:rsidP="00B652FC">
      <w:pPr>
        <w:numPr>
          <w:ilvl w:val="1"/>
          <w:numId w:val="19"/>
        </w:num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The remaining balance is </w:t>
      </w:r>
      <w:r w:rsidRPr="00B652FC">
        <w:rPr>
          <w:rFonts w:ascii="Times New Roman" w:hAnsi="Times New Roman"/>
          <w:b/>
          <w:bCs/>
          <w:lang w:val="en-HK"/>
        </w:rPr>
        <w:t>A: £450, B: £450, C: £900</w:t>
      </w:r>
      <w:r w:rsidRPr="00B652FC">
        <w:rPr>
          <w:rFonts w:ascii="Times New Roman" w:hAnsi="Times New Roman"/>
          <w:lang w:val="en-HK"/>
        </w:rPr>
        <w:t>.</w:t>
      </w:r>
    </w:p>
    <w:p w14:paraId="2F144C58"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This method </w:t>
      </w:r>
      <w:r w:rsidRPr="00B652FC">
        <w:rPr>
          <w:rFonts w:ascii="Times New Roman" w:hAnsi="Times New Roman"/>
          <w:b/>
          <w:bCs/>
          <w:lang w:val="en-HK"/>
        </w:rPr>
        <w:t>ensures that no claimant subsidizes another</w:t>
      </w:r>
      <w:r w:rsidRPr="00B652FC">
        <w:rPr>
          <w:rFonts w:ascii="Times New Roman" w:hAnsi="Times New Roman"/>
          <w:lang w:val="en-HK"/>
        </w:rPr>
        <w:t xml:space="preserve"> and that </w:t>
      </w:r>
      <w:r w:rsidRPr="00B652FC">
        <w:rPr>
          <w:rFonts w:ascii="Times New Roman" w:hAnsi="Times New Roman"/>
          <w:b/>
          <w:bCs/>
          <w:lang w:val="en-HK"/>
        </w:rPr>
        <w:t>losses reflect actual fund movements</w:t>
      </w:r>
      <w:r w:rsidRPr="00B652FC">
        <w:rPr>
          <w:rFonts w:ascii="Times New Roman" w:hAnsi="Times New Roman"/>
          <w:lang w:val="en-HK"/>
        </w:rPr>
        <w:t>.</w:t>
      </w:r>
    </w:p>
    <w:p w14:paraId="38C1AAC1" w14:textId="77777777" w:rsidR="00FA3C91" w:rsidRPr="00B652FC" w:rsidRDefault="00FA3C91" w:rsidP="00B652FC">
      <w:pPr>
        <w:spacing w:before="100" w:beforeAutospacing="1" w:after="100" w:afterAutospacing="1" w:line="360" w:lineRule="auto"/>
        <w:outlineLvl w:val="4"/>
        <w:rPr>
          <w:rFonts w:ascii="Times New Roman" w:hAnsi="Times New Roman"/>
          <w:b/>
          <w:bCs/>
          <w:lang w:val="en-HK"/>
        </w:rPr>
      </w:pPr>
      <w:r w:rsidRPr="00B652FC">
        <w:rPr>
          <w:rFonts w:ascii="Times New Roman" w:hAnsi="Times New Roman"/>
          <w:b/>
          <w:bCs/>
          <w:lang w:val="en-HK"/>
        </w:rPr>
        <w:t>Judicial Endorsement of the Rolling Charge Approach</w:t>
      </w:r>
    </w:p>
    <w:p w14:paraId="78C07F55" w14:textId="77777777" w:rsidR="00FA3C91" w:rsidRPr="00B652FC" w:rsidRDefault="00FA3C91" w:rsidP="00B652FC">
      <w:pPr>
        <w:numPr>
          <w:ilvl w:val="0"/>
          <w:numId w:val="20"/>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Re French Caledonia Travel Service Pty Ltd (2003) 59 NSWLR 361</w:t>
      </w:r>
      <w:r w:rsidRPr="00B652FC">
        <w:rPr>
          <w:rFonts w:ascii="Times New Roman" w:hAnsi="Times New Roman"/>
          <w:lang w:val="en-HK"/>
        </w:rPr>
        <w:t xml:space="preserve">: The </w:t>
      </w:r>
      <w:r w:rsidRPr="00B652FC">
        <w:rPr>
          <w:rFonts w:ascii="Times New Roman" w:hAnsi="Times New Roman"/>
          <w:b/>
          <w:bCs/>
          <w:lang w:val="en-HK"/>
        </w:rPr>
        <w:t>New South Wales Supreme Court</w:t>
      </w:r>
      <w:r w:rsidRPr="00B652FC">
        <w:rPr>
          <w:rFonts w:ascii="Times New Roman" w:hAnsi="Times New Roman"/>
          <w:lang w:val="en-HK"/>
        </w:rPr>
        <w:t xml:space="preserve"> adopted the rolling charge approach, rejecting </w:t>
      </w:r>
      <w:r w:rsidRPr="00B652FC">
        <w:rPr>
          <w:rFonts w:ascii="Times New Roman" w:hAnsi="Times New Roman"/>
          <w:b/>
          <w:bCs/>
          <w:lang w:val="en-HK"/>
        </w:rPr>
        <w:t>Clayton’s Case</w:t>
      </w:r>
      <w:r w:rsidRPr="00B652FC">
        <w:rPr>
          <w:rFonts w:ascii="Times New Roman" w:hAnsi="Times New Roman"/>
          <w:lang w:val="en-HK"/>
        </w:rPr>
        <w:t xml:space="preserve"> as outdated.</w:t>
      </w:r>
    </w:p>
    <w:p w14:paraId="0BE1DC30" w14:textId="77777777" w:rsidR="00FA3C91" w:rsidRPr="00B652FC" w:rsidRDefault="00FA3C91" w:rsidP="00B652FC">
      <w:pPr>
        <w:numPr>
          <w:ilvl w:val="0"/>
          <w:numId w:val="20"/>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Caron v Jahani (No 2) [2020] NSWCA 117, [84]-[86]</w:t>
      </w:r>
      <w:r w:rsidRPr="00B652FC">
        <w:rPr>
          <w:rFonts w:ascii="Times New Roman" w:hAnsi="Times New Roman"/>
          <w:lang w:val="en-HK"/>
        </w:rPr>
        <w:t xml:space="preserve">: The </w:t>
      </w:r>
      <w:r w:rsidRPr="00B652FC">
        <w:rPr>
          <w:rFonts w:ascii="Times New Roman" w:hAnsi="Times New Roman"/>
          <w:b/>
          <w:bCs/>
          <w:lang w:val="en-HK"/>
        </w:rPr>
        <w:t>New South Wales Court of Appeal</w:t>
      </w:r>
      <w:r w:rsidRPr="00B652FC">
        <w:rPr>
          <w:rFonts w:ascii="Times New Roman" w:hAnsi="Times New Roman"/>
          <w:lang w:val="en-HK"/>
        </w:rPr>
        <w:t xml:space="preserve"> emphasized that the rolling charge approach is </w:t>
      </w:r>
      <w:r w:rsidRPr="00B652FC">
        <w:rPr>
          <w:rFonts w:ascii="Times New Roman" w:hAnsi="Times New Roman"/>
          <w:b/>
          <w:bCs/>
          <w:lang w:val="en-HK"/>
        </w:rPr>
        <w:t>the fairest method when multiple claimants have equal equitable interests</w:t>
      </w:r>
      <w:r w:rsidRPr="00B652FC">
        <w:rPr>
          <w:rFonts w:ascii="Times New Roman" w:hAnsi="Times New Roman"/>
          <w:lang w:val="en-HK"/>
        </w:rPr>
        <w:t>.</w:t>
      </w:r>
    </w:p>
    <w:p w14:paraId="72C8DE19"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This approach </w:t>
      </w:r>
      <w:r w:rsidRPr="00B652FC">
        <w:rPr>
          <w:rFonts w:ascii="Times New Roman" w:hAnsi="Times New Roman"/>
          <w:b/>
          <w:bCs/>
          <w:lang w:val="en-HK"/>
        </w:rPr>
        <w:t xml:space="preserve">overcomes the flaws of both Clayton’s Case and the simple </w:t>
      </w:r>
      <w:proofErr w:type="spellStart"/>
      <w:r w:rsidRPr="00B652FC">
        <w:rPr>
          <w:rFonts w:ascii="Times New Roman" w:hAnsi="Times New Roman"/>
          <w:b/>
          <w:bCs/>
          <w:lang w:val="en-HK"/>
        </w:rPr>
        <w:t>pari</w:t>
      </w:r>
      <w:proofErr w:type="spellEnd"/>
      <w:r w:rsidRPr="00B652FC">
        <w:rPr>
          <w:rFonts w:ascii="Times New Roman" w:hAnsi="Times New Roman"/>
          <w:b/>
          <w:bCs/>
          <w:lang w:val="en-HK"/>
        </w:rPr>
        <w:t xml:space="preserve"> passu method</w:t>
      </w:r>
      <w:r w:rsidRPr="00B652FC">
        <w:rPr>
          <w:rFonts w:ascii="Times New Roman" w:hAnsi="Times New Roman"/>
          <w:lang w:val="en-HK"/>
        </w:rPr>
        <w:t xml:space="preserve">, ensuring </w:t>
      </w:r>
      <w:r w:rsidRPr="00B652FC">
        <w:rPr>
          <w:rFonts w:ascii="Times New Roman" w:hAnsi="Times New Roman"/>
          <w:b/>
          <w:bCs/>
          <w:lang w:val="en-HK"/>
        </w:rPr>
        <w:t>equitable treatment of all claimants regardless of deposit timing</w:t>
      </w:r>
      <w:r w:rsidRPr="00B652FC">
        <w:rPr>
          <w:rFonts w:ascii="Times New Roman" w:hAnsi="Times New Roman"/>
          <w:lang w:val="en-HK"/>
        </w:rPr>
        <w:t>.</w:t>
      </w:r>
    </w:p>
    <w:p w14:paraId="1EFD5BEC" w14:textId="77777777" w:rsidR="00FA3C91" w:rsidRPr="00B652FC" w:rsidRDefault="00F5763C" w:rsidP="00B652FC">
      <w:pPr>
        <w:spacing w:line="360" w:lineRule="auto"/>
        <w:rPr>
          <w:rFonts w:ascii="Times New Roman" w:hAnsi="Times New Roman"/>
          <w:lang w:val="en-HK"/>
        </w:rPr>
      </w:pPr>
      <w:r w:rsidRPr="00F5763C">
        <w:rPr>
          <w:rFonts w:ascii="Times New Roman" w:hAnsi="Times New Roman"/>
          <w:noProof/>
          <w:lang w:val="en-HK"/>
          <w14:ligatures w14:val="standardContextual"/>
        </w:rPr>
        <w:pict w14:anchorId="10CEF1C9">
          <v:rect id="_x0000_i1027" alt="" style="width:451.3pt;height:.05pt;mso-width-percent:0;mso-height-percent:0;mso-width-percent:0;mso-height-percent:0" o:hralign="center" o:hrstd="t" o:hr="t" fillcolor="#a0a0a0" stroked="f"/>
        </w:pict>
      </w:r>
    </w:p>
    <w:p w14:paraId="78BC235B" w14:textId="77777777" w:rsidR="00FA3C91" w:rsidRPr="00B652FC" w:rsidRDefault="00FA3C91" w:rsidP="00B652FC">
      <w:pPr>
        <w:spacing w:before="100" w:beforeAutospacing="1" w:after="100" w:afterAutospacing="1" w:line="360" w:lineRule="auto"/>
        <w:outlineLvl w:val="2"/>
        <w:rPr>
          <w:rFonts w:ascii="Times New Roman" w:hAnsi="Times New Roman"/>
          <w:b/>
          <w:bCs/>
          <w:lang w:val="en-HK"/>
        </w:rPr>
      </w:pPr>
      <w:r w:rsidRPr="00B652FC">
        <w:rPr>
          <w:rFonts w:ascii="Times New Roman" w:hAnsi="Times New Roman"/>
          <w:b/>
          <w:bCs/>
          <w:lang w:val="en-HK"/>
        </w:rPr>
        <w:t>3. The Simplified Rolling Charge Approach</w:t>
      </w:r>
    </w:p>
    <w:p w14:paraId="64A543DB"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While the </w:t>
      </w:r>
      <w:r w:rsidRPr="00B652FC">
        <w:rPr>
          <w:rFonts w:ascii="Times New Roman" w:hAnsi="Times New Roman"/>
          <w:b/>
          <w:bCs/>
          <w:lang w:val="en-HK"/>
        </w:rPr>
        <w:t>full rolling charge approach requires constant recalculations</w:t>
      </w:r>
      <w:r w:rsidRPr="00B652FC">
        <w:rPr>
          <w:rFonts w:ascii="Times New Roman" w:hAnsi="Times New Roman"/>
          <w:lang w:val="en-HK"/>
        </w:rPr>
        <w:t xml:space="preserve">, the </w:t>
      </w:r>
      <w:r w:rsidRPr="00B652FC">
        <w:rPr>
          <w:rFonts w:ascii="Times New Roman" w:hAnsi="Times New Roman"/>
          <w:b/>
          <w:bCs/>
          <w:lang w:val="en-HK"/>
        </w:rPr>
        <w:t>simplified rolling charge approach</w:t>
      </w:r>
      <w:r w:rsidRPr="00B652FC">
        <w:rPr>
          <w:rFonts w:ascii="Times New Roman" w:hAnsi="Times New Roman"/>
          <w:lang w:val="en-HK"/>
        </w:rPr>
        <w:t xml:space="preserve"> aims to </w:t>
      </w:r>
      <w:r w:rsidRPr="00B652FC">
        <w:rPr>
          <w:rFonts w:ascii="Times New Roman" w:hAnsi="Times New Roman"/>
          <w:b/>
          <w:bCs/>
          <w:lang w:val="en-HK"/>
        </w:rPr>
        <w:t>reduce complexity while preserving equitable fairness</w:t>
      </w:r>
      <w:r w:rsidRPr="00B652FC">
        <w:rPr>
          <w:rFonts w:ascii="Times New Roman" w:hAnsi="Times New Roman"/>
          <w:lang w:val="en-HK"/>
        </w:rPr>
        <w:t xml:space="preserve">. This version was explicitly endorsed in </w:t>
      </w:r>
      <w:r w:rsidRPr="00B652FC">
        <w:rPr>
          <w:rFonts w:ascii="Times New Roman" w:hAnsi="Times New Roman"/>
          <w:b/>
          <w:bCs/>
          <w:lang w:val="en-HK"/>
        </w:rPr>
        <w:t>Caron v Jahani (No 2) [2020] NSWCA 117</w:t>
      </w:r>
      <w:r w:rsidRPr="00B652FC">
        <w:rPr>
          <w:rFonts w:ascii="Times New Roman" w:hAnsi="Times New Roman"/>
          <w:lang w:val="en-HK"/>
        </w:rPr>
        <w:t>.</w:t>
      </w:r>
    </w:p>
    <w:p w14:paraId="332914AE" w14:textId="77777777" w:rsidR="00FA3C91" w:rsidRPr="00B652FC" w:rsidRDefault="00FA3C91" w:rsidP="00B652FC">
      <w:pPr>
        <w:spacing w:before="100" w:beforeAutospacing="1" w:after="100" w:afterAutospacing="1" w:line="360" w:lineRule="auto"/>
        <w:outlineLvl w:val="3"/>
        <w:rPr>
          <w:rFonts w:ascii="Times New Roman" w:hAnsi="Times New Roman"/>
          <w:b/>
          <w:bCs/>
          <w:lang w:val="en-HK"/>
        </w:rPr>
      </w:pPr>
      <w:r w:rsidRPr="00B652FC">
        <w:rPr>
          <w:rFonts w:ascii="Times New Roman" w:hAnsi="Times New Roman"/>
          <w:b/>
          <w:bCs/>
          <w:lang w:val="en-HK"/>
        </w:rPr>
        <w:t>Key Differences Between the Rolling Charge and the Simplified Rolling Charge Approaches</w:t>
      </w:r>
    </w:p>
    <w:tbl>
      <w:tblPr>
        <w:tblStyle w:val="TableGrid"/>
        <w:tblW w:w="0" w:type="auto"/>
        <w:tblLook w:val="04A0" w:firstRow="1" w:lastRow="0" w:firstColumn="1" w:lastColumn="0" w:noHBand="0" w:noVBand="1"/>
      </w:tblPr>
      <w:tblGrid>
        <w:gridCol w:w="2238"/>
        <w:gridCol w:w="3532"/>
        <w:gridCol w:w="3472"/>
      </w:tblGrid>
      <w:tr w:rsidR="00FA3C91" w:rsidRPr="00B652FC" w14:paraId="45D39402" w14:textId="77777777" w:rsidTr="008F779C">
        <w:tc>
          <w:tcPr>
            <w:tcW w:w="0" w:type="auto"/>
            <w:hideMark/>
          </w:tcPr>
          <w:p w14:paraId="4A0B352C" w14:textId="77777777" w:rsidR="00FA3C91" w:rsidRPr="00B652FC" w:rsidRDefault="00FA3C91" w:rsidP="00B652FC">
            <w:pPr>
              <w:spacing w:line="360" w:lineRule="auto"/>
              <w:jc w:val="center"/>
              <w:rPr>
                <w:rFonts w:ascii="Times New Roman" w:hAnsi="Times New Roman"/>
                <w:b/>
                <w:bCs/>
                <w:lang w:val="en-HK"/>
              </w:rPr>
            </w:pPr>
            <w:r w:rsidRPr="00B652FC">
              <w:rPr>
                <w:rFonts w:ascii="Times New Roman" w:hAnsi="Times New Roman"/>
                <w:b/>
                <w:bCs/>
                <w:lang w:val="en-HK"/>
              </w:rPr>
              <w:t>Aspect</w:t>
            </w:r>
          </w:p>
        </w:tc>
        <w:tc>
          <w:tcPr>
            <w:tcW w:w="0" w:type="auto"/>
            <w:hideMark/>
          </w:tcPr>
          <w:p w14:paraId="2B03AA48" w14:textId="77777777" w:rsidR="00FA3C91" w:rsidRPr="00B652FC" w:rsidRDefault="00FA3C91" w:rsidP="00B652FC">
            <w:pPr>
              <w:spacing w:line="360" w:lineRule="auto"/>
              <w:jc w:val="center"/>
              <w:rPr>
                <w:rFonts w:ascii="Times New Roman" w:hAnsi="Times New Roman"/>
                <w:b/>
                <w:bCs/>
                <w:lang w:val="en-HK"/>
              </w:rPr>
            </w:pPr>
            <w:r w:rsidRPr="00B652FC">
              <w:rPr>
                <w:rFonts w:ascii="Times New Roman" w:hAnsi="Times New Roman"/>
                <w:b/>
                <w:bCs/>
                <w:lang w:val="en-HK"/>
              </w:rPr>
              <w:t>Rolling Charge Approach</w:t>
            </w:r>
          </w:p>
        </w:tc>
        <w:tc>
          <w:tcPr>
            <w:tcW w:w="0" w:type="auto"/>
            <w:hideMark/>
          </w:tcPr>
          <w:p w14:paraId="46A86911" w14:textId="77777777" w:rsidR="00FA3C91" w:rsidRPr="00B652FC" w:rsidRDefault="00FA3C91" w:rsidP="00B652FC">
            <w:pPr>
              <w:spacing w:line="360" w:lineRule="auto"/>
              <w:jc w:val="center"/>
              <w:rPr>
                <w:rFonts w:ascii="Times New Roman" w:hAnsi="Times New Roman"/>
                <w:b/>
                <w:bCs/>
                <w:lang w:val="en-HK"/>
              </w:rPr>
            </w:pPr>
            <w:r w:rsidRPr="00B652FC">
              <w:rPr>
                <w:rFonts w:ascii="Times New Roman" w:hAnsi="Times New Roman"/>
                <w:b/>
                <w:bCs/>
                <w:lang w:val="en-HK"/>
              </w:rPr>
              <w:t>Simplified Rolling Charge Approach</w:t>
            </w:r>
          </w:p>
        </w:tc>
      </w:tr>
      <w:tr w:rsidR="00FA3C91" w:rsidRPr="00B652FC" w14:paraId="1CDC5D3F" w14:textId="77777777" w:rsidTr="008F779C">
        <w:tc>
          <w:tcPr>
            <w:tcW w:w="0" w:type="auto"/>
            <w:hideMark/>
          </w:tcPr>
          <w:p w14:paraId="60E1DA9B" w14:textId="77777777" w:rsidR="00FA3C91" w:rsidRPr="00B652FC" w:rsidRDefault="00FA3C91" w:rsidP="00B652FC">
            <w:pPr>
              <w:spacing w:line="360" w:lineRule="auto"/>
              <w:rPr>
                <w:rFonts w:ascii="Times New Roman" w:hAnsi="Times New Roman"/>
                <w:lang w:val="en-HK"/>
              </w:rPr>
            </w:pPr>
            <w:r w:rsidRPr="00B652FC">
              <w:rPr>
                <w:rFonts w:ascii="Times New Roman" w:hAnsi="Times New Roman"/>
                <w:b/>
                <w:bCs/>
                <w:lang w:val="en-HK"/>
              </w:rPr>
              <w:t>Recalculation Frequency</w:t>
            </w:r>
          </w:p>
        </w:tc>
        <w:tc>
          <w:tcPr>
            <w:tcW w:w="0" w:type="auto"/>
            <w:hideMark/>
          </w:tcPr>
          <w:p w14:paraId="538C49E5" w14:textId="77777777" w:rsidR="00FA3C91" w:rsidRPr="00B652FC" w:rsidRDefault="00FA3C91" w:rsidP="00B652FC">
            <w:pPr>
              <w:spacing w:line="360" w:lineRule="auto"/>
              <w:rPr>
                <w:rFonts w:ascii="Times New Roman" w:hAnsi="Times New Roman"/>
                <w:lang w:val="en-HK"/>
              </w:rPr>
            </w:pPr>
            <w:r w:rsidRPr="00B652FC">
              <w:rPr>
                <w:rFonts w:ascii="Times New Roman" w:hAnsi="Times New Roman"/>
                <w:lang w:val="en-HK"/>
              </w:rPr>
              <w:t xml:space="preserve">After every </w:t>
            </w:r>
            <w:r w:rsidRPr="00B652FC">
              <w:rPr>
                <w:rFonts w:ascii="Times New Roman" w:hAnsi="Times New Roman"/>
                <w:b/>
                <w:bCs/>
                <w:lang w:val="en-HK"/>
              </w:rPr>
              <w:t>deposit and withdrawal</w:t>
            </w:r>
          </w:p>
        </w:tc>
        <w:tc>
          <w:tcPr>
            <w:tcW w:w="0" w:type="auto"/>
            <w:hideMark/>
          </w:tcPr>
          <w:p w14:paraId="47FBAB03" w14:textId="77777777" w:rsidR="00FA3C91" w:rsidRPr="00B652FC" w:rsidRDefault="00FA3C91" w:rsidP="00B652FC">
            <w:pPr>
              <w:spacing w:line="360" w:lineRule="auto"/>
              <w:rPr>
                <w:rFonts w:ascii="Times New Roman" w:hAnsi="Times New Roman"/>
                <w:lang w:val="en-HK"/>
              </w:rPr>
            </w:pPr>
            <w:r w:rsidRPr="00B652FC">
              <w:rPr>
                <w:rFonts w:ascii="Times New Roman" w:hAnsi="Times New Roman"/>
                <w:lang w:val="en-HK"/>
              </w:rPr>
              <w:t xml:space="preserve">Only when </w:t>
            </w:r>
            <w:r w:rsidRPr="00B652FC">
              <w:rPr>
                <w:rFonts w:ascii="Times New Roman" w:hAnsi="Times New Roman"/>
                <w:b/>
                <w:bCs/>
                <w:lang w:val="en-HK"/>
              </w:rPr>
              <w:t>significant changes</w:t>
            </w:r>
            <w:r w:rsidRPr="00B652FC">
              <w:rPr>
                <w:rFonts w:ascii="Times New Roman" w:hAnsi="Times New Roman"/>
                <w:lang w:val="en-HK"/>
              </w:rPr>
              <w:t xml:space="preserve"> occur</w:t>
            </w:r>
          </w:p>
        </w:tc>
      </w:tr>
      <w:tr w:rsidR="00FA3C91" w:rsidRPr="00B652FC" w14:paraId="115049AF" w14:textId="77777777" w:rsidTr="008F779C">
        <w:tc>
          <w:tcPr>
            <w:tcW w:w="0" w:type="auto"/>
            <w:hideMark/>
          </w:tcPr>
          <w:p w14:paraId="4CF1F47B" w14:textId="77777777" w:rsidR="00FA3C91" w:rsidRPr="00B652FC" w:rsidRDefault="00FA3C91" w:rsidP="00B652FC">
            <w:pPr>
              <w:spacing w:line="360" w:lineRule="auto"/>
              <w:rPr>
                <w:rFonts w:ascii="Times New Roman" w:hAnsi="Times New Roman"/>
                <w:lang w:val="en-HK"/>
              </w:rPr>
            </w:pPr>
            <w:r w:rsidRPr="00B652FC">
              <w:rPr>
                <w:rFonts w:ascii="Times New Roman" w:hAnsi="Times New Roman"/>
                <w:b/>
                <w:bCs/>
                <w:lang w:val="en-HK"/>
              </w:rPr>
              <w:t>Complexity</w:t>
            </w:r>
          </w:p>
        </w:tc>
        <w:tc>
          <w:tcPr>
            <w:tcW w:w="0" w:type="auto"/>
            <w:hideMark/>
          </w:tcPr>
          <w:p w14:paraId="793CEE2B" w14:textId="77777777" w:rsidR="00FA3C91" w:rsidRPr="00B652FC" w:rsidRDefault="00FA3C91" w:rsidP="00B652FC">
            <w:pPr>
              <w:spacing w:line="360" w:lineRule="auto"/>
              <w:rPr>
                <w:rFonts w:ascii="Times New Roman" w:hAnsi="Times New Roman"/>
                <w:lang w:val="en-HK"/>
              </w:rPr>
            </w:pPr>
            <w:r w:rsidRPr="00B652FC">
              <w:rPr>
                <w:rFonts w:ascii="Times New Roman" w:hAnsi="Times New Roman"/>
                <w:lang w:val="en-HK"/>
              </w:rPr>
              <w:t xml:space="preserve">High—requires </w:t>
            </w:r>
            <w:r w:rsidRPr="00B652FC">
              <w:rPr>
                <w:rFonts w:ascii="Times New Roman" w:hAnsi="Times New Roman"/>
                <w:b/>
                <w:bCs/>
                <w:lang w:val="en-HK"/>
              </w:rPr>
              <w:t>detailed accounting</w:t>
            </w:r>
          </w:p>
        </w:tc>
        <w:tc>
          <w:tcPr>
            <w:tcW w:w="0" w:type="auto"/>
            <w:hideMark/>
          </w:tcPr>
          <w:p w14:paraId="3189DF82" w14:textId="77777777" w:rsidR="00FA3C91" w:rsidRPr="00B652FC" w:rsidRDefault="00FA3C91" w:rsidP="00B652FC">
            <w:pPr>
              <w:spacing w:line="360" w:lineRule="auto"/>
              <w:rPr>
                <w:rFonts w:ascii="Times New Roman" w:hAnsi="Times New Roman"/>
                <w:lang w:val="en-HK"/>
              </w:rPr>
            </w:pPr>
            <w:r w:rsidRPr="00B652FC">
              <w:rPr>
                <w:rFonts w:ascii="Times New Roman" w:hAnsi="Times New Roman"/>
                <w:lang w:val="en-HK"/>
              </w:rPr>
              <w:t>Lower—reduces administrative costs</w:t>
            </w:r>
          </w:p>
        </w:tc>
      </w:tr>
      <w:tr w:rsidR="00FA3C91" w:rsidRPr="00B652FC" w14:paraId="405984BB" w14:textId="77777777" w:rsidTr="008F779C">
        <w:tc>
          <w:tcPr>
            <w:tcW w:w="0" w:type="auto"/>
            <w:hideMark/>
          </w:tcPr>
          <w:p w14:paraId="50276EAD" w14:textId="77777777" w:rsidR="00FA3C91" w:rsidRPr="00B652FC" w:rsidRDefault="00FA3C91" w:rsidP="00B652FC">
            <w:pPr>
              <w:spacing w:line="360" w:lineRule="auto"/>
              <w:rPr>
                <w:rFonts w:ascii="Times New Roman" w:hAnsi="Times New Roman"/>
                <w:lang w:val="en-HK"/>
              </w:rPr>
            </w:pPr>
            <w:r w:rsidRPr="00B652FC">
              <w:rPr>
                <w:rFonts w:ascii="Times New Roman" w:hAnsi="Times New Roman"/>
                <w:b/>
                <w:bCs/>
                <w:lang w:val="en-HK"/>
              </w:rPr>
              <w:lastRenderedPageBreak/>
              <w:t>Accuracy</w:t>
            </w:r>
          </w:p>
        </w:tc>
        <w:tc>
          <w:tcPr>
            <w:tcW w:w="0" w:type="auto"/>
            <w:hideMark/>
          </w:tcPr>
          <w:p w14:paraId="13CDD438" w14:textId="77777777" w:rsidR="00FA3C91" w:rsidRPr="00B652FC" w:rsidRDefault="00FA3C91" w:rsidP="00B652FC">
            <w:pPr>
              <w:spacing w:line="360" w:lineRule="auto"/>
              <w:rPr>
                <w:rFonts w:ascii="Times New Roman" w:hAnsi="Times New Roman"/>
                <w:lang w:val="en-HK"/>
              </w:rPr>
            </w:pPr>
            <w:r w:rsidRPr="00B652FC">
              <w:rPr>
                <w:rFonts w:ascii="Times New Roman" w:hAnsi="Times New Roman"/>
                <w:lang w:val="en-HK"/>
              </w:rPr>
              <w:t xml:space="preserve">Ensures </w:t>
            </w:r>
            <w:r w:rsidRPr="00B652FC">
              <w:rPr>
                <w:rFonts w:ascii="Times New Roman" w:hAnsi="Times New Roman"/>
                <w:b/>
                <w:bCs/>
                <w:lang w:val="en-HK"/>
              </w:rPr>
              <w:t>perfect proportionality</w:t>
            </w:r>
          </w:p>
        </w:tc>
        <w:tc>
          <w:tcPr>
            <w:tcW w:w="0" w:type="auto"/>
            <w:hideMark/>
          </w:tcPr>
          <w:p w14:paraId="5A531500" w14:textId="77777777" w:rsidR="00FA3C91" w:rsidRPr="00B652FC" w:rsidRDefault="00FA3C91" w:rsidP="00B652FC">
            <w:pPr>
              <w:spacing w:line="360" w:lineRule="auto"/>
              <w:rPr>
                <w:rFonts w:ascii="Times New Roman" w:hAnsi="Times New Roman"/>
                <w:lang w:val="en-HK"/>
              </w:rPr>
            </w:pPr>
            <w:r w:rsidRPr="00B652FC">
              <w:rPr>
                <w:rFonts w:ascii="Times New Roman" w:hAnsi="Times New Roman"/>
                <w:lang w:val="en-HK"/>
              </w:rPr>
              <w:t xml:space="preserve">Achieves </w:t>
            </w:r>
            <w:r w:rsidRPr="00B652FC">
              <w:rPr>
                <w:rFonts w:ascii="Times New Roman" w:hAnsi="Times New Roman"/>
                <w:b/>
                <w:bCs/>
                <w:lang w:val="en-HK"/>
              </w:rPr>
              <w:t>substantial justice with minimal effort</w:t>
            </w:r>
          </w:p>
        </w:tc>
      </w:tr>
      <w:tr w:rsidR="00FA3C91" w:rsidRPr="00B652FC" w14:paraId="031D25F0" w14:textId="77777777" w:rsidTr="008F779C">
        <w:tc>
          <w:tcPr>
            <w:tcW w:w="0" w:type="auto"/>
            <w:hideMark/>
          </w:tcPr>
          <w:p w14:paraId="4545CAB5" w14:textId="77777777" w:rsidR="00FA3C91" w:rsidRPr="00B652FC" w:rsidRDefault="00FA3C91" w:rsidP="00B652FC">
            <w:pPr>
              <w:spacing w:line="360" w:lineRule="auto"/>
              <w:rPr>
                <w:rFonts w:ascii="Times New Roman" w:hAnsi="Times New Roman"/>
                <w:lang w:val="en-HK"/>
              </w:rPr>
            </w:pPr>
            <w:r w:rsidRPr="00B652FC">
              <w:rPr>
                <w:rFonts w:ascii="Times New Roman" w:hAnsi="Times New Roman"/>
                <w:b/>
                <w:bCs/>
                <w:lang w:val="en-HK"/>
              </w:rPr>
              <w:t>Judicial Support</w:t>
            </w:r>
          </w:p>
        </w:tc>
        <w:tc>
          <w:tcPr>
            <w:tcW w:w="0" w:type="auto"/>
            <w:hideMark/>
          </w:tcPr>
          <w:p w14:paraId="217E5441" w14:textId="77777777" w:rsidR="00FA3C91" w:rsidRPr="00B652FC" w:rsidRDefault="00FA3C91" w:rsidP="00B652FC">
            <w:pPr>
              <w:spacing w:line="360" w:lineRule="auto"/>
              <w:rPr>
                <w:rFonts w:ascii="Times New Roman" w:hAnsi="Times New Roman"/>
                <w:lang w:val="en-HK"/>
              </w:rPr>
            </w:pPr>
            <w:r w:rsidRPr="00B652FC">
              <w:rPr>
                <w:rFonts w:ascii="Times New Roman" w:hAnsi="Times New Roman"/>
                <w:lang w:val="en-HK"/>
              </w:rPr>
              <w:t xml:space="preserve">Applied in </w:t>
            </w:r>
            <w:r w:rsidRPr="00B652FC">
              <w:rPr>
                <w:rFonts w:ascii="Times New Roman" w:hAnsi="Times New Roman"/>
                <w:b/>
                <w:bCs/>
                <w:lang w:val="en-HK"/>
              </w:rPr>
              <w:t>Re French Caledonia Travel Service</w:t>
            </w:r>
          </w:p>
        </w:tc>
        <w:tc>
          <w:tcPr>
            <w:tcW w:w="0" w:type="auto"/>
            <w:hideMark/>
          </w:tcPr>
          <w:p w14:paraId="0672F492" w14:textId="77777777" w:rsidR="00FA3C91" w:rsidRPr="00B652FC" w:rsidRDefault="00FA3C91" w:rsidP="00B652FC">
            <w:pPr>
              <w:spacing w:line="360" w:lineRule="auto"/>
              <w:rPr>
                <w:rFonts w:ascii="Times New Roman" w:hAnsi="Times New Roman"/>
                <w:lang w:val="en-HK"/>
              </w:rPr>
            </w:pPr>
            <w:r w:rsidRPr="00B652FC">
              <w:rPr>
                <w:rFonts w:ascii="Times New Roman" w:hAnsi="Times New Roman"/>
                <w:lang w:val="en-HK"/>
              </w:rPr>
              <w:t xml:space="preserve">Adopted in </w:t>
            </w:r>
            <w:r w:rsidRPr="00B652FC">
              <w:rPr>
                <w:rFonts w:ascii="Times New Roman" w:hAnsi="Times New Roman"/>
                <w:b/>
                <w:bCs/>
                <w:lang w:val="en-HK"/>
              </w:rPr>
              <w:t>Caron v Jahani (No 2)</w:t>
            </w:r>
          </w:p>
        </w:tc>
      </w:tr>
    </w:tbl>
    <w:p w14:paraId="104511B3"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Under the </w:t>
      </w:r>
      <w:r w:rsidRPr="00B652FC">
        <w:rPr>
          <w:rFonts w:ascii="Times New Roman" w:hAnsi="Times New Roman"/>
          <w:b/>
          <w:bCs/>
          <w:lang w:val="en-HK"/>
        </w:rPr>
        <w:t>simplified rolling charge approach</w:t>
      </w:r>
      <w:r w:rsidRPr="00B652FC">
        <w:rPr>
          <w:rFonts w:ascii="Times New Roman" w:hAnsi="Times New Roman"/>
          <w:lang w:val="en-HK"/>
        </w:rPr>
        <w:t xml:space="preserve">, </w:t>
      </w:r>
      <w:r w:rsidRPr="00B652FC">
        <w:rPr>
          <w:rFonts w:ascii="Times New Roman" w:hAnsi="Times New Roman"/>
          <w:b/>
          <w:bCs/>
          <w:lang w:val="en-HK"/>
        </w:rPr>
        <w:t>later deposits may be given priority where possible</w:t>
      </w:r>
      <w:r w:rsidRPr="00B652FC">
        <w:rPr>
          <w:rFonts w:ascii="Times New Roman" w:hAnsi="Times New Roman"/>
          <w:lang w:val="en-HK"/>
        </w:rPr>
        <w:t xml:space="preserve">, but withdrawals are still attributed proportionally to all claimants. This </w:t>
      </w:r>
      <w:r w:rsidRPr="00B652FC">
        <w:rPr>
          <w:rFonts w:ascii="Times New Roman" w:hAnsi="Times New Roman"/>
          <w:b/>
          <w:bCs/>
          <w:lang w:val="en-HK"/>
        </w:rPr>
        <w:t>avoids unnecessary complexity</w:t>
      </w:r>
      <w:r w:rsidRPr="00B652FC">
        <w:rPr>
          <w:rFonts w:ascii="Times New Roman" w:hAnsi="Times New Roman"/>
          <w:lang w:val="en-HK"/>
        </w:rPr>
        <w:t xml:space="preserve"> while ensuring </w:t>
      </w:r>
      <w:r w:rsidRPr="00B652FC">
        <w:rPr>
          <w:rFonts w:ascii="Times New Roman" w:hAnsi="Times New Roman"/>
          <w:b/>
          <w:bCs/>
          <w:lang w:val="en-HK"/>
        </w:rPr>
        <w:t>a fair allocation of remaining funds</w:t>
      </w:r>
      <w:r w:rsidRPr="00B652FC">
        <w:rPr>
          <w:rFonts w:ascii="Times New Roman" w:hAnsi="Times New Roman"/>
          <w:lang w:val="en-HK"/>
        </w:rPr>
        <w:t>.</w:t>
      </w:r>
    </w:p>
    <w:p w14:paraId="44C4CBA2" w14:textId="77777777" w:rsidR="00FA3C91" w:rsidRPr="00B652FC" w:rsidRDefault="00FA3C91" w:rsidP="00B652FC">
      <w:pPr>
        <w:spacing w:before="100" w:beforeAutospacing="1" w:after="100" w:afterAutospacing="1" w:line="360" w:lineRule="auto"/>
        <w:outlineLvl w:val="4"/>
        <w:rPr>
          <w:rFonts w:ascii="Times New Roman" w:hAnsi="Times New Roman"/>
          <w:b/>
          <w:bCs/>
          <w:lang w:val="en-HK"/>
        </w:rPr>
      </w:pPr>
      <w:r w:rsidRPr="00B652FC">
        <w:rPr>
          <w:rFonts w:ascii="Times New Roman" w:hAnsi="Times New Roman"/>
          <w:b/>
          <w:bCs/>
          <w:lang w:val="en-HK"/>
        </w:rPr>
        <w:t>Judicial Endorsement of the Simplified Rolling Charge Approach</w:t>
      </w:r>
    </w:p>
    <w:p w14:paraId="4CC4DAE5"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Caron v Jahani (No 2) [2020] NSWCA 117</w:t>
      </w:r>
      <w:r w:rsidRPr="00B652FC">
        <w:rPr>
          <w:rFonts w:ascii="Times New Roman" w:hAnsi="Times New Roman"/>
          <w:lang w:val="en-HK"/>
        </w:rPr>
        <w:t>:</w:t>
      </w:r>
    </w:p>
    <w:p w14:paraId="370E6340" w14:textId="77777777" w:rsidR="00FA3C91" w:rsidRPr="00B652FC" w:rsidRDefault="00FA3C91" w:rsidP="00B652FC">
      <w:pPr>
        <w:pStyle w:val="ListParagraph"/>
        <w:numPr>
          <w:ilvl w:val="0"/>
          <w:numId w:val="25"/>
        </w:num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The court recognized that </w:t>
      </w:r>
      <w:r w:rsidRPr="00B652FC">
        <w:rPr>
          <w:rFonts w:ascii="Times New Roman" w:hAnsi="Times New Roman"/>
          <w:b/>
          <w:bCs/>
          <w:lang w:val="en-HK"/>
        </w:rPr>
        <w:t>full rolling charge calculations are too complex for large-scale fraud cases</w:t>
      </w:r>
      <w:r w:rsidRPr="00B652FC">
        <w:rPr>
          <w:rFonts w:ascii="Times New Roman" w:hAnsi="Times New Roman"/>
          <w:lang w:val="en-HK"/>
        </w:rPr>
        <w:t>.</w:t>
      </w:r>
    </w:p>
    <w:p w14:paraId="3E0262D8" w14:textId="77777777" w:rsidR="00FA3C91" w:rsidRPr="00B652FC" w:rsidRDefault="00FA3C91" w:rsidP="00B652FC">
      <w:pPr>
        <w:pStyle w:val="ListParagraph"/>
        <w:numPr>
          <w:ilvl w:val="0"/>
          <w:numId w:val="25"/>
        </w:num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The </w:t>
      </w:r>
      <w:r w:rsidRPr="00B652FC">
        <w:rPr>
          <w:rFonts w:ascii="Times New Roman" w:hAnsi="Times New Roman"/>
          <w:b/>
          <w:bCs/>
          <w:lang w:val="en-HK"/>
        </w:rPr>
        <w:t>simplified approach preserves fairness while minimizing administrative costs</w:t>
      </w:r>
      <w:r w:rsidRPr="00B652FC">
        <w:rPr>
          <w:rFonts w:ascii="Times New Roman" w:hAnsi="Times New Roman"/>
          <w:lang w:val="en-HK"/>
        </w:rPr>
        <w:t>.</w:t>
      </w:r>
    </w:p>
    <w:p w14:paraId="7C96D514" w14:textId="77777777" w:rsidR="00FA3C91" w:rsidRPr="00B652FC" w:rsidRDefault="00FA3C91" w:rsidP="00B652FC">
      <w:pPr>
        <w:pStyle w:val="ListParagraph"/>
        <w:numPr>
          <w:ilvl w:val="0"/>
          <w:numId w:val="25"/>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Later contributors are not forced to subsidize earlier ones</w:t>
      </w:r>
      <w:r w:rsidRPr="00B652FC">
        <w:rPr>
          <w:rFonts w:ascii="Times New Roman" w:hAnsi="Times New Roman"/>
          <w:lang w:val="en-HK"/>
        </w:rPr>
        <w:t xml:space="preserve">, as occurs under the simple </w:t>
      </w:r>
      <w:proofErr w:type="spellStart"/>
      <w:r w:rsidRPr="00B652FC">
        <w:rPr>
          <w:rFonts w:ascii="Times New Roman" w:hAnsi="Times New Roman"/>
          <w:lang w:val="en-HK"/>
        </w:rPr>
        <w:t>pari</w:t>
      </w:r>
      <w:proofErr w:type="spellEnd"/>
      <w:r w:rsidRPr="00B652FC">
        <w:rPr>
          <w:rFonts w:ascii="Times New Roman" w:hAnsi="Times New Roman"/>
          <w:lang w:val="en-HK"/>
        </w:rPr>
        <w:t xml:space="preserve"> passu approach.</w:t>
      </w:r>
    </w:p>
    <w:p w14:paraId="41794D96"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Thus, the </w:t>
      </w:r>
      <w:r w:rsidRPr="00B652FC">
        <w:rPr>
          <w:rFonts w:ascii="Times New Roman" w:hAnsi="Times New Roman"/>
          <w:b/>
          <w:bCs/>
          <w:lang w:val="en-HK"/>
        </w:rPr>
        <w:t>simplified rolling charge approach balances fairness with practicality</w:t>
      </w:r>
      <w:r w:rsidRPr="00B652FC">
        <w:rPr>
          <w:rFonts w:ascii="Times New Roman" w:hAnsi="Times New Roman"/>
          <w:lang w:val="en-HK"/>
        </w:rPr>
        <w:t xml:space="preserve">, ensuring </w:t>
      </w:r>
      <w:r w:rsidRPr="00B652FC">
        <w:rPr>
          <w:rFonts w:ascii="Times New Roman" w:hAnsi="Times New Roman"/>
          <w:b/>
          <w:bCs/>
          <w:lang w:val="en-HK"/>
        </w:rPr>
        <w:t>substantial justice</w:t>
      </w:r>
      <w:r w:rsidRPr="00B652FC">
        <w:rPr>
          <w:rFonts w:ascii="Times New Roman" w:hAnsi="Times New Roman"/>
          <w:lang w:val="en-HK"/>
        </w:rPr>
        <w:t xml:space="preserve"> without excessive procedural burdens.</w:t>
      </w:r>
    </w:p>
    <w:p w14:paraId="65A24DEE" w14:textId="77777777" w:rsidR="00FA3C91" w:rsidRPr="00B652FC" w:rsidRDefault="00F5763C" w:rsidP="00B652FC">
      <w:pPr>
        <w:spacing w:line="360" w:lineRule="auto"/>
        <w:rPr>
          <w:rFonts w:ascii="Times New Roman" w:hAnsi="Times New Roman"/>
          <w:lang w:val="en-HK"/>
        </w:rPr>
      </w:pPr>
      <w:r w:rsidRPr="00F5763C">
        <w:rPr>
          <w:rFonts w:ascii="Times New Roman" w:hAnsi="Times New Roman"/>
          <w:noProof/>
          <w:lang w:val="en-HK"/>
          <w14:ligatures w14:val="standardContextual"/>
        </w:rPr>
        <w:pict w14:anchorId="6E1E5DB2">
          <v:rect id="_x0000_i1026" alt="" style="width:451.3pt;height:.05pt;mso-width-percent:0;mso-height-percent:0;mso-width-percent:0;mso-height-percent:0" o:hralign="center" o:hrstd="t" o:hr="t" fillcolor="#a0a0a0" stroked="f"/>
        </w:pict>
      </w:r>
    </w:p>
    <w:p w14:paraId="1E948685" w14:textId="77777777" w:rsidR="00FA3C91" w:rsidRPr="00B652FC" w:rsidRDefault="00FA3C91" w:rsidP="00B652FC">
      <w:pPr>
        <w:spacing w:before="100" w:beforeAutospacing="1" w:after="100" w:afterAutospacing="1" w:line="360" w:lineRule="auto"/>
        <w:outlineLvl w:val="2"/>
        <w:rPr>
          <w:rFonts w:ascii="Times New Roman" w:hAnsi="Times New Roman"/>
          <w:b/>
          <w:bCs/>
          <w:lang w:val="en-HK"/>
        </w:rPr>
      </w:pPr>
      <w:r w:rsidRPr="00B652FC">
        <w:rPr>
          <w:rFonts w:ascii="Times New Roman" w:hAnsi="Times New Roman"/>
          <w:b/>
          <w:bCs/>
          <w:lang w:val="en-HK"/>
        </w:rPr>
        <w:t>4. Criticisms of the Rolling Charge Approaches</w:t>
      </w:r>
    </w:p>
    <w:p w14:paraId="42F954BD"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Despite its </w:t>
      </w:r>
      <w:r w:rsidRPr="00B652FC">
        <w:rPr>
          <w:rFonts w:ascii="Times New Roman" w:hAnsi="Times New Roman"/>
          <w:b/>
          <w:bCs/>
          <w:lang w:val="en-HK"/>
        </w:rPr>
        <w:t>equitable superiority</w:t>
      </w:r>
      <w:r w:rsidRPr="00B652FC">
        <w:rPr>
          <w:rFonts w:ascii="Times New Roman" w:hAnsi="Times New Roman"/>
          <w:lang w:val="en-HK"/>
        </w:rPr>
        <w:t xml:space="preserve">, the </w:t>
      </w:r>
      <w:r w:rsidRPr="00B652FC">
        <w:rPr>
          <w:rFonts w:ascii="Times New Roman" w:hAnsi="Times New Roman"/>
          <w:b/>
          <w:bCs/>
          <w:lang w:val="en-HK"/>
        </w:rPr>
        <w:t>rolling charge approach</w:t>
      </w:r>
      <w:r w:rsidRPr="00B652FC">
        <w:rPr>
          <w:rFonts w:ascii="Times New Roman" w:hAnsi="Times New Roman"/>
          <w:lang w:val="en-HK"/>
        </w:rPr>
        <w:t xml:space="preserve"> (both full and simplified) has attracted criticism on several grounds:</w:t>
      </w:r>
    </w:p>
    <w:p w14:paraId="7234A7E1" w14:textId="77777777" w:rsidR="00FA3C91" w:rsidRPr="00B652FC" w:rsidRDefault="00FA3C91" w:rsidP="00B652FC">
      <w:pPr>
        <w:spacing w:before="100" w:beforeAutospacing="1" w:after="100" w:afterAutospacing="1" w:line="360" w:lineRule="auto"/>
        <w:outlineLvl w:val="3"/>
        <w:rPr>
          <w:rFonts w:ascii="Times New Roman" w:hAnsi="Times New Roman"/>
          <w:b/>
          <w:bCs/>
          <w:lang w:val="en-HK"/>
        </w:rPr>
      </w:pPr>
      <w:r w:rsidRPr="00B652FC">
        <w:rPr>
          <w:rFonts w:ascii="Times New Roman" w:hAnsi="Times New Roman"/>
          <w:b/>
          <w:bCs/>
          <w:lang w:val="en-HK"/>
        </w:rPr>
        <w:t>(</w:t>
      </w:r>
      <w:proofErr w:type="spellStart"/>
      <w:r w:rsidRPr="00B652FC">
        <w:rPr>
          <w:rFonts w:ascii="Times New Roman" w:hAnsi="Times New Roman"/>
          <w:b/>
          <w:bCs/>
          <w:lang w:val="en-HK"/>
        </w:rPr>
        <w:t>i</w:t>
      </w:r>
      <w:proofErr w:type="spellEnd"/>
      <w:r w:rsidRPr="00B652FC">
        <w:rPr>
          <w:rFonts w:ascii="Times New Roman" w:hAnsi="Times New Roman"/>
          <w:b/>
          <w:bCs/>
          <w:lang w:val="en-HK"/>
        </w:rPr>
        <w:t>) The Approach is Complex and Difficult to Administer</w:t>
      </w:r>
    </w:p>
    <w:p w14:paraId="69195F0B" w14:textId="77777777" w:rsidR="00FA3C91" w:rsidRPr="00B652FC" w:rsidRDefault="00FA3C91" w:rsidP="00B652FC">
      <w:pPr>
        <w:numPr>
          <w:ilvl w:val="0"/>
          <w:numId w:val="22"/>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Caron v Jahani (No 2), at [98]-[99]</w:t>
      </w:r>
      <w:r w:rsidRPr="00B652FC">
        <w:rPr>
          <w:rFonts w:ascii="Times New Roman" w:hAnsi="Times New Roman"/>
          <w:lang w:val="en-HK"/>
        </w:rPr>
        <w:t xml:space="preserve">: The court recognized that </w:t>
      </w:r>
      <w:r w:rsidRPr="00B652FC">
        <w:rPr>
          <w:rFonts w:ascii="Times New Roman" w:hAnsi="Times New Roman"/>
          <w:b/>
          <w:bCs/>
          <w:lang w:val="en-HK"/>
        </w:rPr>
        <w:t>full rolling charge calculations require significant resources</w:t>
      </w:r>
      <w:r w:rsidRPr="00B652FC">
        <w:rPr>
          <w:rFonts w:ascii="Times New Roman" w:hAnsi="Times New Roman"/>
          <w:lang w:val="en-HK"/>
        </w:rPr>
        <w:t xml:space="preserve">, making them </w:t>
      </w:r>
      <w:r w:rsidRPr="00B652FC">
        <w:rPr>
          <w:rFonts w:ascii="Times New Roman" w:hAnsi="Times New Roman"/>
          <w:b/>
          <w:bCs/>
          <w:lang w:val="en-HK"/>
        </w:rPr>
        <w:t>impractical for large-scale frauds or insolvencies</w:t>
      </w:r>
      <w:r w:rsidRPr="00B652FC">
        <w:rPr>
          <w:rFonts w:ascii="Times New Roman" w:hAnsi="Times New Roman"/>
          <w:lang w:val="en-HK"/>
        </w:rPr>
        <w:t>.</w:t>
      </w:r>
    </w:p>
    <w:p w14:paraId="0D601007" w14:textId="77777777" w:rsidR="00FA3C91" w:rsidRPr="00B652FC" w:rsidRDefault="00FA3C91" w:rsidP="00B652FC">
      <w:pPr>
        <w:numPr>
          <w:ilvl w:val="0"/>
          <w:numId w:val="22"/>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 xml:space="preserve">Barlow Clowes International Ltd (in </w:t>
      </w:r>
      <w:proofErr w:type="spellStart"/>
      <w:r w:rsidRPr="00B652FC">
        <w:rPr>
          <w:rFonts w:ascii="Times New Roman" w:hAnsi="Times New Roman"/>
          <w:b/>
          <w:bCs/>
          <w:lang w:val="en-HK"/>
        </w:rPr>
        <w:t>liq</w:t>
      </w:r>
      <w:proofErr w:type="spellEnd"/>
      <w:r w:rsidRPr="00B652FC">
        <w:rPr>
          <w:rFonts w:ascii="Times New Roman" w:hAnsi="Times New Roman"/>
          <w:b/>
          <w:bCs/>
          <w:lang w:val="en-HK"/>
        </w:rPr>
        <w:t>) v Vaughan [1992] 4 All ER 22</w:t>
      </w:r>
      <w:r w:rsidRPr="00B652FC">
        <w:rPr>
          <w:rFonts w:ascii="Times New Roman" w:hAnsi="Times New Roman"/>
          <w:lang w:val="en-HK"/>
        </w:rPr>
        <w:t xml:space="preserve">: Courts prefer </w:t>
      </w:r>
      <w:r w:rsidRPr="00B652FC">
        <w:rPr>
          <w:rFonts w:ascii="Times New Roman" w:hAnsi="Times New Roman"/>
          <w:b/>
          <w:bCs/>
          <w:lang w:val="en-HK"/>
        </w:rPr>
        <w:t>simpler methods when claim amounts are small or administrative costs are high</w:t>
      </w:r>
      <w:r w:rsidRPr="00B652FC">
        <w:rPr>
          <w:rFonts w:ascii="Times New Roman" w:hAnsi="Times New Roman"/>
          <w:lang w:val="en-HK"/>
        </w:rPr>
        <w:t>.</w:t>
      </w:r>
    </w:p>
    <w:p w14:paraId="395386A7"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lastRenderedPageBreak/>
        <w:t xml:space="preserve">This complexity has led to the </w:t>
      </w:r>
      <w:r w:rsidRPr="00B652FC">
        <w:rPr>
          <w:rFonts w:ascii="Times New Roman" w:hAnsi="Times New Roman"/>
          <w:b/>
          <w:bCs/>
          <w:lang w:val="en-HK"/>
        </w:rPr>
        <w:t>preference for the simplified rolling charge approach</w:t>
      </w:r>
      <w:r w:rsidRPr="00B652FC">
        <w:rPr>
          <w:rFonts w:ascii="Times New Roman" w:hAnsi="Times New Roman"/>
          <w:lang w:val="en-HK"/>
        </w:rPr>
        <w:t xml:space="preserve">, which preserves fairness while </w:t>
      </w:r>
      <w:r w:rsidRPr="00B652FC">
        <w:rPr>
          <w:rFonts w:ascii="Times New Roman" w:hAnsi="Times New Roman"/>
          <w:b/>
          <w:bCs/>
          <w:lang w:val="en-HK"/>
        </w:rPr>
        <w:t>reducing the frequency of recalculations</w:t>
      </w:r>
      <w:r w:rsidRPr="00B652FC">
        <w:rPr>
          <w:rFonts w:ascii="Times New Roman" w:hAnsi="Times New Roman"/>
          <w:lang w:val="en-HK"/>
        </w:rPr>
        <w:t>.</w:t>
      </w:r>
    </w:p>
    <w:p w14:paraId="546191A7" w14:textId="77777777" w:rsidR="00FA3C91" w:rsidRPr="00B652FC" w:rsidRDefault="00FA3C91" w:rsidP="00B652FC">
      <w:pPr>
        <w:spacing w:before="100" w:beforeAutospacing="1" w:after="100" w:afterAutospacing="1" w:line="360" w:lineRule="auto"/>
        <w:outlineLvl w:val="3"/>
        <w:rPr>
          <w:rFonts w:ascii="Times New Roman" w:hAnsi="Times New Roman"/>
          <w:b/>
          <w:bCs/>
          <w:lang w:val="en-HK"/>
        </w:rPr>
      </w:pPr>
      <w:r w:rsidRPr="00B652FC">
        <w:rPr>
          <w:rFonts w:ascii="Times New Roman" w:hAnsi="Times New Roman"/>
          <w:b/>
          <w:bCs/>
          <w:lang w:val="en-HK"/>
        </w:rPr>
        <w:t>(ii) Rolling Charge Can Disadvantage Early Contributors</w:t>
      </w:r>
    </w:p>
    <w:p w14:paraId="3E1D9D78"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While rolling charge </w:t>
      </w:r>
      <w:r w:rsidRPr="00B652FC">
        <w:rPr>
          <w:rFonts w:ascii="Times New Roman" w:hAnsi="Times New Roman"/>
          <w:b/>
          <w:bCs/>
          <w:lang w:val="en-HK"/>
        </w:rPr>
        <w:t>corrects</w:t>
      </w:r>
      <w:r w:rsidRPr="00B652FC">
        <w:rPr>
          <w:rFonts w:ascii="Times New Roman" w:hAnsi="Times New Roman"/>
          <w:lang w:val="en-HK"/>
        </w:rPr>
        <w:t xml:space="preserve"> the </w:t>
      </w:r>
      <w:r w:rsidRPr="00B652FC">
        <w:rPr>
          <w:rFonts w:ascii="Times New Roman" w:hAnsi="Times New Roman"/>
          <w:b/>
          <w:bCs/>
          <w:lang w:val="en-HK"/>
        </w:rPr>
        <w:t>injustices of Clayton’s Case</w:t>
      </w:r>
      <w:r w:rsidRPr="00B652FC">
        <w:rPr>
          <w:rFonts w:ascii="Times New Roman" w:hAnsi="Times New Roman"/>
          <w:lang w:val="en-HK"/>
        </w:rPr>
        <w:t xml:space="preserve">, some courts argue that it </w:t>
      </w:r>
      <w:r w:rsidRPr="00B652FC">
        <w:rPr>
          <w:rFonts w:ascii="Times New Roman" w:hAnsi="Times New Roman"/>
          <w:b/>
          <w:bCs/>
          <w:lang w:val="en-HK"/>
        </w:rPr>
        <w:t>still places later depositors at an advantage</w:t>
      </w:r>
      <w:r w:rsidRPr="00B652FC">
        <w:rPr>
          <w:rFonts w:ascii="Times New Roman" w:hAnsi="Times New Roman"/>
          <w:lang w:val="en-HK"/>
        </w:rPr>
        <w:t>:</w:t>
      </w:r>
    </w:p>
    <w:p w14:paraId="112ECA5B" w14:textId="77777777" w:rsidR="00FA3C91" w:rsidRPr="00B652FC" w:rsidRDefault="00FA3C91" w:rsidP="00B652FC">
      <w:pPr>
        <w:numPr>
          <w:ilvl w:val="0"/>
          <w:numId w:val="23"/>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Lionel Smith (The Law of Tracing (Oxford: Clarendon Press, 1997) 185-188)</w:t>
      </w:r>
      <w:r w:rsidRPr="00B652FC">
        <w:rPr>
          <w:rFonts w:ascii="Times New Roman" w:hAnsi="Times New Roman"/>
          <w:lang w:val="en-HK"/>
        </w:rPr>
        <w:t xml:space="preserve">: Argues that rolling charge calculations </w:t>
      </w:r>
      <w:r w:rsidRPr="00B652FC">
        <w:rPr>
          <w:rFonts w:ascii="Times New Roman" w:hAnsi="Times New Roman"/>
          <w:b/>
          <w:bCs/>
          <w:lang w:val="en-HK"/>
        </w:rPr>
        <w:t>can indirectly benefit later claimants</w:t>
      </w:r>
      <w:r w:rsidRPr="00B652FC">
        <w:rPr>
          <w:rFonts w:ascii="Times New Roman" w:hAnsi="Times New Roman"/>
          <w:lang w:val="en-HK"/>
        </w:rPr>
        <w:t xml:space="preserve">, who suffer </w:t>
      </w:r>
      <w:r w:rsidRPr="00B652FC">
        <w:rPr>
          <w:rFonts w:ascii="Times New Roman" w:hAnsi="Times New Roman"/>
          <w:b/>
          <w:bCs/>
          <w:lang w:val="en-HK"/>
        </w:rPr>
        <w:t>lesser losses</w:t>
      </w:r>
      <w:r w:rsidRPr="00B652FC">
        <w:rPr>
          <w:rFonts w:ascii="Times New Roman" w:hAnsi="Times New Roman"/>
          <w:lang w:val="en-HK"/>
        </w:rPr>
        <w:t xml:space="preserve"> than early contributors.</w:t>
      </w:r>
    </w:p>
    <w:p w14:paraId="4B15BCA8" w14:textId="77777777" w:rsidR="00FA3C91" w:rsidRPr="00B652FC" w:rsidRDefault="00FA3C91" w:rsidP="00B652FC">
      <w:pPr>
        <w:numPr>
          <w:ilvl w:val="0"/>
          <w:numId w:val="23"/>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Barlow Clowes (at 35-36)</w:t>
      </w:r>
      <w:r w:rsidRPr="00B652FC">
        <w:rPr>
          <w:rFonts w:ascii="Times New Roman" w:hAnsi="Times New Roman"/>
          <w:lang w:val="en-HK"/>
        </w:rPr>
        <w:t xml:space="preserve">: Recognized that later investors are </w:t>
      </w:r>
      <w:r w:rsidRPr="00B652FC">
        <w:rPr>
          <w:rFonts w:ascii="Times New Roman" w:hAnsi="Times New Roman"/>
          <w:b/>
          <w:bCs/>
          <w:lang w:val="en-HK"/>
        </w:rPr>
        <w:t>partially protected from earlier dissipation</w:t>
      </w:r>
      <w:r w:rsidRPr="00B652FC">
        <w:rPr>
          <w:rFonts w:ascii="Times New Roman" w:hAnsi="Times New Roman"/>
          <w:lang w:val="en-HK"/>
        </w:rPr>
        <w:t xml:space="preserve">, which may not always reflect </w:t>
      </w:r>
      <w:r w:rsidRPr="00B652FC">
        <w:rPr>
          <w:rFonts w:ascii="Times New Roman" w:hAnsi="Times New Roman"/>
          <w:b/>
          <w:bCs/>
          <w:lang w:val="en-HK"/>
        </w:rPr>
        <w:t>true equitable ownership</w:t>
      </w:r>
      <w:r w:rsidRPr="00B652FC">
        <w:rPr>
          <w:rFonts w:ascii="Times New Roman" w:hAnsi="Times New Roman"/>
          <w:lang w:val="en-HK"/>
        </w:rPr>
        <w:t>.</w:t>
      </w:r>
    </w:p>
    <w:p w14:paraId="1BF34A55"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However, proponents argue that </w:t>
      </w:r>
      <w:r w:rsidRPr="00B652FC">
        <w:rPr>
          <w:rFonts w:ascii="Times New Roman" w:hAnsi="Times New Roman"/>
          <w:b/>
          <w:bCs/>
          <w:lang w:val="en-HK"/>
        </w:rPr>
        <w:t>rolling charge is the only approach that reflects actual fund movement</w:t>
      </w:r>
      <w:r w:rsidRPr="00B652FC">
        <w:rPr>
          <w:rFonts w:ascii="Times New Roman" w:hAnsi="Times New Roman"/>
          <w:lang w:val="en-HK"/>
        </w:rPr>
        <w:t xml:space="preserve">, ensuring that </w:t>
      </w:r>
      <w:r w:rsidRPr="00B652FC">
        <w:rPr>
          <w:rFonts w:ascii="Times New Roman" w:hAnsi="Times New Roman"/>
          <w:b/>
          <w:bCs/>
          <w:lang w:val="en-HK"/>
        </w:rPr>
        <w:t>losses are proportionate and fair</w:t>
      </w:r>
      <w:r w:rsidRPr="00B652FC">
        <w:rPr>
          <w:rFonts w:ascii="Times New Roman" w:hAnsi="Times New Roman"/>
          <w:lang w:val="en-HK"/>
        </w:rPr>
        <w:t>.</w:t>
      </w:r>
    </w:p>
    <w:p w14:paraId="5F77556D" w14:textId="77777777" w:rsidR="00FA3C91" w:rsidRPr="00B652FC" w:rsidRDefault="00FA3C91" w:rsidP="00B652FC">
      <w:pPr>
        <w:spacing w:before="100" w:beforeAutospacing="1" w:after="100" w:afterAutospacing="1" w:line="360" w:lineRule="auto"/>
        <w:outlineLvl w:val="3"/>
        <w:rPr>
          <w:rFonts w:ascii="Times New Roman" w:hAnsi="Times New Roman"/>
          <w:b/>
          <w:bCs/>
          <w:lang w:val="en-HK"/>
        </w:rPr>
      </w:pPr>
      <w:r w:rsidRPr="00B652FC">
        <w:rPr>
          <w:rFonts w:ascii="Times New Roman" w:hAnsi="Times New Roman"/>
          <w:b/>
          <w:bCs/>
          <w:lang w:val="en-HK"/>
        </w:rPr>
        <w:t>(iii) The Approach Requires Detailed Financial Records</w:t>
      </w:r>
    </w:p>
    <w:p w14:paraId="0015196F"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Unlike the </w:t>
      </w:r>
      <w:r w:rsidRPr="00B652FC">
        <w:rPr>
          <w:rFonts w:ascii="Times New Roman" w:hAnsi="Times New Roman"/>
          <w:b/>
          <w:bCs/>
          <w:lang w:val="en-HK"/>
        </w:rPr>
        <w:t xml:space="preserve">simple </w:t>
      </w:r>
      <w:proofErr w:type="spellStart"/>
      <w:r w:rsidRPr="00B652FC">
        <w:rPr>
          <w:rFonts w:ascii="Times New Roman" w:hAnsi="Times New Roman"/>
          <w:b/>
          <w:bCs/>
          <w:lang w:val="en-HK"/>
        </w:rPr>
        <w:t>pari</w:t>
      </w:r>
      <w:proofErr w:type="spellEnd"/>
      <w:r w:rsidRPr="00B652FC">
        <w:rPr>
          <w:rFonts w:ascii="Times New Roman" w:hAnsi="Times New Roman"/>
          <w:b/>
          <w:bCs/>
          <w:lang w:val="en-HK"/>
        </w:rPr>
        <w:t xml:space="preserve"> passu approach</w:t>
      </w:r>
      <w:r w:rsidRPr="00B652FC">
        <w:rPr>
          <w:rFonts w:ascii="Times New Roman" w:hAnsi="Times New Roman"/>
          <w:lang w:val="en-HK"/>
        </w:rPr>
        <w:t xml:space="preserve">, which </w:t>
      </w:r>
      <w:r w:rsidRPr="00B652FC">
        <w:rPr>
          <w:rFonts w:ascii="Times New Roman" w:hAnsi="Times New Roman"/>
          <w:b/>
          <w:bCs/>
          <w:lang w:val="en-HK"/>
        </w:rPr>
        <w:t>requires only the final balance and claimant contributions</w:t>
      </w:r>
      <w:r w:rsidRPr="00B652FC">
        <w:rPr>
          <w:rFonts w:ascii="Times New Roman" w:hAnsi="Times New Roman"/>
          <w:lang w:val="en-HK"/>
        </w:rPr>
        <w:t xml:space="preserve">, the </w:t>
      </w:r>
      <w:r w:rsidRPr="00B652FC">
        <w:rPr>
          <w:rFonts w:ascii="Times New Roman" w:hAnsi="Times New Roman"/>
          <w:b/>
          <w:bCs/>
          <w:lang w:val="en-HK"/>
        </w:rPr>
        <w:t>rolling charge approach requires complete transaction histories</w:t>
      </w:r>
      <w:r w:rsidRPr="00B652FC">
        <w:rPr>
          <w:rFonts w:ascii="Times New Roman" w:hAnsi="Times New Roman"/>
          <w:lang w:val="en-HK"/>
        </w:rPr>
        <w:t>.</w:t>
      </w:r>
    </w:p>
    <w:p w14:paraId="447D5AD7" w14:textId="77777777" w:rsidR="00FA3C91" w:rsidRPr="00B652FC" w:rsidRDefault="00FA3C91" w:rsidP="00B652FC">
      <w:pPr>
        <w:numPr>
          <w:ilvl w:val="0"/>
          <w:numId w:val="24"/>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Caron v Jahani (No 2), at [105]</w:t>
      </w:r>
      <w:r w:rsidRPr="00B652FC">
        <w:rPr>
          <w:rFonts w:ascii="Times New Roman" w:hAnsi="Times New Roman"/>
          <w:lang w:val="en-HK"/>
        </w:rPr>
        <w:t xml:space="preserve">: Courts acknowledged that where </w:t>
      </w:r>
      <w:r w:rsidRPr="00B652FC">
        <w:rPr>
          <w:rFonts w:ascii="Times New Roman" w:hAnsi="Times New Roman"/>
          <w:b/>
          <w:bCs/>
          <w:lang w:val="en-HK"/>
        </w:rPr>
        <w:t>transaction data is incomplete, the approach cannot be accurately applied</w:t>
      </w:r>
      <w:r w:rsidRPr="00B652FC">
        <w:rPr>
          <w:rFonts w:ascii="Times New Roman" w:hAnsi="Times New Roman"/>
          <w:lang w:val="en-HK"/>
        </w:rPr>
        <w:t>.</w:t>
      </w:r>
    </w:p>
    <w:p w14:paraId="1812C7B2" w14:textId="77777777" w:rsidR="00FA3C91" w:rsidRPr="00B652FC" w:rsidRDefault="00FA3C91" w:rsidP="00B652FC">
      <w:pPr>
        <w:numPr>
          <w:ilvl w:val="0"/>
          <w:numId w:val="24"/>
        </w:numPr>
        <w:spacing w:before="100" w:beforeAutospacing="1" w:after="100" w:afterAutospacing="1" w:line="360" w:lineRule="auto"/>
        <w:rPr>
          <w:rFonts w:ascii="Times New Roman" w:hAnsi="Times New Roman"/>
          <w:lang w:val="en-HK"/>
        </w:rPr>
      </w:pPr>
      <w:r w:rsidRPr="00B652FC">
        <w:rPr>
          <w:rFonts w:ascii="Times New Roman" w:hAnsi="Times New Roman"/>
          <w:b/>
          <w:bCs/>
          <w:lang w:val="en-HK"/>
        </w:rPr>
        <w:t>Sinclair v Brougham [1914] AC 398, 421</w:t>
      </w:r>
      <w:r w:rsidRPr="00B652FC">
        <w:rPr>
          <w:rFonts w:ascii="Times New Roman" w:hAnsi="Times New Roman"/>
          <w:lang w:val="en-HK"/>
        </w:rPr>
        <w:t xml:space="preserve">: Courts must ensure that calculations do not </w:t>
      </w:r>
      <w:r w:rsidRPr="00B652FC">
        <w:rPr>
          <w:rFonts w:ascii="Times New Roman" w:hAnsi="Times New Roman"/>
          <w:b/>
          <w:bCs/>
          <w:lang w:val="en-HK"/>
        </w:rPr>
        <w:t>exceed practical tracing capabilities</w:t>
      </w:r>
      <w:r w:rsidRPr="00B652FC">
        <w:rPr>
          <w:rFonts w:ascii="Times New Roman" w:hAnsi="Times New Roman"/>
          <w:lang w:val="en-HK"/>
        </w:rPr>
        <w:t>.</w:t>
      </w:r>
    </w:p>
    <w:p w14:paraId="2383B3C2"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As a result, courts have </w:t>
      </w:r>
      <w:proofErr w:type="spellStart"/>
      <w:r w:rsidRPr="00B652FC">
        <w:rPr>
          <w:rFonts w:ascii="Times New Roman" w:hAnsi="Times New Roman"/>
          <w:lang w:val="en-HK"/>
        </w:rPr>
        <w:t>favored</w:t>
      </w:r>
      <w:proofErr w:type="spellEnd"/>
      <w:r w:rsidRPr="00B652FC">
        <w:rPr>
          <w:rFonts w:ascii="Times New Roman" w:hAnsi="Times New Roman"/>
          <w:lang w:val="en-HK"/>
        </w:rPr>
        <w:t xml:space="preserve"> the </w:t>
      </w:r>
      <w:r w:rsidRPr="00B652FC">
        <w:rPr>
          <w:rFonts w:ascii="Times New Roman" w:hAnsi="Times New Roman"/>
          <w:b/>
          <w:bCs/>
          <w:lang w:val="en-HK"/>
        </w:rPr>
        <w:t>simplified rolling charge approach</w:t>
      </w:r>
      <w:r w:rsidRPr="00B652FC">
        <w:rPr>
          <w:rFonts w:ascii="Times New Roman" w:hAnsi="Times New Roman"/>
          <w:lang w:val="en-HK"/>
        </w:rPr>
        <w:t xml:space="preserve">, which </w:t>
      </w:r>
      <w:r w:rsidRPr="00B652FC">
        <w:rPr>
          <w:rFonts w:ascii="Times New Roman" w:hAnsi="Times New Roman"/>
          <w:b/>
          <w:bCs/>
          <w:lang w:val="en-HK"/>
        </w:rPr>
        <w:t>maintains fairness without requiring perfect transaction records</w:t>
      </w:r>
      <w:r w:rsidRPr="00B652FC">
        <w:rPr>
          <w:rFonts w:ascii="Times New Roman" w:hAnsi="Times New Roman"/>
          <w:lang w:val="en-HK"/>
        </w:rPr>
        <w:t>.</w:t>
      </w:r>
    </w:p>
    <w:p w14:paraId="0E93E6E1" w14:textId="77777777" w:rsidR="00FA3C91" w:rsidRPr="00B652FC" w:rsidRDefault="00F5763C" w:rsidP="00B652FC">
      <w:pPr>
        <w:spacing w:line="360" w:lineRule="auto"/>
        <w:rPr>
          <w:rFonts w:ascii="Times New Roman" w:hAnsi="Times New Roman"/>
          <w:lang w:val="en-HK"/>
        </w:rPr>
      </w:pPr>
      <w:r>
        <w:rPr>
          <w:noProof/>
        </w:rPr>
      </w:r>
      <w:r>
        <w:pict w14:anchorId="08194D01">
          <v:rect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14:paraId="5B0D1190" w14:textId="77777777" w:rsidR="00FA3C91" w:rsidRPr="00B652FC" w:rsidRDefault="00FA3C91" w:rsidP="00B652FC">
      <w:pPr>
        <w:spacing w:before="100" w:beforeAutospacing="1" w:after="100" w:afterAutospacing="1" w:line="360" w:lineRule="auto"/>
        <w:outlineLvl w:val="2"/>
        <w:rPr>
          <w:rFonts w:ascii="Times New Roman" w:hAnsi="Times New Roman"/>
          <w:b/>
          <w:bCs/>
          <w:lang w:val="en-HK"/>
        </w:rPr>
      </w:pPr>
      <w:r w:rsidRPr="00B652FC">
        <w:rPr>
          <w:rFonts w:ascii="Times New Roman" w:hAnsi="Times New Roman"/>
          <w:b/>
          <w:bCs/>
          <w:lang w:val="en-HK"/>
        </w:rPr>
        <w:t>5. Conclusion: The Rolling Charge Approach as the Most Equitable Model</w:t>
      </w:r>
    </w:p>
    <w:p w14:paraId="1F67BAA0"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While </w:t>
      </w:r>
      <w:r w:rsidRPr="00B652FC">
        <w:rPr>
          <w:rFonts w:ascii="Times New Roman" w:hAnsi="Times New Roman"/>
          <w:b/>
          <w:bCs/>
          <w:lang w:val="en-HK"/>
        </w:rPr>
        <w:t xml:space="preserve">Clayton’s Case and the simple </w:t>
      </w:r>
      <w:proofErr w:type="spellStart"/>
      <w:r w:rsidRPr="00B652FC">
        <w:rPr>
          <w:rFonts w:ascii="Times New Roman" w:hAnsi="Times New Roman"/>
          <w:b/>
          <w:bCs/>
          <w:lang w:val="en-HK"/>
        </w:rPr>
        <w:t>pari</w:t>
      </w:r>
      <w:proofErr w:type="spellEnd"/>
      <w:r w:rsidRPr="00B652FC">
        <w:rPr>
          <w:rFonts w:ascii="Times New Roman" w:hAnsi="Times New Roman"/>
          <w:b/>
          <w:bCs/>
          <w:lang w:val="en-HK"/>
        </w:rPr>
        <w:t xml:space="preserve"> passu approach have significant flaws</w:t>
      </w:r>
      <w:r w:rsidRPr="00B652FC">
        <w:rPr>
          <w:rFonts w:ascii="Times New Roman" w:hAnsi="Times New Roman"/>
          <w:lang w:val="en-HK"/>
        </w:rPr>
        <w:t xml:space="preserve">, the </w:t>
      </w:r>
      <w:r w:rsidRPr="00B652FC">
        <w:rPr>
          <w:rFonts w:ascii="Times New Roman" w:hAnsi="Times New Roman"/>
          <w:b/>
          <w:bCs/>
          <w:lang w:val="en-HK"/>
        </w:rPr>
        <w:t xml:space="preserve">rolling charge approach represents the most accurate method for equitable fund </w:t>
      </w:r>
      <w:r w:rsidRPr="00B652FC">
        <w:rPr>
          <w:rFonts w:ascii="Times New Roman" w:hAnsi="Times New Roman"/>
          <w:b/>
          <w:bCs/>
          <w:lang w:val="en-HK"/>
        </w:rPr>
        <w:lastRenderedPageBreak/>
        <w:t>distribution</w:t>
      </w:r>
      <w:r w:rsidRPr="00B652FC">
        <w:rPr>
          <w:rFonts w:ascii="Times New Roman" w:hAnsi="Times New Roman"/>
          <w:lang w:val="en-HK"/>
        </w:rPr>
        <w:t xml:space="preserve">. Courts increasingly </w:t>
      </w:r>
      <w:proofErr w:type="spellStart"/>
      <w:r w:rsidRPr="00B652FC">
        <w:rPr>
          <w:rFonts w:ascii="Times New Roman" w:hAnsi="Times New Roman"/>
          <w:lang w:val="en-HK"/>
        </w:rPr>
        <w:t>favor</w:t>
      </w:r>
      <w:proofErr w:type="spellEnd"/>
      <w:r w:rsidRPr="00B652FC">
        <w:rPr>
          <w:rFonts w:ascii="Times New Roman" w:hAnsi="Times New Roman"/>
          <w:lang w:val="en-HK"/>
        </w:rPr>
        <w:t xml:space="preserve"> the </w:t>
      </w:r>
      <w:r w:rsidRPr="00B652FC">
        <w:rPr>
          <w:rFonts w:ascii="Times New Roman" w:hAnsi="Times New Roman"/>
          <w:b/>
          <w:bCs/>
          <w:lang w:val="en-HK"/>
        </w:rPr>
        <w:t>simplified rolling charge approach</w:t>
      </w:r>
      <w:r w:rsidRPr="00B652FC">
        <w:rPr>
          <w:rFonts w:ascii="Times New Roman" w:hAnsi="Times New Roman"/>
          <w:lang w:val="en-HK"/>
        </w:rPr>
        <w:t xml:space="preserve">, recognizing that </w:t>
      </w:r>
      <w:r w:rsidRPr="00B652FC">
        <w:rPr>
          <w:rFonts w:ascii="Times New Roman" w:hAnsi="Times New Roman"/>
          <w:b/>
          <w:bCs/>
          <w:lang w:val="en-HK"/>
        </w:rPr>
        <w:t>absolute precision is impractical, but fairness should be preserved where possible</w:t>
      </w:r>
      <w:r w:rsidRPr="00B652FC">
        <w:rPr>
          <w:rFonts w:ascii="Times New Roman" w:hAnsi="Times New Roman"/>
          <w:lang w:val="en-HK"/>
        </w:rPr>
        <w:t>.</w:t>
      </w:r>
    </w:p>
    <w:p w14:paraId="696F4285" w14:textId="77777777" w:rsidR="00FA3C91" w:rsidRPr="00B652FC" w:rsidRDefault="00FA3C91" w:rsidP="00B652FC">
      <w:pPr>
        <w:spacing w:before="100" w:beforeAutospacing="1" w:after="100" w:afterAutospacing="1" w:line="360" w:lineRule="auto"/>
        <w:rPr>
          <w:rFonts w:ascii="Times New Roman" w:hAnsi="Times New Roman"/>
          <w:lang w:val="en-HK"/>
        </w:rPr>
      </w:pPr>
      <w:r w:rsidRPr="00B652FC">
        <w:rPr>
          <w:rFonts w:ascii="Times New Roman" w:hAnsi="Times New Roman"/>
          <w:lang w:val="en-HK"/>
        </w:rPr>
        <w:t xml:space="preserve">The ruling in </w:t>
      </w:r>
      <w:r w:rsidRPr="00B652FC">
        <w:rPr>
          <w:rFonts w:ascii="Times New Roman" w:hAnsi="Times New Roman"/>
          <w:b/>
          <w:bCs/>
          <w:lang w:val="en-HK"/>
        </w:rPr>
        <w:t>Caron v Jahani (No 2) [2020] NSWCA 117</w:t>
      </w:r>
      <w:r w:rsidRPr="00B652FC">
        <w:rPr>
          <w:rFonts w:ascii="Times New Roman" w:hAnsi="Times New Roman"/>
          <w:lang w:val="en-HK"/>
        </w:rPr>
        <w:t xml:space="preserve"> signals a shift towards </w:t>
      </w:r>
      <w:r w:rsidRPr="00B652FC">
        <w:rPr>
          <w:rFonts w:ascii="Times New Roman" w:hAnsi="Times New Roman"/>
          <w:b/>
          <w:bCs/>
          <w:lang w:val="en-HK"/>
        </w:rPr>
        <w:t>this refined methodology</w:t>
      </w:r>
      <w:r w:rsidRPr="00B652FC">
        <w:rPr>
          <w:rFonts w:ascii="Times New Roman" w:hAnsi="Times New Roman"/>
          <w:lang w:val="en-HK"/>
        </w:rPr>
        <w:t xml:space="preserve">, ensuring that tracing principles align with </w:t>
      </w:r>
      <w:r w:rsidRPr="00B652FC">
        <w:rPr>
          <w:rFonts w:ascii="Times New Roman" w:hAnsi="Times New Roman"/>
          <w:b/>
          <w:bCs/>
          <w:lang w:val="en-HK"/>
        </w:rPr>
        <w:t>equitable justice while remaining administratively feasible</w:t>
      </w:r>
      <w:r w:rsidRPr="00B652FC">
        <w:rPr>
          <w:rFonts w:ascii="Times New Roman" w:hAnsi="Times New Roman"/>
          <w:lang w:val="en-HK"/>
        </w:rPr>
        <w:t>.</w:t>
      </w:r>
    </w:p>
    <w:p w14:paraId="32B656BB" w14:textId="77777777" w:rsidR="00CD39F1" w:rsidRPr="00B652FC" w:rsidRDefault="00CD39F1" w:rsidP="00B652FC">
      <w:pPr>
        <w:spacing w:line="360" w:lineRule="auto"/>
        <w:rPr>
          <w:lang w:val="en-US"/>
        </w:rPr>
      </w:pPr>
    </w:p>
    <w:sectPr w:rsidR="00CD39F1" w:rsidRPr="00B652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D7CFC"/>
    <w:multiLevelType w:val="multilevel"/>
    <w:tmpl w:val="62EEE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3366B"/>
    <w:multiLevelType w:val="multilevel"/>
    <w:tmpl w:val="B7B0503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11A4570"/>
    <w:multiLevelType w:val="multilevel"/>
    <w:tmpl w:val="387A16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9CB31C2"/>
    <w:multiLevelType w:val="multilevel"/>
    <w:tmpl w:val="2BD600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9CD7443"/>
    <w:multiLevelType w:val="multilevel"/>
    <w:tmpl w:val="E1AC47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CC8564C"/>
    <w:multiLevelType w:val="multilevel"/>
    <w:tmpl w:val="BBAA20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D324089"/>
    <w:multiLevelType w:val="multilevel"/>
    <w:tmpl w:val="2AB6DD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03B1E9D"/>
    <w:multiLevelType w:val="multilevel"/>
    <w:tmpl w:val="38C2E2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4C71B61"/>
    <w:multiLevelType w:val="multilevel"/>
    <w:tmpl w:val="0B4CD4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DE13E50"/>
    <w:multiLevelType w:val="multilevel"/>
    <w:tmpl w:val="85EC0D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E2616E1"/>
    <w:multiLevelType w:val="multilevel"/>
    <w:tmpl w:val="D2FE14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F12CF1"/>
    <w:multiLevelType w:val="hybridMultilevel"/>
    <w:tmpl w:val="68F28836"/>
    <w:lvl w:ilvl="0" w:tplc="DACEA698">
      <w:start w:val="1"/>
      <w:numFmt w:val="bullet"/>
      <w:lvlText w:val=""/>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C327E9C"/>
    <w:multiLevelType w:val="multilevel"/>
    <w:tmpl w:val="D92049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DB910C2"/>
    <w:multiLevelType w:val="multilevel"/>
    <w:tmpl w:val="42C6F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E157B9D"/>
    <w:multiLevelType w:val="multilevel"/>
    <w:tmpl w:val="14881E1E"/>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4060759C"/>
    <w:multiLevelType w:val="multilevel"/>
    <w:tmpl w:val="4BA0AE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4B4976DA"/>
    <w:multiLevelType w:val="multilevel"/>
    <w:tmpl w:val="C43E3A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54964196"/>
    <w:multiLevelType w:val="multilevel"/>
    <w:tmpl w:val="AF7CDB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592D6A2A"/>
    <w:multiLevelType w:val="multilevel"/>
    <w:tmpl w:val="15800C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60F5697B"/>
    <w:multiLevelType w:val="multilevel"/>
    <w:tmpl w:val="DC6499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64100B38"/>
    <w:multiLevelType w:val="multilevel"/>
    <w:tmpl w:val="34E6D4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681008B6"/>
    <w:multiLevelType w:val="multilevel"/>
    <w:tmpl w:val="DE1EC59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6B3C2425"/>
    <w:multiLevelType w:val="multilevel"/>
    <w:tmpl w:val="B5AAED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706821F8"/>
    <w:multiLevelType w:val="multilevel"/>
    <w:tmpl w:val="CEF893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732B04E0"/>
    <w:multiLevelType w:val="multilevel"/>
    <w:tmpl w:val="8E7826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466196542">
    <w:abstractNumId w:val="12"/>
  </w:num>
  <w:num w:numId="2" w16cid:durableId="232931167">
    <w:abstractNumId w:val="15"/>
  </w:num>
  <w:num w:numId="3" w16cid:durableId="677080739">
    <w:abstractNumId w:val="22"/>
  </w:num>
  <w:num w:numId="4" w16cid:durableId="1400857889">
    <w:abstractNumId w:val="8"/>
  </w:num>
  <w:num w:numId="5" w16cid:durableId="1034233408">
    <w:abstractNumId w:val="24"/>
  </w:num>
  <w:num w:numId="6" w16cid:durableId="1893229476">
    <w:abstractNumId w:val="2"/>
  </w:num>
  <w:num w:numId="7" w16cid:durableId="372340889">
    <w:abstractNumId w:val="21"/>
  </w:num>
  <w:num w:numId="8" w16cid:durableId="730465583">
    <w:abstractNumId w:val="19"/>
  </w:num>
  <w:num w:numId="9" w16cid:durableId="2004429845">
    <w:abstractNumId w:val="6"/>
  </w:num>
  <w:num w:numId="10" w16cid:durableId="1258253006">
    <w:abstractNumId w:val="17"/>
  </w:num>
  <w:num w:numId="11" w16cid:durableId="1868374825">
    <w:abstractNumId w:val="5"/>
  </w:num>
  <w:num w:numId="12" w16cid:durableId="892812482">
    <w:abstractNumId w:val="4"/>
  </w:num>
  <w:num w:numId="13" w16cid:durableId="1512144084">
    <w:abstractNumId w:val="10"/>
  </w:num>
  <w:num w:numId="14" w16cid:durableId="1022172906">
    <w:abstractNumId w:val="9"/>
  </w:num>
  <w:num w:numId="15" w16cid:durableId="555749712">
    <w:abstractNumId w:val="13"/>
  </w:num>
  <w:num w:numId="16" w16cid:durableId="1523125919">
    <w:abstractNumId w:val="20"/>
  </w:num>
  <w:num w:numId="17" w16cid:durableId="2145151134">
    <w:abstractNumId w:val="1"/>
  </w:num>
  <w:num w:numId="18" w16cid:durableId="1580360718">
    <w:abstractNumId w:val="3"/>
  </w:num>
  <w:num w:numId="19" w16cid:durableId="2042586619">
    <w:abstractNumId w:val="14"/>
  </w:num>
  <w:num w:numId="20" w16cid:durableId="1759709886">
    <w:abstractNumId w:val="7"/>
  </w:num>
  <w:num w:numId="21" w16cid:durableId="207618242">
    <w:abstractNumId w:val="0"/>
  </w:num>
  <w:num w:numId="22" w16cid:durableId="435752062">
    <w:abstractNumId w:val="16"/>
  </w:num>
  <w:num w:numId="23" w16cid:durableId="545877895">
    <w:abstractNumId w:val="23"/>
  </w:num>
  <w:num w:numId="24" w16cid:durableId="619184368">
    <w:abstractNumId w:val="18"/>
  </w:num>
  <w:num w:numId="25" w16cid:durableId="2025223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B0026"/>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101CCF"/>
    <w:rsid w:val="00121A80"/>
    <w:rsid w:val="001372F7"/>
    <w:rsid w:val="00175AB8"/>
    <w:rsid w:val="0019260C"/>
    <w:rsid w:val="001A41D2"/>
    <w:rsid w:val="001B0026"/>
    <w:rsid w:val="001B0E31"/>
    <w:rsid w:val="001D360C"/>
    <w:rsid w:val="001E2584"/>
    <w:rsid w:val="002033A2"/>
    <w:rsid w:val="00204B6E"/>
    <w:rsid w:val="00223837"/>
    <w:rsid w:val="00243CED"/>
    <w:rsid w:val="00247BCC"/>
    <w:rsid w:val="00257540"/>
    <w:rsid w:val="0026510F"/>
    <w:rsid w:val="0028028D"/>
    <w:rsid w:val="00291F37"/>
    <w:rsid w:val="0029568E"/>
    <w:rsid w:val="00297C6E"/>
    <w:rsid w:val="002B3377"/>
    <w:rsid w:val="002C38C0"/>
    <w:rsid w:val="002C6D8B"/>
    <w:rsid w:val="002D715D"/>
    <w:rsid w:val="002E3864"/>
    <w:rsid w:val="002E46F2"/>
    <w:rsid w:val="002F1DB1"/>
    <w:rsid w:val="002F20B2"/>
    <w:rsid w:val="002F53C9"/>
    <w:rsid w:val="003048A0"/>
    <w:rsid w:val="0031138E"/>
    <w:rsid w:val="0031474F"/>
    <w:rsid w:val="00315815"/>
    <w:rsid w:val="003278F5"/>
    <w:rsid w:val="00330665"/>
    <w:rsid w:val="00342A18"/>
    <w:rsid w:val="00357561"/>
    <w:rsid w:val="0036177C"/>
    <w:rsid w:val="00361975"/>
    <w:rsid w:val="00376E23"/>
    <w:rsid w:val="0039416B"/>
    <w:rsid w:val="003A1271"/>
    <w:rsid w:val="003A5DF7"/>
    <w:rsid w:val="003B3510"/>
    <w:rsid w:val="003C116C"/>
    <w:rsid w:val="003D0CDD"/>
    <w:rsid w:val="003D710F"/>
    <w:rsid w:val="003E1CAA"/>
    <w:rsid w:val="0040210F"/>
    <w:rsid w:val="00412F9B"/>
    <w:rsid w:val="004222FD"/>
    <w:rsid w:val="004319FA"/>
    <w:rsid w:val="00442F56"/>
    <w:rsid w:val="0044616D"/>
    <w:rsid w:val="004656AC"/>
    <w:rsid w:val="00474DD1"/>
    <w:rsid w:val="004751B5"/>
    <w:rsid w:val="0048097D"/>
    <w:rsid w:val="004816F7"/>
    <w:rsid w:val="0048175B"/>
    <w:rsid w:val="004829F2"/>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25C9"/>
    <w:rsid w:val="00557B52"/>
    <w:rsid w:val="005743EA"/>
    <w:rsid w:val="005770A9"/>
    <w:rsid w:val="0058416B"/>
    <w:rsid w:val="00591130"/>
    <w:rsid w:val="00595357"/>
    <w:rsid w:val="005A1930"/>
    <w:rsid w:val="005A6EEA"/>
    <w:rsid w:val="005B34ED"/>
    <w:rsid w:val="005B61CD"/>
    <w:rsid w:val="005B74C5"/>
    <w:rsid w:val="005C4FF3"/>
    <w:rsid w:val="005C50B3"/>
    <w:rsid w:val="005C6B83"/>
    <w:rsid w:val="005C7AAA"/>
    <w:rsid w:val="005D57DA"/>
    <w:rsid w:val="005E7702"/>
    <w:rsid w:val="005F33FC"/>
    <w:rsid w:val="00605F8E"/>
    <w:rsid w:val="00613954"/>
    <w:rsid w:val="006159E0"/>
    <w:rsid w:val="00622488"/>
    <w:rsid w:val="006350B8"/>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68F0"/>
    <w:rsid w:val="007E1559"/>
    <w:rsid w:val="007E4AE6"/>
    <w:rsid w:val="007F776E"/>
    <w:rsid w:val="00816563"/>
    <w:rsid w:val="00830C88"/>
    <w:rsid w:val="00845AB5"/>
    <w:rsid w:val="00861B11"/>
    <w:rsid w:val="008829C2"/>
    <w:rsid w:val="008A54BE"/>
    <w:rsid w:val="008C7B0A"/>
    <w:rsid w:val="008D0642"/>
    <w:rsid w:val="008E43C2"/>
    <w:rsid w:val="008E745B"/>
    <w:rsid w:val="008F4EA7"/>
    <w:rsid w:val="008F5A10"/>
    <w:rsid w:val="008F779C"/>
    <w:rsid w:val="00905ED0"/>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7AB0"/>
    <w:rsid w:val="00A4085F"/>
    <w:rsid w:val="00A41389"/>
    <w:rsid w:val="00A45953"/>
    <w:rsid w:val="00A93FBA"/>
    <w:rsid w:val="00A95C7E"/>
    <w:rsid w:val="00AB609D"/>
    <w:rsid w:val="00AC3AB8"/>
    <w:rsid w:val="00AE4348"/>
    <w:rsid w:val="00AE4BAF"/>
    <w:rsid w:val="00B03D5A"/>
    <w:rsid w:val="00B200EB"/>
    <w:rsid w:val="00B23297"/>
    <w:rsid w:val="00B360EE"/>
    <w:rsid w:val="00B53B6F"/>
    <w:rsid w:val="00B651D9"/>
    <w:rsid w:val="00B652FC"/>
    <w:rsid w:val="00B67231"/>
    <w:rsid w:val="00B73742"/>
    <w:rsid w:val="00B8622A"/>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0D26"/>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06E11"/>
    <w:rsid w:val="00E14A1A"/>
    <w:rsid w:val="00E14E1F"/>
    <w:rsid w:val="00E2730E"/>
    <w:rsid w:val="00E4366A"/>
    <w:rsid w:val="00E438AC"/>
    <w:rsid w:val="00E51987"/>
    <w:rsid w:val="00E5689E"/>
    <w:rsid w:val="00E60DF5"/>
    <w:rsid w:val="00E64DD3"/>
    <w:rsid w:val="00E80D33"/>
    <w:rsid w:val="00E9484C"/>
    <w:rsid w:val="00E95D8D"/>
    <w:rsid w:val="00EA6ED5"/>
    <w:rsid w:val="00EB7051"/>
    <w:rsid w:val="00EC67FC"/>
    <w:rsid w:val="00EC68EB"/>
    <w:rsid w:val="00EC7C43"/>
    <w:rsid w:val="00EE0191"/>
    <w:rsid w:val="00EE4F6A"/>
    <w:rsid w:val="00EF3EF4"/>
    <w:rsid w:val="00F012E4"/>
    <w:rsid w:val="00F0631B"/>
    <w:rsid w:val="00F248D2"/>
    <w:rsid w:val="00F27F00"/>
    <w:rsid w:val="00F33570"/>
    <w:rsid w:val="00F5763C"/>
    <w:rsid w:val="00F655F4"/>
    <w:rsid w:val="00F71153"/>
    <w:rsid w:val="00F858D4"/>
    <w:rsid w:val="00FA0450"/>
    <w:rsid w:val="00FA3C91"/>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D73CE8E"/>
  <w15:docId w15:val="{55118FB0-92CA-414C-AA81-6E06CC0A1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1B00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00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B002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B002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1B002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B002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B002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B002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B002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026"/>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1B0026"/>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1B0026"/>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1B0026"/>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rsid w:val="001B0026"/>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1B0026"/>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1B0026"/>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1B0026"/>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1B0026"/>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1B00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026"/>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1B002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026"/>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1B002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B0026"/>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1B0026"/>
    <w:pPr>
      <w:ind w:left="720"/>
      <w:contextualSpacing/>
    </w:pPr>
  </w:style>
  <w:style w:type="character" w:styleId="IntenseEmphasis">
    <w:name w:val="Intense Emphasis"/>
    <w:basedOn w:val="DefaultParagraphFont"/>
    <w:uiPriority w:val="21"/>
    <w:qFormat/>
    <w:rsid w:val="001B0026"/>
    <w:rPr>
      <w:i/>
      <w:iCs/>
      <w:color w:val="2F5496" w:themeColor="accent1" w:themeShade="BF"/>
    </w:rPr>
  </w:style>
  <w:style w:type="paragraph" w:styleId="IntenseQuote">
    <w:name w:val="Intense Quote"/>
    <w:basedOn w:val="Normal"/>
    <w:next w:val="Normal"/>
    <w:link w:val="IntenseQuoteChar"/>
    <w:uiPriority w:val="30"/>
    <w:qFormat/>
    <w:rsid w:val="001B00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0026"/>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1B0026"/>
    <w:rPr>
      <w:b/>
      <w:bCs/>
      <w:smallCaps/>
      <w:color w:val="2F5496" w:themeColor="accent1" w:themeShade="BF"/>
      <w:spacing w:val="5"/>
    </w:rPr>
  </w:style>
  <w:style w:type="character" w:styleId="Strong">
    <w:name w:val="Strong"/>
    <w:basedOn w:val="DefaultParagraphFont"/>
    <w:uiPriority w:val="22"/>
    <w:qFormat/>
    <w:rsid w:val="00FA3C91"/>
    <w:rPr>
      <w:b/>
      <w:bCs/>
    </w:rPr>
  </w:style>
  <w:style w:type="paragraph" w:styleId="NormalWeb">
    <w:name w:val="Normal (Web)"/>
    <w:basedOn w:val="Normal"/>
    <w:uiPriority w:val="99"/>
    <w:semiHidden/>
    <w:unhideWhenUsed/>
    <w:rsid w:val="00FA3C91"/>
    <w:pPr>
      <w:spacing w:before="100" w:beforeAutospacing="1" w:after="100" w:afterAutospacing="1"/>
    </w:pPr>
    <w:rPr>
      <w:rFonts w:ascii="Times New Roman" w:hAnsi="Times New Roman"/>
      <w:lang w:val="en-HK"/>
    </w:rPr>
  </w:style>
  <w:style w:type="table" w:styleId="TableGrid">
    <w:name w:val="Table Grid"/>
    <w:basedOn w:val="TableNormal"/>
    <w:uiPriority w:val="39"/>
    <w:rsid w:val="008F77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0005772">
      <w:bodyDiv w:val="1"/>
      <w:marLeft w:val="0"/>
      <w:marRight w:val="0"/>
      <w:marTop w:val="0"/>
      <w:marBottom w:val="0"/>
      <w:divBdr>
        <w:top w:val="none" w:sz="0" w:space="0" w:color="auto"/>
        <w:left w:val="none" w:sz="0" w:space="0" w:color="auto"/>
        <w:bottom w:val="none" w:sz="0" w:space="0" w:color="auto"/>
        <w:right w:val="none" w:sz="0" w:space="0" w:color="auto"/>
      </w:divBdr>
    </w:div>
    <w:div w:id="748579872">
      <w:bodyDiv w:val="1"/>
      <w:marLeft w:val="0"/>
      <w:marRight w:val="0"/>
      <w:marTop w:val="0"/>
      <w:marBottom w:val="0"/>
      <w:divBdr>
        <w:top w:val="none" w:sz="0" w:space="0" w:color="auto"/>
        <w:left w:val="none" w:sz="0" w:space="0" w:color="auto"/>
        <w:bottom w:val="none" w:sz="0" w:space="0" w:color="auto"/>
        <w:right w:val="none" w:sz="0" w:space="0" w:color="auto"/>
      </w:divBdr>
    </w:div>
    <w:div w:id="12222095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354937-993F-6A4B-813F-398FC67D87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13</Pages>
  <Words>3145</Words>
  <Characters>17933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1</cp:revision>
  <dcterms:created xsi:type="dcterms:W3CDTF">2025-02-17T10:08:00Z</dcterms:created>
  <dcterms:modified xsi:type="dcterms:W3CDTF">2025-02-17T13:29:00Z</dcterms:modified>
</cp:coreProperties>
</file>