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4ACEC0B" w14:textId="77777777" w:rsidR="00016A34" w:rsidRPr="00016A34" w:rsidRDefault="00016A34" w:rsidP="00046ACD">
      <w:pPr>
        <w:spacing w:after="240" w:line="360" w:lineRule="auto"/>
        <w:outlineLvl w:val="2"/>
        <w:rPr>
          <w:rFonts w:ascii="Times New Roman" w:hAnsi="Times New Roman"/>
          <w:b/>
          <w:bCs/>
          <w:lang w:val="en-HK"/>
        </w:rPr>
      </w:pPr>
      <w:r w:rsidRPr="00016A34">
        <w:rPr>
          <w:rFonts w:ascii="Times New Roman" w:hAnsi="Times New Roman"/>
          <w:b/>
          <w:bCs/>
          <w:lang w:val="en-HK"/>
        </w:rPr>
        <w:t>Previous Case Approach on Dishonesty (Chronological Order)</w:t>
      </w:r>
    </w:p>
    <w:p w14:paraId="58E8426D" w14:textId="77777777" w:rsidR="00016A34" w:rsidRPr="00016A34" w:rsidRDefault="00016A34" w:rsidP="00046ACD">
      <w:pPr>
        <w:spacing w:after="240" w:line="360" w:lineRule="auto"/>
        <w:outlineLvl w:val="3"/>
        <w:rPr>
          <w:rFonts w:ascii="Times New Roman" w:hAnsi="Times New Roman"/>
          <w:b/>
          <w:bCs/>
          <w:lang w:val="en-HK"/>
        </w:rPr>
      </w:pPr>
      <w:r w:rsidRPr="00016A34">
        <w:rPr>
          <w:rFonts w:ascii="Times New Roman" w:hAnsi="Times New Roman"/>
          <w:b/>
          <w:bCs/>
          <w:lang w:val="en-HK"/>
        </w:rPr>
        <w:t xml:space="preserve">1. Royal Brunei Airlines </w:t>
      </w:r>
      <w:proofErr w:type="spellStart"/>
      <w:r w:rsidRPr="00016A34">
        <w:rPr>
          <w:rFonts w:ascii="Times New Roman" w:hAnsi="Times New Roman"/>
          <w:b/>
          <w:bCs/>
          <w:lang w:val="en-HK"/>
        </w:rPr>
        <w:t>Sdn</w:t>
      </w:r>
      <w:proofErr w:type="spellEnd"/>
      <w:r w:rsidRPr="00016A34">
        <w:rPr>
          <w:rFonts w:ascii="Times New Roman" w:hAnsi="Times New Roman"/>
          <w:b/>
          <w:bCs/>
          <w:lang w:val="en-HK"/>
        </w:rPr>
        <w:t xml:space="preserve"> </w:t>
      </w:r>
      <w:proofErr w:type="spellStart"/>
      <w:r w:rsidRPr="00016A34">
        <w:rPr>
          <w:rFonts w:ascii="Times New Roman" w:hAnsi="Times New Roman"/>
          <w:b/>
          <w:bCs/>
          <w:lang w:val="en-HK"/>
        </w:rPr>
        <w:t>Bhd</w:t>
      </w:r>
      <w:proofErr w:type="spellEnd"/>
      <w:r w:rsidRPr="00016A34">
        <w:rPr>
          <w:rFonts w:ascii="Times New Roman" w:hAnsi="Times New Roman"/>
          <w:b/>
          <w:bCs/>
          <w:lang w:val="en-HK"/>
        </w:rPr>
        <w:t xml:space="preserve"> v Tan [1995] 2 AC 378 (PC)</w:t>
      </w:r>
    </w:p>
    <w:p w14:paraId="61494708"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 xml:space="preserve">The foundational case on dishonest assistance in trusts law is the Privy Council decision in </w:t>
      </w:r>
      <w:r w:rsidRPr="00016A34">
        <w:rPr>
          <w:rFonts w:ascii="Times New Roman" w:hAnsi="Times New Roman"/>
          <w:b/>
          <w:bCs/>
          <w:lang w:val="en-HK"/>
        </w:rPr>
        <w:t xml:space="preserve">Royal Brunei Airlines </w:t>
      </w:r>
      <w:proofErr w:type="spellStart"/>
      <w:r w:rsidRPr="00016A34">
        <w:rPr>
          <w:rFonts w:ascii="Times New Roman" w:hAnsi="Times New Roman"/>
          <w:b/>
          <w:bCs/>
          <w:lang w:val="en-HK"/>
        </w:rPr>
        <w:t>Sdn</w:t>
      </w:r>
      <w:proofErr w:type="spellEnd"/>
      <w:r w:rsidRPr="00016A34">
        <w:rPr>
          <w:rFonts w:ascii="Times New Roman" w:hAnsi="Times New Roman"/>
          <w:b/>
          <w:bCs/>
          <w:lang w:val="en-HK"/>
        </w:rPr>
        <w:t xml:space="preserve"> </w:t>
      </w:r>
      <w:proofErr w:type="spellStart"/>
      <w:r w:rsidRPr="00016A34">
        <w:rPr>
          <w:rFonts w:ascii="Times New Roman" w:hAnsi="Times New Roman"/>
          <w:b/>
          <w:bCs/>
          <w:lang w:val="en-HK"/>
        </w:rPr>
        <w:t>Bhd</w:t>
      </w:r>
      <w:proofErr w:type="spellEnd"/>
      <w:r w:rsidRPr="00016A34">
        <w:rPr>
          <w:rFonts w:ascii="Times New Roman" w:hAnsi="Times New Roman"/>
          <w:b/>
          <w:bCs/>
          <w:lang w:val="en-HK"/>
        </w:rPr>
        <w:t xml:space="preserve"> v Tan</w:t>
      </w:r>
      <w:r w:rsidRPr="00016A34">
        <w:rPr>
          <w:rFonts w:ascii="Times New Roman" w:hAnsi="Times New Roman"/>
          <w:lang w:val="en-HK"/>
        </w:rPr>
        <w:t>, delivered by Lord Nicholls. This case provided a significant and authoritative formulation of the standard for dishonesty in assisting breaches of trust. Lord Nicholls explicitly set out an objective test for dishonesty, framing it within the expectations of ordinary, honest individuals. The standard articulated was unequivocally objective, eliminating subjective considerations regarding the defendant’s personal awareness of their dishonesty.</w:t>
      </w:r>
    </w:p>
    <w:p w14:paraId="5336EC46"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Lord Nicholls clarified the standard at page 389:</w:t>
      </w:r>
    </w:p>
    <w:p w14:paraId="7D13289F"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Recklessness could call into question the honesty of the defendant, but recklessness alone is not sufficient to establish dishonesty conclusively.</w:t>
      </w:r>
    </w:p>
    <w:p w14:paraId="630A4AE1"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Furthermore, Lord Nicholls emphasised at page 391 the clarity expected from ordinary honest individuals:</w:t>
      </w:r>
    </w:p>
    <w:p w14:paraId="1CE781F7"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An honest person should have little difficulty in knowing whether a proposed transaction, or his participation in it, would offend the normally accepted standards of honest conduct.</w:t>
      </w:r>
    </w:p>
    <w:p w14:paraId="7871AD9B"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 xml:space="preserve">The significance of </w:t>
      </w:r>
      <w:r w:rsidRPr="00016A34">
        <w:rPr>
          <w:rFonts w:ascii="Times New Roman" w:hAnsi="Times New Roman"/>
          <w:b/>
          <w:bCs/>
          <w:lang w:val="en-HK"/>
        </w:rPr>
        <w:t>Royal Brunei</w:t>
      </w:r>
      <w:r w:rsidRPr="00016A34">
        <w:rPr>
          <w:rFonts w:ascii="Times New Roman" w:hAnsi="Times New Roman"/>
          <w:lang w:val="en-HK"/>
        </w:rPr>
        <w:t xml:space="preserve"> lies in firmly establishing that dishonesty must be measured solely by reference to an objective standard of ordinary morality, excluding any subjective consideration of the defendant's own state of mind regarding the morality of their actions.</w:t>
      </w:r>
    </w:p>
    <w:p w14:paraId="3C1DFB16" w14:textId="77777777" w:rsidR="00016A34" w:rsidRPr="00016A34"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pict w14:anchorId="159444F9">
          <v:rect id="_x0000_i1034" alt="" style="width:451.3pt;height:.05pt;mso-width-percent:0;mso-height-percent:0;mso-width-percent:0;mso-height-percent:0" o:hralign="center" o:hrstd="t" o:hr="t" fillcolor="#a0a0a0" stroked="f"/>
        </w:pict>
      </w:r>
    </w:p>
    <w:p w14:paraId="6536447F" w14:textId="77777777" w:rsidR="00016A34" w:rsidRPr="00016A34" w:rsidRDefault="00016A34" w:rsidP="00046ACD">
      <w:pPr>
        <w:spacing w:after="240" w:line="360" w:lineRule="auto"/>
        <w:outlineLvl w:val="3"/>
        <w:rPr>
          <w:rFonts w:ascii="Times New Roman" w:hAnsi="Times New Roman"/>
          <w:b/>
          <w:bCs/>
          <w:lang w:val="en-HK"/>
        </w:rPr>
      </w:pPr>
      <w:r w:rsidRPr="00016A34">
        <w:rPr>
          <w:rFonts w:ascii="Times New Roman" w:hAnsi="Times New Roman"/>
          <w:b/>
          <w:bCs/>
          <w:lang w:val="en-HK"/>
        </w:rPr>
        <w:t xml:space="preserve">2. </w:t>
      </w:r>
      <w:proofErr w:type="spellStart"/>
      <w:r w:rsidRPr="00016A34">
        <w:rPr>
          <w:rFonts w:ascii="Times New Roman" w:hAnsi="Times New Roman"/>
          <w:b/>
          <w:bCs/>
          <w:lang w:val="en-HK"/>
        </w:rPr>
        <w:t>Twinsectra</w:t>
      </w:r>
      <w:proofErr w:type="spellEnd"/>
      <w:r w:rsidRPr="00016A34">
        <w:rPr>
          <w:rFonts w:ascii="Times New Roman" w:hAnsi="Times New Roman"/>
          <w:b/>
          <w:bCs/>
          <w:lang w:val="en-HK"/>
        </w:rPr>
        <w:t xml:space="preserve"> Ltd v Yardley [2002] UKHL 12</w:t>
      </w:r>
    </w:p>
    <w:p w14:paraId="6DEE9D3E"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 xml:space="preserve">Subsequently, the House of Lords decision in </w:t>
      </w:r>
      <w:proofErr w:type="spellStart"/>
      <w:r w:rsidRPr="00016A34">
        <w:rPr>
          <w:rFonts w:ascii="Times New Roman" w:hAnsi="Times New Roman"/>
          <w:b/>
          <w:bCs/>
          <w:lang w:val="en-HK"/>
        </w:rPr>
        <w:t>Twinsectra</w:t>
      </w:r>
      <w:proofErr w:type="spellEnd"/>
      <w:r w:rsidRPr="00016A34">
        <w:rPr>
          <w:rFonts w:ascii="Times New Roman" w:hAnsi="Times New Roman"/>
          <w:b/>
          <w:bCs/>
          <w:lang w:val="en-HK"/>
        </w:rPr>
        <w:t xml:space="preserve"> Ltd v Yardley</w:t>
      </w:r>
      <w:r w:rsidRPr="00016A34">
        <w:rPr>
          <w:rFonts w:ascii="Times New Roman" w:hAnsi="Times New Roman"/>
          <w:lang w:val="en-HK"/>
        </w:rPr>
        <w:t xml:space="preserve"> substantially complicated the previously straightforward objective standard laid down in </w:t>
      </w:r>
      <w:r w:rsidRPr="00016A34">
        <w:rPr>
          <w:rFonts w:ascii="Times New Roman" w:hAnsi="Times New Roman"/>
          <w:b/>
          <w:bCs/>
          <w:lang w:val="en-HK"/>
        </w:rPr>
        <w:t>Royal Brunei</w:t>
      </w:r>
      <w:r w:rsidRPr="00016A34">
        <w:rPr>
          <w:rFonts w:ascii="Times New Roman" w:hAnsi="Times New Roman"/>
          <w:lang w:val="en-HK"/>
        </w:rPr>
        <w:t xml:space="preserve">. In </w:t>
      </w:r>
      <w:proofErr w:type="spellStart"/>
      <w:r w:rsidRPr="00016A34">
        <w:rPr>
          <w:rFonts w:ascii="Times New Roman" w:hAnsi="Times New Roman"/>
          <w:b/>
          <w:bCs/>
          <w:lang w:val="en-HK"/>
        </w:rPr>
        <w:t>Twinsectra</w:t>
      </w:r>
      <w:proofErr w:type="spellEnd"/>
      <w:r w:rsidRPr="00016A34">
        <w:rPr>
          <w:rFonts w:ascii="Times New Roman" w:hAnsi="Times New Roman"/>
          <w:lang w:val="en-HK"/>
        </w:rPr>
        <w:t>, Lord Hutton articulated a two-limbed test of dishonesty, which introduced a subjective component:</w:t>
      </w:r>
    </w:p>
    <w:p w14:paraId="76133CF2" w14:textId="77777777" w:rsidR="00016A34" w:rsidRPr="00016A34" w:rsidRDefault="00016A34" w:rsidP="00046ACD">
      <w:pPr>
        <w:numPr>
          <w:ilvl w:val="0"/>
          <w:numId w:val="1"/>
        </w:numPr>
        <w:spacing w:after="240" w:line="360" w:lineRule="auto"/>
        <w:rPr>
          <w:rFonts w:ascii="Times New Roman" w:hAnsi="Times New Roman"/>
          <w:lang w:val="en-HK"/>
        </w:rPr>
      </w:pPr>
      <w:r w:rsidRPr="00016A34">
        <w:rPr>
          <w:rFonts w:ascii="Times New Roman" w:hAnsi="Times New Roman"/>
          <w:lang w:val="en-HK"/>
        </w:rPr>
        <w:lastRenderedPageBreak/>
        <w:t>First, the defendant’s conduct must be objectively dishonest according to ordinary standards of honest people.</w:t>
      </w:r>
    </w:p>
    <w:p w14:paraId="5B15FFA1" w14:textId="77777777" w:rsidR="00016A34" w:rsidRPr="00016A34" w:rsidRDefault="00016A34" w:rsidP="00046ACD">
      <w:pPr>
        <w:numPr>
          <w:ilvl w:val="0"/>
          <w:numId w:val="1"/>
        </w:numPr>
        <w:spacing w:after="240" w:line="360" w:lineRule="auto"/>
        <w:rPr>
          <w:rFonts w:ascii="Times New Roman" w:hAnsi="Times New Roman"/>
          <w:lang w:val="en-HK"/>
        </w:rPr>
      </w:pPr>
      <w:r w:rsidRPr="00016A34">
        <w:rPr>
          <w:rFonts w:ascii="Times New Roman" w:hAnsi="Times New Roman"/>
          <w:lang w:val="en-HK"/>
        </w:rPr>
        <w:t>Second, the defendant himself must have realised, subjectively, that his actions were dishonest by those standards.</w:t>
      </w:r>
    </w:p>
    <w:p w14:paraId="75FCBD18"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Lord Hutton explained this dual standard explicitly at paragraph [36]:</w:t>
      </w:r>
    </w:p>
    <w:p w14:paraId="7BEF3A5A"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Before there can be a finding of dishonesty, it must be established not only that his conduct was dishonest by ordinary standards of reasonable and honest people, but also that he himself realised that by those standards his conduct was dishonest.</w:t>
      </w:r>
    </w:p>
    <w:p w14:paraId="239E7978"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 xml:space="preserve">This subjective element created a considerable barrier in proving dishonest assistance because it required courts to establish the defendant’s subjective awareness of their wrongdoing, effectively raising the threshold of proof. It drew significant criticism from both judicial and scholarly perspectives for undermining the clarity and utility of the dishonest assistance doctrine as established in </w:t>
      </w:r>
      <w:r w:rsidRPr="00016A34">
        <w:rPr>
          <w:rFonts w:ascii="Times New Roman" w:hAnsi="Times New Roman"/>
          <w:b/>
          <w:bCs/>
          <w:lang w:val="en-HK"/>
        </w:rPr>
        <w:t>Royal Brunei</w:t>
      </w:r>
      <w:r w:rsidRPr="00016A34">
        <w:rPr>
          <w:rFonts w:ascii="Times New Roman" w:hAnsi="Times New Roman"/>
          <w:lang w:val="en-HK"/>
        </w:rPr>
        <w:t>.</w:t>
      </w:r>
    </w:p>
    <w:p w14:paraId="11A6C44B" w14:textId="77777777" w:rsidR="00016A34" w:rsidRPr="00016A34"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pict w14:anchorId="7426C80A">
          <v:rect id="_x0000_i1033" alt="" style="width:451.3pt;height:.05pt;mso-width-percent:0;mso-height-percent:0;mso-width-percent:0;mso-height-percent:0" o:hralign="center" o:hrstd="t" o:hr="t" fillcolor="#a0a0a0" stroked="f"/>
        </w:pict>
      </w:r>
    </w:p>
    <w:p w14:paraId="45C5209A" w14:textId="77777777" w:rsidR="00016A34" w:rsidRPr="00016A34" w:rsidRDefault="00016A34" w:rsidP="00046ACD">
      <w:pPr>
        <w:spacing w:after="240" w:line="360" w:lineRule="auto"/>
        <w:outlineLvl w:val="3"/>
        <w:rPr>
          <w:rFonts w:ascii="Times New Roman" w:hAnsi="Times New Roman"/>
          <w:b/>
          <w:bCs/>
          <w:lang w:val="en-HK"/>
        </w:rPr>
      </w:pPr>
      <w:r w:rsidRPr="00016A34">
        <w:rPr>
          <w:rFonts w:ascii="Times New Roman" w:hAnsi="Times New Roman"/>
          <w:b/>
          <w:bCs/>
          <w:lang w:val="en-HK"/>
        </w:rPr>
        <w:t>3. Barlow Clowes v Vaughan [2005] UKPC 37</w:t>
      </w:r>
    </w:p>
    <w:p w14:paraId="368085FE"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 xml:space="preserve">In response to the doctrinal confusion resulting from </w:t>
      </w:r>
      <w:proofErr w:type="spellStart"/>
      <w:r w:rsidRPr="00016A34">
        <w:rPr>
          <w:rFonts w:ascii="Times New Roman" w:hAnsi="Times New Roman"/>
          <w:b/>
          <w:bCs/>
          <w:lang w:val="en-HK"/>
        </w:rPr>
        <w:t>Twinsectra</w:t>
      </w:r>
      <w:proofErr w:type="spellEnd"/>
      <w:r w:rsidRPr="00016A34">
        <w:rPr>
          <w:rFonts w:ascii="Times New Roman" w:hAnsi="Times New Roman"/>
          <w:lang w:val="en-HK"/>
        </w:rPr>
        <w:t xml:space="preserve">, the Privy Council revisited the dishonesty standard in </w:t>
      </w:r>
      <w:r w:rsidRPr="00016A34">
        <w:rPr>
          <w:rFonts w:ascii="Times New Roman" w:hAnsi="Times New Roman"/>
          <w:b/>
          <w:bCs/>
          <w:lang w:val="en-HK"/>
        </w:rPr>
        <w:t>Barlow Clowes v Vaughan</w:t>
      </w:r>
      <w:r w:rsidRPr="00016A34">
        <w:rPr>
          <w:rFonts w:ascii="Times New Roman" w:hAnsi="Times New Roman"/>
          <w:lang w:val="en-HK"/>
        </w:rPr>
        <w:t xml:space="preserve">. Here, Lord Hoffmann sought explicitly to realign the dishonesty test with the objective standard from </w:t>
      </w:r>
      <w:r w:rsidRPr="00016A34">
        <w:rPr>
          <w:rFonts w:ascii="Times New Roman" w:hAnsi="Times New Roman"/>
          <w:b/>
          <w:bCs/>
          <w:lang w:val="en-HK"/>
        </w:rPr>
        <w:t>Royal Brunei</w:t>
      </w:r>
      <w:r w:rsidRPr="00016A34">
        <w:rPr>
          <w:rFonts w:ascii="Times New Roman" w:hAnsi="Times New Roman"/>
          <w:lang w:val="en-HK"/>
        </w:rPr>
        <w:t xml:space="preserve">, dismissing the subjective component of </w:t>
      </w:r>
      <w:proofErr w:type="spellStart"/>
      <w:r w:rsidRPr="00016A34">
        <w:rPr>
          <w:rFonts w:ascii="Times New Roman" w:hAnsi="Times New Roman"/>
          <w:b/>
          <w:bCs/>
          <w:lang w:val="en-HK"/>
        </w:rPr>
        <w:t>Twinsectra</w:t>
      </w:r>
      <w:proofErr w:type="spellEnd"/>
      <w:r w:rsidRPr="00016A34">
        <w:rPr>
          <w:rFonts w:ascii="Times New Roman" w:hAnsi="Times New Roman"/>
          <w:lang w:val="en-HK"/>
        </w:rPr>
        <w:t xml:space="preserve"> as a misunderstanding or misinterpretation.</w:t>
      </w:r>
    </w:p>
    <w:p w14:paraId="7BA13723"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At paragraphs [15] to [18], Lord Hoffmann clarified:</w:t>
      </w:r>
    </w:p>
    <w:p w14:paraId="72CD400F" w14:textId="77777777" w:rsidR="00016A34" w:rsidRPr="00016A34" w:rsidRDefault="00016A34" w:rsidP="00046ACD">
      <w:pPr>
        <w:numPr>
          <w:ilvl w:val="0"/>
          <w:numId w:val="2"/>
        </w:numPr>
        <w:spacing w:after="240" w:line="360" w:lineRule="auto"/>
        <w:rPr>
          <w:rFonts w:ascii="Times New Roman" w:hAnsi="Times New Roman"/>
          <w:lang w:val="en-HK"/>
        </w:rPr>
      </w:pPr>
      <w:r w:rsidRPr="00016A34">
        <w:rPr>
          <w:rFonts w:ascii="Times New Roman" w:hAnsi="Times New Roman"/>
          <w:lang w:val="en-HK"/>
        </w:rPr>
        <w:t>The defendant’s knowledge or awareness that their conduct would be regarded as dishonest by ordinary people was not necessary.</w:t>
      </w:r>
    </w:p>
    <w:p w14:paraId="471F7383" w14:textId="77777777" w:rsidR="00016A34" w:rsidRPr="00016A34" w:rsidRDefault="00016A34" w:rsidP="00046ACD">
      <w:pPr>
        <w:numPr>
          <w:ilvl w:val="0"/>
          <w:numId w:val="2"/>
        </w:numPr>
        <w:spacing w:after="240" w:line="360" w:lineRule="auto"/>
        <w:rPr>
          <w:rFonts w:ascii="Times New Roman" w:hAnsi="Times New Roman"/>
          <w:lang w:val="en-HK"/>
        </w:rPr>
      </w:pPr>
      <w:r w:rsidRPr="00016A34">
        <w:rPr>
          <w:rFonts w:ascii="Times New Roman" w:hAnsi="Times New Roman"/>
          <w:lang w:val="en-HK"/>
        </w:rPr>
        <w:t>It was sufficient that their conduct, judged by ordinary standards, was dishonest.</w:t>
      </w:r>
    </w:p>
    <w:p w14:paraId="1C9F505E" w14:textId="77777777" w:rsidR="00016A34" w:rsidRPr="00016A34" w:rsidRDefault="00016A34" w:rsidP="00046ACD">
      <w:pPr>
        <w:numPr>
          <w:ilvl w:val="0"/>
          <w:numId w:val="2"/>
        </w:numPr>
        <w:spacing w:after="240" w:line="360" w:lineRule="auto"/>
        <w:rPr>
          <w:rFonts w:ascii="Times New Roman" w:hAnsi="Times New Roman"/>
          <w:lang w:val="en-HK"/>
        </w:rPr>
      </w:pPr>
      <w:r w:rsidRPr="00016A34">
        <w:rPr>
          <w:rFonts w:ascii="Times New Roman" w:hAnsi="Times New Roman"/>
          <w:lang w:val="en-HK"/>
        </w:rPr>
        <w:t>Thus, subjective awareness was not a separate and necessary criterion.</w:t>
      </w:r>
    </w:p>
    <w:p w14:paraId="26DAEF94"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 xml:space="preserve">However, since </w:t>
      </w:r>
      <w:r w:rsidRPr="00016A34">
        <w:rPr>
          <w:rFonts w:ascii="Times New Roman" w:hAnsi="Times New Roman"/>
          <w:b/>
          <w:bCs/>
          <w:lang w:val="en-HK"/>
        </w:rPr>
        <w:t>Barlow Clowes</w:t>
      </w:r>
      <w:r w:rsidRPr="00016A34">
        <w:rPr>
          <w:rFonts w:ascii="Times New Roman" w:hAnsi="Times New Roman"/>
          <w:lang w:val="en-HK"/>
        </w:rPr>
        <w:t xml:space="preserve"> is also a Privy Council decision, it did not formally overrule the House of Lords' decision in </w:t>
      </w:r>
      <w:proofErr w:type="spellStart"/>
      <w:r w:rsidRPr="00016A34">
        <w:rPr>
          <w:rFonts w:ascii="Times New Roman" w:hAnsi="Times New Roman"/>
          <w:b/>
          <w:bCs/>
          <w:lang w:val="en-HK"/>
        </w:rPr>
        <w:t>Twinsectra</w:t>
      </w:r>
      <w:proofErr w:type="spellEnd"/>
      <w:r w:rsidRPr="00016A34">
        <w:rPr>
          <w:rFonts w:ascii="Times New Roman" w:hAnsi="Times New Roman"/>
          <w:lang w:val="en-HK"/>
        </w:rPr>
        <w:t xml:space="preserve">, leaving ambiguity in domestic courts regarding </w:t>
      </w:r>
      <w:r w:rsidRPr="00016A34">
        <w:rPr>
          <w:rFonts w:ascii="Times New Roman" w:hAnsi="Times New Roman"/>
          <w:lang w:val="en-HK"/>
        </w:rPr>
        <w:lastRenderedPageBreak/>
        <w:t>which precedent should take precedence. This created a persistent tension between the Privy Council's reaffirmation of objective dishonesty and the House of Lords' earlier subjective test.</w:t>
      </w:r>
    </w:p>
    <w:p w14:paraId="3825DAE8" w14:textId="77777777" w:rsidR="00016A34" w:rsidRPr="00016A34"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pict w14:anchorId="0ED521B2">
          <v:rect id="_x0000_i1032" alt="" style="width:451.3pt;height:.05pt;mso-width-percent:0;mso-height-percent:0;mso-width-percent:0;mso-height-percent:0" o:hralign="center" o:hrstd="t" o:hr="t" fillcolor="#a0a0a0" stroked="f"/>
        </w:pict>
      </w:r>
    </w:p>
    <w:p w14:paraId="1F4BBD77" w14:textId="77777777" w:rsidR="00016A34" w:rsidRPr="00016A34" w:rsidRDefault="00016A34" w:rsidP="00046ACD">
      <w:pPr>
        <w:spacing w:after="240" w:line="360" w:lineRule="auto"/>
        <w:outlineLvl w:val="3"/>
        <w:rPr>
          <w:rFonts w:ascii="Times New Roman" w:hAnsi="Times New Roman"/>
          <w:b/>
          <w:bCs/>
          <w:lang w:val="en-HK"/>
        </w:rPr>
      </w:pPr>
      <w:r w:rsidRPr="00016A34">
        <w:rPr>
          <w:rFonts w:ascii="Times New Roman" w:hAnsi="Times New Roman"/>
          <w:b/>
          <w:bCs/>
          <w:lang w:val="en-HK"/>
        </w:rPr>
        <w:t xml:space="preserve">4. Abou-Rahmah v Abacha [2006] EWCA </w:t>
      </w:r>
      <w:proofErr w:type="spellStart"/>
      <w:r w:rsidRPr="00016A34">
        <w:rPr>
          <w:rFonts w:ascii="Times New Roman" w:hAnsi="Times New Roman"/>
          <w:b/>
          <w:bCs/>
          <w:lang w:val="en-HK"/>
        </w:rPr>
        <w:t>Civ</w:t>
      </w:r>
      <w:proofErr w:type="spellEnd"/>
      <w:r w:rsidRPr="00016A34">
        <w:rPr>
          <w:rFonts w:ascii="Times New Roman" w:hAnsi="Times New Roman"/>
          <w:b/>
          <w:bCs/>
          <w:lang w:val="en-HK"/>
        </w:rPr>
        <w:t xml:space="preserve"> 1492</w:t>
      </w:r>
    </w:p>
    <w:p w14:paraId="37B04723"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 xml:space="preserve">The Court of Appeal's decision in </w:t>
      </w:r>
      <w:r w:rsidRPr="00016A34">
        <w:rPr>
          <w:rFonts w:ascii="Times New Roman" w:hAnsi="Times New Roman"/>
          <w:b/>
          <w:bCs/>
          <w:lang w:val="en-HK"/>
        </w:rPr>
        <w:t>Abou-Rahmah v Abacha</w:t>
      </w:r>
      <w:r w:rsidRPr="00016A34">
        <w:rPr>
          <w:rFonts w:ascii="Times New Roman" w:hAnsi="Times New Roman"/>
          <w:lang w:val="en-HK"/>
        </w:rPr>
        <w:t xml:space="preserve"> represented an important attempt by domestic courts to resolve this uncertainty. Arden LJ explicitly supported the Privy Council’s objective standard as clarified in </w:t>
      </w:r>
      <w:r w:rsidRPr="00016A34">
        <w:rPr>
          <w:rFonts w:ascii="Times New Roman" w:hAnsi="Times New Roman"/>
          <w:b/>
          <w:bCs/>
          <w:lang w:val="en-HK"/>
        </w:rPr>
        <w:t>Barlow Clowes</w:t>
      </w:r>
      <w:r w:rsidRPr="00016A34">
        <w:rPr>
          <w:rFonts w:ascii="Times New Roman" w:hAnsi="Times New Roman"/>
          <w:lang w:val="en-HK"/>
        </w:rPr>
        <w:t>, firmly concluding that dishonesty was primarily objective and determined by ordinary moral standards. Arden LJ stated clearly at paragraph [59a]:</w:t>
      </w:r>
    </w:p>
    <w:p w14:paraId="00A5D971"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Dishonesty required dishonesty by reference to general standards rather than by reference to the defendant’s subjective beliefs.</w:t>
      </w:r>
    </w:p>
    <w:p w14:paraId="759381B7"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 xml:space="preserve">Despite Arden LJ’s strong affirmation of the objective test, her fellow judges, Pill LJ and Rix LJ, demonstrated reluctance to fully abandon </w:t>
      </w:r>
      <w:proofErr w:type="spellStart"/>
      <w:r w:rsidRPr="00016A34">
        <w:rPr>
          <w:rFonts w:ascii="Times New Roman" w:hAnsi="Times New Roman"/>
          <w:b/>
          <w:bCs/>
          <w:lang w:val="en-HK"/>
        </w:rPr>
        <w:t>Twinsectra</w:t>
      </w:r>
      <w:proofErr w:type="spellEnd"/>
      <w:r w:rsidRPr="00016A34">
        <w:rPr>
          <w:rFonts w:ascii="Times New Roman" w:hAnsi="Times New Roman"/>
          <w:lang w:val="en-HK"/>
        </w:rPr>
        <w:t xml:space="preserve">. Pill LJ and Rix LJ suggested in their judgments ([93]-[94] Pill LJ, and [16]-[23] Rix LJ) that subjective awareness of wrongdoing might remain relevant. Consequently, </w:t>
      </w:r>
      <w:r w:rsidRPr="00016A34">
        <w:rPr>
          <w:rFonts w:ascii="Times New Roman" w:hAnsi="Times New Roman"/>
          <w:b/>
          <w:bCs/>
          <w:lang w:val="en-HK"/>
        </w:rPr>
        <w:t>Abou-Rahmah</w:t>
      </w:r>
      <w:r w:rsidRPr="00016A34">
        <w:rPr>
          <w:rFonts w:ascii="Times New Roman" w:hAnsi="Times New Roman"/>
          <w:lang w:val="en-HK"/>
        </w:rPr>
        <w:t xml:space="preserve"> did not conclusively settle the debate, and the ambiguity persisted, leaving lower courts to navigate this doctrinal uncertainty.</w:t>
      </w:r>
    </w:p>
    <w:p w14:paraId="36E43621" w14:textId="77777777" w:rsidR="00016A34" w:rsidRPr="00016A34" w:rsidRDefault="00016A34" w:rsidP="00046ACD">
      <w:pPr>
        <w:spacing w:after="240" w:line="360" w:lineRule="auto"/>
        <w:rPr>
          <w:rFonts w:ascii="Times New Roman" w:hAnsi="Times New Roman"/>
          <w:lang w:val="en-HK"/>
        </w:rPr>
      </w:pPr>
      <w:r w:rsidRPr="00016A34">
        <w:rPr>
          <w:rFonts w:ascii="Times New Roman" w:hAnsi="Times New Roman"/>
          <w:lang w:val="en-HK"/>
        </w:rPr>
        <w:t>This ongoing uncertainty was noted by scholars, including Nolan and Davies (English Private Law, 3rd Ed, 2013), Stevens (Torts and Rights, 2007), and Virgo (Principles of the Law of Restitution, 2015), who indicated that the ambiguity surrounding the dishonesty standard had not been conclusively resolved, despite the Court of Appeal’s attempt.</w:t>
      </w:r>
    </w:p>
    <w:p w14:paraId="6BFD5D89" w14:textId="77777777" w:rsidR="00016A34" w:rsidRPr="00016A34"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pict w14:anchorId="217A5919">
          <v:rect id="_x0000_i1031" alt="" style="width:451.3pt;height:.05pt;mso-width-percent:0;mso-height-percent:0;mso-width-percent:0;mso-height-percent:0" o:hralign="center" o:hrstd="t" o:hr="t" fillcolor="#a0a0a0" stroked="f"/>
        </w:pict>
      </w:r>
    </w:p>
    <w:p w14:paraId="3A644BF1" w14:textId="77777777" w:rsidR="00046ACD" w:rsidRPr="00046ACD" w:rsidRDefault="00016A34" w:rsidP="00046ACD">
      <w:pPr>
        <w:spacing w:after="240" w:line="360" w:lineRule="auto"/>
        <w:outlineLvl w:val="3"/>
        <w:rPr>
          <w:rFonts w:ascii="Times New Roman" w:hAnsi="Times New Roman"/>
          <w:b/>
          <w:bCs/>
          <w:lang w:val="en-HK"/>
        </w:rPr>
      </w:pPr>
      <w:r w:rsidRPr="00016A34">
        <w:rPr>
          <w:rFonts w:ascii="Times New Roman" w:hAnsi="Times New Roman"/>
          <w:b/>
          <w:bCs/>
          <w:lang w:val="en-HK"/>
        </w:rPr>
        <w:t xml:space="preserve">5. Clydesdale Bank Plc v Workman [2016] EWCA </w:t>
      </w:r>
      <w:proofErr w:type="spellStart"/>
      <w:r w:rsidRPr="00016A34">
        <w:rPr>
          <w:rFonts w:ascii="Times New Roman" w:hAnsi="Times New Roman"/>
          <w:b/>
          <w:bCs/>
          <w:lang w:val="en-HK"/>
        </w:rPr>
        <w:t>Civ</w:t>
      </w:r>
      <w:proofErr w:type="spellEnd"/>
      <w:r w:rsidRPr="00016A34">
        <w:rPr>
          <w:rFonts w:ascii="Times New Roman" w:hAnsi="Times New Roman"/>
          <w:b/>
          <w:bCs/>
          <w:lang w:val="en-HK"/>
        </w:rPr>
        <w:t xml:space="preserve"> 73</w:t>
      </w:r>
    </w:p>
    <w:p w14:paraId="3406C667" w14:textId="20DF87AA" w:rsidR="00046ACD" w:rsidRPr="00046ACD" w:rsidRDefault="00046ACD" w:rsidP="00046ACD">
      <w:pPr>
        <w:spacing w:after="240" w:line="360" w:lineRule="auto"/>
        <w:outlineLvl w:val="3"/>
        <w:rPr>
          <w:rFonts w:ascii="Times New Roman" w:hAnsi="Times New Roman"/>
          <w:b/>
          <w:bCs/>
          <w:lang w:val="en-HK"/>
        </w:rPr>
      </w:pPr>
      <w:r w:rsidRPr="00046ACD">
        <w:rPr>
          <w:rFonts w:ascii="Times New Roman" w:hAnsi="Times New Roman"/>
          <w:b/>
          <w:bCs/>
          <w:lang w:val="en-HK"/>
        </w:rPr>
        <w:t>Facts</w:t>
      </w:r>
    </w:p>
    <w:p w14:paraId="02F6238E"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The case involved allegations of dishonest assistance against two solicitors, Mr Murphy (an associate solicitor) and Mr Denslow (his supervising partner), regarding their roles in a mortgage fraud. The solicitors represented Lord Edward Developments (Beechwood) Ltd ("the company"), controlled by Mr Tibbetts.</w:t>
      </w:r>
    </w:p>
    <w:p w14:paraId="37BEB2A9"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lastRenderedPageBreak/>
        <w:t xml:space="preserve">In 2006, the company purchased property known as "Beechwood," comprising plots 2, 3, and 4, financed by a mortgage loan of £1.99 million from Yorkshire Bank (Clydesdale Bank Plc). The bank instructed Mr Billings (of BPE Solicitors) to register a legal charge. Although Mr Billings registered the charge at Companies House, he failed to register it at HM Land Registry. Under </w:t>
      </w:r>
      <w:r w:rsidRPr="00046ACD">
        <w:rPr>
          <w:rFonts w:ascii="Times New Roman" w:hAnsi="Times New Roman"/>
          <w:b/>
          <w:bCs/>
          <w:lang w:val="en-HK"/>
        </w:rPr>
        <w:t>section 27 of the Land Registration Act 2002</w:t>
      </w:r>
      <w:r w:rsidRPr="00046ACD">
        <w:rPr>
          <w:rFonts w:ascii="Times New Roman" w:hAnsi="Times New Roman"/>
          <w:lang w:val="en-HK"/>
        </w:rPr>
        <w:t>, a charge only takes effect legally once properly registered:</w:t>
      </w:r>
    </w:p>
    <w:p w14:paraId="29D8E074"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a disposition that is required to be completed by registration does not operate at law until the relevant registration requirements are met.</w:t>
      </w:r>
    </w:p>
    <w:p w14:paraId="00279192"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Thus, Yorkshire Bank's security was merely an equitable, rather than a legal, charge.</w:t>
      </w:r>
    </w:p>
    <w:p w14:paraId="09082FD6"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Subsequently, Mr Murphy and Mr Denslow became involved when the company sought to sell plots of this property. Mr Murphy was instructed in May 2007 regarding the proposed sale of plot 3 to a Mr Davies. In late 2007, the solicitors became aware of the bank's potential charge. Mr Murphy contacted the company's director, Mr Stapleton, informing him of the bank’s interest. Shortly thereafter, without Murphy and Denslow’s knowledge, the company secured and registered at HM Land Registry a separate charge ("the Hayward charge") in favour of Mr Hayward (representing Mr Tibbetts), ostensibly for £600,000. Critically, due to the non-registration of Yorkshire Bank's charge at HM Land Registry, the Hayward charge gained legal priority.</w:t>
      </w:r>
    </w:p>
    <w:p w14:paraId="1A1FD526"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Thereafter, Mr Tibbetts proceeded to acquire plots 2 (£550,000), 3 (£475,000), and 4 (£475,000). Despite Mr Murphy’s concerns—particularly given a pre-existing sale agreement for plot 3 with Mr Davies at a higher price—Mr Murphy complied with his client's instructions to expedite the sale. Murphy later became explicitly aware of the bank's competing equitable charge before finalising the sale of plots 3 and 4. Yet, on company instructions, Murphy deliberately withheld sale details from BPE and proceeded to complete the sales, facilitating a transfer that financially favoured Mr Tibbetts through the Hayward charge.</w:t>
      </w:r>
    </w:p>
    <w:p w14:paraId="5240E1B2" w14:textId="77777777" w:rsidR="00046ACD" w:rsidRPr="00046ACD"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pict w14:anchorId="48FD5C15">
          <v:rect id="_x0000_i1030" alt="" style="width:451.3pt;height:.05pt;mso-width-percent:0;mso-height-percent:0;mso-width-percent:0;mso-height-percent:0" o:hralign="center" o:hrstd="t" o:hr="t" fillcolor="#a0a0a0" stroked="f"/>
        </w:pict>
      </w:r>
    </w:p>
    <w:p w14:paraId="1E1F3E86" w14:textId="77777777" w:rsidR="00046ACD" w:rsidRPr="00046ACD" w:rsidRDefault="00046ACD" w:rsidP="00046ACD">
      <w:pPr>
        <w:spacing w:after="240" w:line="360" w:lineRule="auto"/>
        <w:outlineLvl w:val="2"/>
        <w:rPr>
          <w:rFonts w:ascii="Times New Roman" w:hAnsi="Times New Roman"/>
          <w:b/>
          <w:bCs/>
          <w:lang w:val="en-HK"/>
        </w:rPr>
      </w:pPr>
      <w:r w:rsidRPr="00046ACD">
        <w:rPr>
          <w:rFonts w:ascii="Times New Roman" w:hAnsi="Times New Roman"/>
          <w:b/>
          <w:bCs/>
          <w:lang w:val="en-HK"/>
        </w:rPr>
        <w:t>Held (Court of Appeal Decision)</w:t>
      </w:r>
    </w:p>
    <w:p w14:paraId="2FAE562D"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lastRenderedPageBreak/>
        <w:t xml:space="preserve">The Court of Appeal, overturning the first-instance decision, held that Mr Murphy and Mr Denslow were </w:t>
      </w:r>
      <w:r w:rsidRPr="00046ACD">
        <w:rPr>
          <w:rFonts w:ascii="Times New Roman" w:hAnsi="Times New Roman"/>
          <w:b/>
          <w:bCs/>
          <w:lang w:val="en-HK"/>
        </w:rPr>
        <w:t>not dishonest</w:t>
      </w:r>
      <w:r w:rsidRPr="00046ACD">
        <w:rPr>
          <w:rFonts w:ascii="Times New Roman" w:hAnsi="Times New Roman"/>
          <w:lang w:val="en-HK"/>
        </w:rPr>
        <w:t xml:space="preserve"> in their actions. Thus, the appellate court rejected the earlier conclusion that their involvement in the completion of the land transactions (particularly plots 3 and 4) amounted to dishonest assistance.</w:t>
      </w:r>
    </w:p>
    <w:p w14:paraId="4E2CB85D" w14:textId="77777777" w:rsidR="00046ACD" w:rsidRPr="00046ACD"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pict w14:anchorId="3AC277D5">
          <v:rect id="_x0000_i1029" alt="" style="width:451.3pt;height:.05pt;mso-width-percent:0;mso-height-percent:0;mso-width-percent:0;mso-height-percent:0" o:hralign="center" o:hrstd="t" o:hr="t" fillcolor="#a0a0a0" stroked="f"/>
        </w:pict>
      </w:r>
    </w:p>
    <w:p w14:paraId="1881704C" w14:textId="77777777" w:rsidR="00046ACD" w:rsidRPr="00046ACD" w:rsidRDefault="00046ACD" w:rsidP="00046ACD">
      <w:pPr>
        <w:spacing w:after="240" w:line="360" w:lineRule="auto"/>
        <w:outlineLvl w:val="1"/>
        <w:rPr>
          <w:rFonts w:ascii="Times New Roman" w:hAnsi="Times New Roman"/>
          <w:b/>
          <w:bCs/>
          <w:lang w:val="en-HK"/>
        </w:rPr>
      </w:pPr>
      <w:r w:rsidRPr="00046ACD">
        <w:rPr>
          <w:rFonts w:ascii="Times New Roman" w:hAnsi="Times New Roman"/>
          <w:b/>
          <w:bCs/>
          <w:lang w:val="en-HK"/>
        </w:rPr>
        <w:t>Court of Appeal Reasoning in Clydesdale Bank Plc v Workman</w:t>
      </w:r>
    </w:p>
    <w:p w14:paraId="38BDDFAA"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In overturning the trial judge’s decision, the Court of Appeal’s reasoning, delivered by Lewison LJ (with whom Longmore LJ and Kitchen LJ agreed), fundamentally rested upon two core points:</w:t>
      </w:r>
    </w:p>
    <w:p w14:paraId="673A3E3E" w14:textId="6C861B42" w:rsidR="00046ACD" w:rsidRPr="00046ACD" w:rsidRDefault="00046ACD" w:rsidP="00046ACD">
      <w:pPr>
        <w:spacing w:after="240" w:line="360" w:lineRule="auto"/>
        <w:outlineLvl w:val="2"/>
        <w:rPr>
          <w:rFonts w:ascii="Times New Roman" w:hAnsi="Times New Roman"/>
          <w:b/>
          <w:bCs/>
          <w:lang w:val="en-HK"/>
        </w:rPr>
      </w:pPr>
      <w:r w:rsidRPr="00046ACD">
        <w:rPr>
          <w:rFonts w:ascii="Times New Roman" w:hAnsi="Times New Roman"/>
          <w:b/>
          <w:bCs/>
          <w:lang w:val="en-HK"/>
        </w:rPr>
        <w:t>(1) Belief in Priority of the Hayward Charge</w:t>
      </w:r>
      <w:r w:rsidRPr="00046ACD">
        <w:rPr>
          <w:rStyle w:val="FootnoteReference"/>
          <w:rFonts w:ascii="Times New Roman" w:hAnsi="Times New Roman"/>
          <w:b/>
          <w:bCs/>
          <w:lang w:val="en-HK"/>
        </w:rPr>
        <w:footnoteReference w:id="1"/>
      </w:r>
      <w:r w:rsidRPr="00046ACD">
        <w:rPr>
          <w:rFonts w:ascii="Times New Roman" w:hAnsi="Times New Roman"/>
          <w:b/>
          <w:bCs/>
          <w:lang w:val="en-HK"/>
        </w:rPr>
        <w:t xml:space="preserve"> (Legal Priority)</w:t>
      </w:r>
    </w:p>
    <w:p w14:paraId="4072C749"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 xml:space="preserve">The primary justification for the reversal centred on the solicitors' genuine belief that the Hayward charge, although suspiciously arranged and registered hastily by their client, held valid legal priority over the Yorkshire Bank’s equitable charge. According to the statutory requirement under </w:t>
      </w:r>
      <w:r w:rsidRPr="00046ACD">
        <w:rPr>
          <w:rFonts w:ascii="Times New Roman" w:hAnsi="Times New Roman"/>
          <w:b/>
          <w:bCs/>
          <w:lang w:val="en-HK"/>
        </w:rPr>
        <w:t>section 27 of the Land Registration Act 2002</w:t>
      </w:r>
      <w:r w:rsidRPr="00046ACD">
        <w:rPr>
          <w:rFonts w:ascii="Times New Roman" w:hAnsi="Times New Roman"/>
          <w:lang w:val="en-HK"/>
        </w:rPr>
        <w:t>:</w:t>
      </w:r>
    </w:p>
    <w:p w14:paraId="0E54118A"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a disposition that is required to be completed by registration does not operate at law until the relevant registration requirements are met.</w:t>
      </w:r>
    </w:p>
    <w:p w14:paraId="4A31A2B0"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Due to the bank’s failure (through its solicitor Mr Billings) to register the charge at HM Land Registry, the Hayward charge gained legal priority. Consequently, even if Yorkshire Bank had attempted to rectify their oversight upon the solicitors’ discovery of the situation, it would not have changed the established legal priority. The Court emphasised this point strongly, finding it reasonable for the solicitors to conclude that the Hayward charge would inevitably have priority, thus justifying their decision to proceed with the land sales.</w:t>
      </w:r>
    </w:p>
    <w:p w14:paraId="11218C0F" w14:textId="39EE25FD"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 xml:space="preserve">This reasoning highlights the Court’s pragmatic view that a misunderstanding or misjudgement of registration priority, even one indicative of negligence or professional </w:t>
      </w:r>
      <w:r w:rsidRPr="00046ACD">
        <w:rPr>
          <w:rFonts w:ascii="Times New Roman" w:hAnsi="Times New Roman"/>
          <w:lang w:val="en-HK"/>
        </w:rPr>
        <w:lastRenderedPageBreak/>
        <w:t>recklessness, does not automatically translate to dishonesty, provided the solicitor had a credible legal basis for their belief.</w:t>
      </w:r>
    </w:p>
    <w:p w14:paraId="4F06DB10" w14:textId="77777777" w:rsidR="00046ACD" w:rsidRPr="00046ACD" w:rsidRDefault="00046ACD" w:rsidP="00046ACD">
      <w:pPr>
        <w:spacing w:after="240" w:line="360" w:lineRule="auto"/>
        <w:outlineLvl w:val="2"/>
        <w:rPr>
          <w:rFonts w:ascii="Times New Roman" w:hAnsi="Times New Roman"/>
          <w:b/>
          <w:bCs/>
          <w:lang w:val="en-HK"/>
        </w:rPr>
      </w:pPr>
      <w:r w:rsidRPr="00046ACD">
        <w:rPr>
          <w:rFonts w:ascii="Times New Roman" w:hAnsi="Times New Roman"/>
          <w:b/>
          <w:bCs/>
          <w:lang w:val="en-HK"/>
        </w:rPr>
        <w:t>(2) Recklessness Distinguished from Dishonesty (Objective Test)</w:t>
      </w:r>
    </w:p>
    <w:p w14:paraId="550ED6D1"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 xml:space="preserve">The Court of Appeal clearly drew a distinction between recklessness and dishonesty. Lewison LJ explicitly relied upon Lord Nicholls’ formulation from </w:t>
      </w:r>
      <w:r w:rsidRPr="00046ACD">
        <w:rPr>
          <w:rFonts w:ascii="Times New Roman" w:hAnsi="Times New Roman"/>
          <w:b/>
          <w:bCs/>
          <w:lang w:val="en-HK"/>
        </w:rPr>
        <w:t xml:space="preserve">Royal Brunei Airlines </w:t>
      </w:r>
      <w:proofErr w:type="spellStart"/>
      <w:r w:rsidRPr="00046ACD">
        <w:rPr>
          <w:rFonts w:ascii="Times New Roman" w:hAnsi="Times New Roman"/>
          <w:b/>
          <w:bCs/>
          <w:lang w:val="en-HK"/>
        </w:rPr>
        <w:t>Sdn</w:t>
      </w:r>
      <w:proofErr w:type="spellEnd"/>
      <w:r w:rsidRPr="00046ACD">
        <w:rPr>
          <w:rFonts w:ascii="Times New Roman" w:hAnsi="Times New Roman"/>
          <w:b/>
          <w:bCs/>
          <w:lang w:val="en-HK"/>
        </w:rPr>
        <w:t xml:space="preserve"> </w:t>
      </w:r>
      <w:proofErr w:type="spellStart"/>
      <w:r w:rsidRPr="00046ACD">
        <w:rPr>
          <w:rFonts w:ascii="Times New Roman" w:hAnsi="Times New Roman"/>
          <w:b/>
          <w:bCs/>
          <w:lang w:val="en-HK"/>
        </w:rPr>
        <w:t>Bhd</w:t>
      </w:r>
      <w:proofErr w:type="spellEnd"/>
      <w:r w:rsidRPr="00046ACD">
        <w:rPr>
          <w:rFonts w:ascii="Times New Roman" w:hAnsi="Times New Roman"/>
          <w:b/>
          <w:bCs/>
          <w:lang w:val="en-HK"/>
        </w:rPr>
        <w:t xml:space="preserve"> v Tan [1995] 2 AC 378</w:t>
      </w:r>
      <w:r w:rsidRPr="00046ACD">
        <w:rPr>
          <w:rFonts w:ascii="Times New Roman" w:hAnsi="Times New Roman"/>
          <w:lang w:val="en-HK"/>
        </w:rPr>
        <w:t>, reiterating that recklessness might "call into question honesty," but does not itself conclusively establish dishonesty. Lord Nicholls stated in Royal Brunei (p.389):</w:t>
      </w:r>
    </w:p>
    <w:p w14:paraId="3554003F"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Recklessness can call into question honesty but alone cannot establish dishonesty.</w:t>
      </w:r>
    </w:p>
    <w:p w14:paraId="729A2F13"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Lewison LJ reinforced this by observing that, although the solicitors’ behaviour could reasonably be criticised as reckless—for instance, their failure to make sufficient enquiries about the competing charges, or their decision not to seek external professional advice—the threshold for dishonesty required something more. It required an element indicating that they acted with a realisation that their conduct was dishonest by ordinary standards. The Court of Appeal determined this was not satisfied on the facts found by the trial judge.</w:t>
      </w:r>
    </w:p>
    <w:p w14:paraId="2F57B7F3" w14:textId="77777777" w:rsidR="00046ACD" w:rsidRPr="00046ACD"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pict w14:anchorId="517BF6ED">
          <v:rect id="_x0000_i1028" alt="" style="width:451.3pt;height:.05pt;mso-width-percent:0;mso-height-percent:0;mso-width-percent:0;mso-height-percent:0" o:hralign="center" o:hrstd="t" o:hr="t" fillcolor="#a0a0a0" stroked="f"/>
        </w:pict>
      </w:r>
    </w:p>
    <w:p w14:paraId="5338B513" w14:textId="77777777" w:rsidR="00046ACD" w:rsidRPr="00046ACD" w:rsidRDefault="00046ACD" w:rsidP="00046ACD">
      <w:pPr>
        <w:spacing w:after="240" w:line="360" w:lineRule="auto"/>
        <w:outlineLvl w:val="2"/>
        <w:rPr>
          <w:rFonts w:ascii="Times New Roman" w:hAnsi="Times New Roman"/>
          <w:b/>
          <w:bCs/>
          <w:lang w:val="en-HK"/>
        </w:rPr>
      </w:pPr>
      <w:r w:rsidRPr="00046ACD">
        <w:rPr>
          <w:rFonts w:ascii="Times New Roman" w:hAnsi="Times New Roman"/>
          <w:b/>
          <w:bCs/>
          <w:lang w:val="en-HK"/>
        </w:rPr>
        <w:t>Difference from the Trial Judge's Decision</w:t>
      </w:r>
    </w:p>
    <w:p w14:paraId="418784E6"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 xml:space="preserve">The trial judge, Pelling QC, originally took a markedly different approach. He explicitly adopted the </w:t>
      </w:r>
      <w:r w:rsidRPr="00046ACD">
        <w:rPr>
          <w:rFonts w:ascii="Times New Roman" w:hAnsi="Times New Roman"/>
          <w:b/>
          <w:bCs/>
          <w:lang w:val="en-HK"/>
        </w:rPr>
        <w:t>Royal Brunei</w:t>
      </w:r>
      <w:r w:rsidRPr="00046ACD">
        <w:rPr>
          <w:rFonts w:ascii="Times New Roman" w:hAnsi="Times New Roman"/>
          <w:lang w:val="en-HK"/>
        </w:rPr>
        <w:t xml:space="preserve"> objective standard, finding that Murphy and Denslow acted dishonestly by failing to seek external legal or professional advice, whether from their firm's partners, the Law Society/SRA, or external counsel. The trial judge emphasised that this failure, combined with their active participation in finalising the sales despite evident suspicions, demonstrated dishonesty. The judge characterised their conduct as reckless and thus dishonestly assisting the company in defeating Yorkshire Bank’s equitable interest.</w:t>
      </w:r>
    </w:p>
    <w:p w14:paraId="07025415"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 xml:space="preserve">However, the Court of Appeal disagreed fundamentally, holding that although the solicitors were negligent or imprudent, the evidence did not support dishonesty. The appellate court underscored a crucial legal nuance concerning the registered priority under the </w:t>
      </w:r>
      <w:r w:rsidRPr="00046ACD">
        <w:rPr>
          <w:rFonts w:ascii="Times New Roman" w:hAnsi="Times New Roman"/>
          <w:b/>
          <w:bCs/>
          <w:lang w:val="en-HK"/>
        </w:rPr>
        <w:t>Land Registration Act 2002</w:t>
      </w:r>
      <w:r w:rsidRPr="00046ACD">
        <w:rPr>
          <w:rFonts w:ascii="Times New Roman" w:hAnsi="Times New Roman"/>
          <w:lang w:val="en-HK"/>
        </w:rPr>
        <w:t>, essentially concluding that an error in judgment based on genuine belief of legal priority does not automatically entail dishonest assistance.</w:t>
      </w:r>
    </w:p>
    <w:p w14:paraId="7F606C03" w14:textId="77777777" w:rsidR="00046ACD" w:rsidRPr="00046ACD"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lastRenderedPageBreak/>
        <w:pict w14:anchorId="1BBCC60E">
          <v:rect id="_x0000_i1027" alt="" style="width:451.3pt;height:.05pt;mso-width-percent:0;mso-height-percent:0;mso-width-percent:0;mso-height-percent:0" o:hralign="center" o:hrstd="t" o:hr="t" fillcolor="#a0a0a0" stroked="f"/>
        </w:pict>
      </w:r>
    </w:p>
    <w:p w14:paraId="29A40D41" w14:textId="77777777" w:rsidR="00046ACD" w:rsidRPr="00046ACD" w:rsidRDefault="00046ACD" w:rsidP="00046ACD">
      <w:pPr>
        <w:spacing w:after="240" w:line="360" w:lineRule="auto"/>
        <w:outlineLvl w:val="1"/>
        <w:rPr>
          <w:rFonts w:ascii="Times New Roman" w:hAnsi="Times New Roman"/>
          <w:b/>
          <w:bCs/>
          <w:lang w:val="en-HK"/>
        </w:rPr>
      </w:pPr>
      <w:r w:rsidRPr="00046ACD">
        <w:rPr>
          <w:rFonts w:ascii="Times New Roman" w:hAnsi="Times New Roman"/>
          <w:b/>
          <w:bCs/>
          <w:lang w:val="en-HK"/>
        </w:rPr>
        <w:t>Alignments and Contradictions with Previous Judgments</w:t>
      </w:r>
    </w:p>
    <w:p w14:paraId="159D4537" w14:textId="77777777" w:rsidR="00046ACD" w:rsidRPr="00046ACD" w:rsidRDefault="00046ACD" w:rsidP="00046ACD">
      <w:pPr>
        <w:spacing w:after="240" w:line="360" w:lineRule="auto"/>
        <w:outlineLvl w:val="2"/>
        <w:rPr>
          <w:rFonts w:ascii="Times New Roman" w:hAnsi="Times New Roman"/>
          <w:b/>
          <w:bCs/>
          <w:lang w:val="en-HK"/>
        </w:rPr>
      </w:pPr>
      <w:r w:rsidRPr="00046ACD">
        <w:rPr>
          <w:rFonts w:ascii="Times New Roman" w:hAnsi="Times New Roman"/>
          <w:b/>
          <w:bCs/>
          <w:lang w:val="en-HK"/>
        </w:rPr>
        <w:t>Alignments:</w:t>
      </w:r>
    </w:p>
    <w:p w14:paraId="4D751736"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b/>
          <w:bCs/>
          <w:lang w:val="en-HK"/>
        </w:rPr>
        <w:t xml:space="preserve">Royal Brunei Airlines </w:t>
      </w:r>
      <w:proofErr w:type="spellStart"/>
      <w:r w:rsidRPr="00046ACD">
        <w:rPr>
          <w:rFonts w:ascii="Times New Roman" w:hAnsi="Times New Roman"/>
          <w:b/>
          <w:bCs/>
          <w:lang w:val="en-HK"/>
        </w:rPr>
        <w:t>Sdn</w:t>
      </w:r>
      <w:proofErr w:type="spellEnd"/>
      <w:r w:rsidRPr="00046ACD">
        <w:rPr>
          <w:rFonts w:ascii="Times New Roman" w:hAnsi="Times New Roman"/>
          <w:b/>
          <w:bCs/>
          <w:lang w:val="en-HK"/>
        </w:rPr>
        <w:t xml:space="preserve"> </w:t>
      </w:r>
      <w:proofErr w:type="spellStart"/>
      <w:r w:rsidRPr="00046ACD">
        <w:rPr>
          <w:rFonts w:ascii="Times New Roman" w:hAnsi="Times New Roman"/>
          <w:b/>
          <w:bCs/>
          <w:lang w:val="en-HK"/>
        </w:rPr>
        <w:t>Bhd</w:t>
      </w:r>
      <w:proofErr w:type="spellEnd"/>
      <w:r w:rsidRPr="00046ACD">
        <w:rPr>
          <w:rFonts w:ascii="Times New Roman" w:hAnsi="Times New Roman"/>
          <w:b/>
          <w:bCs/>
          <w:lang w:val="en-HK"/>
        </w:rPr>
        <w:t xml:space="preserve"> v Tan [1995]</w:t>
      </w:r>
      <w:r w:rsidRPr="00046ACD">
        <w:rPr>
          <w:rFonts w:ascii="Times New Roman" w:hAnsi="Times New Roman"/>
          <w:lang w:val="en-HK"/>
        </w:rPr>
        <w:t>:</w:t>
      </w:r>
    </w:p>
    <w:p w14:paraId="2008505B" w14:textId="77777777" w:rsidR="00046ACD" w:rsidRPr="00046ACD" w:rsidRDefault="00046ACD" w:rsidP="00046ACD">
      <w:pPr>
        <w:numPr>
          <w:ilvl w:val="0"/>
          <w:numId w:val="3"/>
        </w:numPr>
        <w:spacing w:after="240" w:line="360" w:lineRule="auto"/>
        <w:rPr>
          <w:rFonts w:ascii="Times New Roman" w:hAnsi="Times New Roman"/>
          <w:lang w:val="en-HK"/>
        </w:rPr>
      </w:pPr>
      <w:r w:rsidRPr="00046ACD">
        <w:rPr>
          <w:rFonts w:ascii="Times New Roman" w:hAnsi="Times New Roman"/>
          <w:lang w:val="en-HK"/>
        </w:rPr>
        <w:t>The Court explicitly aligned itself with Lord Nicholls’ reasoning in Royal Brunei, reinforcing the objective standard for dishonesty.</w:t>
      </w:r>
    </w:p>
    <w:p w14:paraId="79FF6F73" w14:textId="77777777" w:rsidR="00046ACD" w:rsidRPr="00046ACD" w:rsidRDefault="00046ACD" w:rsidP="00046ACD">
      <w:pPr>
        <w:numPr>
          <w:ilvl w:val="0"/>
          <w:numId w:val="3"/>
        </w:numPr>
        <w:spacing w:after="240" w:line="360" w:lineRule="auto"/>
        <w:rPr>
          <w:rFonts w:ascii="Times New Roman" w:hAnsi="Times New Roman"/>
          <w:lang w:val="en-HK"/>
        </w:rPr>
      </w:pPr>
      <w:r w:rsidRPr="00046ACD">
        <w:rPr>
          <w:rFonts w:ascii="Times New Roman" w:hAnsi="Times New Roman"/>
          <w:lang w:val="en-HK"/>
        </w:rPr>
        <w:t>The Court reaffirmed the principle that recklessness alone is insufficient to establish dishonesty definitively, directly adopting Lord Nicholls' viewpoint.</w:t>
      </w:r>
    </w:p>
    <w:p w14:paraId="5763780D" w14:textId="6C5EBA86" w:rsidR="00046ACD" w:rsidRPr="00046ACD" w:rsidRDefault="00046ACD" w:rsidP="00046ACD">
      <w:pPr>
        <w:spacing w:after="240" w:line="360" w:lineRule="auto"/>
        <w:rPr>
          <w:rFonts w:ascii="Times New Roman" w:hAnsi="Times New Roman"/>
          <w:lang w:val="en-HK"/>
        </w:rPr>
      </w:pPr>
      <w:proofErr w:type="spellStart"/>
      <w:r w:rsidRPr="00046ACD">
        <w:rPr>
          <w:rFonts w:ascii="Times New Roman" w:hAnsi="Times New Roman"/>
          <w:b/>
          <w:bCs/>
          <w:lang w:val="en-HK"/>
        </w:rPr>
        <w:t>Barl</w:t>
      </w:r>
      <w:proofErr w:type="spellEnd"/>
      <w:r w:rsidRPr="00046ACD">
        <w:rPr>
          <w:rFonts w:ascii="Times New Roman" w:hAnsi="Times New Roman"/>
          <w:b/>
          <w:bCs/>
          <w:lang w:val="en-HK"/>
        </w:rPr>
        <w:t xml:space="preserve"> Clowes v Vaughan [2005]</w:t>
      </w:r>
      <w:r w:rsidRPr="00046ACD">
        <w:rPr>
          <w:rFonts w:ascii="Times New Roman" w:hAnsi="Times New Roman"/>
          <w:lang w:val="en-HK"/>
        </w:rPr>
        <w:t>:</w:t>
      </w:r>
    </w:p>
    <w:p w14:paraId="1E016C82" w14:textId="77777777" w:rsidR="00046ACD" w:rsidRPr="00046ACD" w:rsidRDefault="00046ACD" w:rsidP="00046ACD">
      <w:pPr>
        <w:numPr>
          <w:ilvl w:val="0"/>
          <w:numId w:val="4"/>
        </w:numPr>
        <w:spacing w:after="240" w:line="360" w:lineRule="auto"/>
        <w:rPr>
          <w:rFonts w:ascii="Times New Roman" w:hAnsi="Times New Roman"/>
          <w:lang w:val="en-HK"/>
        </w:rPr>
      </w:pPr>
      <w:r w:rsidRPr="00046ACD">
        <w:rPr>
          <w:rFonts w:ascii="Times New Roman" w:hAnsi="Times New Roman"/>
          <w:lang w:val="en-HK"/>
        </w:rPr>
        <w:t>By adopting an objective standard and not requiring subjective realisation explicitly, the Court of Appeal implicitly aligned with the Privy Council’s clarification in Barlow Clowes, reinforcing the Royal Brunei test as appropriate.</w:t>
      </w:r>
    </w:p>
    <w:p w14:paraId="37AC6C47" w14:textId="77777777" w:rsidR="00046ACD" w:rsidRPr="00046ACD"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pict w14:anchorId="5238DD28">
          <v:rect id="_x0000_i1026" alt="" style="width:451.3pt;height:.05pt;mso-width-percent:0;mso-height-percent:0;mso-width-percent:0;mso-height-percent:0" o:hralign="center" o:hrstd="t" o:hr="t" fillcolor="#a0a0a0" stroked="f"/>
        </w:pict>
      </w:r>
    </w:p>
    <w:p w14:paraId="6CC2AA58" w14:textId="77777777" w:rsidR="00046ACD" w:rsidRPr="00046ACD" w:rsidRDefault="00046ACD" w:rsidP="00046ACD">
      <w:pPr>
        <w:spacing w:after="240" w:line="360" w:lineRule="auto"/>
        <w:outlineLvl w:val="2"/>
        <w:rPr>
          <w:rFonts w:ascii="Times New Roman" w:hAnsi="Times New Roman"/>
          <w:b/>
          <w:bCs/>
          <w:lang w:val="en-HK"/>
        </w:rPr>
      </w:pPr>
      <w:r w:rsidRPr="00046ACD">
        <w:rPr>
          <w:rFonts w:ascii="Times New Roman" w:hAnsi="Times New Roman"/>
          <w:b/>
          <w:bCs/>
          <w:lang w:val="en-HK"/>
        </w:rPr>
        <w:t>Contradictions and Avoidances:</w:t>
      </w:r>
    </w:p>
    <w:p w14:paraId="030DE7E9" w14:textId="77777777" w:rsidR="00046ACD" w:rsidRPr="00046ACD" w:rsidRDefault="00046ACD" w:rsidP="00046ACD">
      <w:pPr>
        <w:spacing w:after="240" w:line="360" w:lineRule="auto"/>
        <w:rPr>
          <w:rFonts w:ascii="Times New Roman" w:hAnsi="Times New Roman"/>
          <w:lang w:val="en-HK"/>
        </w:rPr>
      </w:pPr>
      <w:proofErr w:type="spellStart"/>
      <w:r w:rsidRPr="00046ACD">
        <w:rPr>
          <w:rFonts w:ascii="Times New Roman" w:hAnsi="Times New Roman"/>
          <w:b/>
          <w:bCs/>
          <w:lang w:val="en-HK"/>
        </w:rPr>
        <w:t>Twinsectra</w:t>
      </w:r>
      <w:proofErr w:type="spellEnd"/>
      <w:r w:rsidRPr="00046ACD">
        <w:rPr>
          <w:rFonts w:ascii="Times New Roman" w:hAnsi="Times New Roman"/>
          <w:b/>
          <w:bCs/>
          <w:lang w:val="en-HK"/>
        </w:rPr>
        <w:t xml:space="preserve"> Ltd v Yardley [2002]</w:t>
      </w:r>
      <w:r w:rsidRPr="00046ACD">
        <w:rPr>
          <w:rFonts w:ascii="Times New Roman" w:hAnsi="Times New Roman"/>
          <w:lang w:val="en-HK"/>
        </w:rPr>
        <w:t>:</w:t>
      </w:r>
    </w:p>
    <w:p w14:paraId="47868560" w14:textId="77777777" w:rsidR="00046ACD" w:rsidRPr="00046ACD" w:rsidRDefault="00046ACD" w:rsidP="00046ACD">
      <w:pPr>
        <w:numPr>
          <w:ilvl w:val="0"/>
          <w:numId w:val="5"/>
        </w:numPr>
        <w:spacing w:after="240" w:line="360" w:lineRule="auto"/>
        <w:rPr>
          <w:rFonts w:ascii="Times New Roman" w:hAnsi="Times New Roman"/>
          <w:lang w:val="en-HK"/>
        </w:rPr>
      </w:pPr>
      <w:r w:rsidRPr="00046ACD">
        <w:rPr>
          <w:rFonts w:ascii="Times New Roman" w:hAnsi="Times New Roman"/>
          <w:lang w:val="en-HK"/>
        </w:rPr>
        <w:t xml:space="preserve">A notable contradiction arises from the Court's avoidance of any explicit mention of </w:t>
      </w:r>
      <w:proofErr w:type="spellStart"/>
      <w:r w:rsidRPr="00046ACD">
        <w:rPr>
          <w:rFonts w:ascii="Times New Roman" w:hAnsi="Times New Roman"/>
          <w:lang w:val="en-HK"/>
        </w:rPr>
        <w:t>Twinsectra</w:t>
      </w:r>
      <w:proofErr w:type="spellEnd"/>
      <w:r w:rsidRPr="00046ACD">
        <w:rPr>
          <w:rFonts w:ascii="Times New Roman" w:hAnsi="Times New Roman"/>
          <w:lang w:val="en-HK"/>
        </w:rPr>
        <w:t xml:space="preserve">, which introduced a subjective limb requiring defendants’ awareness that their actions were dishonest by ordinary standards. </w:t>
      </w:r>
      <w:proofErr w:type="spellStart"/>
      <w:r w:rsidRPr="00046ACD">
        <w:rPr>
          <w:rFonts w:ascii="Times New Roman" w:hAnsi="Times New Roman"/>
          <w:lang w:val="en-HK"/>
        </w:rPr>
        <w:t>Twinsectra’s</w:t>
      </w:r>
      <w:proofErr w:type="spellEnd"/>
      <w:r w:rsidRPr="00046ACD">
        <w:rPr>
          <w:rFonts w:ascii="Times New Roman" w:hAnsi="Times New Roman"/>
          <w:lang w:val="en-HK"/>
        </w:rPr>
        <w:t xml:space="preserve"> subjective limb would have provided a stronger, clearer rationale for acquitting the solicitors since they arguably lacked subjective appreciation of wrongdoing.</w:t>
      </w:r>
    </w:p>
    <w:p w14:paraId="0EB78268" w14:textId="77777777" w:rsidR="00046ACD" w:rsidRPr="00046ACD" w:rsidRDefault="00046ACD" w:rsidP="00046ACD">
      <w:pPr>
        <w:numPr>
          <w:ilvl w:val="0"/>
          <w:numId w:val="5"/>
        </w:numPr>
        <w:spacing w:after="240" w:line="360" w:lineRule="auto"/>
        <w:rPr>
          <w:rFonts w:ascii="Times New Roman" w:hAnsi="Times New Roman"/>
          <w:lang w:val="en-HK"/>
        </w:rPr>
      </w:pPr>
      <w:r w:rsidRPr="00046ACD">
        <w:rPr>
          <w:rFonts w:ascii="Times New Roman" w:hAnsi="Times New Roman"/>
          <w:lang w:val="en-HK"/>
        </w:rPr>
        <w:t xml:space="preserve">The Court, however, strategically avoided engaging with </w:t>
      </w:r>
      <w:proofErr w:type="spellStart"/>
      <w:r w:rsidRPr="00046ACD">
        <w:rPr>
          <w:rFonts w:ascii="Times New Roman" w:hAnsi="Times New Roman"/>
          <w:lang w:val="en-HK"/>
        </w:rPr>
        <w:t>Twinsectra</w:t>
      </w:r>
      <w:proofErr w:type="spellEnd"/>
      <w:r w:rsidRPr="00046ACD">
        <w:rPr>
          <w:rFonts w:ascii="Times New Roman" w:hAnsi="Times New Roman"/>
          <w:lang w:val="en-HK"/>
        </w:rPr>
        <w:t xml:space="preserve">, despite its binding status as a House of Lords authority, thereby indirectly contradicting it by relying purely on the Royal Brunei objective formulation. This omission was particularly significant since prior cases involving solicitors had explicitly engaged </w:t>
      </w:r>
      <w:proofErr w:type="spellStart"/>
      <w:r w:rsidRPr="00046ACD">
        <w:rPr>
          <w:rFonts w:ascii="Times New Roman" w:hAnsi="Times New Roman"/>
          <w:lang w:val="en-HK"/>
        </w:rPr>
        <w:t>Twinsectra</w:t>
      </w:r>
      <w:proofErr w:type="spellEnd"/>
      <w:r w:rsidRPr="00046ACD">
        <w:rPr>
          <w:rFonts w:ascii="Times New Roman" w:hAnsi="Times New Roman"/>
          <w:lang w:val="en-HK"/>
        </w:rPr>
        <w:t xml:space="preserve"> due to the profession-specific implications of dishonesty findings.</w:t>
      </w:r>
    </w:p>
    <w:p w14:paraId="311281AF"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b/>
          <w:bCs/>
          <w:lang w:val="en-HK"/>
        </w:rPr>
        <w:t>Abou-Rahmah v Abacha [2006]</w:t>
      </w:r>
      <w:r w:rsidRPr="00046ACD">
        <w:rPr>
          <w:rFonts w:ascii="Times New Roman" w:hAnsi="Times New Roman"/>
          <w:lang w:val="en-HK"/>
        </w:rPr>
        <w:t>:</w:t>
      </w:r>
    </w:p>
    <w:p w14:paraId="2E05EF5E"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lastRenderedPageBreak/>
        <w:t xml:space="preserve">Similar to </w:t>
      </w:r>
      <w:proofErr w:type="spellStart"/>
      <w:r w:rsidRPr="00046ACD">
        <w:rPr>
          <w:rFonts w:ascii="Times New Roman" w:hAnsi="Times New Roman"/>
          <w:lang w:val="en-HK"/>
        </w:rPr>
        <w:t>Twinsectra</w:t>
      </w:r>
      <w:proofErr w:type="spellEnd"/>
      <w:r w:rsidRPr="00046ACD">
        <w:rPr>
          <w:rFonts w:ascii="Times New Roman" w:hAnsi="Times New Roman"/>
          <w:lang w:val="en-HK"/>
        </w:rPr>
        <w:t xml:space="preserve">, the Court of Appeal's decision in Clydesdale avoided the nuanced approach adopted in Abou-Rahmah, where Arden LJ explicitly favoured the Royal Brunei objective test, but Pill LJ and Rix LJ expressed reluctance to fully discard </w:t>
      </w:r>
      <w:proofErr w:type="spellStart"/>
      <w:r w:rsidRPr="00046ACD">
        <w:rPr>
          <w:rFonts w:ascii="Times New Roman" w:hAnsi="Times New Roman"/>
          <w:lang w:val="en-HK"/>
        </w:rPr>
        <w:t>Twinsectra</w:t>
      </w:r>
      <w:proofErr w:type="spellEnd"/>
      <w:r w:rsidRPr="00046ACD">
        <w:rPr>
          <w:rFonts w:ascii="Times New Roman" w:hAnsi="Times New Roman"/>
          <w:lang w:val="en-HK"/>
        </w:rPr>
        <w:t>. The Court in Clydesdale, by avoiding this debate altogether, left unresolved the doctrinal tension highlighted by Abou-Rahmah, again indirectly contradicting previous cautious judicial discussions that acknowledged the existing ambiguity.</w:t>
      </w:r>
    </w:p>
    <w:p w14:paraId="34BCA5FE" w14:textId="77777777" w:rsidR="00046ACD" w:rsidRPr="00046ACD" w:rsidRDefault="00FC7DC9" w:rsidP="00046ACD">
      <w:pPr>
        <w:spacing w:after="240" w:line="360" w:lineRule="auto"/>
        <w:rPr>
          <w:rFonts w:ascii="Times New Roman" w:hAnsi="Times New Roman"/>
          <w:lang w:val="en-HK"/>
        </w:rPr>
      </w:pPr>
      <w:r w:rsidRPr="00FC7DC9">
        <w:rPr>
          <w:rFonts w:ascii="Times New Roman" w:hAnsi="Times New Roman"/>
          <w:noProof/>
          <w:lang w:val="en-HK"/>
          <w14:ligatures w14:val="standardContextual"/>
        </w:rPr>
        <w:pict w14:anchorId="6A89202B">
          <v:rect id="_x0000_i1025" alt="" style="width:451.3pt;height:.05pt;mso-width-percent:0;mso-height-percent:0;mso-width-percent:0;mso-height-percent:0" o:hralign="center" o:hrstd="t" o:hr="t" fillcolor="#a0a0a0" stroked="f"/>
        </w:pict>
      </w:r>
    </w:p>
    <w:p w14:paraId="4438C7A2" w14:textId="77777777" w:rsidR="00046ACD" w:rsidRPr="00046ACD" w:rsidRDefault="00046ACD" w:rsidP="00046ACD">
      <w:pPr>
        <w:spacing w:after="240" w:line="360" w:lineRule="auto"/>
        <w:outlineLvl w:val="1"/>
        <w:rPr>
          <w:rFonts w:ascii="Times New Roman" w:hAnsi="Times New Roman"/>
          <w:b/>
          <w:bCs/>
          <w:lang w:val="en-HK"/>
        </w:rPr>
      </w:pPr>
      <w:r w:rsidRPr="00046ACD">
        <w:rPr>
          <w:rFonts w:ascii="Times New Roman" w:hAnsi="Times New Roman"/>
          <w:b/>
          <w:bCs/>
          <w:lang w:val="en-HK"/>
        </w:rPr>
        <w:t>Judicial Sensitivity Towards Solicitors</w:t>
      </w:r>
    </w:p>
    <w:p w14:paraId="514F5AD5"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 xml:space="preserve">Another implicit yet significant factor identified by the author (David Salmons) was the judicial sensitivity towards findings of dishonesty against solicitors. Longmore LJ openly emphasised that a finding of dishonesty against a solicitor constituted an "extremely serious matter," reflecting judicial caution in imposing severe professional consequences without incontrovertible evidence of wrongdoing. This sensitivity may explain the Court’s reticence in applying or discussing the </w:t>
      </w:r>
      <w:proofErr w:type="spellStart"/>
      <w:r w:rsidRPr="00046ACD">
        <w:rPr>
          <w:rFonts w:ascii="Times New Roman" w:hAnsi="Times New Roman"/>
          <w:lang w:val="en-HK"/>
        </w:rPr>
        <w:t>Twinsectra</w:t>
      </w:r>
      <w:proofErr w:type="spellEnd"/>
      <w:r w:rsidRPr="00046ACD">
        <w:rPr>
          <w:rFonts w:ascii="Times New Roman" w:hAnsi="Times New Roman"/>
          <w:lang w:val="en-HK"/>
        </w:rPr>
        <w:t xml:space="preserve"> standard, given that it would potentially raise the evidential threshold further and complicate liability assessments involving solicitors.</w:t>
      </w:r>
    </w:p>
    <w:p w14:paraId="6C5C7412"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This protective stance generated criticism by David Salmons, who argued that special treatment or different standards for certain professionals could lead to perceptions of judicial bias or inconsistency. Salmons noted that if the courts provide additional protective consideration for solicitors, similar consideration logically could extend to other professional contexts, creating doctrinal inconsistencies and uncertainties.</w:t>
      </w:r>
    </w:p>
    <w:p w14:paraId="31DDB673" w14:textId="77777777" w:rsidR="00046ACD" w:rsidRPr="00046ACD" w:rsidRDefault="00046ACD" w:rsidP="00046ACD">
      <w:pPr>
        <w:spacing w:after="240" w:line="360" w:lineRule="auto"/>
        <w:rPr>
          <w:rFonts w:ascii="Times New Roman" w:hAnsi="Times New Roman"/>
          <w:lang w:val="en-HK"/>
        </w:rPr>
      </w:pPr>
      <w:r w:rsidRPr="00046ACD">
        <w:rPr>
          <w:rFonts w:ascii="Times New Roman" w:hAnsi="Times New Roman"/>
          <w:lang w:val="en-HK"/>
        </w:rPr>
        <w:t>Salmons thus suggested adopting clearer language, such as "want of probity," historically associated with equitable wrongdoing (</w:t>
      </w:r>
      <w:proofErr w:type="spellStart"/>
      <w:r w:rsidRPr="00046ACD">
        <w:rPr>
          <w:rFonts w:ascii="Times New Roman" w:hAnsi="Times New Roman"/>
          <w:lang w:val="en-HK"/>
        </w:rPr>
        <w:t>Bodenham</w:t>
      </w:r>
      <w:proofErr w:type="spellEnd"/>
      <w:r w:rsidRPr="00046ACD">
        <w:rPr>
          <w:rFonts w:ascii="Times New Roman" w:hAnsi="Times New Roman"/>
          <w:lang w:val="en-HK"/>
        </w:rPr>
        <w:t xml:space="preserve"> v Hoskins), as a replacement for "dishonesty" to eliminate some moral implications and ensure more consistent and impartial application of accessory liability principles.</w:t>
      </w:r>
    </w:p>
    <w:p w14:paraId="69CA7D8B" w14:textId="77777777" w:rsidR="00CD39F1" w:rsidRPr="00046ACD" w:rsidRDefault="00CD39F1" w:rsidP="00046ACD">
      <w:pPr>
        <w:spacing w:after="240" w:line="360" w:lineRule="auto"/>
        <w:outlineLvl w:val="2"/>
        <w:rPr>
          <w:rFonts w:ascii="Times New Roman" w:hAnsi="Times New Roman"/>
          <w:lang w:val="en-US"/>
        </w:rPr>
      </w:pPr>
    </w:p>
    <w:sectPr w:rsidR="00CD39F1" w:rsidRPr="00046AC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1B6A2A6" w14:textId="77777777" w:rsidR="00FC7DC9" w:rsidRDefault="00FC7DC9" w:rsidP="00046ACD">
      <w:r>
        <w:separator/>
      </w:r>
    </w:p>
  </w:endnote>
  <w:endnote w:type="continuationSeparator" w:id="0">
    <w:p w14:paraId="2AC73F1E" w14:textId="77777777" w:rsidR="00FC7DC9" w:rsidRDefault="00FC7DC9" w:rsidP="00046AC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3A3268F" w14:textId="77777777" w:rsidR="00FC7DC9" w:rsidRDefault="00FC7DC9" w:rsidP="00046ACD">
      <w:r>
        <w:separator/>
      </w:r>
    </w:p>
  </w:footnote>
  <w:footnote w:type="continuationSeparator" w:id="0">
    <w:p w14:paraId="04194607" w14:textId="77777777" w:rsidR="00FC7DC9" w:rsidRDefault="00FC7DC9" w:rsidP="00046ACD">
      <w:r>
        <w:continuationSeparator/>
      </w:r>
    </w:p>
  </w:footnote>
  <w:footnote w:id="1">
    <w:p w14:paraId="6FD0B713" w14:textId="208CE646" w:rsidR="00046ACD" w:rsidRPr="00046ACD" w:rsidRDefault="00046ACD">
      <w:pPr>
        <w:pStyle w:val="FootnoteText"/>
        <w:rPr>
          <w:rFonts w:ascii="Times New Roman" w:hAnsi="Times New Roman"/>
          <w:sz w:val="24"/>
          <w:szCs w:val="24"/>
          <w:vertAlign w:val="superscript"/>
        </w:rPr>
      </w:pPr>
      <w:r w:rsidRPr="00046ACD">
        <w:rPr>
          <w:rStyle w:val="FootnoteReference"/>
          <w:rFonts w:ascii="Times New Roman" w:hAnsi="Times New Roman"/>
          <w:sz w:val="24"/>
          <w:szCs w:val="24"/>
        </w:rPr>
        <w:footnoteRef/>
      </w:r>
      <w:r w:rsidRPr="00046ACD">
        <w:rPr>
          <w:rFonts w:ascii="Times New Roman" w:hAnsi="Times New Roman"/>
          <w:sz w:val="24"/>
          <w:szCs w:val="24"/>
          <w:vertAlign w:val="superscript"/>
        </w:rPr>
        <w:t xml:space="preserve"> T</w:t>
      </w:r>
      <w:r w:rsidRPr="00046ACD">
        <w:rPr>
          <w:rFonts w:ascii="Times New Roman" w:hAnsi="Times New Roman"/>
          <w:sz w:val="24"/>
          <w:szCs w:val="24"/>
          <w:vertAlign w:val="superscript"/>
        </w:rPr>
        <w:t xml:space="preserve">he </w:t>
      </w:r>
      <w:r w:rsidRPr="00046ACD">
        <w:rPr>
          <w:rStyle w:val="Strong"/>
          <w:rFonts w:ascii="Times New Roman" w:eastAsiaTheme="majorEastAsia" w:hAnsi="Times New Roman"/>
          <w:sz w:val="24"/>
          <w:szCs w:val="24"/>
          <w:vertAlign w:val="superscript"/>
        </w:rPr>
        <w:t>Hayward Charge</w:t>
      </w:r>
      <w:r w:rsidRPr="00046ACD">
        <w:rPr>
          <w:rFonts w:ascii="Times New Roman" w:hAnsi="Times New Roman"/>
          <w:sz w:val="24"/>
          <w:szCs w:val="24"/>
          <w:vertAlign w:val="superscript"/>
        </w:rPr>
        <w:t xml:space="preserve"> refers to a legal charge registered against the property ("Beechwood" plots 2, 3, and 4) by </w:t>
      </w:r>
      <w:r w:rsidRPr="00046ACD">
        <w:rPr>
          <w:rStyle w:val="Strong"/>
          <w:rFonts w:ascii="Times New Roman" w:eastAsiaTheme="majorEastAsia" w:hAnsi="Times New Roman"/>
          <w:sz w:val="24"/>
          <w:szCs w:val="24"/>
          <w:vertAlign w:val="superscript"/>
        </w:rPr>
        <w:t>Lord Edward Developments (Beechwood) Ltd</w:t>
      </w:r>
      <w:r w:rsidRPr="00046ACD">
        <w:rPr>
          <w:rFonts w:ascii="Times New Roman" w:hAnsi="Times New Roman"/>
          <w:sz w:val="24"/>
          <w:szCs w:val="24"/>
          <w:vertAlign w:val="superscript"/>
        </w:rPr>
        <w:t>, after Yorkshire Bank (Clydesdale Bank Plc) had failed to register its own legal charge at HM Land Registry.</w:t>
      </w:r>
    </w:p>
    <w:p w14:paraId="16F324DD" w14:textId="0D84CE44" w:rsidR="00046ACD" w:rsidRPr="00046ACD" w:rsidRDefault="00046ACD">
      <w:pPr>
        <w:pStyle w:val="FootnoteText"/>
        <w:rPr>
          <w:rFonts w:ascii="Times New Roman" w:hAnsi="Times New Roman"/>
          <w:sz w:val="24"/>
          <w:szCs w:val="24"/>
          <w:vertAlign w:val="superscript"/>
          <w:lang w:val="en-US"/>
        </w:rPr>
      </w:pPr>
      <w:r w:rsidRPr="00046ACD">
        <w:rPr>
          <w:rFonts w:ascii="Times New Roman" w:hAnsi="Times New Roman"/>
          <w:sz w:val="24"/>
          <w:szCs w:val="24"/>
          <w:vertAlign w:val="superscript"/>
        </w:rPr>
        <w:sym w:font="Wingdings" w:char="F0E0"/>
      </w:r>
      <w:r w:rsidRPr="00046ACD">
        <w:rPr>
          <w:rFonts w:ascii="Times New Roman" w:hAnsi="Times New Roman"/>
          <w:sz w:val="24"/>
          <w:szCs w:val="24"/>
          <w:vertAlign w:val="superscript"/>
        </w:rPr>
        <w:t xml:space="preserve"> </w:t>
      </w:r>
      <w:r w:rsidRPr="00046ACD">
        <w:rPr>
          <w:rFonts w:ascii="Times New Roman" w:hAnsi="Times New Roman"/>
          <w:sz w:val="24"/>
          <w:szCs w:val="24"/>
          <w:vertAlign w:val="superscript"/>
        </w:rPr>
        <w:t xml:space="preserve">A </w:t>
      </w:r>
      <w:r w:rsidRPr="00046ACD">
        <w:rPr>
          <w:rStyle w:val="Strong"/>
          <w:rFonts w:ascii="Times New Roman" w:eastAsiaTheme="majorEastAsia" w:hAnsi="Times New Roman"/>
          <w:sz w:val="24"/>
          <w:szCs w:val="24"/>
          <w:vertAlign w:val="superscript"/>
        </w:rPr>
        <w:t>legal charge</w:t>
      </w:r>
      <w:r w:rsidRPr="00046ACD">
        <w:rPr>
          <w:rFonts w:ascii="Times New Roman" w:hAnsi="Times New Roman"/>
          <w:sz w:val="24"/>
          <w:szCs w:val="24"/>
          <w:vertAlign w:val="superscript"/>
        </w:rPr>
        <w:t xml:space="preserve"> is a </w:t>
      </w:r>
      <w:r w:rsidRPr="00046ACD">
        <w:rPr>
          <w:rStyle w:val="Strong"/>
          <w:rFonts w:ascii="Times New Roman" w:eastAsiaTheme="majorEastAsia" w:hAnsi="Times New Roman"/>
          <w:sz w:val="24"/>
          <w:szCs w:val="24"/>
          <w:vertAlign w:val="superscript"/>
        </w:rPr>
        <w:t>security interest</w:t>
      </w:r>
      <w:r w:rsidRPr="00046ACD">
        <w:rPr>
          <w:rFonts w:ascii="Times New Roman" w:hAnsi="Times New Roman"/>
          <w:sz w:val="24"/>
          <w:szCs w:val="24"/>
          <w:vertAlign w:val="superscript"/>
        </w:rPr>
        <w:t xml:space="preserve"> over property granted by a borrower (the </w:t>
      </w:r>
      <w:proofErr w:type="spellStart"/>
      <w:r w:rsidRPr="00046ACD">
        <w:rPr>
          <w:rFonts w:ascii="Times New Roman" w:hAnsi="Times New Roman"/>
          <w:sz w:val="24"/>
          <w:szCs w:val="24"/>
          <w:vertAlign w:val="superscript"/>
        </w:rPr>
        <w:t>chargor</w:t>
      </w:r>
      <w:proofErr w:type="spellEnd"/>
      <w:r w:rsidRPr="00046ACD">
        <w:rPr>
          <w:rFonts w:ascii="Times New Roman" w:hAnsi="Times New Roman"/>
          <w:sz w:val="24"/>
          <w:szCs w:val="24"/>
          <w:vertAlign w:val="superscript"/>
        </w:rPr>
        <w:t xml:space="preserve">) to a lender (the </w:t>
      </w:r>
      <w:proofErr w:type="spellStart"/>
      <w:r w:rsidRPr="00046ACD">
        <w:rPr>
          <w:rFonts w:ascii="Times New Roman" w:hAnsi="Times New Roman"/>
          <w:sz w:val="24"/>
          <w:szCs w:val="24"/>
          <w:vertAlign w:val="superscript"/>
        </w:rPr>
        <w:t>chargee</w:t>
      </w:r>
      <w:proofErr w:type="spellEnd"/>
      <w:r w:rsidRPr="00046ACD">
        <w:rPr>
          <w:rFonts w:ascii="Times New Roman" w:hAnsi="Times New Roman"/>
          <w:sz w:val="24"/>
          <w:szCs w:val="24"/>
          <w:vertAlign w:val="superscript"/>
        </w:rPr>
        <w:t xml:space="preserve">) to secure repayment of a loan. It operates as a form of </w:t>
      </w:r>
      <w:r w:rsidRPr="00046ACD">
        <w:rPr>
          <w:rStyle w:val="Strong"/>
          <w:rFonts w:ascii="Times New Roman" w:eastAsiaTheme="majorEastAsia" w:hAnsi="Times New Roman"/>
          <w:sz w:val="24"/>
          <w:szCs w:val="24"/>
          <w:vertAlign w:val="superscript"/>
        </w:rPr>
        <w:t>mortgage</w:t>
      </w:r>
      <w:r w:rsidRPr="00046ACD">
        <w:rPr>
          <w:rFonts w:ascii="Times New Roman" w:hAnsi="Times New Roman"/>
          <w:sz w:val="24"/>
          <w:szCs w:val="24"/>
          <w:vertAlign w:val="superscript"/>
        </w:rPr>
        <w:t>, giving the lender rights over the property should the borrower default.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35DD7"/>
    <w:multiLevelType w:val="multilevel"/>
    <w:tmpl w:val="75501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FC7E62"/>
    <w:multiLevelType w:val="multilevel"/>
    <w:tmpl w:val="9F60AF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1EA3A1C"/>
    <w:multiLevelType w:val="multilevel"/>
    <w:tmpl w:val="1C84581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56BF202B"/>
    <w:multiLevelType w:val="multilevel"/>
    <w:tmpl w:val="915AD33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4" w15:restartNumberingAfterBreak="0">
    <w:nsid w:val="5DB93B86"/>
    <w:multiLevelType w:val="multilevel"/>
    <w:tmpl w:val="9FC0165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7CB446AF"/>
    <w:multiLevelType w:val="multilevel"/>
    <w:tmpl w:val="E9BEA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88276471">
    <w:abstractNumId w:val="4"/>
  </w:num>
  <w:num w:numId="2" w16cid:durableId="963463727">
    <w:abstractNumId w:val="2"/>
  </w:num>
  <w:num w:numId="3" w16cid:durableId="697655799">
    <w:abstractNumId w:val="3"/>
  </w:num>
  <w:num w:numId="4" w16cid:durableId="2017268341">
    <w:abstractNumId w:val="0"/>
  </w:num>
  <w:num w:numId="5" w16cid:durableId="509300513">
    <w:abstractNumId w:val="1"/>
  </w:num>
  <w:num w:numId="6" w16cid:durableId="127089504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407C"/>
    <w:rsid w:val="000046A5"/>
    <w:rsid w:val="00012117"/>
    <w:rsid w:val="000147A9"/>
    <w:rsid w:val="00016A34"/>
    <w:rsid w:val="00042755"/>
    <w:rsid w:val="00046ACD"/>
    <w:rsid w:val="0006107D"/>
    <w:rsid w:val="000623A3"/>
    <w:rsid w:val="00066D1D"/>
    <w:rsid w:val="000719DA"/>
    <w:rsid w:val="00094D65"/>
    <w:rsid w:val="000A2074"/>
    <w:rsid w:val="000A3F4D"/>
    <w:rsid w:val="000A64DA"/>
    <w:rsid w:val="000C4ABC"/>
    <w:rsid w:val="000C58D7"/>
    <w:rsid w:val="000E15ED"/>
    <w:rsid w:val="000F3F73"/>
    <w:rsid w:val="00101CCF"/>
    <w:rsid w:val="00121A80"/>
    <w:rsid w:val="001372F7"/>
    <w:rsid w:val="00175AB8"/>
    <w:rsid w:val="0019260C"/>
    <w:rsid w:val="001A41D2"/>
    <w:rsid w:val="001B0E31"/>
    <w:rsid w:val="001D360C"/>
    <w:rsid w:val="001E2584"/>
    <w:rsid w:val="002033A2"/>
    <w:rsid w:val="00204B6E"/>
    <w:rsid w:val="00223837"/>
    <w:rsid w:val="00243CED"/>
    <w:rsid w:val="00247BCC"/>
    <w:rsid w:val="00257540"/>
    <w:rsid w:val="0026510F"/>
    <w:rsid w:val="0028028D"/>
    <w:rsid w:val="00291F37"/>
    <w:rsid w:val="0029568E"/>
    <w:rsid w:val="00297C6E"/>
    <w:rsid w:val="002B3377"/>
    <w:rsid w:val="002C38C0"/>
    <w:rsid w:val="002C6D8B"/>
    <w:rsid w:val="002D2BF1"/>
    <w:rsid w:val="002D715D"/>
    <w:rsid w:val="002E3864"/>
    <w:rsid w:val="002E46F2"/>
    <w:rsid w:val="002F1DB1"/>
    <w:rsid w:val="002F20B2"/>
    <w:rsid w:val="002F53C9"/>
    <w:rsid w:val="003048A0"/>
    <w:rsid w:val="0031138E"/>
    <w:rsid w:val="0031474F"/>
    <w:rsid w:val="00315815"/>
    <w:rsid w:val="0032656E"/>
    <w:rsid w:val="003278F5"/>
    <w:rsid w:val="00330665"/>
    <w:rsid w:val="00342A18"/>
    <w:rsid w:val="00357561"/>
    <w:rsid w:val="0036177C"/>
    <w:rsid w:val="00361975"/>
    <w:rsid w:val="00376E23"/>
    <w:rsid w:val="0039416B"/>
    <w:rsid w:val="003A1271"/>
    <w:rsid w:val="003A5DF7"/>
    <w:rsid w:val="003B3510"/>
    <w:rsid w:val="003C116C"/>
    <w:rsid w:val="003D0CDD"/>
    <w:rsid w:val="003D710F"/>
    <w:rsid w:val="003E1CAA"/>
    <w:rsid w:val="0040210F"/>
    <w:rsid w:val="00412F9B"/>
    <w:rsid w:val="004222FD"/>
    <w:rsid w:val="004319FA"/>
    <w:rsid w:val="00442F56"/>
    <w:rsid w:val="0044616D"/>
    <w:rsid w:val="00474DD1"/>
    <w:rsid w:val="004751B5"/>
    <w:rsid w:val="0048097D"/>
    <w:rsid w:val="004816F7"/>
    <w:rsid w:val="0048175B"/>
    <w:rsid w:val="004829F2"/>
    <w:rsid w:val="004845CE"/>
    <w:rsid w:val="004A553E"/>
    <w:rsid w:val="004B0B8B"/>
    <w:rsid w:val="004B1048"/>
    <w:rsid w:val="004D01FE"/>
    <w:rsid w:val="004D582C"/>
    <w:rsid w:val="004D5B1A"/>
    <w:rsid w:val="004E1930"/>
    <w:rsid w:val="004E458E"/>
    <w:rsid w:val="004F0E12"/>
    <w:rsid w:val="004F43CC"/>
    <w:rsid w:val="004F5A36"/>
    <w:rsid w:val="00505437"/>
    <w:rsid w:val="005120A1"/>
    <w:rsid w:val="00542B57"/>
    <w:rsid w:val="005525C9"/>
    <w:rsid w:val="00557B52"/>
    <w:rsid w:val="005743EA"/>
    <w:rsid w:val="005770A9"/>
    <w:rsid w:val="0058416B"/>
    <w:rsid w:val="00591130"/>
    <w:rsid w:val="00595357"/>
    <w:rsid w:val="005A1930"/>
    <w:rsid w:val="005A6EEA"/>
    <w:rsid w:val="005B34ED"/>
    <w:rsid w:val="005B61CD"/>
    <w:rsid w:val="005B74C5"/>
    <w:rsid w:val="005C4FF3"/>
    <w:rsid w:val="005C50B3"/>
    <w:rsid w:val="005C6B83"/>
    <w:rsid w:val="005C7AAA"/>
    <w:rsid w:val="005D57DA"/>
    <w:rsid w:val="005E7702"/>
    <w:rsid w:val="005F33FC"/>
    <w:rsid w:val="00605F8E"/>
    <w:rsid w:val="00613954"/>
    <w:rsid w:val="006159E0"/>
    <w:rsid w:val="00622488"/>
    <w:rsid w:val="006350B8"/>
    <w:rsid w:val="006415E8"/>
    <w:rsid w:val="00650543"/>
    <w:rsid w:val="00654D8B"/>
    <w:rsid w:val="00661136"/>
    <w:rsid w:val="00672197"/>
    <w:rsid w:val="0068027B"/>
    <w:rsid w:val="006B7BA3"/>
    <w:rsid w:val="006C42B8"/>
    <w:rsid w:val="006C50C7"/>
    <w:rsid w:val="006D1612"/>
    <w:rsid w:val="00713CA9"/>
    <w:rsid w:val="007455C6"/>
    <w:rsid w:val="007475C7"/>
    <w:rsid w:val="0075265A"/>
    <w:rsid w:val="0075498E"/>
    <w:rsid w:val="00757BE5"/>
    <w:rsid w:val="00760E46"/>
    <w:rsid w:val="007643D2"/>
    <w:rsid w:val="00766D82"/>
    <w:rsid w:val="007678B2"/>
    <w:rsid w:val="00782575"/>
    <w:rsid w:val="0078776B"/>
    <w:rsid w:val="00796A93"/>
    <w:rsid w:val="007975B6"/>
    <w:rsid w:val="007B48C2"/>
    <w:rsid w:val="007C231D"/>
    <w:rsid w:val="007D68F0"/>
    <w:rsid w:val="007E1559"/>
    <w:rsid w:val="007E2E80"/>
    <w:rsid w:val="007E4AE6"/>
    <w:rsid w:val="007F776E"/>
    <w:rsid w:val="00816563"/>
    <w:rsid w:val="00830C88"/>
    <w:rsid w:val="00845AB5"/>
    <w:rsid w:val="00850813"/>
    <w:rsid w:val="00861B11"/>
    <w:rsid w:val="008829C2"/>
    <w:rsid w:val="008A54BE"/>
    <w:rsid w:val="008B2AB5"/>
    <w:rsid w:val="008C7B0A"/>
    <w:rsid w:val="008D0642"/>
    <w:rsid w:val="008E43C2"/>
    <w:rsid w:val="008E745B"/>
    <w:rsid w:val="008F4EA7"/>
    <w:rsid w:val="008F5A10"/>
    <w:rsid w:val="00905ED0"/>
    <w:rsid w:val="0093405B"/>
    <w:rsid w:val="0094782D"/>
    <w:rsid w:val="00966189"/>
    <w:rsid w:val="00973661"/>
    <w:rsid w:val="00974434"/>
    <w:rsid w:val="00975B2D"/>
    <w:rsid w:val="00977514"/>
    <w:rsid w:val="009A48B0"/>
    <w:rsid w:val="009B24D6"/>
    <w:rsid w:val="009B2F21"/>
    <w:rsid w:val="009B3EF4"/>
    <w:rsid w:val="009C6498"/>
    <w:rsid w:val="009E62AF"/>
    <w:rsid w:val="009F726A"/>
    <w:rsid w:val="00A03BBD"/>
    <w:rsid w:val="00A21254"/>
    <w:rsid w:val="00A220B7"/>
    <w:rsid w:val="00A2728B"/>
    <w:rsid w:val="00A37AB0"/>
    <w:rsid w:val="00A4085F"/>
    <w:rsid w:val="00A4114F"/>
    <w:rsid w:val="00A45953"/>
    <w:rsid w:val="00A93FBA"/>
    <w:rsid w:val="00A95C7E"/>
    <w:rsid w:val="00AB609D"/>
    <w:rsid w:val="00AC3AB8"/>
    <w:rsid w:val="00AE4348"/>
    <w:rsid w:val="00AE4BAF"/>
    <w:rsid w:val="00B03D5A"/>
    <w:rsid w:val="00B200EB"/>
    <w:rsid w:val="00B23297"/>
    <w:rsid w:val="00B360EE"/>
    <w:rsid w:val="00B53B6F"/>
    <w:rsid w:val="00B651D9"/>
    <w:rsid w:val="00B67231"/>
    <w:rsid w:val="00B73742"/>
    <w:rsid w:val="00B8622A"/>
    <w:rsid w:val="00B914E6"/>
    <w:rsid w:val="00B95747"/>
    <w:rsid w:val="00BC4186"/>
    <w:rsid w:val="00BC5F25"/>
    <w:rsid w:val="00BD1450"/>
    <w:rsid w:val="00BD7714"/>
    <w:rsid w:val="00BD7C9B"/>
    <w:rsid w:val="00BE07C8"/>
    <w:rsid w:val="00C072F8"/>
    <w:rsid w:val="00C163D7"/>
    <w:rsid w:val="00C17D79"/>
    <w:rsid w:val="00C24A8A"/>
    <w:rsid w:val="00C27321"/>
    <w:rsid w:val="00C44474"/>
    <w:rsid w:val="00C44EB3"/>
    <w:rsid w:val="00C54722"/>
    <w:rsid w:val="00C616D7"/>
    <w:rsid w:val="00C65F70"/>
    <w:rsid w:val="00C76196"/>
    <w:rsid w:val="00C941C4"/>
    <w:rsid w:val="00C96A36"/>
    <w:rsid w:val="00CA350B"/>
    <w:rsid w:val="00CA3F60"/>
    <w:rsid w:val="00CC2EFF"/>
    <w:rsid w:val="00CC4FEF"/>
    <w:rsid w:val="00CD39F1"/>
    <w:rsid w:val="00CE1439"/>
    <w:rsid w:val="00CE7B86"/>
    <w:rsid w:val="00CF74EF"/>
    <w:rsid w:val="00D01E71"/>
    <w:rsid w:val="00D02AC8"/>
    <w:rsid w:val="00D0623C"/>
    <w:rsid w:val="00D07271"/>
    <w:rsid w:val="00D16917"/>
    <w:rsid w:val="00D64DCE"/>
    <w:rsid w:val="00D65735"/>
    <w:rsid w:val="00D73E2C"/>
    <w:rsid w:val="00D76D14"/>
    <w:rsid w:val="00DA31CB"/>
    <w:rsid w:val="00DA3D31"/>
    <w:rsid w:val="00DA4488"/>
    <w:rsid w:val="00DB2E35"/>
    <w:rsid w:val="00DC0040"/>
    <w:rsid w:val="00DC0B7B"/>
    <w:rsid w:val="00DC228E"/>
    <w:rsid w:val="00DC495B"/>
    <w:rsid w:val="00DC7181"/>
    <w:rsid w:val="00DD5D40"/>
    <w:rsid w:val="00DD6F5C"/>
    <w:rsid w:val="00DD7881"/>
    <w:rsid w:val="00DE6C87"/>
    <w:rsid w:val="00E06E11"/>
    <w:rsid w:val="00E14A1A"/>
    <w:rsid w:val="00E14E1F"/>
    <w:rsid w:val="00E2730E"/>
    <w:rsid w:val="00E4366A"/>
    <w:rsid w:val="00E438AC"/>
    <w:rsid w:val="00E51987"/>
    <w:rsid w:val="00E53FD2"/>
    <w:rsid w:val="00E5689E"/>
    <w:rsid w:val="00E60DF5"/>
    <w:rsid w:val="00E64DD3"/>
    <w:rsid w:val="00E80D33"/>
    <w:rsid w:val="00E9484C"/>
    <w:rsid w:val="00E95D8D"/>
    <w:rsid w:val="00EA6ED5"/>
    <w:rsid w:val="00EB407C"/>
    <w:rsid w:val="00EB7051"/>
    <w:rsid w:val="00EC67FC"/>
    <w:rsid w:val="00EC68EB"/>
    <w:rsid w:val="00EC7C43"/>
    <w:rsid w:val="00EE0191"/>
    <w:rsid w:val="00EE4F6A"/>
    <w:rsid w:val="00EF3EF4"/>
    <w:rsid w:val="00F012E4"/>
    <w:rsid w:val="00F0631B"/>
    <w:rsid w:val="00F248D2"/>
    <w:rsid w:val="00F27F00"/>
    <w:rsid w:val="00F33570"/>
    <w:rsid w:val="00F655F4"/>
    <w:rsid w:val="00F71153"/>
    <w:rsid w:val="00F81EB6"/>
    <w:rsid w:val="00F858D4"/>
    <w:rsid w:val="00FA0450"/>
    <w:rsid w:val="00FA4E8A"/>
    <w:rsid w:val="00FB2653"/>
    <w:rsid w:val="00FB5C49"/>
    <w:rsid w:val="00FC7B56"/>
    <w:rsid w:val="00FC7DC9"/>
    <w:rsid w:val="00FE5294"/>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2B2A27"/>
  <w15:chartTrackingRefBased/>
  <w15:docId w15:val="{AFF0F741-B4F9-CC49-91B4-47A1E90F76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60DF5"/>
    <w:rPr>
      <w:rFonts w:ascii="Arial" w:eastAsia="Times New Roman" w:hAnsi="Arial" w:cs="Times New Roman"/>
      <w:kern w:val="0"/>
      <w:lang w:val="en-GB"/>
      <w14:ligatures w14:val="none"/>
    </w:rPr>
  </w:style>
  <w:style w:type="paragraph" w:styleId="Heading1">
    <w:name w:val="heading 1"/>
    <w:basedOn w:val="Normal"/>
    <w:next w:val="Normal"/>
    <w:link w:val="Heading1Char"/>
    <w:uiPriority w:val="9"/>
    <w:qFormat/>
    <w:rsid w:val="00EB407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B407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B407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B407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B407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B407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B407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B407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B407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B407C"/>
    <w:rPr>
      <w:rFonts w:asciiTheme="majorHAnsi" w:eastAsiaTheme="majorEastAsia" w:hAnsiTheme="majorHAnsi" w:cstheme="majorBidi"/>
      <w:color w:val="2F5496" w:themeColor="accent1" w:themeShade="BF"/>
      <w:kern w:val="0"/>
      <w:sz w:val="40"/>
      <w:szCs w:val="40"/>
      <w:lang w:val="en-GB"/>
      <w14:ligatures w14:val="none"/>
    </w:rPr>
  </w:style>
  <w:style w:type="character" w:customStyle="1" w:styleId="Heading2Char">
    <w:name w:val="Heading 2 Char"/>
    <w:basedOn w:val="DefaultParagraphFont"/>
    <w:link w:val="Heading2"/>
    <w:uiPriority w:val="9"/>
    <w:rsid w:val="00EB407C"/>
    <w:rPr>
      <w:rFonts w:asciiTheme="majorHAnsi" w:eastAsiaTheme="majorEastAsia" w:hAnsiTheme="majorHAnsi" w:cstheme="majorBidi"/>
      <w:color w:val="2F5496" w:themeColor="accent1" w:themeShade="BF"/>
      <w:kern w:val="0"/>
      <w:sz w:val="32"/>
      <w:szCs w:val="32"/>
      <w:lang w:val="en-GB"/>
      <w14:ligatures w14:val="none"/>
    </w:rPr>
  </w:style>
  <w:style w:type="character" w:customStyle="1" w:styleId="Heading3Char">
    <w:name w:val="Heading 3 Char"/>
    <w:basedOn w:val="DefaultParagraphFont"/>
    <w:link w:val="Heading3"/>
    <w:uiPriority w:val="9"/>
    <w:rsid w:val="00EB407C"/>
    <w:rPr>
      <w:rFonts w:eastAsiaTheme="majorEastAsia" w:cstheme="majorBidi"/>
      <w:color w:val="2F5496" w:themeColor="accent1" w:themeShade="BF"/>
      <w:kern w:val="0"/>
      <w:sz w:val="28"/>
      <w:szCs w:val="28"/>
      <w:lang w:val="en-GB"/>
      <w14:ligatures w14:val="none"/>
    </w:rPr>
  </w:style>
  <w:style w:type="character" w:customStyle="1" w:styleId="Heading4Char">
    <w:name w:val="Heading 4 Char"/>
    <w:basedOn w:val="DefaultParagraphFont"/>
    <w:link w:val="Heading4"/>
    <w:uiPriority w:val="9"/>
    <w:rsid w:val="00EB407C"/>
    <w:rPr>
      <w:rFonts w:eastAsiaTheme="majorEastAsia" w:cstheme="majorBidi"/>
      <w:i/>
      <w:iCs/>
      <w:color w:val="2F5496" w:themeColor="accent1" w:themeShade="BF"/>
      <w:kern w:val="0"/>
      <w:lang w:val="en-GB"/>
      <w14:ligatures w14:val="none"/>
    </w:rPr>
  </w:style>
  <w:style w:type="character" w:customStyle="1" w:styleId="Heading5Char">
    <w:name w:val="Heading 5 Char"/>
    <w:basedOn w:val="DefaultParagraphFont"/>
    <w:link w:val="Heading5"/>
    <w:uiPriority w:val="9"/>
    <w:semiHidden/>
    <w:rsid w:val="00EB407C"/>
    <w:rPr>
      <w:rFonts w:eastAsiaTheme="majorEastAsia" w:cstheme="majorBidi"/>
      <w:color w:val="2F5496" w:themeColor="accent1" w:themeShade="BF"/>
      <w:kern w:val="0"/>
      <w:lang w:val="en-GB"/>
      <w14:ligatures w14:val="none"/>
    </w:rPr>
  </w:style>
  <w:style w:type="character" w:customStyle="1" w:styleId="Heading6Char">
    <w:name w:val="Heading 6 Char"/>
    <w:basedOn w:val="DefaultParagraphFont"/>
    <w:link w:val="Heading6"/>
    <w:uiPriority w:val="9"/>
    <w:semiHidden/>
    <w:rsid w:val="00EB407C"/>
    <w:rPr>
      <w:rFonts w:eastAsiaTheme="majorEastAsia" w:cstheme="majorBidi"/>
      <w:i/>
      <w:iCs/>
      <w:color w:val="595959" w:themeColor="text1" w:themeTint="A6"/>
      <w:kern w:val="0"/>
      <w:lang w:val="en-GB"/>
      <w14:ligatures w14:val="none"/>
    </w:rPr>
  </w:style>
  <w:style w:type="character" w:customStyle="1" w:styleId="Heading7Char">
    <w:name w:val="Heading 7 Char"/>
    <w:basedOn w:val="DefaultParagraphFont"/>
    <w:link w:val="Heading7"/>
    <w:uiPriority w:val="9"/>
    <w:semiHidden/>
    <w:rsid w:val="00EB407C"/>
    <w:rPr>
      <w:rFonts w:eastAsiaTheme="majorEastAsia" w:cstheme="majorBidi"/>
      <w:color w:val="595959" w:themeColor="text1" w:themeTint="A6"/>
      <w:kern w:val="0"/>
      <w:lang w:val="en-GB"/>
      <w14:ligatures w14:val="none"/>
    </w:rPr>
  </w:style>
  <w:style w:type="character" w:customStyle="1" w:styleId="Heading8Char">
    <w:name w:val="Heading 8 Char"/>
    <w:basedOn w:val="DefaultParagraphFont"/>
    <w:link w:val="Heading8"/>
    <w:uiPriority w:val="9"/>
    <w:semiHidden/>
    <w:rsid w:val="00EB407C"/>
    <w:rPr>
      <w:rFonts w:eastAsiaTheme="majorEastAsia" w:cstheme="majorBidi"/>
      <w:i/>
      <w:iCs/>
      <w:color w:val="272727" w:themeColor="text1" w:themeTint="D8"/>
      <w:kern w:val="0"/>
      <w:lang w:val="en-GB"/>
      <w14:ligatures w14:val="none"/>
    </w:rPr>
  </w:style>
  <w:style w:type="character" w:customStyle="1" w:styleId="Heading9Char">
    <w:name w:val="Heading 9 Char"/>
    <w:basedOn w:val="DefaultParagraphFont"/>
    <w:link w:val="Heading9"/>
    <w:uiPriority w:val="9"/>
    <w:semiHidden/>
    <w:rsid w:val="00EB407C"/>
    <w:rPr>
      <w:rFonts w:eastAsiaTheme="majorEastAsia" w:cstheme="majorBidi"/>
      <w:color w:val="272727" w:themeColor="text1" w:themeTint="D8"/>
      <w:kern w:val="0"/>
      <w:lang w:val="en-GB"/>
      <w14:ligatures w14:val="none"/>
    </w:rPr>
  </w:style>
  <w:style w:type="paragraph" w:styleId="Title">
    <w:name w:val="Title"/>
    <w:basedOn w:val="Normal"/>
    <w:next w:val="Normal"/>
    <w:link w:val="TitleChar"/>
    <w:uiPriority w:val="10"/>
    <w:qFormat/>
    <w:rsid w:val="00EB407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407C"/>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EB407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407C"/>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EB407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B407C"/>
    <w:rPr>
      <w:rFonts w:ascii="Arial" w:eastAsia="Times New Roman" w:hAnsi="Arial" w:cs="Times New Roman"/>
      <w:i/>
      <w:iCs/>
      <w:color w:val="404040" w:themeColor="text1" w:themeTint="BF"/>
      <w:kern w:val="0"/>
      <w:lang w:val="en-GB"/>
      <w14:ligatures w14:val="none"/>
    </w:rPr>
  </w:style>
  <w:style w:type="paragraph" w:styleId="ListParagraph">
    <w:name w:val="List Paragraph"/>
    <w:basedOn w:val="Normal"/>
    <w:uiPriority w:val="34"/>
    <w:qFormat/>
    <w:rsid w:val="00EB407C"/>
    <w:pPr>
      <w:ind w:left="720"/>
      <w:contextualSpacing/>
    </w:pPr>
  </w:style>
  <w:style w:type="character" w:styleId="IntenseEmphasis">
    <w:name w:val="Intense Emphasis"/>
    <w:basedOn w:val="DefaultParagraphFont"/>
    <w:uiPriority w:val="21"/>
    <w:qFormat/>
    <w:rsid w:val="00EB407C"/>
    <w:rPr>
      <w:i/>
      <w:iCs/>
      <w:color w:val="2F5496" w:themeColor="accent1" w:themeShade="BF"/>
    </w:rPr>
  </w:style>
  <w:style w:type="paragraph" w:styleId="IntenseQuote">
    <w:name w:val="Intense Quote"/>
    <w:basedOn w:val="Normal"/>
    <w:next w:val="Normal"/>
    <w:link w:val="IntenseQuoteChar"/>
    <w:uiPriority w:val="30"/>
    <w:qFormat/>
    <w:rsid w:val="00EB407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B407C"/>
    <w:rPr>
      <w:rFonts w:ascii="Arial" w:eastAsia="Times New Roman" w:hAnsi="Arial" w:cs="Times New Roman"/>
      <w:i/>
      <w:iCs/>
      <w:color w:val="2F5496" w:themeColor="accent1" w:themeShade="BF"/>
      <w:kern w:val="0"/>
      <w:lang w:val="en-GB"/>
      <w14:ligatures w14:val="none"/>
    </w:rPr>
  </w:style>
  <w:style w:type="character" w:styleId="IntenseReference">
    <w:name w:val="Intense Reference"/>
    <w:basedOn w:val="DefaultParagraphFont"/>
    <w:uiPriority w:val="32"/>
    <w:qFormat/>
    <w:rsid w:val="00EB407C"/>
    <w:rPr>
      <w:b/>
      <w:bCs/>
      <w:smallCaps/>
      <w:color w:val="2F5496" w:themeColor="accent1" w:themeShade="BF"/>
      <w:spacing w:val="5"/>
    </w:rPr>
  </w:style>
  <w:style w:type="character" w:styleId="Strong">
    <w:name w:val="Strong"/>
    <w:basedOn w:val="DefaultParagraphFont"/>
    <w:uiPriority w:val="22"/>
    <w:qFormat/>
    <w:rsid w:val="00016A34"/>
    <w:rPr>
      <w:b/>
      <w:bCs/>
    </w:rPr>
  </w:style>
  <w:style w:type="paragraph" w:styleId="NormalWeb">
    <w:name w:val="Normal (Web)"/>
    <w:basedOn w:val="Normal"/>
    <w:uiPriority w:val="99"/>
    <w:semiHidden/>
    <w:unhideWhenUsed/>
    <w:rsid w:val="00016A34"/>
    <w:pPr>
      <w:spacing w:before="100" w:beforeAutospacing="1" w:after="100" w:afterAutospacing="1"/>
    </w:pPr>
    <w:rPr>
      <w:rFonts w:ascii="Times New Roman" w:hAnsi="Times New Roman"/>
      <w:lang w:val="en-HK"/>
    </w:rPr>
  </w:style>
  <w:style w:type="paragraph" w:styleId="FootnoteText">
    <w:name w:val="footnote text"/>
    <w:basedOn w:val="Normal"/>
    <w:link w:val="FootnoteTextChar"/>
    <w:uiPriority w:val="99"/>
    <w:semiHidden/>
    <w:unhideWhenUsed/>
    <w:rsid w:val="00046ACD"/>
    <w:rPr>
      <w:sz w:val="20"/>
      <w:szCs w:val="20"/>
    </w:rPr>
  </w:style>
  <w:style w:type="character" w:customStyle="1" w:styleId="FootnoteTextChar">
    <w:name w:val="Footnote Text Char"/>
    <w:basedOn w:val="DefaultParagraphFont"/>
    <w:link w:val="FootnoteText"/>
    <w:uiPriority w:val="99"/>
    <w:semiHidden/>
    <w:rsid w:val="00046ACD"/>
    <w:rPr>
      <w:rFonts w:ascii="Arial" w:eastAsia="Times New Roman" w:hAnsi="Arial" w:cs="Times New Roman"/>
      <w:kern w:val="0"/>
      <w:sz w:val="20"/>
      <w:szCs w:val="20"/>
      <w:lang w:val="en-GB"/>
      <w14:ligatures w14:val="none"/>
    </w:rPr>
  </w:style>
  <w:style w:type="character" w:styleId="FootnoteReference">
    <w:name w:val="footnote reference"/>
    <w:basedOn w:val="DefaultParagraphFont"/>
    <w:uiPriority w:val="99"/>
    <w:semiHidden/>
    <w:unhideWhenUsed/>
    <w:rsid w:val="00046ACD"/>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01619499">
      <w:bodyDiv w:val="1"/>
      <w:marLeft w:val="0"/>
      <w:marRight w:val="0"/>
      <w:marTop w:val="0"/>
      <w:marBottom w:val="0"/>
      <w:divBdr>
        <w:top w:val="none" w:sz="0" w:space="0" w:color="auto"/>
        <w:left w:val="none" w:sz="0" w:space="0" w:color="auto"/>
        <w:bottom w:val="none" w:sz="0" w:space="0" w:color="auto"/>
        <w:right w:val="none" w:sz="0" w:space="0" w:color="auto"/>
      </w:divBdr>
      <w:divsChild>
        <w:div w:id="1220436230">
          <w:blockQuote w:val="1"/>
          <w:marLeft w:val="720"/>
          <w:marRight w:val="720"/>
          <w:marTop w:val="100"/>
          <w:marBottom w:val="100"/>
          <w:divBdr>
            <w:top w:val="none" w:sz="0" w:space="0" w:color="auto"/>
            <w:left w:val="none" w:sz="0" w:space="0" w:color="auto"/>
            <w:bottom w:val="none" w:sz="0" w:space="0" w:color="auto"/>
            <w:right w:val="none" w:sz="0" w:space="0" w:color="auto"/>
          </w:divBdr>
        </w:div>
        <w:div w:id="1184709889">
          <w:blockQuote w:val="1"/>
          <w:marLeft w:val="720"/>
          <w:marRight w:val="720"/>
          <w:marTop w:val="100"/>
          <w:marBottom w:val="100"/>
          <w:divBdr>
            <w:top w:val="none" w:sz="0" w:space="0" w:color="auto"/>
            <w:left w:val="none" w:sz="0" w:space="0" w:color="auto"/>
            <w:bottom w:val="none" w:sz="0" w:space="0" w:color="auto"/>
            <w:right w:val="none" w:sz="0" w:space="0" w:color="auto"/>
          </w:divBdr>
        </w:div>
        <w:div w:id="16926099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11504622">
      <w:bodyDiv w:val="1"/>
      <w:marLeft w:val="0"/>
      <w:marRight w:val="0"/>
      <w:marTop w:val="0"/>
      <w:marBottom w:val="0"/>
      <w:divBdr>
        <w:top w:val="none" w:sz="0" w:space="0" w:color="auto"/>
        <w:left w:val="none" w:sz="0" w:space="0" w:color="auto"/>
        <w:bottom w:val="none" w:sz="0" w:space="0" w:color="auto"/>
        <w:right w:val="none" w:sz="0" w:space="0" w:color="auto"/>
      </w:divBdr>
    </w:div>
    <w:div w:id="1135832712">
      <w:bodyDiv w:val="1"/>
      <w:marLeft w:val="0"/>
      <w:marRight w:val="0"/>
      <w:marTop w:val="0"/>
      <w:marBottom w:val="0"/>
      <w:divBdr>
        <w:top w:val="none" w:sz="0" w:space="0" w:color="auto"/>
        <w:left w:val="none" w:sz="0" w:space="0" w:color="auto"/>
        <w:bottom w:val="none" w:sz="0" w:space="0" w:color="auto"/>
        <w:right w:val="none" w:sz="0" w:space="0" w:color="auto"/>
      </w:divBdr>
      <w:divsChild>
        <w:div w:id="544104040">
          <w:blockQuote w:val="1"/>
          <w:marLeft w:val="720"/>
          <w:marRight w:val="720"/>
          <w:marTop w:val="100"/>
          <w:marBottom w:val="100"/>
          <w:divBdr>
            <w:top w:val="none" w:sz="0" w:space="0" w:color="auto"/>
            <w:left w:val="none" w:sz="0" w:space="0" w:color="auto"/>
            <w:bottom w:val="none" w:sz="0" w:space="0" w:color="auto"/>
            <w:right w:val="none" w:sz="0" w:space="0" w:color="auto"/>
          </w:divBdr>
        </w:div>
        <w:div w:id="1290209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61592555">
      <w:bodyDiv w:val="1"/>
      <w:marLeft w:val="0"/>
      <w:marRight w:val="0"/>
      <w:marTop w:val="0"/>
      <w:marBottom w:val="0"/>
      <w:divBdr>
        <w:top w:val="none" w:sz="0" w:space="0" w:color="auto"/>
        <w:left w:val="none" w:sz="0" w:space="0" w:color="auto"/>
        <w:bottom w:val="none" w:sz="0" w:space="0" w:color="auto"/>
        <w:right w:val="none" w:sz="0" w:space="0" w:color="auto"/>
      </w:divBdr>
      <w:divsChild>
        <w:div w:id="763765771">
          <w:blockQuote w:val="1"/>
          <w:marLeft w:val="720"/>
          <w:marRight w:val="720"/>
          <w:marTop w:val="100"/>
          <w:marBottom w:val="100"/>
          <w:divBdr>
            <w:top w:val="none" w:sz="0" w:space="0" w:color="auto"/>
            <w:left w:val="none" w:sz="0" w:space="0" w:color="auto"/>
            <w:bottom w:val="none" w:sz="0" w:space="0" w:color="auto"/>
            <w:right w:val="none" w:sz="0" w:space="0" w:color="auto"/>
          </w:divBdr>
        </w:div>
        <w:div w:id="1480078148">
          <w:blockQuote w:val="1"/>
          <w:marLeft w:val="720"/>
          <w:marRight w:val="720"/>
          <w:marTop w:val="100"/>
          <w:marBottom w:val="100"/>
          <w:divBdr>
            <w:top w:val="none" w:sz="0" w:space="0" w:color="auto"/>
            <w:left w:val="none" w:sz="0" w:space="0" w:color="auto"/>
            <w:bottom w:val="none" w:sz="0" w:space="0" w:color="auto"/>
            <w:right w:val="none" w:sz="0" w:space="0" w:color="auto"/>
          </w:divBdr>
        </w:div>
        <w:div w:id="1565993595">
          <w:blockQuote w:val="1"/>
          <w:marLeft w:val="720"/>
          <w:marRight w:val="720"/>
          <w:marTop w:val="100"/>
          <w:marBottom w:val="100"/>
          <w:divBdr>
            <w:top w:val="none" w:sz="0" w:space="0" w:color="auto"/>
            <w:left w:val="none" w:sz="0" w:space="0" w:color="auto"/>
            <w:bottom w:val="none" w:sz="0" w:space="0" w:color="auto"/>
            <w:right w:val="none" w:sz="0" w:space="0" w:color="auto"/>
          </w:divBdr>
        </w:div>
        <w:div w:id="572156963">
          <w:blockQuote w:val="1"/>
          <w:marLeft w:val="720"/>
          <w:marRight w:val="720"/>
          <w:marTop w:val="100"/>
          <w:marBottom w:val="100"/>
          <w:divBdr>
            <w:top w:val="none" w:sz="0" w:space="0" w:color="auto"/>
            <w:left w:val="none" w:sz="0" w:space="0" w:color="auto"/>
            <w:bottom w:val="none" w:sz="0" w:space="0" w:color="auto"/>
            <w:right w:val="none" w:sz="0" w:space="0" w:color="auto"/>
          </w:divBdr>
        </w:div>
        <w:div w:id="8962790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4554B0-7B82-9343-92F4-C065C5EBC5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2283</Words>
  <Characters>13017</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15270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TSANG, AGNES H.L. (Student)</dc:creator>
  <cp:keywords/>
  <dc:description/>
  <cp:lastModifiedBy>TSANG, AGNES H.L. (Student)</cp:lastModifiedBy>
  <cp:revision>2</cp:revision>
  <dcterms:created xsi:type="dcterms:W3CDTF">2025-02-23T12:51:00Z</dcterms:created>
  <dcterms:modified xsi:type="dcterms:W3CDTF">2025-02-24T11:15:00Z</dcterms:modified>
</cp:coreProperties>
</file>