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55143A" w14:textId="1B655871" w:rsidR="005E49C6" w:rsidRDefault="005E49C6" w:rsidP="005E49C6">
      <w:pPr>
        <w:spacing w:after="240" w:line="360" w:lineRule="auto"/>
        <w:outlineLvl w:val="3"/>
        <w:rPr>
          <w:rFonts w:ascii="Times New Roman" w:hAnsi="Times New Roman"/>
          <w:b/>
          <w:bCs/>
          <w:lang w:val="en-HK"/>
        </w:rPr>
      </w:pPr>
      <w:r w:rsidRPr="005E49C6">
        <w:rPr>
          <w:rFonts w:ascii="Times New Roman" w:hAnsi="Times New Roman"/>
          <w:b/>
          <w:bCs/>
          <w:lang w:val="en-HK"/>
        </w:rPr>
        <w:t>Introduction and Purpose</w:t>
      </w:r>
    </w:p>
    <w:p w14:paraId="166B27EE" w14:textId="07C0965D" w:rsidR="005E49C6" w:rsidRPr="005E49C6" w:rsidRDefault="005E49C6" w:rsidP="005E49C6">
      <w:pPr>
        <w:spacing w:after="240" w:line="360" w:lineRule="auto"/>
        <w:outlineLvl w:val="3"/>
        <w:rPr>
          <w:rFonts w:ascii="Times New Roman" w:hAnsi="Times New Roman"/>
          <w:b/>
          <w:bCs/>
          <w:lang w:val="en-HK"/>
        </w:rPr>
      </w:pPr>
      <w:r w:rsidRPr="005E49C6">
        <w:rPr>
          <w:rFonts w:ascii="Times New Roman" w:hAnsi="Times New Roman"/>
          <w:lang w:val="en-HK"/>
        </w:rPr>
        <w:t xml:space="preserve">Desmond Ryan’s article assesses the Privy Council’s decision in </w:t>
      </w:r>
      <w:r w:rsidRPr="005E49C6">
        <w:rPr>
          <w:rFonts w:ascii="Times New Roman" w:hAnsi="Times New Roman"/>
          <w:i/>
          <w:iCs/>
          <w:lang w:val="en-HK"/>
        </w:rPr>
        <w:t xml:space="preserve">Barlow Clowes International Ltd (In Liquidation) v </w:t>
      </w:r>
      <w:proofErr w:type="spellStart"/>
      <w:r w:rsidRPr="005E49C6">
        <w:rPr>
          <w:rFonts w:ascii="Times New Roman" w:hAnsi="Times New Roman"/>
          <w:i/>
          <w:iCs/>
          <w:lang w:val="en-HK"/>
        </w:rPr>
        <w:t>Eurotrust</w:t>
      </w:r>
      <w:proofErr w:type="spellEnd"/>
      <w:r w:rsidRPr="005E49C6">
        <w:rPr>
          <w:rFonts w:ascii="Times New Roman" w:hAnsi="Times New Roman"/>
          <w:i/>
          <w:iCs/>
          <w:lang w:val="en-HK"/>
        </w:rPr>
        <w:t xml:space="preserve"> International Ltd</w:t>
      </w:r>
      <w:r w:rsidRPr="005E49C6">
        <w:rPr>
          <w:rFonts w:ascii="Times New Roman" w:hAnsi="Times New Roman"/>
          <w:lang w:val="en-HK"/>
        </w:rPr>
        <w:t xml:space="preserve"> [2005] UKPC 37, exploring whether it resolves the ambiguity in the test for dishonest assistance established by </w:t>
      </w:r>
      <w:r w:rsidRPr="005E49C6">
        <w:rPr>
          <w:rFonts w:ascii="Times New Roman" w:hAnsi="Times New Roman"/>
          <w:i/>
          <w:iCs/>
          <w:lang w:val="en-HK"/>
        </w:rPr>
        <w:t xml:space="preserve">Royal Brunei Airlines </w:t>
      </w:r>
      <w:proofErr w:type="spellStart"/>
      <w:r w:rsidRPr="005E49C6">
        <w:rPr>
          <w:rFonts w:ascii="Times New Roman" w:hAnsi="Times New Roman"/>
          <w:i/>
          <w:iCs/>
          <w:lang w:val="en-HK"/>
        </w:rPr>
        <w:t>Sdn</w:t>
      </w:r>
      <w:proofErr w:type="spellEnd"/>
      <w:r w:rsidRPr="005E49C6">
        <w:rPr>
          <w:rFonts w:ascii="Times New Roman" w:hAnsi="Times New Roman"/>
          <w:i/>
          <w:iCs/>
          <w:lang w:val="en-HK"/>
        </w:rPr>
        <w:t xml:space="preserve"> </w:t>
      </w:r>
      <w:proofErr w:type="spellStart"/>
      <w:r w:rsidRPr="005E49C6">
        <w:rPr>
          <w:rFonts w:ascii="Times New Roman" w:hAnsi="Times New Roman"/>
          <w:i/>
          <w:iCs/>
          <w:lang w:val="en-HK"/>
        </w:rPr>
        <w:t>Bhd</w:t>
      </w:r>
      <w:proofErr w:type="spellEnd"/>
      <w:r w:rsidRPr="005E49C6">
        <w:rPr>
          <w:rFonts w:ascii="Times New Roman" w:hAnsi="Times New Roman"/>
          <w:i/>
          <w:iCs/>
          <w:lang w:val="en-HK"/>
        </w:rPr>
        <w:t xml:space="preserve"> v Tan</w:t>
      </w:r>
      <w:r w:rsidRPr="005E49C6">
        <w:rPr>
          <w:rFonts w:ascii="Times New Roman" w:hAnsi="Times New Roman"/>
          <w:lang w:val="en-HK"/>
        </w:rPr>
        <w:t xml:space="preserve"> [1995] 2 A.C. 378, particularly after the confusion introduced by </w:t>
      </w:r>
      <w:proofErr w:type="spellStart"/>
      <w:r w:rsidRPr="005E49C6">
        <w:rPr>
          <w:rFonts w:ascii="Times New Roman" w:hAnsi="Times New Roman"/>
          <w:i/>
          <w:iCs/>
          <w:lang w:val="en-HK"/>
        </w:rPr>
        <w:t>Twinsectra</w:t>
      </w:r>
      <w:proofErr w:type="spellEnd"/>
      <w:r w:rsidRPr="005E49C6">
        <w:rPr>
          <w:rFonts w:ascii="Times New Roman" w:hAnsi="Times New Roman"/>
          <w:i/>
          <w:iCs/>
          <w:lang w:val="en-HK"/>
        </w:rPr>
        <w:t xml:space="preserve"> Ltd v Yardley</w:t>
      </w:r>
      <w:r w:rsidRPr="005E49C6">
        <w:rPr>
          <w:rFonts w:ascii="Times New Roman" w:hAnsi="Times New Roman"/>
          <w:lang w:val="en-HK"/>
        </w:rPr>
        <w:t xml:space="preserve"> [2002] UKHL 12. Ryan traces the evolution of this test, culminating in </w:t>
      </w:r>
      <w:r w:rsidRPr="005E49C6">
        <w:rPr>
          <w:rFonts w:ascii="Times New Roman" w:hAnsi="Times New Roman"/>
          <w:i/>
          <w:iCs/>
          <w:lang w:val="en-HK"/>
        </w:rPr>
        <w:t>Barlow Clowes</w:t>
      </w:r>
      <w:r w:rsidRPr="005E49C6">
        <w:rPr>
          <w:rFonts w:ascii="Times New Roman" w:hAnsi="Times New Roman"/>
          <w:lang w:val="en-HK"/>
        </w:rPr>
        <w:t>, and evaluates its impact on trusts law.</w:t>
      </w:r>
    </w:p>
    <w:p w14:paraId="4A3A847A" w14:textId="77777777" w:rsidR="00EB7412" w:rsidRPr="00EB7412" w:rsidRDefault="00EB7412" w:rsidP="005E49C6">
      <w:pPr>
        <w:spacing w:after="240" w:line="360" w:lineRule="auto"/>
        <w:rPr>
          <w:rFonts w:ascii="Times New Roman" w:hAnsi="Times New Roman"/>
          <w:b/>
          <w:bCs/>
          <w:i/>
          <w:iCs/>
          <w:color w:val="FF0000"/>
          <w:lang w:val="en-HK"/>
        </w:rPr>
      </w:pPr>
    </w:p>
    <w:p w14:paraId="27E7966D" w14:textId="1BF612C3" w:rsidR="005E49C6" w:rsidRPr="005E49C6" w:rsidRDefault="00EB7412" w:rsidP="005E49C6">
      <w:pPr>
        <w:spacing w:after="240" w:line="360" w:lineRule="auto"/>
        <w:rPr>
          <w:rFonts w:ascii="Times New Roman" w:hAnsi="Times New Roman"/>
          <w:b/>
          <w:bCs/>
          <w:color w:val="FF0000"/>
          <w:lang w:val="en-HK"/>
        </w:rPr>
      </w:pPr>
      <w:r w:rsidRPr="005E49C6">
        <w:rPr>
          <w:rFonts w:ascii="Times New Roman" w:hAnsi="Times New Roman"/>
          <w:b/>
          <w:bCs/>
          <w:i/>
          <w:iCs/>
          <w:color w:val="FF0000"/>
          <w:lang w:val="en-HK"/>
        </w:rPr>
        <w:t xml:space="preserve">Barlow Clowes International Ltd (In Liquidation) v </w:t>
      </w:r>
      <w:proofErr w:type="spellStart"/>
      <w:r w:rsidRPr="005E49C6">
        <w:rPr>
          <w:rFonts w:ascii="Times New Roman" w:hAnsi="Times New Roman"/>
          <w:b/>
          <w:bCs/>
          <w:i/>
          <w:iCs/>
          <w:color w:val="FF0000"/>
          <w:lang w:val="en-HK"/>
        </w:rPr>
        <w:t>Eurotrust</w:t>
      </w:r>
      <w:proofErr w:type="spellEnd"/>
      <w:r w:rsidRPr="005E49C6">
        <w:rPr>
          <w:rFonts w:ascii="Times New Roman" w:hAnsi="Times New Roman"/>
          <w:b/>
          <w:bCs/>
          <w:i/>
          <w:iCs/>
          <w:color w:val="FF0000"/>
          <w:lang w:val="en-HK"/>
        </w:rPr>
        <w:t xml:space="preserve"> International Ltd</w:t>
      </w:r>
    </w:p>
    <w:p w14:paraId="7A829994" w14:textId="77777777" w:rsidR="005E49C6" w:rsidRPr="005E49C6" w:rsidRDefault="005E49C6" w:rsidP="005E49C6">
      <w:pPr>
        <w:spacing w:after="240" w:line="360" w:lineRule="auto"/>
        <w:outlineLvl w:val="3"/>
        <w:rPr>
          <w:rFonts w:ascii="Times New Roman" w:hAnsi="Times New Roman"/>
          <w:b/>
          <w:bCs/>
          <w:lang w:val="en-HK"/>
        </w:rPr>
      </w:pPr>
      <w:r w:rsidRPr="005E49C6">
        <w:rPr>
          <w:rFonts w:ascii="Times New Roman" w:hAnsi="Times New Roman"/>
          <w:b/>
          <w:bCs/>
          <w:lang w:val="en-HK"/>
        </w:rPr>
        <w:t>Factual Background and Lower Court Proceedings</w:t>
      </w:r>
    </w:p>
    <w:p w14:paraId="72B4D2CD" w14:textId="77777777" w:rsidR="005E49C6" w:rsidRPr="005E49C6" w:rsidRDefault="005E49C6" w:rsidP="005E49C6">
      <w:pPr>
        <w:spacing w:after="240" w:line="360" w:lineRule="auto"/>
        <w:rPr>
          <w:rFonts w:ascii="Times New Roman" w:hAnsi="Times New Roman"/>
          <w:lang w:val="en-HK"/>
        </w:rPr>
      </w:pPr>
      <w:r w:rsidRPr="005E49C6">
        <w:rPr>
          <w:rFonts w:ascii="Times New Roman" w:hAnsi="Times New Roman"/>
          <w:b/>
          <w:bCs/>
          <w:lang w:val="en-HK"/>
        </w:rPr>
        <w:t>Facts</w:t>
      </w:r>
      <w:r w:rsidRPr="005E49C6">
        <w:rPr>
          <w:rFonts w:ascii="Times New Roman" w:hAnsi="Times New Roman"/>
          <w:lang w:val="en-HK"/>
        </w:rPr>
        <w:t xml:space="preserve">: In the mid-1980s, Barlow Clowes International Ltd (BCI Ltd), a Gibraltar-based company, operated a fraudulent investment scheme promising high returns on UK gilt-edged securities. Funds from investors were </w:t>
      </w:r>
      <w:proofErr w:type="spellStart"/>
      <w:r w:rsidRPr="005E49C6">
        <w:rPr>
          <w:rFonts w:ascii="Times New Roman" w:hAnsi="Times New Roman"/>
          <w:lang w:val="en-HK"/>
        </w:rPr>
        <w:t>channeled</w:t>
      </w:r>
      <w:proofErr w:type="spellEnd"/>
      <w:r w:rsidRPr="005E49C6">
        <w:rPr>
          <w:rFonts w:ascii="Times New Roman" w:hAnsi="Times New Roman"/>
          <w:lang w:val="en-HK"/>
        </w:rPr>
        <w:t xml:space="preserve"> through bank accounts managed by </w:t>
      </w:r>
      <w:proofErr w:type="spellStart"/>
      <w:r w:rsidRPr="005E49C6">
        <w:rPr>
          <w:rFonts w:ascii="Times New Roman" w:hAnsi="Times New Roman"/>
          <w:lang w:val="en-HK"/>
        </w:rPr>
        <w:t>Eurotrust</w:t>
      </w:r>
      <w:proofErr w:type="spellEnd"/>
      <w:r w:rsidRPr="005E49C6">
        <w:rPr>
          <w:rFonts w:ascii="Times New Roman" w:hAnsi="Times New Roman"/>
          <w:lang w:val="en-HK"/>
        </w:rPr>
        <w:t xml:space="preserve"> Securities (</w:t>
      </w:r>
      <w:proofErr w:type="spellStart"/>
      <w:r w:rsidRPr="005E49C6">
        <w:rPr>
          <w:rFonts w:ascii="Times New Roman" w:hAnsi="Times New Roman"/>
          <w:lang w:val="en-HK"/>
        </w:rPr>
        <w:t>Eurotrust</w:t>
      </w:r>
      <w:proofErr w:type="spellEnd"/>
      <w:r w:rsidRPr="005E49C6">
        <w:rPr>
          <w:rFonts w:ascii="Times New Roman" w:hAnsi="Times New Roman"/>
          <w:lang w:val="en-HK"/>
        </w:rPr>
        <w:t xml:space="preserve">), an Isle of Man company providing offshore financial services, during 1987. The second and third defendants were </w:t>
      </w:r>
      <w:proofErr w:type="spellStart"/>
      <w:r w:rsidRPr="005E49C6">
        <w:rPr>
          <w:rFonts w:ascii="Times New Roman" w:hAnsi="Times New Roman"/>
          <w:lang w:val="en-HK"/>
        </w:rPr>
        <w:t>Eurotrust’s</w:t>
      </w:r>
      <w:proofErr w:type="spellEnd"/>
      <w:r w:rsidRPr="005E49C6">
        <w:rPr>
          <w:rFonts w:ascii="Times New Roman" w:hAnsi="Times New Roman"/>
          <w:lang w:val="en-HK"/>
        </w:rPr>
        <w:t xml:space="preserve"> principal directors, with the second defendant, Mr. Henwood, being a focal point of the litigation. BCI Ltd, in liquidation, alleged that </w:t>
      </w:r>
      <w:proofErr w:type="spellStart"/>
      <w:r w:rsidRPr="005E49C6">
        <w:rPr>
          <w:rFonts w:ascii="Times New Roman" w:hAnsi="Times New Roman"/>
          <w:lang w:val="en-HK"/>
        </w:rPr>
        <w:t>Eurotrust</w:t>
      </w:r>
      <w:proofErr w:type="spellEnd"/>
      <w:r w:rsidRPr="005E49C6">
        <w:rPr>
          <w:rFonts w:ascii="Times New Roman" w:hAnsi="Times New Roman"/>
          <w:lang w:val="en-HK"/>
        </w:rPr>
        <w:t xml:space="preserve"> and its directors dishonestly assisted in misappropriating investors’ funds by facilitating their disposal for personal use by the scheme’s orchestrator, C, and his associate (Conv. 2006, Mar/Apr, 192).</w:t>
      </w:r>
    </w:p>
    <w:p w14:paraId="350AD0A2" w14:textId="77777777" w:rsidR="005E49C6" w:rsidRPr="005E49C6" w:rsidRDefault="005E49C6" w:rsidP="005E49C6">
      <w:pPr>
        <w:spacing w:after="240" w:line="360" w:lineRule="auto"/>
        <w:rPr>
          <w:rFonts w:ascii="Times New Roman" w:hAnsi="Times New Roman"/>
          <w:lang w:val="en-HK"/>
        </w:rPr>
      </w:pPr>
      <w:r w:rsidRPr="005E49C6">
        <w:rPr>
          <w:rFonts w:ascii="Times New Roman" w:hAnsi="Times New Roman"/>
          <w:b/>
          <w:bCs/>
          <w:lang w:val="en-HK"/>
        </w:rPr>
        <w:t>Trial Decision</w:t>
      </w:r>
      <w:r w:rsidRPr="005E49C6">
        <w:rPr>
          <w:rFonts w:ascii="Times New Roman" w:hAnsi="Times New Roman"/>
          <w:lang w:val="en-HK"/>
        </w:rPr>
        <w:t xml:space="preserve">: In the High Court of the Isle of Man, Acting Deemster Hazel Williamson QC found Mr. Henwood liable for dishonest assistance ([2004] W.T.L.R. 1365, cited at Conv. 2006, Mar/Apr, 192-193). She determined that from June 1987, Henwood strongly suspected the funds were from investors misled into believing they were subscribing to a gilt scheme, yet he consciously avoided inquiries to evade confirming the truth. She noted, </w:t>
      </w:r>
      <w:r w:rsidRPr="005E49C6">
        <w:rPr>
          <w:rFonts w:ascii="Times New Roman" w:hAnsi="Times New Roman"/>
          <w:b/>
          <w:bCs/>
          <w:lang w:val="en-HK"/>
        </w:rPr>
        <w:t>No honest person could have assisted C and his associate to dispose of the funds for their personal use</w:t>
      </w:r>
      <w:r w:rsidRPr="005E49C6">
        <w:rPr>
          <w:rFonts w:ascii="Times New Roman" w:hAnsi="Times New Roman"/>
          <w:lang w:val="en-HK"/>
        </w:rPr>
        <w:t xml:space="preserve"> (Conv. 2006, Mar/Apr, 193). Despite this, Henwood adhered to a warped moral approach, </w:t>
      </w:r>
      <w:r w:rsidRPr="005E49C6">
        <w:rPr>
          <w:rFonts w:ascii="Times New Roman" w:hAnsi="Times New Roman"/>
          <w:b/>
          <w:bCs/>
          <w:color w:val="FF0000"/>
          <w:lang w:val="en-HK"/>
        </w:rPr>
        <w:t>prioritizing client instructions over propriety, believing this to be honest—an attitude deemed dishonest by ordinary standards</w:t>
      </w:r>
      <w:r w:rsidRPr="005E49C6">
        <w:rPr>
          <w:rFonts w:ascii="Times New Roman" w:hAnsi="Times New Roman"/>
          <w:lang w:val="en-HK"/>
        </w:rPr>
        <w:t xml:space="preserve"> (ibid., citing [2004] W.T.L.R. 1365 at 1401).</w:t>
      </w:r>
    </w:p>
    <w:p w14:paraId="48328D59" w14:textId="77777777" w:rsidR="005E49C6" w:rsidRPr="005E49C6" w:rsidRDefault="005E49C6" w:rsidP="005E49C6">
      <w:pPr>
        <w:spacing w:after="240" w:line="360" w:lineRule="auto"/>
        <w:rPr>
          <w:rFonts w:ascii="Times New Roman" w:hAnsi="Times New Roman"/>
          <w:lang w:val="en-HK"/>
        </w:rPr>
      </w:pPr>
      <w:r w:rsidRPr="005E49C6">
        <w:rPr>
          <w:rFonts w:ascii="Times New Roman" w:hAnsi="Times New Roman"/>
          <w:b/>
          <w:bCs/>
          <w:lang w:val="en-HK"/>
        </w:rPr>
        <w:lastRenderedPageBreak/>
        <w:t>Appeal to Staff of Government Division</w:t>
      </w:r>
      <w:r w:rsidRPr="005E49C6">
        <w:rPr>
          <w:rFonts w:ascii="Times New Roman" w:hAnsi="Times New Roman"/>
          <w:lang w:val="en-HK"/>
        </w:rPr>
        <w:t>: The first and third defendants’ appeals were dismissed, but Mr. Henwood’s appeal succeeded, with the court finding insufficient evidence to support the deemster’s conclusion of dishonesty (Conv. 2006, Mar/Apr, 193).</w:t>
      </w:r>
    </w:p>
    <w:p w14:paraId="56656A85" w14:textId="77777777" w:rsidR="005E49C6" w:rsidRPr="005E49C6" w:rsidRDefault="005E49C6" w:rsidP="005E49C6">
      <w:pPr>
        <w:spacing w:after="240" w:line="360" w:lineRule="auto"/>
        <w:rPr>
          <w:rFonts w:ascii="Times New Roman" w:hAnsi="Times New Roman"/>
          <w:lang w:val="en-HK"/>
        </w:rPr>
      </w:pPr>
    </w:p>
    <w:p w14:paraId="0BB44C55" w14:textId="77777777" w:rsidR="005E49C6" w:rsidRPr="005E49C6" w:rsidRDefault="005E49C6" w:rsidP="005E49C6">
      <w:pPr>
        <w:spacing w:after="240" w:line="360" w:lineRule="auto"/>
        <w:outlineLvl w:val="3"/>
        <w:rPr>
          <w:rFonts w:ascii="Times New Roman" w:hAnsi="Times New Roman"/>
          <w:b/>
          <w:bCs/>
          <w:lang w:val="en-HK"/>
        </w:rPr>
      </w:pPr>
      <w:r w:rsidRPr="005E49C6">
        <w:rPr>
          <w:rFonts w:ascii="Times New Roman" w:hAnsi="Times New Roman"/>
          <w:b/>
          <w:bCs/>
          <w:lang w:val="en-HK"/>
        </w:rPr>
        <w:t>Privy Council Appeal and Key Legal Issue</w:t>
      </w:r>
    </w:p>
    <w:p w14:paraId="3AF44D1C" w14:textId="77777777" w:rsidR="005E49C6" w:rsidRPr="005E49C6" w:rsidRDefault="005E49C6" w:rsidP="005E49C6">
      <w:pPr>
        <w:spacing w:after="240" w:line="360" w:lineRule="auto"/>
        <w:rPr>
          <w:rFonts w:ascii="Times New Roman" w:hAnsi="Times New Roman"/>
          <w:lang w:val="en-HK"/>
        </w:rPr>
      </w:pPr>
      <w:r w:rsidRPr="005E49C6">
        <w:rPr>
          <w:rFonts w:ascii="Times New Roman" w:hAnsi="Times New Roman"/>
          <w:b/>
          <w:bCs/>
          <w:lang w:val="en-HK"/>
        </w:rPr>
        <w:t>Appeal</w:t>
      </w:r>
      <w:r w:rsidRPr="005E49C6">
        <w:rPr>
          <w:rFonts w:ascii="Times New Roman" w:hAnsi="Times New Roman"/>
          <w:lang w:val="en-HK"/>
        </w:rPr>
        <w:t xml:space="preserve">: BCI Ltd appealed to the Privy Council, challenging the overturning of Henwood’s liability. The central issue was whether Henwood’s state of mind, as found by the deemster, satisfied the </w:t>
      </w:r>
      <w:r w:rsidRPr="005E49C6">
        <w:rPr>
          <w:rFonts w:ascii="Times New Roman" w:hAnsi="Times New Roman"/>
          <w:i/>
          <w:iCs/>
          <w:lang w:val="en-HK"/>
        </w:rPr>
        <w:t>Royal Brunei</w:t>
      </w:r>
      <w:r w:rsidRPr="005E49C6">
        <w:rPr>
          <w:rFonts w:ascii="Times New Roman" w:hAnsi="Times New Roman"/>
          <w:lang w:val="en-HK"/>
        </w:rPr>
        <w:t xml:space="preserve"> test for dishonesty, particularly in light of </w:t>
      </w:r>
      <w:proofErr w:type="spellStart"/>
      <w:r w:rsidRPr="005E49C6">
        <w:rPr>
          <w:rFonts w:ascii="Times New Roman" w:hAnsi="Times New Roman"/>
          <w:i/>
          <w:iCs/>
          <w:lang w:val="en-HK"/>
        </w:rPr>
        <w:t>Twinsectra</w:t>
      </w:r>
      <w:r w:rsidRPr="005E49C6">
        <w:rPr>
          <w:rFonts w:ascii="Times New Roman" w:hAnsi="Times New Roman"/>
          <w:lang w:val="en-HK"/>
        </w:rPr>
        <w:t>’s</w:t>
      </w:r>
      <w:proofErr w:type="spellEnd"/>
      <w:r w:rsidRPr="005E49C6">
        <w:rPr>
          <w:rFonts w:ascii="Times New Roman" w:hAnsi="Times New Roman"/>
          <w:lang w:val="en-HK"/>
        </w:rPr>
        <w:t xml:space="preserve"> apparent subjective requirement (Conv. 2006, Mar/Apr, 193).</w:t>
      </w:r>
    </w:p>
    <w:p w14:paraId="1193570F" w14:textId="77777777" w:rsidR="005E49C6" w:rsidRPr="005E49C6" w:rsidRDefault="005E49C6" w:rsidP="005E49C6">
      <w:pPr>
        <w:spacing w:after="240" w:line="360" w:lineRule="auto"/>
        <w:rPr>
          <w:rFonts w:ascii="Times New Roman" w:hAnsi="Times New Roman"/>
          <w:lang w:val="en-HK"/>
        </w:rPr>
      </w:pPr>
      <w:r w:rsidRPr="005E49C6">
        <w:rPr>
          <w:rFonts w:ascii="Times New Roman" w:hAnsi="Times New Roman"/>
          <w:b/>
          <w:bCs/>
          <w:lang w:val="en-HK"/>
        </w:rPr>
        <w:t>Counsel’s Argument</w:t>
      </w:r>
      <w:r w:rsidRPr="005E49C6">
        <w:rPr>
          <w:rFonts w:ascii="Times New Roman" w:hAnsi="Times New Roman"/>
          <w:lang w:val="en-HK"/>
        </w:rPr>
        <w:t xml:space="preserve">: Henwood’s counsel argued that dishonesty required awareness that his conduct would be deemed dishonest by ordinary standards, citing Lords Hutton and Hoffmann in </w:t>
      </w:r>
      <w:proofErr w:type="spellStart"/>
      <w:r w:rsidRPr="005E49C6">
        <w:rPr>
          <w:rFonts w:ascii="Times New Roman" w:hAnsi="Times New Roman"/>
          <w:i/>
          <w:iCs/>
          <w:lang w:val="en-HK"/>
        </w:rPr>
        <w:t>Twinsectra</w:t>
      </w:r>
      <w:proofErr w:type="spellEnd"/>
      <w:r w:rsidRPr="005E49C6">
        <w:rPr>
          <w:rFonts w:ascii="Times New Roman" w:hAnsi="Times New Roman"/>
          <w:lang w:val="en-HK"/>
        </w:rPr>
        <w:t>. Since the deemster found only that Henwood’s standards differed from the norm, without evidence he appreciated his actions’ dishonesty, counsel contended he was not consciously dishonest (Conv. 2006, Mar/Apr, 193-194).</w:t>
      </w:r>
    </w:p>
    <w:p w14:paraId="5C7F9052" w14:textId="77777777" w:rsidR="005E49C6" w:rsidRPr="005E49C6" w:rsidRDefault="005E49C6" w:rsidP="005E49C6">
      <w:pPr>
        <w:spacing w:after="240" w:line="360" w:lineRule="auto"/>
        <w:ind w:left="720"/>
        <w:rPr>
          <w:rFonts w:ascii="Times New Roman" w:hAnsi="Times New Roman"/>
          <w:lang w:val="en-HK"/>
        </w:rPr>
      </w:pPr>
    </w:p>
    <w:p w14:paraId="24D08AA2" w14:textId="77777777" w:rsidR="005E49C6" w:rsidRPr="005E49C6" w:rsidRDefault="005E49C6" w:rsidP="005E49C6">
      <w:pPr>
        <w:spacing w:after="240" w:line="360" w:lineRule="auto"/>
        <w:outlineLvl w:val="3"/>
        <w:rPr>
          <w:rFonts w:ascii="Times New Roman" w:hAnsi="Times New Roman"/>
          <w:b/>
          <w:bCs/>
          <w:lang w:val="en-HK"/>
        </w:rPr>
      </w:pPr>
      <w:r w:rsidRPr="005E49C6">
        <w:rPr>
          <w:rFonts w:ascii="Times New Roman" w:hAnsi="Times New Roman"/>
          <w:b/>
          <w:bCs/>
          <w:lang w:val="en-HK"/>
        </w:rPr>
        <w:t xml:space="preserve">Judicial Reasoning and Holding in </w:t>
      </w:r>
      <w:r w:rsidRPr="005E49C6">
        <w:rPr>
          <w:rFonts w:ascii="Times New Roman" w:hAnsi="Times New Roman"/>
          <w:b/>
          <w:bCs/>
          <w:i/>
          <w:iCs/>
          <w:lang w:val="en-HK"/>
        </w:rPr>
        <w:t>Barlow Clowes</w:t>
      </w:r>
    </w:p>
    <w:p w14:paraId="4B6D2FB8" w14:textId="77777777" w:rsidR="005E49C6" w:rsidRPr="005E49C6" w:rsidRDefault="005E49C6" w:rsidP="005E49C6">
      <w:pPr>
        <w:spacing w:after="240" w:line="360" w:lineRule="auto"/>
        <w:rPr>
          <w:rFonts w:ascii="Times New Roman" w:hAnsi="Times New Roman"/>
          <w:lang w:val="en-HK"/>
        </w:rPr>
      </w:pPr>
      <w:r w:rsidRPr="005E49C6">
        <w:rPr>
          <w:rFonts w:ascii="Times New Roman" w:hAnsi="Times New Roman"/>
          <w:b/>
          <w:bCs/>
          <w:lang w:val="en-HK"/>
        </w:rPr>
        <w:t>Privy Council’s Decision</w:t>
      </w:r>
      <w:r w:rsidRPr="005E49C6">
        <w:rPr>
          <w:rFonts w:ascii="Times New Roman" w:hAnsi="Times New Roman"/>
          <w:lang w:val="en-HK"/>
        </w:rPr>
        <w:t xml:space="preserve">: A unanimous Judicial Committee, including Lords Nicholls and Hoffmann, rejected this argument and restored the deemster’s finding of Henwood’s liability (Conv. 2006, Mar/Apr, 194). Lord Hoffmann delivered the advice, clarifying the </w:t>
      </w:r>
      <w:r w:rsidRPr="005E49C6">
        <w:rPr>
          <w:rFonts w:ascii="Times New Roman" w:hAnsi="Times New Roman"/>
          <w:i/>
          <w:iCs/>
          <w:lang w:val="en-HK"/>
        </w:rPr>
        <w:t>Royal Brunei</w:t>
      </w:r>
      <w:r w:rsidRPr="005E49C6">
        <w:rPr>
          <w:rFonts w:ascii="Times New Roman" w:hAnsi="Times New Roman"/>
          <w:lang w:val="en-HK"/>
        </w:rPr>
        <w:t xml:space="preserve"> test and addressing </w:t>
      </w:r>
      <w:proofErr w:type="spellStart"/>
      <w:r w:rsidRPr="005E49C6">
        <w:rPr>
          <w:rFonts w:ascii="Times New Roman" w:hAnsi="Times New Roman"/>
          <w:i/>
          <w:iCs/>
          <w:lang w:val="en-HK"/>
        </w:rPr>
        <w:t>Twinsectra</w:t>
      </w:r>
      <w:r w:rsidRPr="005E49C6">
        <w:rPr>
          <w:rFonts w:ascii="Times New Roman" w:hAnsi="Times New Roman"/>
          <w:lang w:val="en-HK"/>
        </w:rPr>
        <w:t>’s</w:t>
      </w:r>
      <w:proofErr w:type="spellEnd"/>
      <w:r w:rsidRPr="005E49C6">
        <w:rPr>
          <w:rFonts w:ascii="Times New Roman" w:hAnsi="Times New Roman"/>
          <w:lang w:val="en-HK"/>
        </w:rPr>
        <w:t xml:space="preserve"> interpretation.</w:t>
      </w:r>
    </w:p>
    <w:p w14:paraId="5C8AC26B" w14:textId="77777777" w:rsidR="005E49C6" w:rsidRPr="005E49C6" w:rsidRDefault="005E49C6" w:rsidP="005E49C6">
      <w:pPr>
        <w:spacing w:after="240" w:line="360" w:lineRule="auto"/>
        <w:rPr>
          <w:rFonts w:ascii="Times New Roman" w:hAnsi="Times New Roman"/>
          <w:lang w:val="en-HK"/>
        </w:rPr>
      </w:pPr>
      <w:r w:rsidRPr="005E49C6">
        <w:rPr>
          <w:rFonts w:ascii="Times New Roman" w:hAnsi="Times New Roman"/>
          <w:b/>
          <w:bCs/>
          <w:lang w:val="en-HK"/>
        </w:rPr>
        <w:t xml:space="preserve">Reaffirmation of </w:t>
      </w:r>
      <w:r w:rsidRPr="005E49C6">
        <w:rPr>
          <w:rFonts w:ascii="Times New Roman" w:hAnsi="Times New Roman"/>
          <w:b/>
          <w:bCs/>
          <w:i/>
          <w:iCs/>
          <w:lang w:val="en-HK"/>
        </w:rPr>
        <w:t>Royal Brunei</w:t>
      </w:r>
      <w:r w:rsidRPr="005E49C6">
        <w:rPr>
          <w:rFonts w:ascii="Times New Roman" w:hAnsi="Times New Roman"/>
          <w:lang w:val="en-HK"/>
        </w:rPr>
        <w:t xml:space="preserve">: The Privy Council confirmed that dishonesty under </w:t>
      </w:r>
      <w:r w:rsidRPr="005E49C6">
        <w:rPr>
          <w:rFonts w:ascii="Times New Roman" w:hAnsi="Times New Roman"/>
          <w:i/>
          <w:iCs/>
          <w:lang w:val="en-HK"/>
        </w:rPr>
        <w:t>Royal Brunei</w:t>
      </w:r>
      <w:r w:rsidRPr="005E49C6">
        <w:rPr>
          <w:rFonts w:ascii="Times New Roman" w:hAnsi="Times New Roman"/>
          <w:lang w:val="en-HK"/>
        </w:rPr>
        <w:t xml:space="preserve"> is an objective standard, assessed by whether the defendant’s conduct, given their knowledge or suspicion, transgresses ordinary standards of honesty. Lord Nicholls had stated, Acting dishonestly, or with a lack of probity, which is synonymous, means simply not acting as an honest person would in the circumstances. This is an objective standard (Royal Brunei at 389, cited at Conv. 2006, Mar/Apr, 189). A dishonest state of mind includes knowledge of an improper transaction or suspicion coupled with a deliberate avoidance of inquiry, but does not require the defendant to recognize their conduct as dishonest (ibid.).</w:t>
      </w:r>
    </w:p>
    <w:p w14:paraId="21CCD169" w14:textId="77777777" w:rsidR="005E49C6" w:rsidRPr="005E49C6" w:rsidRDefault="005E49C6" w:rsidP="005E49C6">
      <w:pPr>
        <w:spacing w:after="240" w:line="360" w:lineRule="auto"/>
        <w:rPr>
          <w:rFonts w:ascii="Times New Roman" w:hAnsi="Times New Roman"/>
          <w:lang w:val="en-HK"/>
        </w:rPr>
      </w:pPr>
      <w:r w:rsidRPr="005E49C6">
        <w:rPr>
          <w:rFonts w:ascii="Times New Roman" w:hAnsi="Times New Roman"/>
          <w:b/>
          <w:bCs/>
          <w:lang w:val="en-HK"/>
        </w:rPr>
        <w:lastRenderedPageBreak/>
        <w:t xml:space="preserve">Reinterpretation of </w:t>
      </w:r>
      <w:proofErr w:type="spellStart"/>
      <w:r w:rsidRPr="005E49C6">
        <w:rPr>
          <w:rFonts w:ascii="Times New Roman" w:hAnsi="Times New Roman"/>
          <w:b/>
          <w:bCs/>
          <w:i/>
          <w:iCs/>
          <w:lang w:val="en-HK"/>
        </w:rPr>
        <w:t>Twinsectra</w:t>
      </w:r>
      <w:proofErr w:type="spellEnd"/>
      <w:r w:rsidRPr="005E49C6">
        <w:rPr>
          <w:rFonts w:ascii="Times New Roman" w:hAnsi="Times New Roman"/>
          <w:lang w:val="en-HK"/>
        </w:rPr>
        <w:t>:</w:t>
      </w:r>
    </w:p>
    <w:p w14:paraId="5C356FC0" w14:textId="76876DCC" w:rsidR="005E49C6" w:rsidRPr="005E49C6" w:rsidRDefault="005E49C6" w:rsidP="005E49C6">
      <w:pPr>
        <w:numPr>
          <w:ilvl w:val="1"/>
          <w:numId w:val="15"/>
        </w:numPr>
        <w:spacing w:after="240" w:line="360" w:lineRule="auto"/>
        <w:rPr>
          <w:rFonts w:ascii="Times New Roman" w:hAnsi="Times New Roman"/>
          <w:lang w:val="en-HK"/>
        </w:rPr>
      </w:pPr>
      <w:r w:rsidRPr="005E49C6">
        <w:rPr>
          <w:rFonts w:ascii="Times New Roman" w:hAnsi="Times New Roman"/>
          <w:lang w:val="en-HK"/>
        </w:rPr>
        <w:t xml:space="preserve">In </w:t>
      </w:r>
      <w:proofErr w:type="spellStart"/>
      <w:r w:rsidRPr="005E49C6">
        <w:rPr>
          <w:rFonts w:ascii="Times New Roman" w:hAnsi="Times New Roman"/>
          <w:i/>
          <w:iCs/>
          <w:lang w:val="en-HK"/>
        </w:rPr>
        <w:t>Twinsectra</w:t>
      </w:r>
      <w:proofErr w:type="spellEnd"/>
      <w:r w:rsidRPr="005E49C6">
        <w:rPr>
          <w:rFonts w:ascii="Times New Roman" w:hAnsi="Times New Roman"/>
          <w:lang w:val="en-HK"/>
        </w:rPr>
        <w:t xml:space="preserve">, Lord Hutton suggested a two-part test: </w:t>
      </w:r>
      <w:r w:rsidRPr="005E49C6">
        <w:rPr>
          <w:rFonts w:ascii="Times New Roman" w:hAnsi="Times New Roman"/>
          <w:b/>
          <w:bCs/>
          <w:color w:val="FF0000"/>
          <w:lang w:val="en-HK"/>
        </w:rPr>
        <w:t>(1) Would an honest person act as the defendant did? (2) Did the defendant know this was dishonest?</w:t>
      </w:r>
      <w:r w:rsidRPr="005E49C6">
        <w:rPr>
          <w:rFonts w:ascii="Times New Roman" w:hAnsi="Times New Roman"/>
          <w:color w:val="FF0000"/>
          <w:lang w:val="en-HK"/>
        </w:rPr>
        <w:t xml:space="preserve"> </w:t>
      </w:r>
      <w:r w:rsidRPr="005E49C6">
        <w:rPr>
          <w:rFonts w:ascii="Times New Roman" w:hAnsi="Times New Roman"/>
          <w:lang w:val="en-HK"/>
        </w:rPr>
        <w:t>He stated, Dishonesty requires knowledge by the defendant that what he was doing would be regarded as dishonest by honest people (</w:t>
      </w:r>
      <w:proofErr w:type="spellStart"/>
      <w:r w:rsidRPr="005E49C6">
        <w:rPr>
          <w:rFonts w:ascii="Times New Roman" w:hAnsi="Times New Roman"/>
          <w:lang w:val="en-HK"/>
        </w:rPr>
        <w:t>Twinsectra</w:t>
      </w:r>
      <w:proofErr w:type="spellEnd"/>
      <w:r w:rsidRPr="005E49C6">
        <w:rPr>
          <w:rFonts w:ascii="Times New Roman" w:hAnsi="Times New Roman"/>
          <w:lang w:val="en-HK"/>
        </w:rPr>
        <w:t xml:space="preserve"> at 174, cited at Conv. 2006, Mar/Apr, 190).</w:t>
      </w:r>
    </w:p>
    <w:p w14:paraId="542A5557" w14:textId="0754F2F5" w:rsidR="005E49C6" w:rsidRPr="005E49C6" w:rsidRDefault="005E49C6" w:rsidP="005E49C6">
      <w:pPr>
        <w:numPr>
          <w:ilvl w:val="1"/>
          <w:numId w:val="15"/>
        </w:numPr>
        <w:spacing w:after="240" w:line="360" w:lineRule="auto"/>
        <w:rPr>
          <w:rFonts w:ascii="Times New Roman" w:hAnsi="Times New Roman"/>
          <w:lang w:val="en-HK"/>
        </w:rPr>
      </w:pPr>
      <w:r w:rsidRPr="005E49C6">
        <w:rPr>
          <w:rFonts w:ascii="Times New Roman" w:hAnsi="Times New Roman"/>
          <w:lang w:val="en-HK"/>
        </w:rPr>
        <w:t>Lord Hoffmann added, A dishonest state of mind meant consciousness that one is transgressing ordinary standards of honest behaviour (</w:t>
      </w:r>
      <w:proofErr w:type="spellStart"/>
      <w:r w:rsidRPr="005E49C6">
        <w:rPr>
          <w:rFonts w:ascii="Times New Roman" w:hAnsi="Times New Roman"/>
          <w:lang w:val="en-HK"/>
        </w:rPr>
        <w:t>Twinsectra</w:t>
      </w:r>
      <w:proofErr w:type="spellEnd"/>
      <w:r w:rsidRPr="005E49C6">
        <w:rPr>
          <w:rFonts w:ascii="Times New Roman" w:hAnsi="Times New Roman"/>
          <w:lang w:val="en-HK"/>
        </w:rPr>
        <w:t xml:space="preserve"> at 170, cited at Conv. 2006, Mar/Apr, 190).</w:t>
      </w:r>
    </w:p>
    <w:p w14:paraId="7718D54D" w14:textId="77777777" w:rsidR="005E49C6" w:rsidRPr="005E49C6" w:rsidRDefault="005E49C6" w:rsidP="005E49C6">
      <w:pPr>
        <w:numPr>
          <w:ilvl w:val="1"/>
          <w:numId w:val="15"/>
        </w:numPr>
        <w:spacing w:after="240" w:line="360" w:lineRule="auto"/>
        <w:rPr>
          <w:rFonts w:ascii="Times New Roman" w:hAnsi="Times New Roman"/>
          <w:lang w:val="en-HK"/>
        </w:rPr>
      </w:pPr>
      <w:r w:rsidRPr="005E49C6">
        <w:rPr>
          <w:rFonts w:ascii="Times New Roman" w:hAnsi="Times New Roman"/>
          <w:lang w:val="en-HK"/>
        </w:rPr>
        <w:t xml:space="preserve">In </w:t>
      </w:r>
      <w:r w:rsidRPr="005E49C6">
        <w:rPr>
          <w:rFonts w:ascii="Times New Roman" w:hAnsi="Times New Roman"/>
          <w:i/>
          <w:iCs/>
          <w:lang w:val="en-HK"/>
        </w:rPr>
        <w:t>Barlow Clowes</w:t>
      </w:r>
      <w:r w:rsidRPr="005E49C6">
        <w:rPr>
          <w:rFonts w:ascii="Times New Roman" w:hAnsi="Times New Roman"/>
          <w:lang w:val="en-HK"/>
        </w:rPr>
        <w:t xml:space="preserve">, Lord Hoffmann admitted ambiguity in these remarks but clarified, The reference to ‘what he knows would offend normally accepted standards of honest conduct’ meant only that his knowledge of the transaction had to be such as to render his participation contrary to normally acceptable standards of honest conduct (Barlow Clowes at [15], cited at Conv. 2006, Mar/Apr, 194). His </w:t>
      </w:r>
      <w:proofErr w:type="spellStart"/>
      <w:r w:rsidRPr="005E49C6">
        <w:rPr>
          <w:rFonts w:ascii="Times New Roman" w:hAnsi="Times New Roman"/>
          <w:i/>
          <w:iCs/>
          <w:lang w:val="en-HK"/>
        </w:rPr>
        <w:t>Twinsectra</w:t>
      </w:r>
      <w:proofErr w:type="spellEnd"/>
      <w:r w:rsidRPr="005E49C6">
        <w:rPr>
          <w:rFonts w:ascii="Times New Roman" w:hAnsi="Times New Roman"/>
          <w:lang w:val="en-HK"/>
        </w:rPr>
        <w:t xml:space="preserve"> comment required only awareness of the transaction’s elements, not reflection on standards (Barlow Clowes at [16], cited at ibid.).</w:t>
      </w:r>
    </w:p>
    <w:p w14:paraId="2B2D7F52" w14:textId="77777777" w:rsidR="005E49C6" w:rsidRPr="005E49C6" w:rsidRDefault="005E49C6" w:rsidP="005E49C6">
      <w:pPr>
        <w:spacing w:after="240" w:line="360" w:lineRule="auto"/>
        <w:rPr>
          <w:rFonts w:ascii="Times New Roman" w:hAnsi="Times New Roman"/>
          <w:lang w:val="en-HK"/>
        </w:rPr>
      </w:pPr>
      <w:r w:rsidRPr="005E49C6">
        <w:rPr>
          <w:rFonts w:ascii="Times New Roman" w:hAnsi="Times New Roman"/>
          <w:b/>
          <w:bCs/>
          <w:lang w:val="en-HK"/>
        </w:rPr>
        <w:t>Application to Henwood</w:t>
      </w:r>
      <w:r w:rsidRPr="005E49C6">
        <w:rPr>
          <w:rFonts w:ascii="Times New Roman" w:hAnsi="Times New Roman"/>
          <w:lang w:val="en-HK"/>
        </w:rPr>
        <w:t>:</w:t>
      </w:r>
    </w:p>
    <w:p w14:paraId="0B7A41B0" w14:textId="77777777" w:rsidR="005E49C6" w:rsidRPr="005E49C6" w:rsidRDefault="005E49C6" w:rsidP="005E49C6">
      <w:pPr>
        <w:spacing w:after="240" w:line="360" w:lineRule="auto"/>
        <w:rPr>
          <w:rFonts w:ascii="Times New Roman" w:hAnsi="Times New Roman"/>
          <w:lang w:val="en-HK"/>
        </w:rPr>
      </w:pPr>
      <w:r w:rsidRPr="005E49C6">
        <w:rPr>
          <w:rFonts w:ascii="Times New Roman" w:hAnsi="Times New Roman"/>
          <w:lang w:val="en-HK"/>
        </w:rPr>
        <w:t>Henwood’s suspicion and avoidance sufficed; his belief in propriety was irrelevant under the objective standard (Conv. 2006, Mar/Apr, 194-195).</w:t>
      </w:r>
    </w:p>
    <w:p w14:paraId="7FC4B76F" w14:textId="77777777" w:rsidR="005E49C6" w:rsidRPr="005E49C6" w:rsidRDefault="005E49C6" w:rsidP="005E49C6">
      <w:pPr>
        <w:spacing w:after="240" w:line="360" w:lineRule="auto"/>
        <w:rPr>
          <w:rFonts w:ascii="Times New Roman" w:hAnsi="Times New Roman"/>
          <w:lang w:val="en-HK"/>
        </w:rPr>
      </w:pPr>
      <w:r w:rsidRPr="005E49C6">
        <w:rPr>
          <w:rFonts w:ascii="Times New Roman" w:hAnsi="Times New Roman"/>
          <w:b/>
          <w:bCs/>
          <w:lang w:val="en-HK"/>
        </w:rPr>
        <w:t>Additional Point</w:t>
      </w:r>
      <w:r w:rsidRPr="005E49C6">
        <w:rPr>
          <w:rFonts w:ascii="Times New Roman" w:hAnsi="Times New Roman"/>
          <w:lang w:val="en-HK"/>
        </w:rPr>
        <w:t>:</w:t>
      </w:r>
    </w:p>
    <w:p w14:paraId="69BE83F9" w14:textId="60F95514" w:rsidR="005E49C6" w:rsidRPr="005E49C6" w:rsidRDefault="005E49C6" w:rsidP="005E49C6">
      <w:pPr>
        <w:spacing w:after="240" w:line="360" w:lineRule="auto"/>
        <w:rPr>
          <w:rFonts w:ascii="Times New Roman" w:hAnsi="Times New Roman"/>
          <w:lang w:val="en-HK"/>
        </w:rPr>
      </w:pPr>
      <w:r w:rsidRPr="005E49C6">
        <w:rPr>
          <w:rFonts w:ascii="Times New Roman" w:hAnsi="Times New Roman"/>
          <w:lang w:val="en-HK"/>
        </w:rPr>
        <w:t>Liability does not require knowledge of a trust or breach; suspicion of misappropriation is enough: A person can know, and can certainly suspect... that he is assisting in a misappropriation of money without knowing that the money is held on trust (Barlow Clowes at [28], cited at Conv. 2006, Mar/Apr, 196).</w:t>
      </w:r>
    </w:p>
    <w:p w14:paraId="071F6B71" w14:textId="77777777" w:rsidR="00EB7412" w:rsidRDefault="00EB7412" w:rsidP="005E49C6">
      <w:pPr>
        <w:spacing w:after="240" w:line="360" w:lineRule="auto"/>
        <w:outlineLvl w:val="3"/>
        <w:rPr>
          <w:rFonts w:ascii="Times New Roman" w:hAnsi="Times New Roman"/>
          <w:b/>
          <w:bCs/>
          <w:lang w:val="en-HK"/>
        </w:rPr>
      </w:pPr>
    </w:p>
    <w:p w14:paraId="4CD9EA0E" w14:textId="323DC79C" w:rsidR="005E49C6" w:rsidRPr="005E49C6" w:rsidRDefault="005E49C6" w:rsidP="005E49C6">
      <w:pPr>
        <w:spacing w:after="240" w:line="360" w:lineRule="auto"/>
        <w:outlineLvl w:val="3"/>
        <w:rPr>
          <w:rFonts w:ascii="Times New Roman" w:hAnsi="Times New Roman"/>
          <w:b/>
          <w:bCs/>
          <w:lang w:val="en-HK"/>
        </w:rPr>
      </w:pPr>
      <w:r w:rsidRPr="005E49C6">
        <w:rPr>
          <w:rFonts w:ascii="Times New Roman" w:hAnsi="Times New Roman"/>
          <w:b/>
          <w:bCs/>
          <w:lang w:val="en-HK"/>
        </w:rPr>
        <w:t>Key Points from Cited Cases</w:t>
      </w:r>
    </w:p>
    <w:p w14:paraId="79D77210" w14:textId="77777777" w:rsidR="005E49C6" w:rsidRPr="005E49C6" w:rsidRDefault="005E49C6" w:rsidP="005E49C6">
      <w:pPr>
        <w:spacing w:after="240" w:line="360" w:lineRule="auto"/>
        <w:rPr>
          <w:rFonts w:ascii="Times New Roman" w:hAnsi="Times New Roman"/>
          <w:lang w:val="en-HK"/>
        </w:rPr>
      </w:pPr>
      <w:r w:rsidRPr="005E49C6">
        <w:rPr>
          <w:rFonts w:ascii="Times New Roman" w:hAnsi="Times New Roman"/>
          <w:b/>
          <w:bCs/>
          <w:lang w:val="en-HK"/>
        </w:rPr>
        <w:t xml:space="preserve">Royal Brunei Airlines </w:t>
      </w:r>
      <w:proofErr w:type="spellStart"/>
      <w:r w:rsidRPr="005E49C6">
        <w:rPr>
          <w:rFonts w:ascii="Times New Roman" w:hAnsi="Times New Roman"/>
          <w:b/>
          <w:bCs/>
          <w:lang w:val="en-HK"/>
        </w:rPr>
        <w:t>Sdn</w:t>
      </w:r>
      <w:proofErr w:type="spellEnd"/>
      <w:r w:rsidRPr="005E49C6">
        <w:rPr>
          <w:rFonts w:ascii="Times New Roman" w:hAnsi="Times New Roman"/>
          <w:b/>
          <w:bCs/>
          <w:lang w:val="en-HK"/>
        </w:rPr>
        <w:t xml:space="preserve"> </w:t>
      </w:r>
      <w:proofErr w:type="spellStart"/>
      <w:r w:rsidRPr="005E49C6">
        <w:rPr>
          <w:rFonts w:ascii="Times New Roman" w:hAnsi="Times New Roman"/>
          <w:b/>
          <w:bCs/>
          <w:lang w:val="en-HK"/>
        </w:rPr>
        <w:t>Bhd</w:t>
      </w:r>
      <w:proofErr w:type="spellEnd"/>
      <w:r w:rsidRPr="005E49C6">
        <w:rPr>
          <w:rFonts w:ascii="Times New Roman" w:hAnsi="Times New Roman"/>
          <w:b/>
          <w:bCs/>
          <w:lang w:val="en-HK"/>
        </w:rPr>
        <w:t xml:space="preserve"> v Tan [1995] 2 A.C. 378</w:t>
      </w:r>
      <w:r w:rsidRPr="005E49C6">
        <w:rPr>
          <w:rFonts w:ascii="Times New Roman" w:hAnsi="Times New Roman"/>
          <w:lang w:val="en-HK"/>
        </w:rPr>
        <w:t>:</w:t>
      </w:r>
    </w:p>
    <w:p w14:paraId="593FD063" w14:textId="77777777" w:rsidR="005E49C6" w:rsidRPr="005E49C6" w:rsidRDefault="005E49C6" w:rsidP="005E49C6">
      <w:pPr>
        <w:spacing w:after="240" w:line="360" w:lineRule="auto"/>
        <w:rPr>
          <w:rFonts w:ascii="Times New Roman" w:hAnsi="Times New Roman"/>
          <w:lang w:val="en-HK"/>
        </w:rPr>
      </w:pPr>
      <w:r w:rsidRPr="005E49C6">
        <w:rPr>
          <w:rFonts w:ascii="Times New Roman" w:hAnsi="Times New Roman"/>
          <w:b/>
          <w:bCs/>
          <w:lang w:val="en-HK"/>
        </w:rPr>
        <w:lastRenderedPageBreak/>
        <w:t>Facts</w:t>
      </w:r>
      <w:r w:rsidRPr="005E49C6">
        <w:rPr>
          <w:rFonts w:ascii="Times New Roman" w:hAnsi="Times New Roman"/>
          <w:lang w:val="en-HK"/>
        </w:rPr>
        <w:t>: Tan, a travel agency director, misapplied funds held on trust for Royal Brunei Airlines, prompting a claim of dishonest assistance (Conv. 2006, Mar/Apr, 188-189).</w:t>
      </w:r>
    </w:p>
    <w:p w14:paraId="73DDE577" w14:textId="77777777" w:rsidR="005E49C6" w:rsidRPr="005E49C6" w:rsidRDefault="005E49C6" w:rsidP="005E49C6">
      <w:pPr>
        <w:spacing w:after="240" w:line="360" w:lineRule="auto"/>
        <w:rPr>
          <w:rFonts w:ascii="Times New Roman" w:hAnsi="Times New Roman"/>
          <w:lang w:val="en-HK"/>
        </w:rPr>
      </w:pPr>
      <w:r w:rsidRPr="005E49C6">
        <w:rPr>
          <w:rFonts w:ascii="Times New Roman" w:hAnsi="Times New Roman"/>
          <w:b/>
          <w:bCs/>
          <w:lang w:val="en-HK"/>
        </w:rPr>
        <w:t>Held</w:t>
      </w:r>
      <w:r w:rsidRPr="005E49C6">
        <w:rPr>
          <w:rFonts w:ascii="Times New Roman" w:hAnsi="Times New Roman"/>
          <w:lang w:val="en-HK"/>
        </w:rPr>
        <w:t>: Tan was liable, with dishonesty replacing knowledge as the test (ibid.).</w:t>
      </w:r>
    </w:p>
    <w:p w14:paraId="2DC3011F" w14:textId="77777777" w:rsidR="005E49C6" w:rsidRPr="005E49C6" w:rsidRDefault="005E49C6" w:rsidP="005E49C6">
      <w:pPr>
        <w:spacing w:after="240" w:line="360" w:lineRule="auto"/>
        <w:rPr>
          <w:rFonts w:ascii="Times New Roman" w:hAnsi="Times New Roman"/>
          <w:lang w:val="en-HK"/>
        </w:rPr>
      </w:pPr>
      <w:r w:rsidRPr="005E49C6">
        <w:rPr>
          <w:rFonts w:ascii="Times New Roman" w:hAnsi="Times New Roman"/>
          <w:b/>
          <w:bCs/>
          <w:lang w:val="en-HK"/>
        </w:rPr>
        <w:t>Reasoning</w:t>
      </w:r>
      <w:r w:rsidRPr="005E49C6">
        <w:rPr>
          <w:rFonts w:ascii="Times New Roman" w:hAnsi="Times New Roman"/>
          <w:lang w:val="en-HK"/>
        </w:rPr>
        <w:t xml:space="preserve">: Lord Nicholls rejected knowledge-based tests for their tortuous convolutions, </w:t>
      </w:r>
      <w:proofErr w:type="spellStart"/>
      <w:r w:rsidRPr="005E49C6">
        <w:rPr>
          <w:rFonts w:ascii="Times New Roman" w:hAnsi="Times New Roman"/>
          <w:lang w:val="en-HK"/>
        </w:rPr>
        <w:t>favoring</w:t>
      </w:r>
      <w:proofErr w:type="spellEnd"/>
      <w:r w:rsidRPr="005E49C6">
        <w:rPr>
          <w:rFonts w:ascii="Times New Roman" w:hAnsi="Times New Roman"/>
          <w:lang w:val="en-HK"/>
        </w:rPr>
        <w:t xml:space="preserve"> an objective standard: If a person knowingly appropriates another’s property, he will not escape a finding of dishonesty simply because he sees nothing wrong in such behaviour (Royal Brunei at 389, cited in footnote 15, Conv. 2006, Mar/Apr, 197).</w:t>
      </w:r>
    </w:p>
    <w:p w14:paraId="2C165A87" w14:textId="77777777" w:rsidR="005E49C6" w:rsidRDefault="005E49C6" w:rsidP="005E49C6">
      <w:pPr>
        <w:spacing w:after="240" w:line="360" w:lineRule="auto"/>
        <w:rPr>
          <w:rFonts w:ascii="Times New Roman" w:hAnsi="Times New Roman"/>
          <w:lang w:val="en-HK"/>
        </w:rPr>
      </w:pPr>
      <w:r w:rsidRPr="005E49C6">
        <w:rPr>
          <w:rFonts w:ascii="Times New Roman" w:hAnsi="Times New Roman"/>
          <w:b/>
          <w:bCs/>
          <w:lang w:val="en-HK"/>
        </w:rPr>
        <w:t>Implications</w:t>
      </w:r>
      <w:r w:rsidRPr="005E49C6">
        <w:rPr>
          <w:rFonts w:ascii="Times New Roman" w:hAnsi="Times New Roman"/>
          <w:lang w:val="en-HK"/>
        </w:rPr>
        <w:t>: Simplified liability assessment, though its subjective-objective balance sparked debate (Conv. 2006, Mar/Apr, 189).</w:t>
      </w:r>
    </w:p>
    <w:p w14:paraId="6DEEFF92" w14:textId="77777777" w:rsidR="005E49C6" w:rsidRPr="005E49C6" w:rsidRDefault="005E49C6" w:rsidP="005E49C6">
      <w:pPr>
        <w:spacing w:after="240" w:line="360" w:lineRule="auto"/>
        <w:rPr>
          <w:rFonts w:ascii="Times New Roman" w:hAnsi="Times New Roman"/>
          <w:lang w:val="en-HK"/>
        </w:rPr>
      </w:pPr>
    </w:p>
    <w:p w14:paraId="348C3036" w14:textId="77777777" w:rsidR="005E49C6" w:rsidRPr="005E49C6" w:rsidRDefault="005E49C6" w:rsidP="005E49C6">
      <w:pPr>
        <w:spacing w:after="240" w:line="360" w:lineRule="auto"/>
        <w:rPr>
          <w:rFonts w:ascii="Times New Roman" w:hAnsi="Times New Roman"/>
          <w:lang w:val="en-HK"/>
        </w:rPr>
      </w:pPr>
      <w:proofErr w:type="spellStart"/>
      <w:r w:rsidRPr="005E49C6">
        <w:rPr>
          <w:rFonts w:ascii="Times New Roman" w:hAnsi="Times New Roman"/>
          <w:b/>
          <w:bCs/>
          <w:lang w:val="en-HK"/>
        </w:rPr>
        <w:t>Twinsectra</w:t>
      </w:r>
      <w:proofErr w:type="spellEnd"/>
      <w:r w:rsidRPr="005E49C6">
        <w:rPr>
          <w:rFonts w:ascii="Times New Roman" w:hAnsi="Times New Roman"/>
          <w:b/>
          <w:bCs/>
          <w:lang w:val="en-HK"/>
        </w:rPr>
        <w:t xml:space="preserve"> Ltd v Yardley [2002] UKHL 12</w:t>
      </w:r>
      <w:r w:rsidRPr="005E49C6">
        <w:rPr>
          <w:rFonts w:ascii="Times New Roman" w:hAnsi="Times New Roman"/>
          <w:lang w:val="en-HK"/>
        </w:rPr>
        <w:t>:</w:t>
      </w:r>
    </w:p>
    <w:p w14:paraId="012262E2" w14:textId="77777777" w:rsidR="005E49C6" w:rsidRPr="005E49C6" w:rsidRDefault="005E49C6" w:rsidP="005E49C6">
      <w:pPr>
        <w:spacing w:after="240" w:line="360" w:lineRule="auto"/>
        <w:rPr>
          <w:rFonts w:ascii="Times New Roman" w:hAnsi="Times New Roman"/>
          <w:lang w:val="en-HK"/>
        </w:rPr>
      </w:pPr>
      <w:r w:rsidRPr="005E49C6">
        <w:rPr>
          <w:rFonts w:ascii="Times New Roman" w:hAnsi="Times New Roman"/>
          <w:b/>
          <w:bCs/>
          <w:lang w:val="en-HK"/>
        </w:rPr>
        <w:t>Facts</w:t>
      </w:r>
      <w:r w:rsidRPr="005E49C6">
        <w:rPr>
          <w:rFonts w:ascii="Times New Roman" w:hAnsi="Times New Roman"/>
          <w:lang w:val="en-HK"/>
        </w:rPr>
        <w:t xml:space="preserve">: </w:t>
      </w:r>
      <w:proofErr w:type="spellStart"/>
      <w:r w:rsidRPr="005E49C6">
        <w:rPr>
          <w:rFonts w:ascii="Times New Roman" w:hAnsi="Times New Roman"/>
          <w:lang w:val="en-HK"/>
        </w:rPr>
        <w:t>Twinsectra</w:t>
      </w:r>
      <w:proofErr w:type="spellEnd"/>
      <w:r w:rsidRPr="005E49C6">
        <w:rPr>
          <w:rFonts w:ascii="Times New Roman" w:hAnsi="Times New Roman"/>
          <w:lang w:val="en-HK"/>
        </w:rPr>
        <w:t xml:space="preserve"> lent funds to Yardley via solicitor Sims, who misused them with assistance from solicitor Leach (Conv. 2006, Mar/Apr, 190).</w:t>
      </w:r>
    </w:p>
    <w:p w14:paraId="4A4B4EA9" w14:textId="77777777" w:rsidR="005E49C6" w:rsidRPr="005E49C6" w:rsidRDefault="005E49C6" w:rsidP="005E49C6">
      <w:pPr>
        <w:spacing w:after="240" w:line="360" w:lineRule="auto"/>
        <w:rPr>
          <w:rFonts w:ascii="Times New Roman" w:hAnsi="Times New Roman"/>
          <w:lang w:val="en-HK"/>
        </w:rPr>
      </w:pPr>
      <w:r w:rsidRPr="005E49C6">
        <w:rPr>
          <w:rFonts w:ascii="Times New Roman" w:hAnsi="Times New Roman"/>
          <w:b/>
          <w:bCs/>
          <w:lang w:val="en-HK"/>
        </w:rPr>
        <w:t>Held</w:t>
      </w:r>
      <w:r w:rsidRPr="005E49C6">
        <w:rPr>
          <w:rFonts w:ascii="Times New Roman" w:hAnsi="Times New Roman"/>
          <w:lang w:val="en-HK"/>
        </w:rPr>
        <w:t>: The majority found Leach not liable, suggesting dishonesty required awareness of impropriety; Lord Millett dissented (ibid., 190-191).</w:t>
      </w:r>
    </w:p>
    <w:p w14:paraId="43652A6A" w14:textId="77777777" w:rsidR="005E49C6" w:rsidRPr="005E49C6" w:rsidRDefault="005E49C6" w:rsidP="005E49C6">
      <w:pPr>
        <w:spacing w:after="240" w:line="360" w:lineRule="auto"/>
        <w:rPr>
          <w:rFonts w:ascii="Times New Roman" w:hAnsi="Times New Roman"/>
          <w:lang w:val="en-HK"/>
        </w:rPr>
      </w:pPr>
      <w:r w:rsidRPr="005E49C6">
        <w:rPr>
          <w:rFonts w:ascii="Times New Roman" w:hAnsi="Times New Roman"/>
          <w:b/>
          <w:bCs/>
          <w:lang w:val="en-HK"/>
        </w:rPr>
        <w:t>Reasoning</w:t>
      </w:r>
      <w:r w:rsidRPr="005E49C6">
        <w:rPr>
          <w:rFonts w:ascii="Times New Roman" w:hAnsi="Times New Roman"/>
          <w:lang w:val="en-HK"/>
        </w:rPr>
        <w:t>: Lord Hutton argued for justice, stating, It w</w:t>
      </w:r>
      <w:r w:rsidRPr="005E49C6">
        <w:rPr>
          <w:rFonts w:ascii="Times New Roman" w:hAnsi="Times New Roman"/>
          <w:color w:val="FF0000"/>
          <w:lang w:val="en-HK"/>
        </w:rPr>
        <w:t xml:space="preserve">ould be less than just... to permit a finding that a defendant had been </w:t>
      </w:r>
      <w:r w:rsidRPr="005E49C6">
        <w:rPr>
          <w:rFonts w:ascii="Times New Roman" w:hAnsi="Times New Roman"/>
          <w:b/>
          <w:bCs/>
          <w:color w:val="FF0000"/>
          <w:lang w:val="en-HK"/>
        </w:rPr>
        <w:t>‘dishonest’... where he... had not been aware that what he was doing would be regarded by honest men as being dishonest</w:t>
      </w:r>
      <w:r w:rsidRPr="005E49C6">
        <w:rPr>
          <w:rFonts w:ascii="Times New Roman" w:hAnsi="Times New Roman"/>
          <w:color w:val="FF0000"/>
          <w:lang w:val="en-HK"/>
        </w:rPr>
        <w:t xml:space="preserve"> </w:t>
      </w:r>
      <w:r w:rsidRPr="005E49C6">
        <w:rPr>
          <w:rFonts w:ascii="Times New Roman" w:hAnsi="Times New Roman"/>
          <w:lang w:val="en-HK"/>
        </w:rPr>
        <w:t>(</w:t>
      </w:r>
      <w:proofErr w:type="spellStart"/>
      <w:r w:rsidRPr="005E49C6">
        <w:rPr>
          <w:rFonts w:ascii="Times New Roman" w:hAnsi="Times New Roman"/>
          <w:lang w:val="en-HK"/>
        </w:rPr>
        <w:t>Twinsectra</w:t>
      </w:r>
      <w:proofErr w:type="spellEnd"/>
      <w:r w:rsidRPr="005E49C6">
        <w:rPr>
          <w:rFonts w:ascii="Times New Roman" w:hAnsi="Times New Roman"/>
          <w:lang w:val="en-HK"/>
        </w:rPr>
        <w:t xml:space="preserve"> at 174, cited at Conv. 2006, Mar/Apr, 190). Lord Millett countered, There is no trace in Lord Nicholls’ opinion that the defendant should have been aware that he was acting contrary to objective standards of dishonesty (</w:t>
      </w:r>
      <w:proofErr w:type="spellStart"/>
      <w:r w:rsidRPr="005E49C6">
        <w:rPr>
          <w:rFonts w:ascii="Times New Roman" w:hAnsi="Times New Roman"/>
          <w:lang w:val="en-HK"/>
        </w:rPr>
        <w:t>Twinsectra</w:t>
      </w:r>
      <w:proofErr w:type="spellEnd"/>
      <w:r w:rsidRPr="005E49C6">
        <w:rPr>
          <w:rFonts w:ascii="Times New Roman" w:hAnsi="Times New Roman"/>
          <w:lang w:val="en-HK"/>
        </w:rPr>
        <w:t xml:space="preserve"> at 197, cited at Conv. 2006, Mar/Apr, 191).</w:t>
      </w:r>
    </w:p>
    <w:p w14:paraId="29162BAD" w14:textId="77777777" w:rsidR="005E49C6" w:rsidRPr="005E49C6" w:rsidRDefault="005E49C6" w:rsidP="005E49C6">
      <w:pPr>
        <w:spacing w:after="240" w:line="360" w:lineRule="auto"/>
        <w:rPr>
          <w:rFonts w:ascii="Times New Roman" w:hAnsi="Times New Roman"/>
          <w:lang w:val="en-HK"/>
        </w:rPr>
      </w:pPr>
      <w:r w:rsidRPr="005E49C6">
        <w:rPr>
          <w:rFonts w:ascii="Times New Roman" w:hAnsi="Times New Roman"/>
          <w:b/>
          <w:bCs/>
          <w:lang w:val="en-HK"/>
        </w:rPr>
        <w:t>Implications</w:t>
      </w:r>
      <w:r w:rsidRPr="005E49C6">
        <w:rPr>
          <w:rFonts w:ascii="Times New Roman" w:hAnsi="Times New Roman"/>
          <w:lang w:val="en-HK"/>
        </w:rPr>
        <w:t xml:space="preserve">: Introduced a subjective hurdle, confusing </w:t>
      </w:r>
      <w:r w:rsidRPr="005E49C6">
        <w:rPr>
          <w:rFonts w:ascii="Times New Roman" w:hAnsi="Times New Roman"/>
          <w:i/>
          <w:iCs/>
          <w:lang w:val="en-HK"/>
        </w:rPr>
        <w:t>Royal Brunei</w:t>
      </w:r>
      <w:r w:rsidRPr="005E49C6">
        <w:rPr>
          <w:rFonts w:ascii="Times New Roman" w:hAnsi="Times New Roman"/>
          <w:lang w:val="en-HK"/>
        </w:rPr>
        <w:t>’s intent, prompting scholarly critique (e.g., Tjio and Yeo, 118 L.Q.R. 502 at 507, cited at Conv. 2006, Mar/Apr, 191).</w:t>
      </w:r>
    </w:p>
    <w:p w14:paraId="26C67F12" w14:textId="77777777" w:rsidR="005E49C6" w:rsidRDefault="005E49C6" w:rsidP="005E49C6">
      <w:pPr>
        <w:spacing w:after="240" w:line="360" w:lineRule="auto"/>
        <w:rPr>
          <w:rFonts w:ascii="Times New Roman" w:hAnsi="Times New Roman"/>
          <w:lang w:val="en-HK"/>
        </w:rPr>
      </w:pPr>
    </w:p>
    <w:p w14:paraId="1500E901" w14:textId="04CF7BA1" w:rsidR="005E49C6" w:rsidRPr="005E49C6" w:rsidRDefault="005E49C6" w:rsidP="005E49C6">
      <w:pPr>
        <w:spacing w:after="240" w:line="360" w:lineRule="auto"/>
        <w:rPr>
          <w:rFonts w:ascii="Times New Roman" w:hAnsi="Times New Roman"/>
          <w:lang w:val="en-HK"/>
        </w:rPr>
      </w:pPr>
      <w:r w:rsidRPr="005E49C6">
        <w:rPr>
          <w:rFonts w:ascii="Times New Roman" w:hAnsi="Times New Roman"/>
          <w:b/>
          <w:bCs/>
          <w:lang w:val="en-HK"/>
        </w:rPr>
        <w:t>Barlow Clowes [2005] UKPC 37</w:t>
      </w:r>
      <w:r w:rsidRPr="005E49C6">
        <w:rPr>
          <w:rFonts w:ascii="Times New Roman" w:hAnsi="Times New Roman"/>
          <w:lang w:val="en-HK"/>
        </w:rPr>
        <w:t>:</w:t>
      </w:r>
    </w:p>
    <w:p w14:paraId="57A19196" w14:textId="28059621" w:rsidR="005E49C6" w:rsidRPr="005E49C6" w:rsidRDefault="005E49C6" w:rsidP="005E49C6">
      <w:pPr>
        <w:spacing w:after="240" w:line="360" w:lineRule="auto"/>
        <w:rPr>
          <w:rFonts w:ascii="Times New Roman" w:hAnsi="Times New Roman"/>
          <w:lang w:val="en-HK"/>
        </w:rPr>
      </w:pPr>
      <w:r w:rsidRPr="005E49C6">
        <w:rPr>
          <w:rFonts w:ascii="Times New Roman" w:hAnsi="Times New Roman"/>
          <w:b/>
          <w:bCs/>
          <w:lang w:val="en-HK"/>
        </w:rPr>
        <w:lastRenderedPageBreak/>
        <w:t>Implications</w:t>
      </w:r>
      <w:r w:rsidRPr="005E49C6">
        <w:rPr>
          <w:rFonts w:ascii="Times New Roman" w:hAnsi="Times New Roman"/>
          <w:lang w:val="en-HK"/>
        </w:rPr>
        <w:t xml:space="preserve">: </w:t>
      </w:r>
      <w:r w:rsidRPr="005E49C6">
        <w:rPr>
          <w:rFonts w:ascii="Times New Roman" w:hAnsi="Times New Roman"/>
          <w:b/>
          <w:bCs/>
          <w:lang w:val="en-HK"/>
        </w:rPr>
        <w:t xml:space="preserve">Restored </w:t>
      </w:r>
      <w:r w:rsidRPr="005E49C6">
        <w:rPr>
          <w:rFonts w:ascii="Times New Roman" w:hAnsi="Times New Roman"/>
          <w:b/>
          <w:bCs/>
          <w:i/>
          <w:iCs/>
          <w:lang w:val="en-HK"/>
        </w:rPr>
        <w:t>Royal Brunei</w:t>
      </w:r>
      <w:r w:rsidRPr="005E49C6">
        <w:rPr>
          <w:rFonts w:ascii="Times New Roman" w:hAnsi="Times New Roman"/>
          <w:b/>
          <w:bCs/>
          <w:lang w:val="en-HK"/>
        </w:rPr>
        <w:t>’s objectivity</w:t>
      </w:r>
      <w:r w:rsidRPr="005E49C6">
        <w:rPr>
          <w:rFonts w:ascii="Times New Roman" w:hAnsi="Times New Roman"/>
          <w:lang w:val="en-HK"/>
        </w:rPr>
        <w:t xml:space="preserve">, enhancing claimant protection and resolving </w:t>
      </w:r>
      <w:proofErr w:type="spellStart"/>
      <w:r w:rsidRPr="005E49C6">
        <w:rPr>
          <w:rFonts w:ascii="Times New Roman" w:hAnsi="Times New Roman"/>
          <w:i/>
          <w:iCs/>
          <w:lang w:val="en-HK"/>
        </w:rPr>
        <w:t>Twinsectra</w:t>
      </w:r>
      <w:r w:rsidRPr="005E49C6">
        <w:rPr>
          <w:rFonts w:ascii="Times New Roman" w:hAnsi="Times New Roman"/>
          <w:lang w:val="en-HK"/>
        </w:rPr>
        <w:t>’s</w:t>
      </w:r>
      <w:proofErr w:type="spellEnd"/>
      <w:r w:rsidRPr="005E49C6">
        <w:rPr>
          <w:rFonts w:ascii="Times New Roman" w:hAnsi="Times New Roman"/>
          <w:lang w:val="en-HK"/>
        </w:rPr>
        <w:t xml:space="preserve"> ambiguity (Conv. 2006, Mar/Apr, 196).</w:t>
      </w:r>
    </w:p>
    <w:p w14:paraId="6C5B1436" w14:textId="77777777" w:rsidR="005E49C6" w:rsidRPr="005E49C6" w:rsidRDefault="005E49C6" w:rsidP="00FD2C62">
      <w:pPr>
        <w:spacing w:after="240" w:line="360" w:lineRule="auto"/>
        <w:rPr>
          <w:rFonts w:ascii="Times New Roman" w:hAnsi="Times New Roman" w:hint="eastAsia"/>
          <w:lang w:val="en-HK"/>
        </w:rPr>
      </w:pPr>
    </w:p>
    <w:p w14:paraId="4DFF960F" w14:textId="795D397D" w:rsidR="005E49C6" w:rsidRPr="005E49C6" w:rsidRDefault="005E49C6" w:rsidP="005E49C6">
      <w:pPr>
        <w:spacing w:after="240" w:line="360" w:lineRule="auto"/>
        <w:outlineLvl w:val="3"/>
        <w:rPr>
          <w:rFonts w:ascii="Times New Roman" w:hAnsi="Times New Roman"/>
          <w:b/>
          <w:bCs/>
          <w:lang w:val="en-HK"/>
        </w:rPr>
      </w:pPr>
      <w:r w:rsidRPr="005E49C6">
        <w:rPr>
          <w:rFonts w:ascii="Times New Roman" w:hAnsi="Times New Roman"/>
          <w:b/>
          <w:bCs/>
          <w:lang w:val="en-HK"/>
        </w:rPr>
        <w:t>Scholarly and Judicial Perspectives</w:t>
      </w:r>
    </w:p>
    <w:p w14:paraId="07A078F4" w14:textId="7B8F9012" w:rsidR="005E49C6" w:rsidRPr="005E49C6" w:rsidRDefault="005E49C6" w:rsidP="00EB7412">
      <w:pPr>
        <w:spacing w:after="240" w:line="360" w:lineRule="auto"/>
        <w:rPr>
          <w:rFonts w:ascii="Times New Roman" w:hAnsi="Times New Roman"/>
          <w:lang w:val="en-HK"/>
        </w:rPr>
      </w:pPr>
      <w:r w:rsidRPr="005E49C6">
        <w:rPr>
          <w:rFonts w:ascii="Times New Roman" w:hAnsi="Times New Roman"/>
          <w:b/>
          <w:bCs/>
          <w:lang w:val="en-HK"/>
        </w:rPr>
        <w:t>Lord Nicholls</w:t>
      </w:r>
      <w:r w:rsidRPr="005E49C6">
        <w:rPr>
          <w:rFonts w:ascii="Times New Roman" w:hAnsi="Times New Roman"/>
          <w:lang w:val="en-HK"/>
        </w:rPr>
        <w:t>: Emphasized clarity: In most situations there is little difficulty in identifying how an honest person would behave (Royal Brunei at 389, cited at Conv. 2006, Mar/Apr, 196).</w:t>
      </w:r>
    </w:p>
    <w:p w14:paraId="4AADB0AC" w14:textId="4D96FDB8" w:rsidR="005E49C6" w:rsidRPr="005E49C6" w:rsidRDefault="005E49C6" w:rsidP="00EB7412">
      <w:pPr>
        <w:spacing w:after="240" w:line="360" w:lineRule="auto"/>
        <w:rPr>
          <w:rFonts w:ascii="Times New Roman" w:hAnsi="Times New Roman"/>
          <w:lang w:val="en-HK"/>
        </w:rPr>
      </w:pPr>
      <w:r w:rsidRPr="005E49C6">
        <w:rPr>
          <w:rFonts w:ascii="Times New Roman" w:hAnsi="Times New Roman"/>
          <w:b/>
          <w:bCs/>
          <w:lang w:val="en-HK"/>
        </w:rPr>
        <w:t>Lord Millett</w:t>
      </w:r>
      <w:r w:rsidRPr="005E49C6">
        <w:rPr>
          <w:rFonts w:ascii="Times New Roman" w:hAnsi="Times New Roman"/>
          <w:lang w:val="en-HK"/>
        </w:rPr>
        <w:t xml:space="preserve">: In dissent, upheld </w:t>
      </w:r>
      <w:r w:rsidRPr="005E49C6">
        <w:rPr>
          <w:rFonts w:ascii="Times New Roman" w:hAnsi="Times New Roman"/>
          <w:i/>
          <w:iCs/>
          <w:lang w:val="en-HK"/>
        </w:rPr>
        <w:t>Royal Brunei</w:t>
      </w:r>
      <w:r w:rsidRPr="005E49C6">
        <w:rPr>
          <w:rFonts w:ascii="Times New Roman" w:hAnsi="Times New Roman"/>
          <w:lang w:val="en-HK"/>
        </w:rPr>
        <w:t xml:space="preserve">’s objectivity, unacknowledged in </w:t>
      </w:r>
      <w:r w:rsidRPr="005E49C6">
        <w:rPr>
          <w:rFonts w:ascii="Times New Roman" w:hAnsi="Times New Roman"/>
          <w:i/>
          <w:iCs/>
          <w:lang w:val="en-HK"/>
        </w:rPr>
        <w:t>Barlow Clowes</w:t>
      </w:r>
      <w:r w:rsidRPr="005E49C6">
        <w:rPr>
          <w:rFonts w:ascii="Times New Roman" w:hAnsi="Times New Roman"/>
          <w:lang w:val="en-HK"/>
        </w:rPr>
        <w:t xml:space="preserve"> (</w:t>
      </w:r>
      <w:proofErr w:type="spellStart"/>
      <w:r w:rsidRPr="005E49C6">
        <w:rPr>
          <w:rFonts w:ascii="Times New Roman" w:hAnsi="Times New Roman"/>
          <w:lang w:val="en-HK"/>
        </w:rPr>
        <w:t>Twinsectra</w:t>
      </w:r>
      <w:proofErr w:type="spellEnd"/>
      <w:r w:rsidRPr="005E49C6">
        <w:rPr>
          <w:rFonts w:ascii="Times New Roman" w:hAnsi="Times New Roman"/>
          <w:lang w:val="en-HK"/>
        </w:rPr>
        <w:t xml:space="preserve"> at 197, cited at Conv. 2006, Mar/Apr, 191).</w:t>
      </w:r>
    </w:p>
    <w:p w14:paraId="61CBCAD7" w14:textId="34906D5C" w:rsidR="005E49C6" w:rsidRPr="005E49C6" w:rsidRDefault="005E49C6" w:rsidP="00EB7412">
      <w:pPr>
        <w:spacing w:after="240" w:line="360" w:lineRule="auto"/>
        <w:rPr>
          <w:rFonts w:ascii="Times New Roman" w:hAnsi="Times New Roman"/>
          <w:lang w:val="en-HK"/>
        </w:rPr>
      </w:pPr>
      <w:r w:rsidRPr="005E49C6">
        <w:rPr>
          <w:rFonts w:ascii="Times New Roman" w:hAnsi="Times New Roman"/>
          <w:b/>
          <w:bCs/>
          <w:lang w:val="en-HK"/>
        </w:rPr>
        <w:t>Lord Hoffmann</w:t>
      </w:r>
      <w:r w:rsidRPr="005E49C6">
        <w:rPr>
          <w:rFonts w:ascii="Times New Roman" w:hAnsi="Times New Roman"/>
          <w:lang w:val="en-HK"/>
        </w:rPr>
        <w:t xml:space="preserve">: Reinterpreted </w:t>
      </w:r>
      <w:proofErr w:type="spellStart"/>
      <w:r w:rsidRPr="005E49C6">
        <w:rPr>
          <w:rFonts w:ascii="Times New Roman" w:hAnsi="Times New Roman"/>
          <w:i/>
          <w:iCs/>
          <w:lang w:val="en-HK"/>
        </w:rPr>
        <w:t>Twinsectra</w:t>
      </w:r>
      <w:proofErr w:type="spellEnd"/>
      <w:r w:rsidRPr="005E49C6">
        <w:rPr>
          <w:rFonts w:ascii="Times New Roman" w:hAnsi="Times New Roman"/>
          <w:lang w:val="en-HK"/>
        </w:rPr>
        <w:t xml:space="preserve"> to align with </w:t>
      </w:r>
      <w:r w:rsidRPr="005E49C6">
        <w:rPr>
          <w:rFonts w:ascii="Times New Roman" w:hAnsi="Times New Roman"/>
          <w:i/>
          <w:iCs/>
          <w:lang w:val="en-HK"/>
        </w:rPr>
        <w:t>Royal Brunei</w:t>
      </w:r>
      <w:r w:rsidRPr="005E49C6">
        <w:rPr>
          <w:rFonts w:ascii="Times New Roman" w:hAnsi="Times New Roman"/>
          <w:lang w:val="en-HK"/>
        </w:rPr>
        <w:t>, though Ryan finds this strained (Barlow Clowes at [15]-[16], cited at Conv. 2006, Mar/Apr, 194).</w:t>
      </w:r>
    </w:p>
    <w:p w14:paraId="62317B23" w14:textId="77777777" w:rsidR="005E49C6" w:rsidRPr="005E49C6" w:rsidRDefault="005E49C6" w:rsidP="005E49C6">
      <w:pPr>
        <w:spacing w:after="240" w:line="360" w:lineRule="auto"/>
        <w:rPr>
          <w:rFonts w:ascii="Times New Roman" w:hAnsi="Times New Roman"/>
          <w:lang w:val="en-HK"/>
        </w:rPr>
      </w:pPr>
      <w:r w:rsidRPr="005E49C6">
        <w:rPr>
          <w:rFonts w:ascii="Times New Roman" w:hAnsi="Times New Roman"/>
          <w:b/>
          <w:bCs/>
          <w:lang w:val="en-HK"/>
        </w:rPr>
        <w:t>Scholars</w:t>
      </w:r>
      <w:r w:rsidRPr="005E49C6">
        <w:rPr>
          <w:rFonts w:ascii="Times New Roman" w:hAnsi="Times New Roman"/>
          <w:lang w:val="en-HK"/>
        </w:rPr>
        <w:t xml:space="preserve">: Tjio and Yeo saw </w:t>
      </w:r>
      <w:proofErr w:type="spellStart"/>
      <w:r w:rsidRPr="005E49C6">
        <w:rPr>
          <w:rFonts w:ascii="Times New Roman" w:hAnsi="Times New Roman"/>
          <w:i/>
          <w:iCs/>
          <w:lang w:val="en-HK"/>
        </w:rPr>
        <w:t>Twinsectra</w:t>
      </w:r>
      <w:proofErr w:type="spellEnd"/>
      <w:r w:rsidRPr="005E49C6">
        <w:rPr>
          <w:rFonts w:ascii="Times New Roman" w:hAnsi="Times New Roman"/>
          <w:lang w:val="en-HK"/>
        </w:rPr>
        <w:t xml:space="preserve"> as disruptive (118 L.Q.R. 502 at 507, cited at Conv. 2006, Mar/Apr, 191); Mitchell praised </w:t>
      </w:r>
      <w:r w:rsidRPr="005E49C6">
        <w:rPr>
          <w:rFonts w:ascii="Times New Roman" w:hAnsi="Times New Roman"/>
          <w:i/>
          <w:iCs/>
          <w:lang w:val="en-HK"/>
        </w:rPr>
        <w:t>Barlow Clowes</w:t>
      </w:r>
      <w:r w:rsidRPr="005E49C6">
        <w:rPr>
          <w:rFonts w:ascii="Times New Roman" w:hAnsi="Times New Roman"/>
          <w:lang w:val="en-HK"/>
        </w:rPr>
        <w:t xml:space="preserve"> for restoring </w:t>
      </w:r>
      <w:r w:rsidRPr="005E49C6">
        <w:rPr>
          <w:rFonts w:ascii="Times New Roman" w:hAnsi="Times New Roman"/>
          <w:i/>
          <w:iCs/>
          <w:lang w:val="en-HK"/>
        </w:rPr>
        <w:t>Royal Brunei</w:t>
      </w:r>
      <w:r w:rsidRPr="005E49C6">
        <w:rPr>
          <w:rFonts w:ascii="Times New Roman" w:hAnsi="Times New Roman"/>
          <w:lang w:val="en-HK"/>
        </w:rPr>
        <w:t xml:space="preserve"> (Obligations Discussion Group, cited at Conv. 2006, Mar/Apr, 192).</w:t>
      </w:r>
    </w:p>
    <w:p w14:paraId="1F4DD02C" w14:textId="77777777" w:rsidR="005E49C6" w:rsidRPr="005E49C6" w:rsidRDefault="005E49C6" w:rsidP="005E49C6">
      <w:pPr>
        <w:spacing w:after="240" w:line="360" w:lineRule="auto"/>
        <w:ind w:left="720"/>
        <w:rPr>
          <w:rFonts w:ascii="Times New Roman" w:hAnsi="Times New Roman"/>
          <w:lang w:val="en-HK"/>
        </w:rPr>
      </w:pPr>
    </w:p>
    <w:p w14:paraId="0737F564" w14:textId="77777777" w:rsidR="005E49C6" w:rsidRPr="005E49C6" w:rsidRDefault="005E49C6" w:rsidP="005E49C6">
      <w:pPr>
        <w:spacing w:after="240" w:line="360" w:lineRule="auto"/>
        <w:outlineLvl w:val="3"/>
        <w:rPr>
          <w:rFonts w:ascii="Times New Roman" w:hAnsi="Times New Roman"/>
          <w:b/>
          <w:bCs/>
          <w:lang w:val="en-HK"/>
        </w:rPr>
      </w:pPr>
      <w:r w:rsidRPr="005E49C6">
        <w:rPr>
          <w:rFonts w:ascii="Times New Roman" w:hAnsi="Times New Roman"/>
          <w:b/>
          <w:bCs/>
          <w:lang w:val="en-HK"/>
        </w:rPr>
        <w:t>Current Uncertainties (as of 2006)</w:t>
      </w:r>
    </w:p>
    <w:p w14:paraId="53EB18B1" w14:textId="77777777" w:rsidR="005E49C6" w:rsidRPr="005E49C6" w:rsidRDefault="005E49C6" w:rsidP="005E49C6">
      <w:pPr>
        <w:spacing w:after="240" w:line="360" w:lineRule="auto"/>
        <w:rPr>
          <w:rFonts w:ascii="Times New Roman" w:hAnsi="Times New Roman"/>
          <w:lang w:val="en-HK"/>
        </w:rPr>
      </w:pPr>
      <w:r w:rsidRPr="005E49C6">
        <w:rPr>
          <w:rFonts w:ascii="Times New Roman" w:hAnsi="Times New Roman"/>
          <w:b/>
          <w:bCs/>
          <w:lang w:val="en-HK"/>
        </w:rPr>
        <w:t>Interpretive Debate</w:t>
      </w:r>
      <w:r w:rsidRPr="005E49C6">
        <w:rPr>
          <w:rFonts w:ascii="Times New Roman" w:hAnsi="Times New Roman"/>
          <w:lang w:val="en-HK"/>
        </w:rPr>
        <w:t>:</w:t>
      </w:r>
    </w:p>
    <w:p w14:paraId="0BA736F4" w14:textId="23C04362" w:rsidR="005E49C6" w:rsidRPr="005E49C6" w:rsidRDefault="005E49C6" w:rsidP="00EB7412">
      <w:pPr>
        <w:spacing w:after="240" w:line="360" w:lineRule="auto"/>
        <w:rPr>
          <w:rFonts w:ascii="Times New Roman" w:hAnsi="Times New Roman"/>
          <w:lang w:val="en-HK"/>
        </w:rPr>
      </w:pPr>
      <w:r w:rsidRPr="005E49C6">
        <w:rPr>
          <w:rFonts w:ascii="Times New Roman" w:hAnsi="Times New Roman"/>
          <w:lang w:val="en-HK"/>
        </w:rPr>
        <w:t xml:space="preserve">Ryan finds the Privy Council’s rereading of </w:t>
      </w:r>
      <w:proofErr w:type="spellStart"/>
      <w:r w:rsidRPr="005E49C6">
        <w:rPr>
          <w:rFonts w:ascii="Times New Roman" w:hAnsi="Times New Roman"/>
          <w:i/>
          <w:iCs/>
          <w:lang w:val="en-HK"/>
        </w:rPr>
        <w:t>Twinsectra</w:t>
      </w:r>
      <w:proofErr w:type="spellEnd"/>
      <w:r w:rsidRPr="005E49C6">
        <w:rPr>
          <w:rFonts w:ascii="Times New Roman" w:hAnsi="Times New Roman"/>
          <w:lang w:val="en-HK"/>
        </w:rPr>
        <w:t xml:space="preserve"> surprising, as its language naturally suggests subjectivity, and notes the omission of Lord Millett’s dissent (Conv. 2006, Mar/Apr, 194-195).</w:t>
      </w:r>
    </w:p>
    <w:p w14:paraId="28F3EC15" w14:textId="116D008A" w:rsidR="005E49C6" w:rsidRPr="005E49C6" w:rsidRDefault="005E49C6" w:rsidP="005E49C6">
      <w:pPr>
        <w:spacing w:after="240" w:line="360" w:lineRule="auto"/>
        <w:rPr>
          <w:rFonts w:ascii="Times New Roman" w:hAnsi="Times New Roman"/>
          <w:lang w:val="en-HK"/>
        </w:rPr>
      </w:pPr>
      <w:r>
        <w:rPr>
          <w:rFonts w:ascii="Times New Roman" w:hAnsi="Times New Roman"/>
          <w:b/>
          <w:bCs/>
          <w:lang w:val="en-HK"/>
        </w:rPr>
        <w:t>P</w:t>
      </w:r>
      <w:r w:rsidRPr="005E49C6">
        <w:rPr>
          <w:rFonts w:ascii="Times New Roman" w:hAnsi="Times New Roman"/>
          <w:b/>
          <w:bCs/>
          <w:lang w:val="en-HK"/>
        </w:rPr>
        <w:t>ractical Application</w:t>
      </w:r>
      <w:r w:rsidRPr="005E49C6">
        <w:rPr>
          <w:rFonts w:ascii="Times New Roman" w:hAnsi="Times New Roman"/>
          <w:lang w:val="en-HK"/>
        </w:rPr>
        <w:t>:</w:t>
      </w:r>
    </w:p>
    <w:p w14:paraId="55B7F2B7" w14:textId="408D842C" w:rsidR="005E49C6" w:rsidRDefault="005E49C6" w:rsidP="005E49C6">
      <w:pPr>
        <w:spacing w:after="240" w:line="360" w:lineRule="auto"/>
        <w:rPr>
          <w:rFonts w:ascii="Times New Roman" w:hAnsi="Times New Roman"/>
          <w:lang w:val="en-HK"/>
        </w:rPr>
      </w:pPr>
      <w:r w:rsidRPr="005E49C6">
        <w:rPr>
          <w:rFonts w:ascii="Times New Roman" w:hAnsi="Times New Roman"/>
          <w:lang w:val="en-HK"/>
        </w:rPr>
        <w:t xml:space="preserve">Inferring dishonesty remains challenging, undermining </w:t>
      </w:r>
      <w:r w:rsidRPr="005E49C6">
        <w:rPr>
          <w:rFonts w:ascii="Times New Roman" w:hAnsi="Times New Roman"/>
          <w:i/>
          <w:iCs/>
          <w:lang w:val="en-HK"/>
        </w:rPr>
        <w:t>Royal Brunei</w:t>
      </w:r>
      <w:r w:rsidRPr="005E49C6">
        <w:rPr>
          <w:rFonts w:ascii="Times New Roman" w:hAnsi="Times New Roman"/>
          <w:lang w:val="en-HK"/>
        </w:rPr>
        <w:t>’s simplicity (Conv. 2006, Mar/Apr, 196)</w:t>
      </w:r>
      <w:r w:rsidR="00EB7412">
        <w:rPr>
          <w:rFonts w:ascii="Times New Roman" w:hAnsi="Times New Roman"/>
          <w:lang w:val="en-HK"/>
        </w:rPr>
        <w:t>.</w:t>
      </w:r>
    </w:p>
    <w:p w14:paraId="43B9DF44" w14:textId="321E7695" w:rsidR="005E49C6" w:rsidRPr="005E49C6" w:rsidRDefault="005E49C6" w:rsidP="005E49C6">
      <w:pPr>
        <w:spacing w:after="240" w:line="360" w:lineRule="auto"/>
        <w:rPr>
          <w:rFonts w:ascii="Times New Roman" w:hAnsi="Times New Roman"/>
          <w:lang w:val="en-HK"/>
        </w:rPr>
      </w:pPr>
      <w:r w:rsidRPr="005E49C6">
        <w:rPr>
          <w:rFonts w:ascii="Times New Roman" w:hAnsi="Times New Roman"/>
          <w:b/>
          <w:bCs/>
          <w:lang w:val="en-HK"/>
        </w:rPr>
        <w:t>Precedential Stability</w:t>
      </w:r>
      <w:r w:rsidRPr="005E49C6">
        <w:rPr>
          <w:rFonts w:ascii="Times New Roman" w:hAnsi="Times New Roman"/>
          <w:lang w:val="en-HK"/>
        </w:rPr>
        <w:t>:</w:t>
      </w:r>
    </w:p>
    <w:p w14:paraId="74821AEE" w14:textId="4DC78B4B" w:rsidR="00CD39F1" w:rsidRPr="005E49C6" w:rsidRDefault="005E49C6" w:rsidP="005E49C6">
      <w:pPr>
        <w:spacing w:after="240" w:line="360" w:lineRule="auto"/>
        <w:rPr>
          <w:rFonts w:ascii="Times New Roman" w:hAnsi="Times New Roman"/>
          <w:lang w:val="en-HK"/>
        </w:rPr>
      </w:pPr>
      <w:r w:rsidRPr="005E49C6">
        <w:rPr>
          <w:rFonts w:ascii="Times New Roman" w:hAnsi="Times New Roman"/>
          <w:lang w:val="en-HK"/>
        </w:rPr>
        <w:lastRenderedPageBreak/>
        <w:t xml:space="preserve">Prior misinterpretations (e.g., Harrison v Teton Valley Trading Company [2004] EWCA </w:t>
      </w:r>
      <w:proofErr w:type="spellStart"/>
      <w:r w:rsidRPr="005E49C6">
        <w:rPr>
          <w:rFonts w:ascii="Times New Roman" w:hAnsi="Times New Roman"/>
          <w:lang w:val="en-HK"/>
        </w:rPr>
        <w:t>Civ</w:t>
      </w:r>
      <w:proofErr w:type="spellEnd"/>
      <w:r w:rsidRPr="005E49C6">
        <w:rPr>
          <w:rFonts w:ascii="Times New Roman" w:hAnsi="Times New Roman"/>
          <w:lang w:val="en-HK"/>
        </w:rPr>
        <w:t xml:space="preserve"> 1028, cited in footnote 27, Conv. 2006, Mar/Apr, 197) suggest ongoing caution is needed (Conv. 2006, Mar/Apr, 197).</w:t>
      </w:r>
    </w:p>
    <w:sectPr w:rsidR="00CD39F1" w:rsidRPr="005E49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44330E"/>
    <w:multiLevelType w:val="multilevel"/>
    <w:tmpl w:val="B0EE1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21AEA"/>
    <w:multiLevelType w:val="multilevel"/>
    <w:tmpl w:val="54DA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120336"/>
    <w:multiLevelType w:val="multilevel"/>
    <w:tmpl w:val="CB58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145412"/>
    <w:multiLevelType w:val="multilevel"/>
    <w:tmpl w:val="222C7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612A10"/>
    <w:multiLevelType w:val="multilevel"/>
    <w:tmpl w:val="AA725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240BC9"/>
    <w:multiLevelType w:val="multilevel"/>
    <w:tmpl w:val="8A80E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F4075B"/>
    <w:multiLevelType w:val="multilevel"/>
    <w:tmpl w:val="D4626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430226"/>
    <w:multiLevelType w:val="multilevel"/>
    <w:tmpl w:val="17769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9F6021"/>
    <w:multiLevelType w:val="multilevel"/>
    <w:tmpl w:val="3298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431AEE"/>
    <w:multiLevelType w:val="multilevel"/>
    <w:tmpl w:val="B8C88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561452"/>
    <w:multiLevelType w:val="multilevel"/>
    <w:tmpl w:val="53A09A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CF62A3"/>
    <w:multiLevelType w:val="multilevel"/>
    <w:tmpl w:val="97BED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9D5D51"/>
    <w:multiLevelType w:val="multilevel"/>
    <w:tmpl w:val="4A08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621AAE"/>
    <w:multiLevelType w:val="multilevel"/>
    <w:tmpl w:val="76C28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7104DF"/>
    <w:multiLevelType w:val="multilevel"/>
    <w:tmpl w:val="1E30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1B73B1"/>
    <w:multiLevelType w:val="multilevel"/>
    <w:tmpl w:val="58BEE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78388F"/>
    <w:multiLevelType w:val="multilevel"/>
    <w:tmpl w:val="FCC22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B03E60"/>
    <w:multiLevelType w:val="multilevel"/>
    <w:tmpl w:val="5D389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153BF0"/>
    <w:multiLevelType w:val="multilevel"/>
    <w:tmpl w:val="3CBEB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0073E3"/>
    <w:multiLevelType w:val="multilevel"/>
    <w:tmpl w:val="349E0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AC2472"/>
    <w:multiLevelType w:val="multilevel"/>
    <w:tmpl w:val="D1006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6283600">
    <w:abstractNumId w:val="7"/>
  </w:num>
  <w:num w:numId="2" w16cid:durableId="2040620056">
    <w:abstractNumId w:val="0"/>
  </w:num>
  <w:num w:numId="3" w16cid:durableId="1789276863">
    <w:abstractNumId w:val="8"/>
  </w:num>
  <w:num w:numId="4" w16cid:durableId="1237977667">
    <w:abstractNumId w:val="3"/>
  </w:num>
  <w:num w:numId="5" w16cid:durableId="1631325421">
    <w:abstractNumId w:val="14"/>
  </w:num>
  <w:num w:numId="6" w16cid:durableId="190724065">
    <w:abstractNumId w:val="2"/>
  </w:num>
  <w:num w:numId="7" w16cid:durableId="42095701">
    <w:abstractNumId w:val="9"/>
  </w:num>
  <w:num w:numId="8" w16cid:durableId="756441736">
    <w:abstractNumId w:val="20"/>
  </w:num>
  <w:num w:numId="9" w16cid:durableId="285741289">
    <w:abstractNumId w:val="11"/>
  </w:num>
  <w:num w:numId="10" w16cid:durableId="680352191">
    <w:abstractNumId w:val="19"/>
  </w:num>
  <w:num w:numId="11" w16cid:durableId="172839382">
    <w:abstractNumId w:val="12"/>
  </w:num>
  <w:num w:numId="12" w16cid:durableId="734206368">
    <w:abstractNumId w:val="15"/>
  </w:num>
  <w:num w:numId="13" w16cid:durableId="1815218370">
    <w:abstractNumId w:val="5"/>
  </w:num>
  <w:num w:numId="14" w16cid:durableId="878708420">
    <w:abstractNumId w:val="6"/>
  </w:num>
  <w:num w:numId="15" w16cid:durableId="726337121">
    <w:abstractNumId w:val="10"/>
  </w:num>
  <w:num w:numId="16" w16cid:durableId="1185823306">
    <w:abstractNumId w:val="16"/>
  </w:num>
  <w:num w:numId="17" w16cid:durableId="1931043682">
    <w:abstractNumId w:val="18"/>
  </w:num>
  <w:num w:numId="18" w16cid:durableId="1483428297">
    <w:abstractNumId w:val="17"/>
  </w:num>
  <w:num w:numId="19" w16cid:durableId="600719504">
    <w:abstractNumId w:val="1"/>
  </w:num>
  <w:num w:numId="20" w16cid:durableId="669605041">
    <w:abstractNumId w:val="4"/>
  </w:num>
  <w:num w:numId="21" w16cid:durableId="14879331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9"/>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201"/>
    <w:rsid w:val="000046A5"/>
    <w:rsid w:val="00012117"/>
    <w:rsid w:val="000147A9"/>
    <w:rsid w:val="00042755"/>
    <w:rsid w:val="0006107D"/>
    <w:rsid w:val="000623A3"/>
    <w:rsid w:val="00066D1D"/>
    <w:rsid w:val="000719DA"/>
    <w:rsid w:val="00094D65"/>
    <w:rsid w:val="000A2074"/>
    <w:rsid w:val="000A3F4D"/>
    <w:rsid w:val="000A64DA"/>
    <w:rsid w:val="000C4ABC"/>
    <w:rsid w:val="000C58D7"/>
    <w:rsid w:val="000E15ED"/>
    <w:rsid w:val="000F3F73"/>
    <w:rsid w:val="00101CCF"/>
    <w:rsid w:val="00121A80"/>
    <w:rsid w:val="001372F7"/>
    <w:rsid w:val="00175AB8"/>
    <w:rsid w:val="0019260C"/>
    <w:rsid w:val="001A41D2"/>
    <w:rsid w:val="001B0E31"/>
    <w:rsid w:val="001D360C"/>
    <w:rsid w:val="001E2584"/>
    <w:rsid w:val="002033A2"/>
    <w:rsid w:val="00204B6E"/>
    <w:rsid w:val="00223837"/>
    <w:rsid w:val="00243CED"/>
    <w:rsid w:val="00247BCC"/>
    <w:rsid w:val="00257540"/>
    <w:rsid w:val="0026510F"/>
    <w:rsid w:val="0028028D"/>
    <w:rsid w:val="00291F37"/>
    <w:rsid w:val="0029568E"/>
    <w:rsid w:val="00297C6E"/>
    <w:rsid w:val="002B3377"/>
    <w:rsid w:val="002C38C0"/>
    <w:rsid w:val="002C6D8B"/>
    <w:rsid w:val="002D2BF1"/>
    <w:rsid w:val="002D715D"/>
    <w:rsid w:val="002E3864"/>
    <w:rsid w:val="002E46F2"/>
    <w:rsid w:val="002F1DB1"/>
    <w:rsid w:val="002F20B2"/>
    <w:rsid w:val="002F53C9"/>
    <w:rsid w:val="003048A0"/>
    <w:rsid w:val="0031138E"/>
    <w:rsid w:val="0031474F"/>
    <w:rsid w:val="00315815"/>
    <w:rsid w:val="0032656E"/>
    <w:rsid w:val="003278F5"/>
    <w:rsid w:val="00330665"/>
    <w:rsid w:val="00342A18"/>
    <w:rsid w:val="00357561"/>
    <w:rsid w:val="0036177C"/>
    <w:rsid w:val="00361975"/>
    <w:rsid w:val="00376E23"/>
    <w:rsid w:val="0039416B"/>
    <w:rsid w:val="003A1271"/>
    <w:rsid w:val="003A5DF7"/>
    <w:rsid w:val="003B3510"/>
    <w:rsid w:val="003C116C"/>
    <w:rsid w:val="003D0CDD"/>
    <w:rsid w:val="003D710F"/>
    <w:rsid w:val="003E1CAA"/>
    <w:rsid w:val="0040210F"/>
    <w:rsid w:val="00412F9B"/>
    <w:rsid w:val="004222FD"/>
    <w:rsid w:val="004319FA"/>
    <w:rsid w:val="00442F56"/>
    <w:rsid w:val="0044616D"/>
    <w:rsid w:val="00474DD1"/>
    <w:rsid w:val="004751B5"/>
    <w:rsid w:val="0048097D"/>
    <w:rsid w:val="004816F7"/>
    <w:rsid w:val="0048175B"/>
    <w:rsid w:val="004829F2"/>
    <w:rsid w:val="004845CE"/>
    <w:rsid w:val="004A553E"/>
    <w:rsid w:val="004B0B8B"/>
    <w:rsid w:val="004B1048"/>
    <w:rsid w:val="004D01FE"/>
    <w:rsid w:val="004D582C"/>
    <w:rsid w:val="004D5B1A"/>
    <w:rsid w:val="004E1930"/>
    <w:rsid w:val="004E458E"/>
    <w:rsid w:val="004F0E12"/>
    <w:rsid w:val="004F43CC"/>
    <w:rsid w:val="004F5A36"/>
    <w:rsid w:val="00505437"/>
    <w:rsid w:val="005120A1"/>
    <w:rsid w:val="00542B57"/>
    <w:rsid w:val="005525C9"/>
    <w:rsid w:val="00557B52"/>
    <w:rsid w:val="005743EA"/>
    <w:rsid w:val="005770A9"/>
    <w:rsid w:val="0058416B"/>
    <w:rsid w:val="00591130"/>
    <w:rsid w:val="00595357"/>
    <w:rsid w:val="005A1930"/>
    <w:rsid w:val="005A6EEA"/>
    <w:rsid w:val="005B34ED"/>
    <w:rsid w:val="005B61CD"/>
    <w:rsid w:val="005B74C5"/>
    <w:rsid w:val="005C4FF3"/>
    <w:rsid w:val="005C50B3"/>
    <w:rsid w:val="005C6B83"/>
    <w:rsid w:val="005C7AAA"/>
    <w:rsid w:val="005D57DA"/>
    <w:rsid w:val="005E49C6"/>
    <w:rsid w:val="005E7702"/>
    <w:rsid w:val="005F33FC"/>
    <w:rsid w:val="00605F8E"/>
    <w:rsid w:val="00613954"/>
    <w:rsid w:val="006159E0"/>
    <w:rsid w:val="00622488"/>
    <w:rsid w:val="006350B8"/>
    <w:rsid w:val="006415E8"/>
    <w:rsid w:val="00650543"/>
    <w:rsid w:val="00654D8B"/>
    <w:rsid w:val="00661136"/>
    <w:rsid w:val="00672197"/>
    <w:rsid w:val="0068027B"/>
    <w:rsid w:val="006B7BA3"/>
    <w:rsid w:val="006C42B8"/>
    <w:rsid w:val="006C50C7"/>
    <w:rsid w:val="006D1612"/>
    <w:rsid w:val="00713CA9"/>
    <w:rsid w:val="007455C6"/>
    <w:rsid w:val="007475C7"/>
    <w:rsid w:val="0075265A"/>
    <w:rsid w:val="0075498E"/>
    <w:rsid w:val="00757BE5"/>
    <w:rsid w:val="00760E46"/>
    <w:rsid w:val="00763201"/>
    <w:rsid w:val="007643D2"/>
    <w:rsid w:val="00766D82"/>
    <w:rsid w:val="007678B2"/>
    <w:rsid w:val="00782575"/>
    <w:rsid w:val="0078776B"/>
    <w:rsid w:val="00796A93"/>
    <w:rsid w:val="007975B6"/>
    <w:rsid w:val="007B48C2"/>
    <w:rsid w:val="007C231D"/>
    <w:rsid w:val="007D68F0"/>
    <w:rsid w:val="007E1559"/>
    <w:rsid w:val="007E2E80"/>
    <w:rsid w:val="007E4AE6"/>
    <w:rsid w:val="007F776E"/>
    <w:rsid w:val="00816563"/>
    <w:rsid w:val="00830C88"/>
    <w:rsid w:val="00845AB5"/>
    <w:rsid w:val="00850813"/>
    <w:rsid w:val="00861B11"/>
    <w:rsid w:val="008829C2"/>
    <w:rsid w:val="008A54BE"/>
    <w:rsid w:val="008B2AB5"/>
    <w:rsid w:val="008C7B0A"/>
    <w:rsid w:val="008D0642"/>
    <w:rsid w:val="008E43C2"/>
    <w:rsid w:val="008E4565"/>
    <w:rsid w:val="008E745B"/>
    <w:rsid w:val="008F4EA7"/>
    <w:rsid w:val="008F5A10"/>
    <w:rsid w:val="00905ED0"/>
    <w:rsid w:val="0093405B"/>
    <w:rsid w:val="0094782D"/>
    <w:rsid w:val="00966189"/>
    <w:rsid w:val="00973661"/>
    <w:rsid w:val="00974434"/>
    <w:rsid w:val="00975B2D"/>
    <w:rsid w:val="00977514"/>
    <w:rsid w:val="009A48B0"/>
    <w:rsid w:val="009B24D6"/>
    <w:rsid w:val="009B2F21"/>
    <w:rsid w:val="009B3EF4"/>
    <w:rsid w:val="009C6498"/>
    <w:rsid w:val="009E62AF"/>
    <w:rsid w:val="009F726A"/>
    <w:rsid w:val="00A03BBD"/>
    <w:rsid w:val="00A21254"/>
    <w:rsid w:val="00A220B7"/>
    <w:rsid w:val="00A2728B"/>
    <w:rsid w:val="00A37AB0"/>
    <w:rsid w:val="00A4085F"/>
    <w:rsid w:val="00A4114F"/>
    <w:rsid w:val="00A45953"/>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8622A"/>
    <w:rsid w:val="00B914E6"/>
    <w:rsid w:val="00B95747"/>
    <w:rsid w:val="00BC4186"/>
    <w:rsid w:val="00BC5F25"/>
    <w:rsid w:val="00BD1450"/>
    <w:rsid w:val="00BD7714"/>
    <w:rsid w:val="00BD7C9B"/>
    <w:rsid w:val="00BE07C8"/>
    <w:rsid w:val="00C072F8"/>
    <w:rsid w:val="00C163D7"/>
    <w:rsid w:val="00C17D79"/>
    <w:rsid w:val="00C24A8A"/>
    <w:rsid w:val="00C27321"/>
    <w:rsid w:val="00C44474"/>
    <w:rsid w:val="00C44EB3"/>
    <w:rsid w:val="00C54722"/>
    <w:rsid w:val="00C616D7"/>
    <w:rsid w:val="00C65F70"/>
    <w:rsid w:val="00C76196"/>
    <w:rsid w:val="00C941C4"/>
    <w:rsid w:val="00C96A36"/>
    <w:rsid w:val="00CA350B"/>
    <w:rsid w:val="00CA3F60"/>
    <w:rsid w:val="00CC2EFF"/>
    <w:rsid w:val="00CC4FEF"/>
    <w:rsid w:val="00CD39F1"/>
    <w:rsid w:val="00CE1439"/>
    <w:rsid w:val="00CE7B86"/>
    <w:rsid w:val="00CF74EF"/>
    <w:rsid w:val="00D01E71"/>
    <w:rsid w:val="00D02AC8"/>
    <w:rsid w:val="00D0623C"/>
    <w:rsid w:val="00D07271"/>
    <w:rsid w:val="00D16917"/>
    <w:rsid w:val="00D64DCE"/>
    <w:rsid w:val="00D65735"/>
    <w:rsid w:val="00D73E2C"/>
    <w:rsid w:val="00D76D14"/>
    <w:rsid w:val="00DA31CB"/>
    <w:rsid w:val="00DA3D31"/>
    <w:rsid w:val="00DA4488"/>
    <w:rsid w:val="00DB2E35"/>
    <w:rsid w:val="00DC0040"/>
    <w:rsid w:val="00DC0B7B"/>
    <w:rsid w:val="00DC228E"/>
    <w:rsid w:val="00DC495B"/>
    <w:rsid w:val="00DC7181"/>
    <w:rsid w:val="00DD5D40"/>
    <w:rsid w:val="00DD6F5C"/>
    <w:rsid w:val="00DD7881"/>
    <w:rsid w:val="00DE6C87"/>
    <w:rsid w:val="00E06E11"/>
    <w:rsid w:val="00E14A1A"/>
    <w:rsid w:val="00E14E1F"/>
    <w:rsid w:val="00E2730E"/>
    <w:rsid w:val="00E4366A"/>
    <w:rsid w:val="00E438AC"/>
    <w:rsid w:val="00E51987"/>
    <w:rsid w:val="00E53FD2"/>
    <w:rsid w:val="00E5689E"/>
    <w:rsid w:val="00E60DF5"/>
    <w:rsid w:val="00E64DD3"/>
    <w:rsid w:val="00E80D33"/>
    <w:rsid w:val="00E9484C"/>
    <w:rsid w:val="00E95D8D"/>
    <w:rsid w:val="00EA6ED5"/>
    <w:rsid w:val="00EB7051"/>
    <w:rsid w:val="00EB7412"/>
    <w:rsid w:val="00EC67FC"/>
    <w:rsid w:val="00EC68EB"/>
    <w:rsid w:val="00EC7C43"/>
    <w:rsid w:val="00EE0191"/>
    <w:rsid w:val="00EE4F6A"/>
    <w:rsid w:val="00EF3EF4"/>
    <w:rsid w:val="00F012E4"/>
    <w:rsid w:val="00F0631B"/>
    <w:rsid w:val="00F248D2"/>
    <w:rsid w:val="00F27F00"/>
    <w:rsid w:val="00F33570"/>
    <w:rsid w:val="00F655F4"/>
    <w:rsid w:val="00F71153"/>
    <w:rsid w:val="00F81EB6"/>
    <w:rsid w:val="00F858D4"/>
    <w:rsid w:val="00FA0450"/>
    <w:rsid w:val="00FA4E8A"/>
    <w:rsid w:val="00FB2653"/>
    <w:rsid w:val="00FB5C49"/>
    <w:rsid w:val="00FC7B56"/>
    <w:rsid w:val="00FD2C62"/>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64FB7"/>
  <w15:chartTrackingRefBased/>
  <w15:docId w15:val="{87D0D035-0C14-0E49-9B39-4F35A7E13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7632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32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320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6320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6320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6320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6320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6320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6320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3201"/>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763201"/>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semiHidden/>
    <w:rsid w:val="00763201"/>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763201"/>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763201"/>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763201"/>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763201"/>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763201"/>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763201"/>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76320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3201"/>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76320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3201"/>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76320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63201"/>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763201"/>
    <w:pPr>
      <w:ind w:left="720"/>
      <w:contextualSpacing/>
    </w:pPr>
  </w:style>
  <w:style w:type="character" w:styleId="IntenseEmphasis">
    <w:name w:val="Intense Emphasis"/>
    <w:basedOn w:val="DefaultParagraphFont"/>
    <w:uiPriority w:val="21"/>
    <w:qFormat/>
    <w:rsid w:val="00763201"/>
    <w:rPr>
      <w:i/>
      <w:iCs/>
      <w:color w:val="2F5496" w:themeColor="accent1" w:themeShade="BF"/>
    </w:rPr>
  </w:style>
  <w:style w:type="paragraph" w:styleId="IntenseQuote">
    <w:name w:val="Intense Quote"/>
    <w:basedOn w:val="Normal"/>
    <w:next w:val="Normal"/>
    <w:link w:val="IntenseQuoteChar"/>
    <w:uiPriority w:val="30"/>
    <w:qFormat/>
    <w:rsid w:val="007632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3201"/>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763201"/>
    <w:rPr>
      <w:b/>
      <w:bCs/>
      <w:smallCaps/>
      <w:color w:val="2F5496" w:themeColor="accent1" w:themeShade="BF"/>
      <w:spacing w:val="5"/>
    </w:rPr>
  </w:style>
  <w:style w:type="paragraph" w:customStyle="1" w:styleId="break-words">
    <w:name w:val="break-words"/>
    <w:basedOn w:val="Normal"/>
    <w:rsid w:val="005E49C6"/>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5E49C6"/>
    <w:rPr>
      <w:i/>
      <w:iCs/>
    </w:rPr>
  </w:style>
  <w:style w:type="character" w:styleId="Strong">
    <w:name w:val="Strong"/>
    <w:basedOn w:val="DefaultParagraphFont"/>
    <w:uiPriority w:val="22"/>
    <w:qFormat/>
    <w:rsid w:val="005E49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0806929">
      <w:bodyDiv w:val="1"/>
      <w:marLeft w:val="0"/>
      <w:marRight w:val="0"/>
      <w:marTop w:val="0"/>
      <w:marBottom w:val="0"/>
      <w:divBdr>
        <w:top w:val="none" w:sz="0" w:space="0" w:color="auto"/>
        <w:left w:val="none" w:sz="0" w:space="0" w:color="auto"/>
        <w:bottom w:val="none" w:sz="0" w:space="0" w:color="auto"/>
        <w:right w:val="none" w:sz="0" w:space="0" w:color="auto"/>
      </w:divBdr>
      <w:divsChild>
        <w:div w:id="954365825">
          <w:marLeft w:val="0"/>
          <w:marRight w:val="0"/>
          <w:marTop w:val="0"/>
          <w:marBottom w:val="0"/>
          <w:divBdr>
            <w:top w:val="none" w:sz="0" w:space="0" w:color="auto"/>
            <w:left w:val="none" w:sz="0" w:space="0" w:color="auto"/>
            <w:bottom w:val="none" w:sz="0" w:space="0" w:color="auto"/>
            <w:right w:val="none" w:sz="0" w:space="0" w:color="auto"/>
          </w:divBdr>
        </w:div>
      </w:divsChild>
    </w:div>
    <w:div w:id="1186794073">
      <w:bodyDiv w:val="1"/>
      <w:marLeft w:val="0"/>
      <w:marRight w:val="0"/>
      <w:marTop w:val="0"/>
      <w:marBottom w:val="0"/>
      <w:divBdr>
        <w:top w:val="none" w:sz="0" w:space="0" w:color="auto"/>
        <w:left w:val="none" w:sz="0" w:space="0" w:color="auto"/>
        <w:bottom w:val="none" w:sz="0" w:space="0" w:color="auto"/>
        <w:right w:val="none" w:sz="0" w:space="0" w:color="auto"/>
      </w:divBdr>
      <w:divsChild>
        <w:div w:id="2038654208">
          <w:marLeft w:val="0"/>
          <w:marRight w:val="0"/>
          <w:marTop w:val="0"/>
          <w:marBottom w:val="0"/>
          <w:divBdr>
            <w:top w:val="none" w:sz="0" w:space="0" w:color="auto"/>
            <w:left w:val="none" w:sz="0" w:space="0" w:color="auto"/>
            <w:bottom w:val="none" w:sz="0" w:space="0" w:color="auto"/>
            <w:right w:val="none" w:sz="0" w:space="0" w:color="auto"/>
          </w:divBdr>
        </w:div>
      </w:divsChild>
    </w:div>
    <w:div w:id="1654597509">
      <w:bodyDiv w:val="1"/>
      <w:marLeft w:val="0"/>
      <w:marRight w:val="0"/>
      <w:marTop w:val="0"/>
      <w:marBottom w:val="0"/>
      <w:divBdr>
        <w:top w:val="none" w:sz="0" w:space="0" w:color="auto"/>
        <w:left w:val="none" w:sz="0" w:space="0" w:color="auto"/>
        <w:bottom w:val="none" w:sz="0" w:space="0" w:color="auto"/>
        <w:right w:val="none" w:sz="0" w:space="0" w:color="auto"/>
      </w:divBdr>
      <w:divsChild>
        <w:div w:id="1060131802">
          <w:marLeft w:val="0"/>
          <w:marRight w:val="0"/>
          <w:marTop w:val="0"/>
          <w:marBottom w:val="0"/>
          <w:divBdr>
            <w:top w:val="none" w:sz="0" w:space="0" w:color="auto"/>
            <w:left w:val="none" w:sz="0" w:space="0" w:color="auto"/>
            <w:bottom w:val="none" w:sz="0" w:space="0" w:color="auto"/>
            <w:right w:val="none" w:sz="0" w:space="0" w:color="auto"/>
          </w:divBdr>
        </w:div>
      </w:divsChild>
    </w:div>
    <w:div w:id="1937859089">
      <w:bodyDiv w:val="1"/>
      <w:marLeft w:val="0"/>
      <w:marRight w:val="0"/>
      <w:marTop w:val="0"/>
      <w:marBottom w:val="0"/>
      <w:divBdr>
        <w:top w:val="none" w:sz="0" w:space="0" w:color="auto"/>
        <w:left w:val="none" w:sz="0" w:space="0" w:color="auto"/>
        <w:bottom w:val="none" w:sz="0" w:space="0" w:color="auto"/>
        <w:right w:val="none" w:sz="0" w:space="0" w:color="auto"/>
      </w:divBdr>
      <w:divsChild>
        <w:div w:id="15150771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1397</Words>
  <Characters>7963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4</cp:revision>
  <dcterms:created xsi:type="dcterms:W3CDTF">2025-02-24T11:37:00Z</dcterms:created>
  <dcterms:modified xsi:type="dcterms:W3CDTF">2025-02-24T13:20:00Z</dcterms:modified>
</cp:coreProperties>
</file>