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CCAA1C" w14:textId="13E6930F" w:rsidR="00CD5F82" w:rsidRPr="00CD5F82" w:rsidRDefault="00CD5F82" w:rsidP="004F0D29">
      <w:pPr>
        <w:spacing w:after="240" w:line="360" w:lineRule="auto"/>
        <w:outlineLvl w:val="2"/>
        <w:rPr>
          <w:rFonts w:ascii="Times New Roman" w:hAnsi="Times New Roman"/>
          <w:b/>
          <w:bCs/>
          <w:lang w:val="en-HK"/>
        </w:rPr>
      </w:pPr>
      <w:r w:rsidRPr="00CD5F82">
        <w:rPr>
          <w:rFonts w:ascii="Times New Roman" w:hAnsi="Times New Roman"/>
          <w:b/>
          <w:bCs/>
          <w:lang w:val="en-HK"/>
        </w:rPr>
        <w:t>Tests for Dishonest Assistance Across Key Cases</w:t>
      </w:r>
    </w:p>
    <w:p w14:paraId="36D938B6" w14:textId="35D05200" w:rsidR="00CD5F82" w:rsidRPr="00CD5F82" w:rsidRDefault="00CD5F82" w:rsidP="004F0D29">
      <w:pPr>
        <w:spacing w:after="240" w:line="360" w:lineRule="auto"/>
        <w:outlineLvl w:val="3"/>
        <w:rPr>
          <w:rFonts w:ascii="Times New Roman" w:hAnsi="Times New Roman"/>
          <w:b/>
          <w:bCs/>
          <w:lang w:val="en-HK"/>
        </w:rPr>
      </w:pPr>
      <w:r w:rsidRPr="00CD5F82">
        <w:rPr>
          <w:rFonts w:ascii="Times New Roman" w:hAnsi="Times New Roman"/>
          <w:b/>
          <w:bCs/>
          <w:lang w:val="en-HK"/>
        </w:rPr>
        <w:t xml:space="preserve">1. </w:t>
      </w:r>
      <w:r w:rsidRPr="00CD5F82">
        <w:rPr>
          <w:rFonts w:ascii="Times New Roman" w:hAnsi="Times New Roman"/>
          <w:b/>
          <w:bCs/>
          <w:i/>
          <w:iCs/>
          <w:lang w:val="en-HK"/>
        </w:rPr>
        <w:t xml:space="preserve">Royal Brunei Airlines </w:t>
      </w:r>
      <w:proofErr w:type="spellStart"/>
      <w:r w:rsidRPr="00CD5F82">
        <w:rPr>
          <w:rFonts w:ascii="Times New Roman" w:hAnsi="Times New Roman"/>
          <w:b/>
          <w:bCs/>
          <w:i/>
          <w:iCs/>
          <w:lang w:val="en-HK"/>
        </w:rPr>
        <w:t>Sdn</w:t>
      </w:r>
      <w:proofErr w:type="spellEnd"/>
      <w:r w:rsidRPr="00CD5F82">
        <w:rPr>
          <w:rFonts w:ascii="Times New Roman" w:hAnsi="Times New Roman"/>
          <w:b/>
          <w:bCs/>
          <w:i/>
          <w:iCs/>
          <w:lang w:val="en-HK"/>
        </w:rPr>
        <w:t xml:space="preserve"> </w:t>
      </w:r>
      <w:proofErr w:type="spellStart"/>
      <w:r w:rsidRPr="00CD5F82">
        <w:rPr>
          <w:rFonts w:ascii="Times New Roman" w:hAnsi="Times New Roman"/>
          <w:b/>
          <w:bCs/>
          <w:i/>
          <w:iCs/>
          <w:lang w:val="en-HK"/>
        </w:rPr>
        <w:t>Bhd</w:t>
      </w:r>
      <w:proofErr w:type="spellEnd"/>
      <w:r w:rsidRPr="00CD5F82">
        <w:rPr>
          <w:rFonts w:ascii="Times New Roman" w:hAnsi="Times New Roman"/>
          <w:b/>
          <w:bCs/>
          <w:i/>
          <w:iCs/>
          <w:lang w:val="en-HK"/>
        </w:rPr>
        <w:t xml:space="preserve"> v Tan</w:t>
      </w:r>
      <w:r w:rsidRPr="00CD5F82">
        <w:rPr>
          <w:rFonts w:ascii="Times New Roman" w:hAnsi="Times New Roman"/>
          <w:b/>
          <w:bCs/>
          <w:lang w:val="en-HK"/>
        </w:rPr>
        <w:t xml:space="preserve"> [1995] 2 A.C. 378</w:t>
      </w:r>
    </w:p>
    <w:p w14:paraId="21108889" w14:textId="2989A02D"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Test for Dishonest Assistance</w:t>
      </w:r>
      <w:r w:rsidRPr="00CD5F82">
        <w:rPr>
          <w:rFonts w:ascii="Times New Roman" w:hAnsi="Times New Roman"/>
          <w:lang w:val="en-HK"/>
        </w:rPr>
        <w:t xml:space="preserve">: In </w:t>
      </w:r>
      <w:r w:rsidRPr="00CD5F82">
        <w:rPr>
          <w:rFonts w:ascii="Times New Roman" w:hAnsi="Times New Roman"/>
          <w:i/>
          <w:iCs/>
          <w:lang w:val="en-HK"/>
        </w:rPr>
        <w:t>Tan</w:t>
      </w:r>
      <w:r w:rsidRPr="00CD5F82">
        <w:rPr>
          <w:rFonts w:ascii="Times New Roman" w:hAnsi="Times New Roman"/>
          <w:lang w:val="en-HK"/>
        </w:rPr>
        <w:t xml:space="preserve">, Lord Nicholls established dishonesty as the cornerstone of liability for assisting in a breach of trust. The test is objective, focusing on the defendant’s conduct rather than their subjective intent. Liability requires a personal "lack of probity" (Conv. 2019, 3, 196, citing Group Seven at [34], quoting Tan), meaning the defendant’s actions must fall below the standards of ordinary honest people. Lord Nicholls explicitly cautioned against using "knowingly" as a defining ingredient, stating, "Knowingly is better avoided as a defining ingredient of the principle, and in the context of this principle, the Baden v </w:t>
      </w:r>
      <w:proofErr w:type="spellStart"/>
      <w:r w:rsidRPr="00CD5F82">
        <w:rPr>
          <w:rFonts w:ascii="Times New Roman" w:hAnsi="Times New Roman"/>
          <w:lang w:val="en-HK"/>
        </w:rPr>
        <w:t>Societe</w:t>
      </w:r>
      <w:proofErr w:type="spellEnd"/>
      <w:r w:rsidRPr="00CD5F82">
        <w:rPr>
          <w:rFonts w:ascii="Times New Roman" w:hAnsi="Times New Roman"/>
          <w:lang w:val="en-HK"/>
        </w:rPr>
        <w:t xml:space="preserve"> </w:t>
      </w:r>
      <w:proofErr w:type="spellStart"/>
      <w:r w:rsidRPr="00CD5F82">
        <w:rPr>
          <w:rFonts w:ascii="Times New Roman" w:hAnsi="Times New Roman"/>
          <w:lang w:val="en-HK"/>
        </w:rPr>
        <w:t>Generale</w:t>
      </w:r>
      <w:proofErr w:type="spellEnd"/>
      <w:r w:rsidRPr="00CD5F82">
        <w:rPr>
          <w:rFonts w:ascii="Times New Roman" w:hAnsi="Times New Roman"/>
          <w:lang w:val="en-HK"/>
        </w:rPr>
        <w:t>... scale of knowledge is best forgotten" (Tan judgment at 392F, cited in footnote 3, Conv. 2019, 3, 198).</w:t>
      </w:r>
    </w:p>
    <w:p w14:paraId="1252BA67"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Limbs</w:t>
      </w:r>
      <w:r w:rsidRPr="00CD5F82">
        <w:rPr>
          <w:rFonts w:ascii="Times New Roman" w:hAnsi="Times New Roman"/>
          <w:lang w:val="en-HK"/>
        </w:rPr>
        <w:t xml:space="preserve">: The test is not explicitly divided into distinct stages in </w:t>
      </w:r>
      <w:r w:rsidRPr="00CD5F82">
        <w:rPr>
          <w:rFonts w:ascii="Times New Roman" w:hAnsi="Times New Roman"/>
          <w:i/>
          <w:iCs/>
          <w:lang w:val="en-HK"/>
        </w:rPr>
        <w:t>Tan</w:t>
      </w:r>
      <w:r w:rsidRPr="00CD5F82">
        <w:rPr>
          <w:rFonts w:ascii="Times New Roman" w:hAnsi="Times New Roman"/>
          <w:lang w:val="en-HK"/>
        </w:rPr>
        <w:t>, but it implies two implicit components:</w:t>
      </w:r>
    </w:p>
    <w:p w14:paraId="5D3B0C8D" w14:textId="6B65EB11" w:rsidR="00CD5F82" w:rsidRPr="00CD5F82" w:rsidRDefault="00CD5F82" w:rsidP="004F0D29">
      <w:pPr>
        <w:numPr>
          <w:ilvl w:val="1"/>
          <w:numId w:val="1"/>
        </w:numPr>
        <w:spacing w:after="240" w:line="360" w:lineRule="auto"/>
        <w:rPr>
          <w:rFonts w:ascii="Times New Roman" w:hAnsi="Times New Roman"/>
          <w:color w:val="FF0000"/>
          <w:lang w:val="en-HK"/>
        </w:rPr>
      </w:pPr>
      <w:r w:rsidRPr="00CD5F82">
        <w:rPr>
          <w:rFonts w:ascii="Times New Roman" w:hAnsi="Times New Roman"/>
          <w:b/>
          <w:bCs/>
          <w:color w:val="FF0000"/>
          <w:lang w:val="en-HK"/>
        </w:rPr>
        <w:t>Factual Assistance</w:t>
      </w:r>
      <w:r w:rsidRPr="00CD5F82">
        <w:rPr>
          <w:rFonts w:ascii="Times New Roman" w:hAnsi="Times New Roman"/>
          <w:color w:val="FF0000"/>
          <w:lang w:val="en-HK"/>
        </w:rPr>
        <w:t>: The defendant must have assisted in a breach of trust.</w:t>
      </w:r>
    </w:p>
    <w:p w14:paraId="5B001C6B" w14:textId="647E0794" w:rsidR="00CD5F82" w:rsidRPr="00CD5F82" w:rsidRDefault="00CD5F82" w:rsidP="004F0D29">
      <w:pPr>
        <w:numPr>
          <w:ilvl w:val="1"/>
          <w:numId w:val="1"/>
        </w:numPr>
        <w:spacing w:after="240" w:line="360" w:lineRule="auto"/>
        <w:rPr>
          <w:rFonts w:ascii="Times New Roman" w:hAnsi="Times New Roman"/>
          <w:color w:val="FF0000"/>
          <w:lang w:val="en-HK"/>
        </w:rPr>
      </w:pPr>
      <w:r w:rsidRPr="00CD5F82">
        <w:rPr>
          <w:rFonts w:ascii="Times New Roman" w:hAnsi="Times New Roman"/>
          <w:b/>
          <w:bCs/>
          <w:color w:val="FF0000"/>
          <w:lang w:val="en-HK"/>
        </w:rPr>
        <w:t>Objective Dishonesty</w:t>
      </w:r>
      <w:r w:rsidRPr="00CD5F82">
        <w:rPr>
          <w:rFonts w:ascii="Times New Roman" w:hAnsi="Times New Roman"/>
          <w:color w:val="FF0000"/>
          <w:lang w:val="en-HK"/>
        </w:rPr>
        <w:t>: The assistance must be dishonest, assessed by whether the defendant’s conduct, given what they knew or did, would be considered dishonest by ordinary standards.</w:t>
      </w:r>
    </w:p>
    <w:p w14:paraId="2B83BBD0" w14:textId="51F5AE0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Contradictions</w:t>
      </w:r>
      <w:r w:rsidRPr="00CD5F82">
        <w:rPr>
          <w:rFonts w:ascii="Times New Roman" w:hAnsi="Times New Roman"/>
          <w:lang w:val="en-HK"/>
        </w:rPr>
        <w:t xml:space="preserve">: </w:t>
      </w:r>
      <w:r w:rsidRPr="00CD5F82">
        <w:rPr>
          <w:rFonts w:ascii="Times New Roman" w:hAnsi="Times New Roman"/>
          <w:i/>
          <w:iCs/>
          <w:lang w:val="en-HK"/>
        </w:rPr>
        <w:t>Tan</w:t>
      </w:r>
      <w:r w:rsidRPr="00CD5F82">
        <w:rPr>
          <w:rFonts w:ascii="Times New Roman" w:hAnsi="Times New Roman"/>
          <w:lang w:val="en-HK"/>
        </w:rPr>
        <w:t xml:space="preserve"> rejected earlier frameworks like the Baden scale of knowledge (ranging from actual knowledge to negligence), emphasizing dishonesty over mere awareness. It set a high threshold, which Dixon supports, noting that personal liability without material benefit justifies this bar (footnote 12, Conv. 2019, 3, 198). However, </w:t>
      </w:r>
      <w:proofErr w:type="spellStart"/>
      <w:r w:rsidRPr="00CD5F82">
        <w:rPr>
          <w:rFonts w:ascii="Times New Roman" w:hAnsi="Times New Roman"/>
          <w:i/>
          <w:iCs/>
          <w:lang w:val="en-HK"/>
        </w:rPr>
        <w:t>Twinsectra</w:t>
      </w:r>
      <w:proofErr w:type="spellEnd"/>
      <w:r w:rsidRPr="00CD5F82">
        <w:rPr>
          <w:rFonts w:ascii="Times New Roman" w:hAnsi="Times New Roman"/>
          <w:lang w:val="en-HK"/>
        </w:rPr>
        <w:t xml:space="preserve"> later introduced a conflicting interpretation.</w:t>
      </w:r>
    </w:p>
    <w:p w14:paraId="73A84156" w14:textId="416A22F1" w:rsidR="00CD5F82" w:rsidRPr="00CD5F82" w:rsidRDefault="0048770F" w:rsidP="004F0D29">
      <w:pPr>
        <w:spacing w:before="100" w:beforeAutospacing="1" w:after="240" w:line="360" w:lineRule="auto"/>
        <w:rPr>
          <w:rFonts w:ascii="Times New Roman" w:hAnsi="Times New Roman"/>
          <w:lang w:val="en-HK"/>
        </w:rPr>
      </w:pPr>
      <w:r w:rsidRPr="0048770F">
        <w:rPr>
          <w:rFonts w:ascii="Times New Roman" w:hAnsi="Times New Roman"/>
          <w:b/>
          <w:bCs/>
          <w:lang w:val="en-HK"/>
        </w:rPr>
        <w:t>Current Use</w:t>
      </w:r>
      <w:r w:rsidRPr="0048770F">
        <w:rPr>
          <w:rFonts w:ascii="Times New Roman" w:hAnsi="Times New Roman"/>
          <w:lang w:val="en-HK"/>
        </w:rPr>
        <w:t xml:space="preserve">: </w:t>
      </w:r>
      <w:r w:rsidRPr="0048770F">
        <w:rPr>
          <w:rFonts w:ascii="Times New Roman" w:hAnsi="Times New Roman"/>
          <w:i/>
          <w:iCs/>
          <w:lang w:val="en-HK"/>
        </w:rPr>
        <w:t>Tan</w:t>
      </w:r>
      <w:r w:rsidRPr="0048770F">
        <w:rPr>
          <w:rFonts w:ascii="Times New Roman" w:hAnsi="Times New Roman"/>
          <w:lang w:val="en-HK"/>
        </w:rPr>
        <w:t xml:space="preserve"> provides the foundational principle of objective dishonesty, reaffirmed and clarified in later cases, notably </w:t>
      </w:r>
      <w:r w:rsidRPr="0048770F">
        <w:rPr>
          <w:rFonts w:ascii="Times New Roman" w:hAnsi="Times New Roman"/>
          <w:i/>
          <w:iCs/>
          <w:lang w:val="en-HK"/>
        </w:rPr>
        <w:t>Group Seven</w:t>
      </w:r>
      <w:r w:rsidRPr="0048770F">
        <w:rPr>
          <w:rFonts w:ascii="Times New Roman" w:hAnsi="Times New Roman"/>
          <w:lang w:val="en-HK"/>
        </w:rPr>
        <w:t>.</w:t>
      </w:r>
    </w:p>
    <w:p w14:paraId="06D78932" w14:textId="77777777" w:rsidR="0048770F" w:rsidRPr="004F0D29" w:rsidRDefault="0048770F" w:rsidP="004F0D29">
      <w:pPr>
        <w:spacing w:after="240" w:line="360" w:lineRule="auto"/>
        <w:outlineLvl w:val="3"/>
        <w:rPr>
          <w:rFonts w:ascii="Times New Roman" w:hAnsi="Times New Roman"/>
          <w:b/>
          <w:bCs/>
          <w:lang w:val="en-HK"/>
        </w:rPr>
      </w:pPr>
    </w:p>
    <w:p w14:paraId="18DF7BA7" w14:textId="1739289B" w:rsidR="00CD5F82" w:rsidRPr="00CD5F82" w:rsidRDefault="00CD5F82" w:rsidP="004F0D29">
      <w:pPr>
        <w:spacing w:after="240" w:line="360" w:lineRule="auto"/>
        <w:outlineLvl w:val="3"/>
        <w:rPr>
          <w:rFonts w:ascii="Times New Roman" w:hAnsi="Times New Roman"/>
          <w:b/>
          <w:bCs/>
          <w:lang w:val="en-HK"/>
        </w:rPr>
      </w:pPr>
      <w:r w:rsidRPr="00CD5F82">
        <w:rPr>
          <w:rFonts w:ascii="Times New Roman" w:hAnsi="Times New Roman"/>
          <w:b/>
          <w:bCs/>
          <w:lang w:val="en-HK"/>
        </w:rPr>
        <w:t xml:space="preserve">2. </w:t>
      </w:r>
      <w:proofErr w:type="spellStart"/>
      <w:r w:rsidRPr="00CD5F82">
        <w:rPr>
          <w:rFonts w:ascii="Times New Roman" w:hAnsi="Times New Roman"/>
          <w:b/>
          <w:bCs/>
          <w:i/>
          <w:iCs/>
          <w:lang w:val="en-HK"/>
        </w:rPr>
        <w:t>Twinsectra</w:t>
      </w:r>
      <w:proofErr w:type="spellEnd"/>
      <w:r w:rsidRPr="00CD5F82">
        <w:rPr>
          <w:rFonts w:ascii="Times New Roman" w:hAnsi="Times New Roman"/>
          <w:b/>
          <w:bCs/>
          <w:i/>
          <w:iCs/>
          <w:lang w:val="en-HK"/>
        </w:rPr>
        <w:t xml:space="preserve"> Ltd v Yardley</w:t>
      </w:r>
      <w:r w:rsidRPr="00CD5F82">
        <w:rPr>
          <w:rFonts w:ascii="Times New Roman" w:hAnsi="Times New Roman"/>
          <w:b/>
          <w:bCs/>
          <w:lang w:val="en-HK"/>
        </w:rPr>
        <w:t xml:space="preserve"> [2002] UKHL 12</w:t>
      </w:r>
    </w:p>
    <w:p w14:paraId="5C9AF740"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Test for Dishonest Assistance</w:t>
      </w:r>
      <w:r w:rsidRPr="00CD5F82">
        <w:rPr>
          <w:rFonts w:ascii="Times New Roman" w:hAnsi="Times New Roman"/>
          <w:lang w:val="en-HK"/>
        </w:rPr>
        <w:t xml:space="preserve">: The House of Lords in </w:t>
      </w:r>
      <w:proofErr w:type="spellStart"/>
      <w:r w:rsidRPr="00CD5F82">
        <w:rPr>
          <w:rFonts w:ascii="Times New Roman" w:hAnsi="Times New Roman"/>
          <w:i/>
          <w:iCs/>
          <w:lang w:val="en-HK"/>
        </w:rPr>
        <w:t>Twinsectra</w:t>
      </w:r>
      <w:proofErr w:type="spellEnd"/>
      <w:r w:rsidRPr="00CD5F82">
        <w:rPr>
          <w:rFonts w:ascii="Times New Roman" w:hAnsi="Times New Roman"/>
          <w:lang w:val="en-HK"/>
        </w:rPr>
        <w:t xml:space="preserve"> appeared to deviate from </w:t>
      </w:r>
      <w:r w:rsidRPr="00CD5F82">
        <w:rPr>
          <w:rFonts w:ascii="Times New Roman" w:hAnsi="Times New Roman"/>
          <w:i/>
          <w:iCs/>
          <w:lang w:val="en-HK"/>
        </w:rPr>
        <w:t>Tan</w:t>
      </w:r>
      <w:r w:rsidRPr="00CD5F82">
        <w:rPr>
          <w:rFonts w:ascii="Times New Roman" w:hAnsi="Times New Roman"/>
          <w:lang w:val="en-HK"/>
        </w:rPr>
        <w:t xml:space="preserve"> by introducing a dual test for dishonesty, comprising subjective and objective elements. </w:t>
      </w:r>
      <w:r w:rsidRPr="00CD5F82">
        <w:rPr>
          <w:rFonts w:ascii="Times New Roman" w:hAnsi="Times New Roman"/>
          <w:lang w:val="en-HK"/>
        </w:rPr>
        <w:lastRenderedPageBreak/>
        <w:t xml:space="preserve">The majority suggested that dishonesty requires: (1) the defendant’s conduct to be dishonest by the objective standards of ordinary people, and (2) the defendant to realize that their conduct was dishonest by those standards (Conv. 2019, 3, 197). This mirrored the criminal law test in </w:t>
      </w:r>
      <w:r w:rsidRPr="00CD5F82">
        <w:rPr>
          <w:rFonts w:ascii="Times New Roman" w:hAnsi="Times New Roman"/>
          <w:i/>
          <w:iCs/>
          <w:lang w:val="en-HK"/>
        </w:rPr>
        <w:t>R. v Ghosh</w:t>
      </w:r>
      <w:r w:rsidRPr="00CD5F82">
        <w:rPr>
          <w:rFonts w:ascii="Times New Roman" w:hAnsi="Times New Roman"/>
          <w:lang w:val="en-HK"/>
        </w:rPr>
        <w:t xml:space="preserve"> [1982] Q.B. 1053, which </w:t>
      </w:r>
      <w:proofErr w:type="spellStart"/>
      <w:r w:rsidRPr="00CD5F82">
        <w:rPr>
          <w:rFonts w:ascii="Times New Roman" w:hAnsi="Times New Roman"/>
          <w:i/>
          <w:iCs/>
          <w:lang w:val="en-HK"/>
        </w:rPr>
        <w:t>Twinsectra</w:t>
      </w:r>
      <w:proofErr w:type="spellEnd"/>
      <w:r w:rsidRPr="00CD5F82">
        <w:rPr>
          <w:rFonts w:ascii="Times New Roman" w:hAnsi="Times New Roman"/>
          <w:lang w:val="en-HK"/>
        </w:rPr>
        <w:t xml:space="preserve"> adapted to civil liability.</w:t>
      </w:r>
    </w:p>
    <w:p w14:paraId="2DD0825B"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Limbs</w:t>
      </w:r>
      <w:r w:rsidRPr="00CD5F82">
        <w:rPr>
          <w:rFonts w:ascii="Times New Roman" w:hAnsi="Times New Roman"/>
          <w:lang w:val="en-HK"/>
        </w:rPr>
        <w:t>: The test has two explicit limbs:</w:t>
      </w:r>
    </w:p>
    <w:p w14:paraId="48736C66" w14:textId="4F54AEE2" w:rsidR="00CD5F82" w:rsidRPr="00CD5F82" w:rsidRDefault="00CD5F82" w:rsidP="004F0D29">
      <w:pPr>
        <w:numPr>
          <w:ilvl w:val="1"/>
          <w:numId w:val="2"/>
        </w:numPr>
        <w:spacing w:after="240" w:line="360" w:lineRule="auto"/>
        <w:rPr>
          <w:rFonts w:ascii="Times New Roman" w:hAnsi="Times New Roman"/>
          <w:color w:val="FF0000"/>
          <w:lang w:val="en-HK"/>
        </w:rPr>
      </w:pPr>
      <w:r w:rsidRPr="00CD5F82">
        <w:rPr>
          <w:rFonts w:ascii="Times New Roman" w:hAnsi="Times New Roman"/>
          <w:b/>
          <w:bCs/>
          <w:color w:val="FF0000"/>
          <w:lang w:val="en-HK"/>
        </w:rPr>
        <w:t>Objective Limb</w:t>
      </w:r>
      <w:r w:rsidRPr="00CD5F82">
        <w:rPr>
          <w:rFonts w:ascii="Times New Roman" w:hAnsi="Times New Roman"/>
          <w:color w:val="FF0000"/>
          <w:lang w:val="en-HK"/>
        </w:rPr>
        <w:t>: Would ordinary people consider the defendant’s conduct dishonest?</w:t>
      </w:r>
    </w:p>
    <w:p w14:paraId="655383B6" w14:textId="5E6771E8" w:rsidR="00CD5F82" w:rsidRPr="00CD5F82" w:rsidRDefault="00CD5F82" w:rsidP="004F0D29">
      <w:pPr>
        <w:numPr>
          <w:ilvl w:val="1"/>
          <w:numId w:val="2"/>
        </w:numPr>
        <w:spacing w:after="240" w:line="360" w:lineRule="auto"/>
        <w:rPr>
          <w:rFonts w:ascii="Times New Roman" w:hAnsi="Times New Roman"/>
          <w:color w:val="FF0000"/>
          <w:lang w:val="en-HK"/>
        </w:rPr>
      </w:pPr>
      <w:r w:rsidRPr="00CD5F82">
        <w:rPr>
          <w:rFonts w:ascii="Times New Roman" w:hAnsi="Times New Roman"/>
          <w:b/>
          <w:bCs/>
          <w:color w:val="FF0000"/>
          <w:lang w:val="en-HK"/>
        </w:rPr>
        <w:t>Subjective Limb</w:t>
      </w:r>
      <w:r w:rsidRPr="00CD5F82">
        <w:rPr>
          <w:rFonts w:ascii="Times New Roman" w:hAnsi="Times New Roman"/>
          <w:color w:val="FF0000"/>
          <w:lang w:val="en-HK"/>
        </w:rPr>
        <w:t>: Did the defendant appreciate that their conduct was dishonest by those standards?</w:t>
      </w:r>
    </w:p>
    <w:p w14:paraId="4FF0BBAD"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Contradictions</w:t>
      </w:r>
      <w:r w:rsidRPr="00CD5F82">
        <w:rPr>
          <w:rFonts w:ascii="Times New Roman" w:hAnsi="Times New Roman"/>
          <w:lang w:val="en-HK"/>
        </w:rPr>
        <w:t xml:space="preserve">: </w:t>
      </w:r>
      <w:proofErr w:type="spellStart"/>
      <w:r w:rsidRPr="00CD5F82">
        <w:rPr>
          <w:rFonts w:ascii="Times New Roman" w:hAnsi="Times New Roman"/>
          <w:i/>
          <w:iCs/>
          <w:lang w:val="en-HK"/>
        </w:rPr>
        <w:t>Twinsectra</w:t>
      </w:r>
      <w:proofErr w:type="spellEnd"/>
      <w:r w:rsidRPr="00CD5F82">
        <w:rPr>
          <w:rFonts w:ascii="Times New Roman" w:hAnsi="Times New Roman"/>
          <w:lang w:val="en-HK"/>
        </w:rPr>
        <w:t xml:space="preserve"> contradicted </w:t>
      </w:r>
      <w:r w:rsidRPr="00CD5F82">
        <w:rPr>
          <w:rFonts w:ascii="Times New Roman" w:hAnsi="Times New Roman"/>
          <w:i/>
          <w:iCs/>
          <w:lang w:val="en-HK"/>
        </w:rPr>
        <w:t>Tan</w:t>
      </w:r>
      <w:r w:rsidRPr="00CD5F82">
        <w:rPr>
          <w:rFonts w:ascii="Times New Roman" w:hAnsi="Times New Roman"/>
          <w:lang w:val="en-HK"/>
        </w:rPr>
        <w:t xml:space="preserve"> by adding a subjective requirement, which </w:t>
      </w:r>
      <w:r w:rsidRPr="00CD5F82">
        <w:rPr>
          <w:rFonts w:ascii="Times New Roman" w:hAnsi="Times New Roman"/>
          <w:i/>
          <w:iCs/>
          <w:lang w:val="en-HK"/>
        </w:rPr>
        <w:t>Tan</w:t>
      </w:r>
      <w:r w:rsidRPr="00CD5F82">
        <w:rPr>
          <w:rFonts w:ascii="Times New Roman" w:hAnsi="Times New Roman"/>
          <w:lang w:val="en-HK"/>
        </w:rPr>
        <w:t xml:space="preserve"> had avoided. Dixon notes that the Court of Appeal in </w:t>
      </w:r>
      <w:r w:rsidRPr="00CD5F82">
        <w:rPr>
          <w:rFonts w:ascii="Times New Roman" w:hAnsi="Times New Roman"/>
          <w:i/>
          <w:iCs/>
          <w:lang w:val="en-HK"/>
        </w:rPr>
        <w:t>Group Seven</w:t>
      </w:r>
      <w:r w:rsidRPr="00CD5F82">
        <w:rPr>
          <w:rFonts w:ascii="Times New Roman" w:hAnsi="Times New Roman"/>
          <w:lang w:val="en-HK"/>
        </w:rPr>
        <w:t xml:space="preserve"> generously observed, "With the benefit of hindsight, it can be seen that this case temporarily clouded, although it did not ultimately obscure, the picture painted so clearly by Lord Nicholls in Tan" (Group Seven at [38], cited in footnote 17, Conv. 2019, 3, 198). Morgan J in </w:t>
      </w:r>
      <w:r w:rsidRPr="00CD5F82">
        <w:rPr>
          <w:rFonts w:ascii="Times New Roman" w:hAnsi="Times New Roman"/>
          <w:i/>
          <w:iCs/>
          <w:lang w:val="en-HK"/>
        </w:rPr>
        <w:t>Group Seven</w:t>
      </w:r>
      <w:r w:rsidRPr="00CD5F82">
        <w:rPr>
          <w:rFonts w:ascii="Times New Roman" w:hAnsi="Times New Roman"/>
          <w:lang w:val="en-HK"/>
        </w:rPr>
        <w:t xml:space="preserve"> rejected this hybrid approach, aligning with </w:t>
      </w:r>
      <w:r w:rsidRPr="00CD5F82">
        <w:rPr>
          <w:rFonts w:ascii="Times New Roman" w:hAnsi="Times New Roman"/>
          <w:i/>
          <w:iCs/>
          <w:lang w:val="en-HK"/>
        </w:rPr>
        <w:t>Tan</w:t>
      </w:r>
      <w:r w:rsidRPr="00CD5F82">
        <w:rPr>
          <w:rFonts w:ascii="Times New Roman" w:hAnsi="Times New Roman"/>
          <w:lang w:val="en-HK"/>
        </w:rPr>
        <w:t xml:space="preserve"> and </w:t>
      </w:r>
      <w:r w:rsidRPr="00CD5F82">
        <w:rPr>
          <w:rFonts w:ascii="Times New Roman" w:hAnsi="Times New Roman"/>
          <w:i/>
          <w:iCs/>
          <w:lang w:val="en-HK"/>
        </w:rPr>
        <w:t>Barlow Clowes</w:t>
      </w:r>
      <w:r w:rsidRPr="00CD5F82">
        <w:rPr>
          <w:rFonts w:ascii="Times New Roman" w:hAnsi="Times New Roman"/>
          <w:lang w:val="en-HK"/>
        </w:rPr>
        <w:t xml:space="preserve"> (Conv. 2019, 3, 197), and </w:t>
      </w:r>
      <w:r w:rsidRPr="00CD5F82">
        <w:rPr>
          <w:rFonts w:ascii="Times New Roman" w:hAnsi="Times New Roman"/>
          <w:i/>
          <w:iCs/>
          <w:lang w:val="en-HK"/>
        </w:rPr>
        <w:t>Ivey</w:t>
      </w:r>
      <w:r w:rsidRPr="00CD5F82">
        <w:rPr>
          <w:rFonts w:ascii="Times New Roman" w:hAnsi="Times New Roman"/>
          <w:lang w:val="en-HK"/>
        </w:rPr>
        <w:t xml:space="preserve"> later discredited it entirely.</w:t>
      </w:r>
    </w:p>
    <w:p w14:paraId="0C86F32A" w14:textId="4189C75E"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Current Use</w:t>
      </w:r>
      <w:r w:rsidRPr="00CD5F82">
        <w:rPr>
          <w:rFonts w:ascii="Times New Roman" w:hAnsi="Times New Roman"/>
          <w:lang w:val="en-HK"/>
        </w:rPr>
        <w:t xml:space="preserve">: The </w:t>
      </w:r>
      <w:proofErr w:type="spellStart"/>
      <w:r w:rsidRPr="00CD5F82">
        <w:rPr>
          <w:rFonts w:ascii="Times New Roman" w:hAnsi="Times New Roman"/>
          <w:i/>
          <w:iCs/>
          <w:lang w:val="en-HK"/>
        </w:rPr>
        <w:t>Twinsectra</w:t>
      </w:r>
      <w:proofErr w:type="spellEnd"/>
      <w:r w:rsidRPr="00CD5F82">
        <w:rPr>
          <w:rFonts w:ascii="Times New Roman" w:hAnsi="Times New Roman"/>
          <w:lang w:val="en-HK"/>
        </w:rPr>
        <w:t xml:space="preserve"> test is no longer authoritative, having been overruled by </w:t>
      </w:r>
      <w:r w:rsidRPr="00CD5F82">
        <w:rPr>
          <w:rFonts w:ascii="Times New Roman" w:hAnsi="Times New Roman"/>
          <w:i/>
          <w:iCs/>
          <w:lang w:val="en-HK"/>
        </w:rPr>
        <w:t>Ivey</w:t>
      </w:r>
      <w:r w:rsidRPr="00CD5F82">
        <w:rPr>
          <w:rFonts w:ascii="Times New Roman" w:hAnsi="Times New Roman"/>
          <w:lang w:val="en-HK"/>
        </w:rPr>
        <w:t xml:space="preserve"> and sidelined in </w:t>
      </w:r>
      <w:r w:rsidRPr="00CD5F82">
        <w:rPr>
          <w:rFonts w:ascii="Times New Roman" w:hAnsi="Times New Roman"/>
          <w:i/>
          <w:iCs/>
          <w:lang w:val="en-HK"/>
        </w:rPr>
        <w:t>Group Seven</w:t>
      </w:r>
      <w:r w:rsidRPr="00CD5F82">
        <w:rPr>
          <w:rFonts w:ascii="Times New Roman" w:hAnsi="Times New Roman"/>
          <w:lang w:val="en-HK"/>
        </w:rPr>
        <w:t>.</w:t>
      </w:r>
    </w:p>
    <w:p w14:paraId="26298E60" w14:textId="77777777" w:rsidR="0048770F" w:rsidRPr="004F0D29" w:rsidRDefault="0048770F" w:rsidP="004F0D29">
      <w:pPr>
        <w:spacing w:after="240" w:line="360" w:lineRule="auto"/>
        <w:outlineLvl w:val="3"/>
        <w:rPr>
          <w:rFonts w:ascii="Times New Roman" w:hAnsi="Times New Roman"/>
          <w:b/>
          <w:bCs/>
          <w:lang w:val="en-HK"/>
        </w:rPr>
      </w:pPr>
    </w:p>
    <w:p w14:paraId="302B3FF7" w14:textId="15B6F033" w:rsidR="00CD5F82" w:rsidRPr="00CD5F82" w:rsidRDefault="00CD5F82" w:rsidP="004F0D29">
      <w:pPr>
        <w:spacing w:after="240" w:line="360" w:lineRule="auto"/>
        <w:outlineLvl w:val="3"/>
        <w:rPr>
          <w:rFonts w:ascii="Times New Roman" w:hAnsi="Times New Roman"/>
          <w:b/>
          <w:bCs/>
          <w:lang w:val="en-HK"/>
        </w:rPr>
      </w:pPr>
      <w:r w:rsidRPr="00CD5F82">
        <w:rPr>
          <w:rFonts w:ascii="Times New Roman" w:hAnsi="Times New Roman"/>
          <w:b/>
          <w:bCs/>
          <w:lang w:val="en-HK"/>
        </w:rPr>
        <w:t xml:space="preserve">3. </w:t>
      </w:r>
      <w:r w:rsidRPr="00CD5F82">
        <w:rPr>
          <w:rFonts w:ascii="Times New Roman" w:hAnsi="Times New Roman"/>
          <w:b/>
          <w:bCs/>
          <w:i/>
          <w:iCs/>
          <w:lang w:val="en-HK"/>
        </w:rPr>
        <w:t xml:space="preserve">Barlow Clowes International Ltd (In Liquidation) v </w:t>
      </w:r>
      <w:proofErr w:type="spellStart"/>
      <w:r w:rsidRPr="00CD5F82">
        <w:rPr>
          <w:rFonts w:ascii="Times New Roman" w:hAnsi="Times New Roman"/>
          <w:b/>
          <w:bCs/>
          <w:i/>
          <w:iCs/>
          <w:lang w:val="en-HK"/>
        </w:rPr>
        <w:t>Eurotrust</w:t>
      </w:r>
      <w:proofErr w:type="spellEnd"/>
      <w:r w:rsidRPr="00CD5F82">
        <w:rPr>
          <w:rFonts w:ascii="Times New Roman" w:hAnsi="Times New Roman"/>
          <w:b/>
          <w:bCs/>
          <w:i/>
          <w:iCs/>
          <w:lang w:val="en-HK"/>
        </w:rPr>
        <w:t xml:space="preserve"> International Ltd</w:t>
      </w:r>
      <w:r w:rsidRPr="00CD5F82">
        <w:rPr>
          <w:rFonts w:ascii="Times New Roman" w:hAnsi="Times New Roman"/>
          <w:b/>
          <w:bCs/>
          <w:lang w:val="en-HK"/>
        </w:rPr>
        <w:t xml:space="preserve"> [2005] UKPC 37</w:t>
      </w:r>
    </w:p>
    <w:p w14:paraId="22603FE7"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Test for Dishonest Assistance</w:t>
      </w:r>
      <w:r w:rsidRPr="00CD5F82">
        <w:rPr>
          <w:rFonts w:ascii="Times New Roman" w:hAnsi="Times New Roman"/>
          <w:lang w:val="en-HK"/>
        </w:rPr>
        <w:t xml:space="preserve">: The Privy Council in </w:t>
      </w:r>
      <w:r w:rsidRPr="00CD5F82">
        <w:rPr>
          <w:rFonts w:ascii="Times New Roman" w:hAnsi="Times New Roman"/>
          <w:i/>
          <w:iCs/>
          <w:lang w:val="en-HK"/>
        </w:rPr>
        <w:t>Barlow Clowes</w:t>
      </w:r>
      <w:r w:rsidRPr="00CD5F82">
        <w:rPr>
          <w:rFonts w:ascii="Times New Roman" w:hAnsi="Times New Roman"/>
          <w:lang w:val="en-HK"/>
        </w:rPr>
        <w:t xml:space="preserve"> reaffirmed </w:t>
      </w:r>
      <w:r w:rsidRPr="00CD5F82">
        <w:rPr>
          <w:rFonts w:ascii="Times New Roman" w:hAnsi="Times New Roman"/>
          <w:i/>
          <w:iCs/>
          <w:lang w:val="en-HK"/>
        </w:rPr>
        <w:t>Tan</w:t>
      </w:r>
      <w:r w:rsidRPr="00CD5F82">
        <w:rPr>
          <w:rFonts w:ascii="Times New Roman" w:hAnsi="Times New Roman"/>
          <w:lang w:val="en-HK"/>
        </w:rPr>
        <w:t xml:space="preserve">’s objective test, clarifying that dishonesty is assessed based on the defendant’s conduct in light of what they knew, without requiring subjective awareness of wrongdoing. The court emphasized that the defendant’s belief in the propriety of their actions does not shield them from liability if their conduct is objectively dishonest (Conv. 2019, 3, 197). This was supported by </w:t>
      </w:r>
      <w:proofErr w:type="spellStart"/>
      <w:r w:rsidRPr="00CD5F82">
        <w:rPr>
          <w:rFonts w:ascii="Times New Roman" w:hAnsi="Times New Roman"/>
          <w:i/>
          <w:iCs/>
          <w:lang w:val="en-HK"/>
        </w:rPr>
        <w:t>Starglade</w:t>
      </w:r>
      <w:proofErr w:type="spellEnd"/>
      <w:r w:rsidRPr="00CD5F82">
        <w:rPr>
          <w:rFonts w:ascii="Times New Roman" w:hAnsi="Times New Roman"/>
          <w:i/>
          <w:iCs/>
          <w:lang w:val="en-HK"/>
        </w:rPr>
        <w:t xml:space="preserve"> Properties Ltd v Nash</w:t>
      </w:r>
      <w:r w:rsidRPr="00CD5F82">
        <w:rPr>
          <w:rFonts w:ascii="Times New Roman" w:hAnsi="Times New Roman"/>
          <w:lang w:val="en-HK"/>
        </w:rPr>
        <w:t xml:space="preserve"> [2010] EWCA </w:t>
      </w:r>
      <w:proofErr w:type="spellStart"/>
      <w:r w:rsidRPr="00CD5F82">
        <w:rPr>
          <w:rFonts w:ascii="Times New Roman" w:hAnsi="Times New Roman"/>
          <w:lang w:val="en-HK"/>
        </w:rPr>
        <w:t>Civ</w:t>
      </w:r>
      <w:proofErr w:type="spellEnd"/>
      <w:r w:rsidRPr="00CD5F82">
        <w:rPr>
          <w:rFonts w:ascii="Times New Roman" w:hAnsi="Times New Roman"/>
          <w:lang w:val="en-HK"/>
        </w:rPr>
        <w:t xml:space="preserve"> 1314, which affirmed the precedential value of Privy Council decisions (footnote 16, Conv. 2019, 3, 198).</w:t>
      </w:r>
    </w:p>
    <w:p w14:paraId="13D619C6"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Limbs</w:t>
      </w:r>
      <w:r w:rsidRPr="00CD5F82">
        <w:rPr>
          <w:rFonts w:ascii="Times New Roman" w:hAnsi="Times New Roman"/>
          <w:lang w:val="en-HK"/>
        </w:rPr>
        <w:t xml:space="preserve">: Similar to </w:t>
      </w:r>
      <w:r w:rsidRPr="00CD5F82">
        <w:rPr>
          <w:rFonts w:ascii="Times New Roman" w:hAnsi="Times New Roman"/>
          <w:i/>
          <w:iCs/>
          <w:lang w:val="en-HK"/>
        </w:rPr>
        <w:t>Tan</w:t>
      </w:r>
      <w:r w:rsidRPr="00CD5F82">
        <w:rPr>
          <w:rFonts w:ascii="Times New Roman" w:hAnsi="Times New Roman"/>
          <w:lang w:val="en-HK"/>
        </w:rPr>
        <w:t>, the test implies two stages:</w:t>
      </w:r>
    </w:p>
    <w:p w14:paraId="0E23CBB7" w14:textId="270771F8" w:rsidR="00CD5F82" w:rsidRPr="00692EF8" w:rsidRDefault="00CD5F82" w:rsidP="004F0D29">
      <w:pPr>
        <w:numPr>
          <w:ilvl w:val="1"/>
          <w:numId w:val="3"/>
        </w:numPr>
        <w:spacing w:after="240" w:line="360" w:lineRule="auto"/>
        <w:rPr>
          <w:rFonts w:ascii="Times New Roman" w:hAnsi="Times New Roman"/>
          <w:color w:val="FF0000"/>
          <w:lang w:val="en-HK"/>
        </w:rPr>
      </w:pPr>
      <w:r w:rsidRPr="00692EF8">
        <w:rPr>
          <w:rFonts w:ascii="Times New Roman" w:hAnsi="Times New Roman"/>
          <w:b/>
          <w:bCs/>
          <w:color w:val="FF0000"/>
          <w:lang w:val="en-HK"/>
        </w:rPr>
        <w:lastRenderedPageBreak/>
        <w:t>Factual Assistance</w:t>
      </w:r>
      <w:r w:rsidRPr="00692EF8">
        <w:rPr>
          <w:rFonts w:ascii="Times New Roman" w:hAnsi="Times New Roman"/>
          <w:color w:val="FF0000"/>
          <w:lang w:val="en-HK"/>
        </w:rPr>
        <w:t>: Assistance in a breach of trust must be established.</w:t>
      </w:r>
    </w:p>
    <w:p w14:paraId="439E80DE" w14:textId="011858D0" w:rsidR="00CD5F82" w:rsidRPr="00692EF8" w:rsidRDefault="00CD5F82" w:rsidP="004F0D29">
      <w:pPr>
        <w:numPr>
          <w:ilvl w:val="1"/>
          <w:numId w:val="3"/>
        </w:numPr>
        <w:spacing w:after="240" w:line="360" w:lineRule="auto"/>
        <w:rPr>
          <w:rFonts w:ascii="Times New Roman" w:hAnsi="Times New Roman"/>
          <w:color w:val="FF0000"/>
          <w:lang w:val="en-HK"/>
        </w:rPr>
      </w:pPr>
      <w:r w:rsidRPr="00692EF8">
        <w:rPr>
          <w:rFonts w:ascii="Times New Roman" w:hAnsi="Times New Roman"/>
          <w:b/>
          <w:bCs/>
          <w:color w:val="FF0000"/>
          <w:lang w:val="en-HK"/>
        </w:rPr>
        <w:t>Objective Dishonesty</w:t>
      </w:r>
      <w:r w:rsidRPr="00692EF8">
        <w:rPr>
          <w:rFonts w:ascii="Times New Roman" w:hAnsi="Times New Roman"/>
          <w:color w:val="FF0000"/>
          <w:lang w:val="en-HK"/>
        </w:rPr>
        <w:t>: The assistance is dishonest if, given the defendant’s knowledge, it fails the standards of ordinary honest people.</w:t>
      </w:r>
    </w:p>
    <w:p w14:paraId="6DA06617" w14:textId="637D571B"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Contradictions</w:t>
      </w:r>
      <w:r w:rsidRPr="00CD5F82">
        <w:rPr>
          <w:rFonts w:ascii="Times New Roman" w:hAnsi="Times New Roman"/>
          <w:lang w:val="en-HK"/>
        </w:rPr>
        <w:t xml:space="preserve">: </w:t>
      </w:r>
      <w:r w:rsidRPr="00CD5F82">
        <w:rPr>
          <w:rFonts w:ascii="Times New Roman" w:hAnsi="Times New Roman"/>
          <w:i/>
          <w:iCs/>
          <w:lang w:val="en-HK"/>
        </w:rPr>
        <w:t>Barlow Clowes</w:t>
      </w:r>
      <w:r w:rsidRPr="00CD5F82">
        <w:rPr>
          <w:rFonts w:ascii="Times New Roman" w:hAnsi="Times New Roman"/>
          <w:lang w:val="en-HK"/>
        </w:rPr>
        <w:t xml:space="preserve"> resolved the ambiguity introduced by </w:t>
      </w:r>
      <w:proofErr w:type="spellStart"/>
      <w:r w:rsidRPr="00CD5F82">
        <w:rPr>
          <w:rFonts w:ascii="Times New Roman" w:hAnsi="Times New Roman"/>
          <w:i/>
          <w:iCs/>
          <w:lang w:val="en-HK"/>
        </w:rPr>
        <w:t>Twinsectra</w:t>
      </w:r>
      <w:proofErr w:type="spellEnd"/>
      <w:r w:rsidRPr="00CD5F82">
        <w:rPr>
          <w:rFonts w:ascii="Times New Roman" w:hAnsi="Times New Roman"/>
          <w:lang w:val="en-HK"/>
        </w:rPr>
        <w:t xml:space="preserve">, aligning with </w:t>
      </w:r>
      <w:r w:rsidRPr="00CD5F82">
        <w:rPr>
          <w:rFonts w:ascii="Times New Roman" w:hAnsi="Times New Roman"/>
          <w:i/>
          <w:iCs/>
          <w:lang w:val="en-HK"/>
        </w:rPr>
        <w:t>Tan</w:t>
      </w:r>
      <w:r w:rsidRPr="00CD5F82">
        <w:rPr>
          <w:rFonts w:ascii="Times New Roman" w:hAnsi="Times New Roman"/>
          <w:lang w:val="en-HK"/>
        </w:rPr>
        <w:t xml:space="preserve">’s rejection of subjective elements. Dixon notes Morgan J’s reliance on </w:t>
      </w:r>
      <w:r w:rsidRPr="00CD5F82">
        <w:rPr>
          <w:rFonts w:ascii="Times New Roman" w:hAnsi="Times New Roman"/>
          <w:i/>
          <w:iCs/>
          <w:lang w:val="en-HK"/>
        </w:rPr>
        <w:t>Barlow Clowes</w:t>
      </w:r>
      <w:r w:rsidRPr="00CD5F82">
        <w:rPr>
          <w:rFonts w:ascii="Times New Roman" w:hAnsi="Times New Roman"/>
          <w:lang w:val="en-HK"/>
        </w:rPr>
        <w:t xml:space="preserve"> as correct (Conv. 2019, 3, 197), though it predated </w:t>
      </w:r>
      <w:r w:rsidRPr="00CD5F82">
        <w:rPr>
          <w:rFonts w:ascii="Times New Roman" w:hAnsi="Times New Roman"/>
          <w:i/>
          <w:iCs/>
          <w:lang w:val="en-HK"/>
        </w:rPr>
        <w:t>Ivey</w:t>
      </w:r>
      <w:r w:rsidRPr="00CD5F82">
        <w:rPr>
          <w:rFonts w:ascii="Times New Roman" w:hAnsi="Times New Roman"/>
          <w:lang w:val="en-HK"/>
        </w:rPr>
        <w:t>’s definitive clarification</w:t>
      </w:r>
      <w:r w:rsidRPr="004F0D29">
        <w:rPr>
          <w:rFonts w:ascii="Times New Roman" w:hAnsi="Times New Roman"/>
          <w:lang w:val="en-HK"/>
        </w:rPr>
        <w:t>.</w:t>
      </w:r>
    </w:p>
    <w:p w14:paraId="7800EE3B" w14:textId="5A839746"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Current Use</w:t>
      </w:r>
      <w:r w:rsidRPr="00CD5F82">
        <w:rPr>
          <w:rFonts w:ascii="Times New Roman" w:hAnsi="Times New Roman"/>
          <w:lang w:val="en-HK"/>
        </w:rPr>
        <w:t xml:space="preserve">: </w:t>
      </w:r>
      <w:r w:rsidRPr="00CD5F82">
        <w:rPr>
          <w:rFonts w:ascii="Times New Roman" w:hAnsi="Times New Roman"/>
          <w:i/>
          <w:iCs/>
          <w:lang w:val="en-HK"/>
        </w:rPr>
        <w:t>Barlow Clowes</w:t>
      </w:r>
      <w:r w:rsidRPr="00CD5F82">
        <w:rPr>
          <w:rFonts w:ascii="Times New Roman" w:hAnsi="Times New Roman"/>
          <w:lang w:val="en-HK"/>
        </w:rPr>
        <w:t xml:space="preserve"> remains a key authority supporting the objective test, integrated into the modern framework by </w:t>
      </w:r>
      <w:r w:rsidRPr="00CD5F82">
        <w:rPr>
          <w:rFonts w:ascii="Times New Roman" w:hAnsi="Times New Roman"/>
          <w:i/>
          <w:iCs/>
          <w:lang w:val="en-HK"/>
        </w:rPr>
        <w:t>Group Seven</w:t>
      </w:r>
      <w:r w:rsidRPr="00CD5F82">
        <w:rPr>
          <w:rFonts w:ascii="Times New Roman" w:hAnsi="Times New Roman"/>
          <w:lang w:val="en-HK"/>
        </w:rPr>
        <w:t>.</w:t>
      </w:r>
    </w:p>
    <w:p w14:paraId="10F93B5E" w14:textId="77777777" w:rsidR="0048770F" w:rsidRPr="004F0D29" w:rsidRDefault="0048770F" w:rsidP="004F0D29">
      <w:pPr>
        <w:spacing w:after="240" w:line="360" w:lineRule="auto"/>
        <w:outlineLvl w:val="3"/>
        <w:rPr>
          <w:rFonts w:ascii="Times New Roman" w:hAnsi="Times New Roman"/>
          <w:b/>
          <w:bCs/>
          <w:lang w:val="en-HK"/>
        </w:rPr>
      </w:pPr>
    </w:p>
    <w:p w14:paraId="56C05281" w14:textId="2347B50B" w:rsidR="00CD5F82" w:rsidRPr="00CD5F82" w:rsidRDefault="00CD5F82" w:rsidP="004F0D29">
      <w:pPr>
        <w:spacing w:after="240" w:line="360" w:lineRule="auto"/>
        <w:outlineLvl w:val="3"/>
        <w:rPr>
          <w:rFonts w:ascii="Times New Roman" w:hAnsi="Times New Roman"/>
          <w:b/>
          <w:bCs/>
          <w:lang w:val="en-HK"/>
        </w:rPr>
      </w:pPr>
      <w:r w:rsidRPr="00CD5F82">
        <w:rPr>
          <w:rFonts w:ascii="Times New Roman" w:hAnsi="Times New Roman"/>
          <w:b/>
          <w:bCs/>
          <w:lang w:val="en-HK"/>
        </w:rPr>
        <w:t xml:space="preserve">4. </w:t>
      </w:r>
      <w:r w:rsidRPr="00CD5F82">
        <w:rPr>
          <w:rFonts w:ascii="Times New Roman" w:hAnsi="Times New Roman"/>
          <w:b/>
          <w:bCs/>
          <w:i/>
          <w:iCs/>
          <w:lang w:val="en-HK"/>
        </w:rPr>
        <w:t>Ivey v Genting Casinos UK Ltd (t/a Crockfords Club)</w:t>
      </w:r>
      <w:r w:rsidRPr="00CD5F82">
        <w:rPr>
          <w:rFonts w:ascii="Times New Roman" w:hAnsi="Times New Roman"/>
          <w:b/>
          <w:bCs/>
          <w:lang w:val="en-HK"/>
        </w:rPr>
        <w:t xml:space="preserve"> [2017] UKSC 67</w:t>
      </w:r>
    </w:p>
    <w:p w14:paraId="07A0BBC0"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Test for Dishonest Assistance</w:t>
      </w:r>
      <w:r w:rsidRPr="00CD5F82">
        <w:rPr>
          <w:rFonts w:ascii="Times New Roman" w:hAnsi="Times New Roman"/>
          <w:lang w:val="en-HK"/>
        </w:rPr>
        <w:t xml:space="preserve">: Although a criminal case, </w:t>
      </w:r>
      <w:r w:rsidRPr="00CD5F82">
        <w:rPr>
          <w:rFonts w:ascii="Times New Roman" w:hAnsi="Times New Roman"/>
          <w:i/>
          <w:iCs/>
          <w:lang w:val="en-HK"/>
        </w:rPr>
        <w:t>Ivey</w:t>
      </w:r>
      <w:r w:rsidRPr="00CD5F82">
        <w:rPr>
          <w:rFonts w:ascii="Times New Roman" w:hAnsi="Times New Roman"/>
          <w:lang w:val="en-HK"/>
        </w:rPr>
        <w:t xml:space="preserve"> had a profound impact on civil law, including dishonest assistance. The Supreme Court rejected the </w:t>
      </w:r>
      <w:r w:rsidRPr="00CD5F82">
        <w:rPr>
          <w:rFonts w:ascii="Times New Roman" w:hAnsi="Times New Roman"/>
          <w:i/>
          <w:iCs/>
          <w:lang w:val="en-HK"/>
        </w:rPr>
        <w:t>Ghosh</w:t>
      </w:r>
      <w:r w:rsidRPr="00CD5F82">
        <w:rPr>
          <w:rFonts w:ascii="Times New Roman" w:hAnsi="Times New Roman"/>
          <w:lang w:val="en-HK"/>
        </w:rPr>
        <w:t xml:space="preserve"> test’s subjective second limb, establishing a purely objective standard for dishonesty. The test involves: (1) ascertaining what the defendant knew or believed about the facts, and (2) determining whether their conduct, in light of that knowledge, would be considered dishonest by the standards of ordinary decent people (Conv. 2019, 3, 197). Lord Hughes explicitly noted its relevance to civil proceedings, stating, "The meaning of dishonesty was particularly critical in civil proceedings for dishonest assistance" (Ivey at [62], cited in footnote 19, Conv. 2019, 3, 198).</w:t>
      </w:r>
    </w:p>
    <w:p w14:paraId="4F46F4C2"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Limbs</w:t>
      </w:r>
      <w:r w:rsidRPr="00CD5F82">
        <w:rPr>
          <w:rFonts w:ascii="Times New Roman" w:hAnsi="Times New Roman"/>
          <w:lang w:val="en-HK"/>
        </w:rPr>
        <w:t>: The test has two distinct stages:</w:t>
      </w:r>
    </w:p>
    <w:p w14:paraId="5DA2D734" w14:textId="42009656" w:rsidR="00CD5F82" w:rsidRPr="00692EF8" w:rsidRDefault="00CD5F82" w:rsidP="004F0D29">
      <w:pPr>
        <w:numPr>
          <w:ilvl w:val="1"/>
          <w:numId w:val="4"/>
        </w:numPr>
        <w:spacing w:after="240" w:line="360" w:lineRule="auto"/>
        <w:rPr>
          <w:rFonts w:ascii="Times New Roman" w:hAnsi="Times New Roman"/>
          <w:color w:val="FF0000"/>
          <w:lang w:val="en-HK"/>
        </w:rPr>
      </w:pPr>
      <w:r w:rsidRPr="00692EF8">
        <w:rPr>
          <w:rFonts w:ascii="Times New Roman" w:hAnsi="Times New Roman"/>
          <w:b/>
          <w:bCs/>
          <w:color w:val="FF0000"/>
          <w:lang w:val="en-HK"/>
        </w:rPr>
        <w:t>Subjective Knowledge (Factual Inquiry)</w:t>
      </w:r>
      <w:r w:rsidRPr="00692EF8">
        <w:rPr>
          <w:rFonts w:ascii="Times New Roman" w:hAnsi="Times New Roman"/>
          <w:color w:val="FF0000"/>
          <w:lang w:val="en-HK"/>
        </w:rPr>
        <w:t>: What did the defendant know or believe about the relevant facts?</w:t>
      </w:r>
    </w:p>
    <w:p w14:paraId="28BE78CC" w14:textId="09BE97FD" w:rsidR="00CD5F82" w:rsidRPr="00692EF8" w:rsidRDefault="00CD5F82" w:rsidP="004F0D29">
      <w:pPr>
        <w:numPr>
          <w:ilvl w:val="1"/>
          <w:numId w:val="4"/>
        </w:numPr>
        <w:spacing w:after="240" w:line="360" w:lineRule="auto"/>
        <w:rPr>
          <w:rFonts w:ascii="Times New Roman" w:hAnsi="Times New Roman"/>
          <w:color w:val="FF0000"/>
          <w:lang w:val="en-HK"/>
        </w:rPr>
      </w:pPr>
      <w:r w:rsidRPr="00692EF8">
        <w:rPr>
          <w:rFonts w:ascii="Times New Roman" w:hAnsi="Times New Roman"/>
          <w:b/>
          <w:bCs/>
          <w:color w:val="FF0000"/>
          <w:lang w:val="en-HK"/>
        </w:rPr>
        <w:t>Objective Assessment</w:t>
      </w:r>
      <w:r w:rsidRPr="00692EF8">
        <w:rPr>
          <w:rFonts w:ascii="Times New Roman" w:hAnsi="Times New Roman"/>
          <w:color w:val="FF0000"/>
          <w:lang w:val="en-HK"/>
        </w:rPr>
        <w:t xml:space="preserve">: Would </w:t>
      </w:r>
      <w:r w:rsidRPr="00692EF8">
        <w:rPr>
          <w:rFonts w:ascii="Times New Roman" w:hAnsi="Times New Roman"/>
          <w:b/>
          <w:bCs/>
          <w:color w:val="FF0000"/>
          <w:lang w:val="en-HK"/>
        </w:rPr>
        <w:t>ordinary decent people</w:t>
      </w:r>
      <w:r w:rsidRPr="00692EF8">
        <w:rPr>
          <w:rFonts w:ascii="Times New Roman" w:hAnsi="Times New Roman"/>
          <w:color w:val="FF0000"/>
          <w:lang w:val="en-HK"/>
        </w:rPr>
        <w:t xml:space="preserve"> consider the defendant’s conduct dishonest, given those facts?</w:t>
      </w:r>
    </w:p>
    <w:p w14:paraId="0D067518"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Contradictions</w:t>
      </w:r>
      <w:r w:rsidRPr="00CD5F82">
        <w:rPr>
          <w:rFonts w:ascii="Times New Roman" w:hAnsi="Times New Roman"/>
          <w:lang w:val="en-HK"/>
        </w:rPr>
        <w:t xml:space="preserve">: </w:t>
      </w:r>
      <w:r w:rsidRPr="00CD5F82">
        <w:rPr>
          <w:rFonts w:ascii="Times New Roman" w:hAnsi="Times New Roman"/>
          <w:i/>
          <w:iCs/>
          <w:lang w:val="en-HK"/>
        </w:rPr>
        <w:t>Ivey</w:t>
      </w:r>
      <w:r w:rsidRPr="00CD5F82">
        <w:rPr>
          <w:rFonts w:ascii="Times New Roman" w:hAnsi="Times New Roman"/>
          <w:lang w:val="en-HK"/>
        </w:rPr>
        <w:t xml:space="preserve"> overruled </w:t>
      </w:r>
      <w:r w:rsidRPr="00CD5F82">
        <w:rPr>
          <w:rFonts w:ascii="Times New Roman" w:hAnsi="Times New Roman"/>
          <w:i/>
          <w:iCs/>
          <w:lang w:val="en-HK"/>
        </w:rPr>
        <w:t>Ghosh</w:t>
      </w:r>
      <w:r w:rsidRPr="00CD5F82">
        <w:rPr>
          <w:rFonts w:ascii="Times New Roman" w:hAnsi="Times New Roman"/>
          <w:lang w:val="en-HK"/>
        </w:rPr>
        <w:t xml:space="preserve"> and, by extension, </w:t>
      </w:r>
      <w:proofErr w:type="spellStart"/>
      <w:r w:rsidRPr="00CD5F82">
        <w:rPr>
          <w:rFonts w:ascii="Times New Roman" w:hAnsi="Times New Roman"/>
          <w:i/>
          <w:iCs/>
          <w:lang w:val="en-HK"/>
        </w:rPr>
        <w:t>Twinsectra</w:t>
      </w:r>
      <w:r w:rsidRPr="00CD5F82">
        <w:rPr>
          <w:rFonts w:ascii="Times New Roman" w:hAnsi="Times New Roman"/>
          <w:lang w:val="en-HK"/>
        </w:rPr>
        <w:t>’s</w:t>
      </w:r>
      <w:proofErr w:type="spellEnd"/>
      <w:r w:rsidRPr="00CD5F82">
        <w:rPr>
          <w:rFonts w:ascii="Times New Roman" w:hAnsi="Times New Roman"/>
          <w:lang w:val="en-HK"/>
        </w:rPr>
        <w:t xml:space="preserve"> subjective limb, aligning with </w:t>
      </w:r>
      <w:r w:rsidRPr="00CD5F82">
        <w:rPr>
          <w:rFonts w:ascii="Times New Roman" w:hAnsi="Times New Roman"/>
          <w:i/>
          <w:iCs/>
          <w:lang w:val="en-HK"/>
        </w:rPr>
        <w:t>Tan</w:t>
      </w:r>
      <w:r w:rsidRPr="00CD5F82">
        <w:rPr>
          <w:rFonts w:ascii="Times New Roman" w:hAnsi="Times New Roman"/>
          <w:lang w:val="en-HK"/>
        </w:rPr>
        <w:t xml:space="preserve"> and </w:t>
      </w:r>
      <w:r w:rsidRPr="00CD5F82">
        <w:rPr>
          <w:rFonts w:ascii="Times New Roman" w:hAnsi="Times New Roman"/>
          <w:i/>
          <w:iCs/>
          <w:lang w:val="en-HK"/>
        </w:rPr>
        <w:t>Barlow Clowes</w:t>
      </w:r>
      <w:r w:rsidRPr="00CD5F82">
        <w:rPr>
          <w:rFonts w:ascii="Times New Roman" w:hAnsi="Times New Roman"/>
          <w:lang w:val="en-HK"/>
        </w:rPr>
        <w:t xml:space="preserve">. The Court of Appeal in </w:t>
      </w:r>
      <w:r w:rsidRPr="00CD5F82">
        <w:rPr>
          <w:rFonts w:ascii="Times New Roman" w:hAnsi="Times New Roman"/>
          <w:i/>
          <w:iCs/>
          <w:lang w:val="en-HK"/>
        </w:rPr>
        <w:t>Group Seven</w:t>
      </w:r>
      <w:r w:rsidRPr="00CD5F82">
        <w:rPr>
          <w:rFonts w:ascii="Times New Roman" w:hAnsi="Times New Roman"/>
          <w:lang w:val="en-HK"/>
        </w:rPr>
        <w:t xml:space="preserve"> declared, "In the light of Ivey, it must in our view now be treated as settled law that the touchstone of accessory liability... is indeed dishonesty, as Lord Nicholls so clearly explained in Tan, and </w:t>
      </w:r>
      <w:r w:rsidRPr="00CD5F82">
        <w:rPr>
          <w:rFonts w:ascii="Times New Roman" w:hAnsi="Times New Roman"/>
          <w:lang w:val="en-HK"/>
        </w:rPr>
        <w:lastRenderedPageBreak/>
        <w:t>that there is no room... for the now discredited subjective second limb of the Ghosh test" (Group Seven at [57], cited at Conv. 2019, 3, 197). This resolved prior contradictions.</w:t>
      </w:r>
    </w:p>
    <w:p w14:paraId="59AD33AB" w14:textId="6FD98665"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Current Use</w:t>
      </w:r>
      <w:r w:rsidRPr="00CD5F82">
        <w:rPr>
          <w:rFonts w:ascii="Times New Roman" w:hAnsi="Times New Roman"/>
          <w:lang w:val="en-HK"/>
        </w:rPr>
        <w:t xml:space="preserve">: </w:t>
      </w:r>
      <w:r w:rsidRPr="00CD5F82">
        <w:rPr>
          <w:rFonts w:ascii="Times New Roman" w:hAnsi="Times New Roman"/>
          <w:i/>
          <w:iCs/>
          <w:lang w:val="en-HK"/>
        </w:rPr>
        <w:t>Ivey</w:t>
      </w:r>
      <w:r w:rsidRPr="00CD5F82">
        <w:rPr>
          <w:rFonts w:ascii="Times New Roman" w:hAnsi="Times New Roman"/>
          <w:lang w:val="en-HK"/>
        </w:rPr>
        <w:t xml:space="preserve"> provides the modern authoritative test, adopted and refined in </w:t>
      </w:r>
      <w:r w:rsidRPr="00CD5F82">
        <w:rPr>
          <w:rFonts w:ascii="Times New Roman" w:hAnsi="Times New Roman"/>
          <w:i/>
          <w:iCs/>
          <w:lang w:val="en-HK"/>
        </w:rPr>
        <w:t>Group Seven</w:t>
      </w:r>
      <w:r w:rsidRPr="00CD5F82">
        <w:rPr>
          <w:rFonts w:ascii="Times New Roman" w:hAnsi="Times New Roman"/>
          <w:lang w:val="en-HK"/>
        </w:rPr>
        <w:t>.</w:t>
      </w:r>
    </w:p>
    <w:p w14:paraId="49FC40E1" w14:textId="77777777" w:rsidR="0048770F" w:rsidRPr="004F0D29" w:rsidRDefault="0048770F" w:rsidP="004F0D29">
      <w:pPr>
        <w:spacing w:after="240" w:line="360" w:lineRule="auto"/>
        <w:outlineLvl w:val="3"/>
        <w:rPr>
          <w:rFonts w:ascii="Times New Roman" w:hAnsi="Times New Roman"/>
          <w:b/>
          <w:bCs/>
          <w:lang w:val="en-HK"/>
        </w:rPr>
      </w:pPr>
    </w:p>
    <w:p w14:paraId="0546B234" w14:textId="44674CDB" w:rsidR="00CD5F82" w:rsidRPr="004F0D29" w:rsidRDefault="00CD5F82" w:rsidP="004F0D29">
      <w:pPr>
        <w:spacing w:after="240" w:line="360" w:lineRule="auto"/>
        <w:outlineLvl w:val="3"/>
        <w:rPr>
          <w:rFonts w:ascii="Times New Roman" w:hAnsi="Times New Roman"/>
          <w:b/>
          <w:bCs/>
          <w:lang w:val="en-HK"/>
        </w:rPr>
      </w:pPr>
      <w:r w:rsidRPr="00CD5F82">
        <w:rPr>
          <w:rFonts w:ascii="Times New Roman" w:hAnsi="Times New Roman"/>
          <w:b/>
          <w:bCs/>
          <w:lang w:val="en-HK"/>
        </w:rPr>
        <w:t xml:space="preserve">5. </w:t>
      </w:r>
      <w:r w:rsidRPr="00CD5F82">
        <w:rPr>
          <w:rFonts w:ascii="Times New Roman" w:hAnsi="Times New Roman"/>
          <w:b/>
          <w:bCs/>
          <w:i/>
          <w:iCs/>
          <w:lang w:val="en-HK"/>
        </w:rPr>
        <w:t>Group Seven Ltd v Notable Services LLP</w:t>
      </w:r>
      <w:r w:rsidRPr="00CD5F82">
        <w:rPr>
          <w:rFonts w:ascii="Times New Roman" w:hAnsi="Times New Roman"/>
          <w:b/>
          <w:bCs/>
          <w:lang w:val="en-HK"/>
        </w:rPr>
        <w:t xml:space="preserve"> [2019] EWCA </w:t>
      </w:r>
      <w:proofErr w:type="spellStart"/>
      <w:r w:rsidRPr="00CD5F82">
        <w:rPr>
          <w:rFonts w:ascii="Times New Roman" w:hAnsi="Times New Roman"/>
          <w:b/>
          <w:bCs/>
          <w:lang w:val="en-HK"/>
        </w:rPr>
        <w:t>Civ</w:t>
      </w:r>
      <w:proofErr w:type="spellEnd"/>
      <w:r w:rsidRPr="00CD5F82">
        <w:rPr>
          <w:rFonts w:ascii="Times New Roman" w:hAnsi="Times New Roman"/>
          <w:b/>
          <w:bCs/>
          <w:lang w:val="en-HK"/>
        </w:rPr>
        <w:t xml:space="preserve"> 614</w:t>
      </w:r>
    </w:p>
    <w:p w14:paraId="40A3A850" w14:textId="690D0CD2" w:rsidR="004F0D29" w:rsidRPr="004F0D29" w:rsidRDefault="004F0D29" w:rsidP="004F0D29">
      <w:pPr>
        <w:spacing w:before="100" w:beforeAutospacing="1" w:after="100" w:afterAutospacing="1" w:line="360" w:lineRule="auto"/>
        <w:outlineLvl w:val="2"/>
        <w:rPr>
          <w:rFonts w:ascii="Times New Roman" w:hAnsi="Times New Roman"/>
          <w:b/>
          <w:bCs/>
          <w:lang w:val="en-HK"/>
        </w:rPr>
      </w:pPr>
      <w:r w:rsidRPr="004F0D29">
        <w:rPr>
          <w:rFonts w:ascii="Times New Roman" w:hAnsi="Times New Roman"/>
          <w:b/>
          <w:bCs/>
          <w:lang w:val="en-HK"/>
        </w:rPr>
        <w:t xml:space="preserve">Brief Summary of </w:t>
      </w:r>
      <w:r w:rsidRPr="004F0D29">
        <w:rPr>
          <w:rFonts w:ascii="Times New Roman" w:hAnsi="Times New Roman"/>
          <w:b/>
          <w:bCs/>
          <w:i/>
          <w:iCs/>
          <w:lang w:val="en-HK"/>
        </w:rPr>
        <w:t>Group Seven Ltd v Notable Services LLP</w:t>
      </w:r>
    </w:p>
    <w:p w14:paraId="0C6F2D64" w14:textId="227A16BF" w:rsidR="004F0D29" w:rsidRPr="004F0D29" w:rsidRDefault="004F0D29" w:rsidP="004F0D29">
      <w:pPr>
        <w:spacing w:before="100" w:beforeAutospacing="1" w:after="100" w:afterAutospacing="1" w:line="360" w:lineRule="auto"/>
        <w:rPr>
          <w:rFonts w:ascii="Times New Roman" w:hAnsi="Times New Roman"/>
          <w:lang w:val="en-HK"/>
        </w:rPr>
      </w:pPr>
      <w:r w:rsidRPr="004F0D29">
        <w:rPr>
          <w:rFonts w:ascii="Times New Roman" w:hAnsi="Times New Roman"/>
          <w:i/>
          <w:iCs/>
          <w:lang w:val="en-HK"/>
        </w:rPr>
        <w:t>Group Seven Ltd v Notable Services LLP</w:t>
      </w:r>
      <w:r w:rsidRPr="004F0D29">
        <w:rPr>
          <w:rFonts w:ascii="Times New Roman" w:hAnsi="Times New Roman"/>
          <w:lang w:val="en-HK"/>
        </w:rPr>
        <w:t xml:space="preserve"> [2019] EWCA </w:t>
      </w:r>
      <w:proofErr w:type="spellStart"/>
      <w:r w:rsidRPr="004F0D29">
        <w:rPr>
          <w:rFonts w:ascii="Times New Roman" w:hAnsi="Times New Roman"/>
          <w:lang w:val="en-HK"/>
        </w:rPr>
        <w:t>Civ</w:t>
      </w:r>
      <w:proofErr w:type="spellEnd"/>
      <w:r w:rsidRPr="004F0D29">
        <w:rPr>
          <w:rFonts w:ascii="Times New Roman" w:hAnsi="Times New Roman"/>
          <w:lang w:val="en-HK"/>
        </w:rPr>
        <w:t xml:space="preserve"> 614 stemmed from a complex fraud involving €100 million, with €88 million recovered prior to litigation. The claimants sought €12 million more, alleging that Mr. Landman, an employee of Notable LLP (a London solicitors’ firm), dishonestly assisted in a breach of trust, aiming to hold the firm vicariously liable. At trial, Morgan J (</w:t>
      </w:r>
      <w:r w:rsidRPr="004F0D29">
        <w:rPr>
          <w:rFonts w:ascii="Times New Roman" w:hAnsi="Times New Roman"/>
          <w:i/>
          <w:iCs/>
          <w:lang w:val="en-HK"/>
        </w:rPr>
        <w:t>Group Seven Ltd v Nasir</w:t>
      </w:r>
      <w:r w:rsidRPr="004F0D29">
        <w:rPr>
          <w:rFonts w:ascii="Times New Roman" w:hAnsi="Times New Roman"/>
          <w:lang w:val="en-HK"/>
        </w:rPr>
        <w:t xml:space="preserve"> [2017] EWHC 2466 (Ch)) ruled that Mr. Landman was not liable for dishonest assistance but was liable for unconscionable receipt of £170,000, a finding not appealed. The claimants appealed the dishonest assistance ruling.</w:t>
      </w:r>
    </w:p>
    <w:p w14:paraId="31D85602" w14:textId="77777777" w:rsidR="004F0D29" w:rsidRPr="00CD5F82" w:rsidRDefault="004F0D29" w:rsidP="004F0D29">
      <w:pPr>
        <w:spacing w:after="240" w:line="360" w:lineRule="auto"/>
        <w:outlineLvl w:val="3"/>
        <w:rPr>
          <w:rFonts w:ascii="Times New Roman" w:hAnsi="Times New Roman"/>
          <w:b/>
          <w:bCs/>
          <w:lang w:val="en-HK"/>
        </w:rPr>
      </w:pPr>
    </w:p>
    <w:p w14:paraId="0548065B" w14:textId="77777777" w:rsidR="004F0D29" w:rsidRPr="004F0D29" w:rsidRDefault="00CD5F82" w:rsidP="004F0D29">
      <w:pPr>
        <w:spacing w:before="100" w:beforeAutospacing="1" w:after="100" w:afterAutospacing="1" w:line="360" w:lineRule="auto"/>
        <w:rPr>
          <w:rFonts w:ascii="Times New Roman" w:hAnsi="Times New Roman"/>
          <w:lang w:val="en-HK"/>
        </w:rPr>
      </w:pPr>
      <w:r w:rsidRPr="00CD5F82">
        <w:rPr>
          <w:rFonts w:ascii="Times New Roman" w:hAnsi="Times New Roman"/>
          <w:b/>
          <w:bCs/>
          <w:lang w:val="en-HK"/>
        </w:rPr>
        <w:t>Test for Dishonest Assistance</w:t>
      </w:r>
      <w:r w:rsidRPr="00CD5F82">
        <w:rPr>
          <w:rFonts w:ascii="Times New Roman" w:hAnsi="Times New Roman"/>
          <w:lang w:val="en-HK"/>
        </w:rPr>
        <w:t xml:space="preserve">: </w:t>
      </w:r>
      <w:r w:rsidR="004F0D29" w:rsidRPr="004F0D29">
        <w:rPr>
          <w:rFonts w:ascii="Times New Roman" w:hAnsi="Times New Roman"/>
          <w:lang w:val="en-HK"/>
        </w:rPr>
        <w:t>The Court of Appeal, in a unanimous judgment led by Henderson LJ, overturned Morgan J, clarifying the test for dishonest assistance</w:t>
      </w:r>
      <w:r w:rsidR="004F0D29" w:rsidRPr="00692EF8">
        <w:rPr>
          <w:rFonts w:ascii="Times New Roman" w:hAnsi="Times New Roman"/>
          <w:b/>
          <w:bCs/>
          <w:color w:val="FF0000"/>
          <w:lang w:val="en-HK"/>
        </w:rPr>
        <w:t xml:space="preserve">. It required: (1) a trust, (2) a breach by the trustee, (3) assistance by the defendant, and (4) dishonesty in that assistance, assessed objectively per </w:t>
      </w:r>
      <w:r w:rsidR="004F0D29" w:rsidRPr="00692EF8">
        <w:rPr>
          <w:rFonts w:ascii="Times New Roman" w:hAnsi="Times New Roman"/>
          <w:b/>
          <w:bCs/>
          <w:i/>
          <w:iCs/>
          <w:color w:val="FF0000"/>
          <w:lang w:val="en-HK"/>
        </w:rPr>
        <w:t xml:space="preserve">Royal Brunei Airlines </w:t>
      </w:r>
      <w:proofErr w:type="spellStart"/>
      <w:r w:rsidR="004F0D29" w:rsidRPr="00692EF8">
        <w:rPr>
          <w:rFonts w:ascii="Times New Roman" w:hAnsi="Times New Roman"/>
          <w:b/>
          <w:bCs/>
          <w:i/>
          <w:iCs/>
          <w:color w:val="FF0000"/>
          <w:lang w:val="en-HK"/>
        </w:rPr>
        <w:t>Sdn</w:t>
      </w:r>
      <w:proofErr w:type="spellEnd"/>
      <w:r w:rsidR="004F0D29" w:rsidRPr="00692EF8">
        <w:rPr>
          <w:rFonts w:ascii="Times New Roman" w:hAnsi="Times New Roman"/>
          <w:b/>
          <w:bCs/>
          <w:i/>
          <w:iCs/>
          <w:color w:val="FF0000"/>
          <w:lang w:val="en-HK"/>
        </w:rPr>
        <w:t xml:space="preserve"> </w:t>
      </w:r>
      <w:proofErr w:type="spellStart"/>
      <w:r w:rsidR="004F0D29" w:rsidRPr="00692EF8">
        <w:rPr>
          <w:rFonts w:ascii="Times New Roman" w:hAnsi="Times New Roman"/>
          <w:b/>
          <w:bCs/>
          <w:i/>
          <w:iCs/>
          <w:color w:val="FF0000"/>
          <w:lang w:val="en-HK"/>
        </w:rPr>
        <w:t>Bhd</w:t>
      </w:r>
      <w:proofErr w:type="spellEnd"/>
      <w:r w:rsidR="004F0D29" w:rsidRPr="00692EF8">
        <w:rPr>
          <w:rFonts w:ascii="Times New Roman" w:hAnsi="Times New Roman"/>
          <w:b/>
          <w:bCs/>
          <w:i/>
          <w:iCs/>
          <w:color w:val="FF0000"/>
          <w:lang w:val="en-HK"/>
        </w:rPr>
        <w:t xml:space="preserve"> v Tan</w:t>
      </w:r>
      <w:r w:rsidR="004F0D29" w:rsidRPr="00692EF8">
        <w:rPr>
          <w:rFonts w:ascii="Times New Roman" w:hAnsi="Times New Roman"/>
          <w:b/>
          <w:bCs/>
          <w:color w:val="FF0000"/>
          <w:lang w:val="en-HK"/>
        </w:rPr>
        <w:t xml:space="preserve"> [1995] 2 A.C. 378, </w:t>
      </w:r>
      <w:r w:rsidR="004F0D29" w:rsidRPr="00692EF8">
        <w:rPr>
          <w:rFonts w:ascii="Times New Roman" w:hAnsi="Times New Roman"/>
          <w:b/>
          <w:bCs/>
          <w:i/>
          <w:iCs/>
          <w:color w:val="FF0000"/>
          <w:lang w:val="en-HK"/>
        </w:rPr>
        <w:t xml:space="preserve">Barlow Clowes International Ltd (In Liquidation) v </w:t>
      </w:r>
      <w:proofErr w:type="spellStart"/>
      <w:r w:rsidR="004F0D29" w:rsidRPr="00692EF8">
        <w:rPr>
          <w:rFonts w:ascii="Times New Roman" w:hAnsi="Times New Roman"/>
          <w:b/>
          <w:bCs/>
          <w:i/>
          <w:iCs/>
          <w:color w:val="FF0000"/>
          <w:lang w:val="en-HK"/>
        </w:rPr>
        <w:t>Eurotrust</w:t>
      </w:r>
      <w:proofErr w:type="spellEnd"/>
      <w:r w:rsidR="004F0D29" w:rsidRPr="00692EF8">
        <w:rPr>
          <w:rFonts w:ascii="Times New Roman" w:hAnsi="Times New Roman"/>
          <w:b/>
          <w:bCs/>
          <w:i/>
          <w:iCs/>
          <w:color w:val="FF0000"/>
          <w:lang w:val="en-HK"/>
        </w:rPr>
        <w:t xml:space="preserve"> International Ltd</w:t>
      </w:r>
      <w:r w:rsidR="004F0D29" w:rsidRPr="00692EF8">
        <w:rPr>
          <w:rFonts w:ascii="Times New Roman" w:hAnsi="Times New Roman"/>
          <w:b/>
          <w:bCs/>
          <w:color w:val="FF0000"/>
          <w:lang w:val="en-HK"/>
        </w:rPr>
        <w:t xml:space="preserve"> [2005] UKPC 37, and </w:t>
      </w:r>
      <w:r w:rsidR="004F0D29" w:rsidRPr="00692EF8">
        <w:rPr>
          <w:rFonts w:ascii="Times New Roman" w:hAnsi="Times New Roman"/>
          <w:b/>
          <w:bCs/>
          <w:i/>
          <w:iCs/>
          <w:color w:val="FF0000"/>
          <w:lang w:val="en-HK"/>
        </w:rPr>
        <w:t>Ivey v Genting Casinos UK Ltd</w:t>
      </w:r>
      <w:r w:rsidR="004F0D29" w:rsidRPr="00692EF8">
        <w:rPr>
          <w:rFonts w:ascii="Times New Roman" w:hAnsi="Times New Roman"/>
          <w:b/>
          <w:bCs/>
          <w:color w:val="FF0000"/>
          <w:lang w:val="en-HK"/>
        </w:rPr>
        <w:t xml:space="preserve"> [2017] UKSC 67].</w:t>
      </w:r>
      <w:r w:rsidR="004F0D29" w:rsidRPr="00692EF8">
        <w:rPr>
          <w:rFonts w:ascii="Times New Roman" w:hAnsi="Times New Roman"/>
          <w:color w:val="FF0000"/>
          <w:lang w:val="en-HK"/>
        </w:rPr>
        <w:t xml:space="preserve"> </w:t>
      </w:r>
      <w:r w:rsidR="004F0D29" w:rsidRPr="004F0D29">
        <w:rPr>
          <w:rFonts w:ascii="Times New Roman" w:hAnsi="Times New Roman"/>
          <w:lang w:val="en-HK"/>
        </w:rPr>
        <w:t>The court found that Mr. Landman understood the breach, making his assistance dishonest by ordinary standards, despite Morgan J’s contrary inference. The appeal succeeded, settling the law on dishonesty as an objective standard rooted in factual knowledge, not subjective belief.</w:t>
      </w:r>
    </w:p>
    <w:p w14:paraId="042F29A5" w14:textId="37287C98" w:rsidR="00CD5F82" w:rsidRPr="00CD5F82" w:rsidRDefault="00CD5F82" w:rsidP="004F0D29">
      <w:pPr>
        <w:spacing w:after="240" w:line="360" w:lineRule="auto"/>
        <w:rPr>
          <w:rFonts w:ascii="Times New Roman" w:hAnsi="Times New Roman"/>
          <w:lang w:val="en-HK"/>
        </w:rPr>
      </w:pPr>
      <w:r w:rsidRPr="00CD5F82">
        <w:rPr>
          <w:rFonts w:ascii="Times New Roman" w:hAnsi="Times New Roman"/>
          <w:lang w:val="en-HK"/>
        </w:rPr>
        <w:t xml:space="preserve">Dishonesty is assessed through a two-stage process: first, establishing the defendant’s actual knowledge or belief as to the facts (a factual inquiry), and second, determining whether that conduct, given those facts, would be deemed dishonest by ordinary decent people (Conv. 2019, 3, 198). The court emphasized, "The defendant’s actual state of knowledge and belief </w:t>
      </w:r>
      <w:r w:rsidRPr="00CD5F82">
        <w:rPr>
          <w:rFonts w:ascii="Times New Roman" w:hAnsi="Times New Roman"/>
          <w:lang w:val="en-HK"/>
        </w:rPr>
        <w:lastRenderedPageBreak/>
        <w:t>as to relevant facts forms a crucial part of the first stage of the test of dishonesty set out in Tan" (Group Seven at [57], cited at Conv. 2019, 3, 197), but the ultimate standard is objective.</w:t>
      </w:r>
    </w:p>
    <w:p w14:paraId="3677ACD2"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Limbs</w:t>
      </w:r>
      <w:r w:rsidRPr="00CD5F82">
        <w:rPr>
          <w:rFonts w:ascii="Times New Roman" w:hAnsi="Times New Roman"/>
          <w:lang w:val="en-HK"/>
        </w:rPr>
        <w:t>: The dishonesty component has two limbs:</w:t>
      </w:r>
    </w:p>
    <w:p w14:paraId="7F8062B6" w14:textId="3FB026EA" w:rsidR="00CD5F82" w:rsidRPr="00692EF8" w:rsidRDefault="00CD5F82" w:rsidP="004F0D29">
      <w:pPr>
        <w:numPr>
          <w:ilvl w:val="1"/>
          <w:numId w:val="5"/>
        </w:numPr>
        <w:spacing w:after="240" w:line="360" w:lineRule="auto"/>
        <w:rPr>
          <w:rFonts w:ascii="Times New Roman" w:hAnsi="Times New Roman"/>
          <w:color w:val="FF0000"/>
          <w:lang w:val="en-HK"/>
        </w:rPr>
      </w:pPr>
      <w:r w:rsidRPr="00692EF8">
        <w:rPr>
          <w:rFonts w:ascii="Times New Roman" w:hAnsi="Times New Roman"/>
          <w:b/>
          <w:bCs/>
          <w:color w:val="FF0000"/>
          <w:lang w:val="en-HK"/>
        </w:rPr>
        <w:t>Factual Inquiry (Subjective Knowledge)</w:t>
      </w:r>
      <w:r w:rsidRPr="00692EF8">
        <w:rPr>
          <w:rFonts w:ascii="Times New Roman" w:hAnsi="Times New Roman"/>
          <w:color w:val="FF0000"/>
          <w:lang w:val="en-HK"/>
        </w:rPr>
        <w:t>: What did the defendant know, believe, or understand about the breach?</w:t>
      </w:r>
    </w:p>
    <w:p w14:paraId="72711C20" w14:textId="7D9A9E2A" w:rsidR="00CD5F82" w:rsidRPr="00692EF8" w:rsidRDefault="00CD5F82" w:rsidP="004F0D29">
      <w:pPr>
        <w:numPr>
          <w:ilvl w:val="1"/>
          <w:numId w:val="5"/>
        </w:numPr>
        <w:spacing w:after="240" w:line="360" w:lineRule="auto"/>
        <w:rPr>
          <w:rFonts w:ascii="Times New Roman" w:hAnsi="Times New Roman"/>
          <w:color w:val="FF0000"/>
          <w:lang w:val="en-HK"/>
        </w:rPr>
      </w:pPr>
      <w:r w:rsidRPr="00692EF8">
        <w:rPr>
          <w:rFonts w:ascii="Times New Roman" w:hAnsi="Times New Roman"/>
          <w:b/>
          <w:bCs/>
          <w:color w:val="FF0000"/>
          <w:lang w:val="en-HK"/>
        </w:rPr>
        <w:t>Objective Standard</w:t>
      </w:r>
      <w:r w:rsidRPr="00692EF8">
        <w:rPr>
          <w:rFonts w:ascii="Times New Roman" w:hAnsi="Times New Roman"/>
          <w:color w:val="FF0000"/>
          <w:lang w:val="en-HK"/>
        </w:rPr>
        <w:t>: Would an ordinary decent person consider the assistance dishonest, irrespective of the defendant’s own views?</w:t>
      </w:r>
    </w:p>
    <w:p w14:paraId="50E503F1"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b/>
          <w:bCs/>
          <w:lang w:val="en-HK"/>
        </w:rPr>
        <w:t>Contradictions</w:t>
      </w:r>
      <w:r w:rsidRPr="00CD5F82">
        <w:rPr>
          <w:rFonts w:ascii="Times New Roman" w:hAnsi="Times New Roman"/>
          <w:lang w:val="en-HK"/>
        </w:rPr>
        <w:t xml:space="preserve">: </w:t>
      </w:r>
      <w:r w:rsidRPr="00CD5F82">
        <w:rPr>
          <w:rFonts w:ascii="Times New Roman" w:hAnsi="Times New Roman"/>
          <w:i/>
          <w:iCs/>
          <w:lang w:val="en-HK"/>
        </w:rPr>
        <w:t>Group Seven</w:t>
      </w:r>
      <w:r w:rsidRPr="00CD5F82">
        <w:rPr>
          <w:rFonts w:ascii="Times New Roman" w:hAnsi="Times New Roman"/>
          <w:lang w:val="en-HK"/>
        </w:rPr>
        <w:t xml:space="preserve"> resolved contradictions by rejecting </w:t>
      </w:r>
      <w:proofErr w:type="spellStart"/>
      <w:r w:rsidRPr="00CD5F82">
        <w:rPr>
          <w:rFonts w:ascii="Times New Roman" w:hAnsi="Times New Roman"/>
          <w:i/>
          <w:iCs/>
          <w:lang w:val="en-HK"/>
        </w:rPr>
        <w:t>Twinsectra</w:t>
      </w:r>
      <w:r w:rsidRPr="00CD5F82">
        <w:rPr>
          <w:rFonts w:ascii="Times New Roman" w:hAnsi="Times New Roman"/>
          <w:lang w:val="en-HK"/>
        </w:rPr>
        <w:t>’s</w:t>
      </w:r>
      <w:proofErr w:type="spellEnd"/>
      <w:r w:rsidRPr="00CD5F82">
        <w:rPr>
          <w:rFonts w:ascii="Times New Roman" w:hAnsi="Times New Roman"/>
          <w:lang w:val="en-HK"/>
        </w:rPr>
        <w:t xml:space="preserve"> subjective limb and affirming </w:t>
      </w:r>
      <w:r w:rsidRPr="00CD5F82">
        <w:rPr>
          <w:rFonts w:ascii="Times New Roman" w:hAnsi="Times New Roman"/>
          <w:i/>
          <w:iCs/>
          <w:lang w:val="en-HK"/>
        </w:rPr>
        <w:t>Tan</w:t>
      </w:r>
      <w:r w:rsidRPr="00CD5F82">
        <w:rPr>
          <w:rFonts w:ascii="Times New Roman" w:hAnsi="Times New Roman"/>
          <w:lang w:val="en-HK"/>
        </w:rPr>
        <w:t xml:space="preserve">’s objective focus, as clarified by </w:t>
      </w:r>
      <w:r w:rsidRPr="00CD5F82">
        <w:rPr>
          <w:rFonts w:ascii="Times New Roman" w:hAnsi="Times New Roman"/>
          <w:i/>
          <w:iCs/>
          <w:lang w:val="en-HK"/>
        </w:rPr>
        <w:t>Ivey</w:t>
      </w:r>
      <w:r w:rsidRPr="00CD5F82">
        <w:rPr>
          <w:rFonts w:ascii="Times New Roman" w:hAnsi="Times New Roman"/>
          <w:lang w:val="en-HK"/>
        </w:rPr>
        <w:t>. It overturned Morgan J’s finding that Mr. Landman was not dishonest, inferring from the same facts that he understood the breach, making his assistance objectively dishonest (Conv. 2019, 3, 198). Dixon notes this as a shift in inference, not law (ibid.).</w:t>
      </w:r>
    </w:p>
    <w:p w14:paraId="13BB6DD5" w14:textId="77777777" w:rsidR="00CD5F82" w:rsidRPr="004F0D29" w:rsidRDefault="00CD5F82" w:rsidP="004F0D29">
      <w:pPr>
        <w:spacing w:after="240" w:line="360" w:lineRule="auto"/>
        <w:rPr>
          <w:rFonts w:ascii="Times New Roman" w:hAnsi="Times New Roman"/>
          <w:lang w:val="en-HK"/>
        </w:rPr>
      </w:pPr>
      <w:r w:rsidRPr="00CD5F82">
        <w:rPr>
          <w:rFonts w:ascii="Times New Roman" w:hAnsi="Times New Roman"/>
          <w:b/>
          <w:bCs/>
          <w:lang w:val="en-HK"/>
        </w:rPr>
        <w:t>Current Use</w:t>
      </w:r>
      <w:r w:rsidRPr="00CD5F82">
        <w:rPr>
          <w:rFonts w:ascii="Times New Roman" w:hAnsi="Times New Roman"/>
          <w:lang w:val="en-HK"/>
        </w:rPr>
        <w:t xml:space="preserve">: </w:t>
      </w:r>
      <w:r w:rsidRPr="00CD5F82">
        <w:rPr>
          <w:rFonts w:ascii="Times New Roman" w:hAnsi="Times New Roman"/>
          <w:i/>
          <w:iCs/>
          <w:lang w:val="en-HK"/>
        </w:rPr>
        <w:t>Group Seven</w:t>
      </w:r>
      <w:r w:rsidRPr="00CD5F82">
        <w:rPr>
          <w:rFonts w:ascii="Times New Roman" w:hAnsi="Times New Roman"/>
          <w:lang w:val="en-HK"/>
        </w:rPr>
        <w:t xml:space="preserve"> is the current authoritative statement of the test, integrating prior authorities into a settled framework.</w:t>
      </w:r>
    </w:p>
    <w:p w14:paraId="7B834EB4" w14:textId="77777777" w:rsidR="0048770F" w:rsidRPr="004F0D29" w:rsidRDefault="0048770F" w:rsidP="004F0D29">
      <w:pPr>
        <w:spacing w:after="240" w:line="360" w:lineRule="auto"/>
        <w:outlineLvl w:val="2"/>
        <w:rPr>
          <w:rFonts w:ascii="Times New Roman" w:hAnsi="Times New Roman"/>
          <w:b/>
          <w:bCs/>
          <w:color w:val="2F5496" w:themeColor="accent1" w:themeShade="BF"/>
          <w:lang w:val="en-HK"/>
        </w:rPr>
      </w:pPr>
    </w:p>
    <w:p w14:paraId="77B23787" w14:textId="66FFB9AF" w:rsidR="0048770F" w:rsidRPr="0048770F" w:rsidRDefault="0048770F" w:rsidP="004F0D29">
      <w:pPr>
        <w:spacing w:after="240" w:line="360" w:lineRule="auto"/>
        <w:outlineLvl w:val="2"/>
        <w:rPr>
          <w:rFonts w:ascii="Times New Roman" w:hAnsi="Times New Roman"/>
          <w:b/>
          <w:bCs/>
          <w:color w:val="2F5496" w:themeColor="accent1" w:themeShade="BF"/>
          <w:lang w:val="en-HK"/>
        </w:rPr>
      </w:pPr>
      <w:r w:rsidRPr="0048770F">
        <w:rPr>
          <w:rFonts w:ascii="Times New Roman" w:hAnsi="Times New Roman"/>
          <w:b/>
          <w:bCs/>
          <w:color w:val="2F5496" w:themeColor="accent1" w:themeShade="BF"/>
          <w:lang w:val="en-HK"/>
        </w:rPr>
        <w:t xml:space="preserve">Expanded Summary of </w:t>
      </w:r>
      <w:r w:rsidRPr="0048770F">
        <w:rPr>
          <w:rFonts w:ascii="Times New Roman" w:hAnsi="Times New Roman"/>
          <w:b/>
          <w:bCs/>
          <w:i/>
          <w:iCs/>
          <w:color w:val="2F5496" w:themeColor="accent1" w:themeShade="BF"/>
          <w:lang w:val="en-HK"/>
        </w:rPr>
        <w:t>Group Seven Ltd v Notable Services LLP</w:t>
      </w:r>
    </w:p>
    <w:p w14:paraId="7C981370" w14:textId="06CBE922" w:rsidR="0048770F" w:rsidRPr="0048770F" w:rsidRDefault="0048770F" w:rsidP="004F0D29">
      <w:pPr>
        <w:spacing w:after="240" w:line="360" w:lineRule="auto"/>
        <w:rPr>
          <w:rFonts w:ascii="Times New Roman" w:hAnsi="Times New Roman"/>
          <w:lang w:val="en-HK"/>
        </w:rPr>
      </w:pPr>
      <w:r w:rsidRPr="0048770F">
        <w:rPr>
          <w:rFonts w:ascii="Times New Roman" w:hAnsi="Times New Roman"/>
          <w:lang w:val="en-HK"/>
        </w:rPr>
        <w:t xml:space="preserve">The editorial by Martin Dixon examines the Court of Appeal’s decision in </w:t>
      </w:r>
      <w:r w:rsidRPr="0048770F">
        <w:rPr>
          <w:rFonts w:ascii="Times New Roman" w:hAnsi="Times New Roman"/>
          <w:i/>
          <w:iCs/>
          <w:lang w:val="en-HK"/>
        </w:rPr>
        <w:t>Group Seven Ltd v Notable Services LLP</w:t>
      </w:r>
      <w:r w:rsidRPr="0048770F">
        <w:rPr>
          <w:rFonts w:ascii="Times New Roman" w:hAnsi="Times New Roman"/>
          <w:lang w:val="en-HK"/>
        </w:rPr>
        <w:t xml:space="preserve"> [2019] EWCA </w:t>
      </w:r>
      <w:proofErr w:type="spellStart"/>
      <w:r w:rsidRPr="0048770F">
        <w:rPr>
          <w:rFonts w:ascii="Times New Roman" w:hAnsi="Times New Roman"/>
          <w:lang w:val="en-HK"/>
        </w:rPr>
        <w:t>Civ</w:t>
      </w:r>
      <w:proofErr w:type="spellEnd"/>
      <w:r w:rsidRPr="0048770F">
        <w:rPr>
          <w:rFonts w:ascii="Times New Roman" w:hAnsi="Times New Roman"/>
          <w:lang w:val="en-HK"/>
        </w:rPr>
        <w:t xml:space="preserve"> 614, a case that addresses the contentious issue of liability for dishonest assistance in breaches of trust or fiduciary duty. Dixon frames this decision as a significant judicial intervention aimed at resolving long-standing debates regarding the test for dishonesty, particularly in the context of accessory liability. The case serves as a clarion call from the judiciary to settle the law, drawing on foundational principles from prior authorities such as </w:t>
      </w:r>
      <w:r w:rsidRPr="0048770F">
        <w:rPr>
          <w:rFonts w:ascii="Times New Roman" w:hAnsi="Times New Roman"/>
          <w:i/>
          <w:iCs/>
          <w:lang w:val="en-HK"/>
        </w:rPr>
        <w:t xml:space="preserve">Royal Brunei Airlines </w:t>
      </w:r>
      <w:proofErr w:type="spellStart"/>
      <w:r w:rsidRPr="0048770F">
        <w:rPr>
          <w:rFonts w:ascii="Times New Roman" w:hAnsi="Times New Roman"/>
          <w:i/>
          <w:iCs/>
          <w:lang w:val="en-HK"/>
        </w:rPr>
        <w:t>Sdn</w:t>
      </w:r>
      <w:proofErr w:type="spellEnd"/>
      <w:r w:rsidRPr="0048770F">
        <w:rPr>
          <w:rFonts w:ascii="Times New Roman" w:hAnsi="Times New Roman"/>
          <w:i/>
          <w:iCs/>
          <w:lang w:val="en-HK"/>
        </w:rPr>
        <w:t xml:space="preserve"> </w:t>
      </w:r>
      <w:proofErr w:type="spellStart"/>
      <w:r w:rsidRPr="0048770F">
        <w:rPr>
          <w:rFonts w:ascii="Times New Roman" w:hAnsi="Times New Roman"/>
          <w:i/>
          <w:iCs/>
          <w:lang w:val="en-HK"/>
        </w:rPr>
        <w:t>Bhd</w:t>
      </w:r>
      <w:proofErr w:type="spellEnd"/>
      <w:r w:rsidRPr="0048770F">
        <w:rPr>
          <w:rFonts w:ascii="Times New Roman" w:hAnsi="Times New Roman"/>
          <w:i/>
          <w:iCs/>
          <w:lang w:val="en-HK"/>
        </w:rPr>
        <w:t xml:space="preserve"> v Tan</w:t>
      </w:r>
      <w:r w:rsidRPr="0048770F">
        <w:rPr>
          <w:rFonts w:ascii="Times New Roman" w:hAnsi="Times New Roman"/>
          <w:lang w:val="en-HK"/>
        </w:rPr>
        <w:t xml:space="preserve"> [1995] 2 A.C. 378, </w:t>
      </w:r>
      <w:r w:rsidRPr="0048770F">
        <w:rPr>
          <w:rFonts w:ascii="Times New Roman" w:hAnsi="Times New Roman"/>
          <w:i/>
          <w:iCs/>
          <w:lang w:val="en-HK"/>
        </w:rPr>
        <w:t xml:space="preserve">Barlow Clowes International Ltd (In Liquidation) v </w:t>
      </w:r>
      <w:proofErr w:type="spellStart"/>
      <w:r w:rsidRPr="0048770F">
        <w:rPr>
          <w:rFonts w:ascii="Times New Roman" w:hAnsi="Times New Roman"/>
          <w:i/>
          <w:iCs/>
          <w:lang w:val="en-HK"/>
        </w:rPr>
        <w:t>Eurotrust</w:t>
      </w:r>
      <w:proofErr w:type="spellEnd"/>
      <w:r w:rsidRPr="0048770F">
        <w:rPr>
          <w:rFonts w:ascii="Times New Roman" w:hAnsi="Times New Roman"/>
          <w:i/>
          <w:iCs/>
          <w:lang w:val="en-HK"/>
        </w:rPr>
        <w:t xml:space="preserve"> International Ltd</w:t>
      </w:r>
      <w:r w:rsidRPr="0048770F">
        <w:rPr>
          <w:rFonts w:ascii="Times New Roman" w:hAnsi="Times New Roman"/>
          <w:lang w:val="en-HK"/>
        </w:rPr>
        <w:t xml:space="preserve"> [2005] UKPC 37, and </w:t>
      </w:r>
      <w:r w:rsidRPr="0048770F">
        <w:rPr>
          <w:rFonts w:ascii="Times New Roman" w:hAnsi="Times New Roman"/>
          <w:i/>
          <w:iCs/>
          <w:lang w:val="en-HK"/>
        </w:rPr>
        <w:t>Ivey v Genting Casinos UK Ltd (t/a Crockfords Club)</w:t>
      </w:r>
      <w:r w:rsidRPr="0048770F">
        <w:rPr>
          <w:rFonts w:ascii="Times New Roman" w:hAnsi="Times New Roman"/>
          <w:lang w:val="en-HK"/>
        </w:rPr>
        <w:t xml:space="preserve"> [2017] UKSC 67. Below, the factual background, legal arguments, judicial reasoning, and broader implications are explored in detail.</w:t>
      </w:r>
    </w:p>
    <w:p w14:paraId="222455E3" w14:textId="77777777" w:rsidR="0048770F" w:rsidRPr="004F0D29" w:rsidRDefault="0048770F" w:rsidP="004F0D29">
      <w:pPr>
        <w:spacing w:after="240" w:line="360" w:lineRule="auto"/>
        <w:outlineLvl w:val="3"/>
        <w:rPr>
          <w:rFonts w:ascii="Times New Roman" w:hAnsi="Times New Roman"/>
          <w:b/>
          <w:bCs/>
          <w:lang w:val="en-HK"/>
        </w:rPr>
      </w:pPr>
    </w:p>
    <w:p w14:paraId="2857E168" w14:textId="25AE133A" w:rsidR="0048770F" w:rsidRPr="0048770F" w:rsidRDefault="0048770F" w:rsidP="004F0D29">
      <w:pPr>
        <w:spacing w:after="240" w:line="360" w:lineRule="auto"/>
        <w:outlineLvl w:val="3"/>
        <w:rPr>
          <w:rFonts w:ascii="Times New Roman" w:hAnsi="Times New Roman"/>
          <w:b/>
          <w:bCs/>
          <w:lang w:val="en-HK"/>
        </w:rPr>
      </w:pPr>
      <w:r w:rsidRPr="0048770F">
        <w:rPr>
          <w:rFonts w:ascii="Times New Roman" w:hAnsi="Times New Roman"/>
          <w:b/>
          <w:bCs/>
          <w:lang w:val="en-HK"/>
        </w:rPr>
        <w:t>Factual Background and Lower Court Decision</w:t>
      </w:r>
    </w:p>
    <w:p w14:paraId="15EDD107" w14:textId="3A3F5CB3" w:rsidR="0048770F" w:rsidRPr="0048770F" w:rsidRDefault="0048770F" w:rsidP="004F0D29">
      <w:pPr>
        <w:spacing w:after="240" w:line="360" w:lineRule="auto"/>
        <w:rPr>
          <w:rFonts w:ascii="Times New Roman" w:hAnsi="Times New Roman"/>
          <w:lang w:val="en-HK"/>
        </w:rPr>
      </w:pPr>
      <w:r w:rsidRPr="0048770F">
        <w:rPr>
          <w:rFonts w:ascii="Times New Roman" w:hAnsi="Times New Roman"/>
          <w:lang w:val="en-HK"/>
        </w:rPr>
        <w:t xml:space="preserve">The </w:t>
      </w:r>
      <w:r w:rsidRPr="0048770F">
        <w:rPr>
          <w:rFonts w:ascii="Times New Roman" w:hAnsi="Times New Roman"/>
          <w:i/>
          <w:iCs/>
          <w:lang w:val="en-HK"/>
        </w:rPr>
        <w:t>Group Seven</w:t>
      </w:r>
      <w:r w:rsidRPr="0048770F">
        <w:rPr>
          <w:rFonts w:ascii="Times New Roman" w:hAnsi="Times New Roman"/>
          <w:lang w:val="en-HK"/>
        </w:rPr>
        <w:t xml:space="preserve"> litigation arose from a complex fraud that netted €100 million, of which €88 million had been recovered prior to the proceedings (see footnote 5, Conv. 2019, 3, 197). The claimants sought to recover an additional €12 million by pursuing a claim of dishonest assistance against Mr. Landman, an employee of Notable LLP, a London solicitors’ firm, with the ultimate aim of establishing vicarious liability against the firm. The trial judge, Morgan J, in </w:t>
      </w:r>
      <w:r w:rsidRPr="0048770F">
        <w:rPr>
          <w:rFonts w:ascii="Times New Roman" w:hAnsi="Times New Roman"/>
          <w:i/>
          <w:iCs/>
          <w:lang w:val="en-HK"/>
        </w:rPr>
        <w:t>Group Seven Ltd v Nasir</w:t>
      </w:r>
      <w:r w:rsidRPr="0048770F">
        <w:rPr>
          <w:rFonts w:ascii="Times New Roman" w:hAnsi="Times New Roman"/>
          <w:lang w:val="en-HK"/>
        </w:rPr>
        <w:t xml:space="preserve"> [2017] EWHC 2466 (Ch), held that Mr. Landman was not liable for dishonestly assisting in a breach of trust but was liable for unconscionable receipt of £170,000 in separate funds. The finding of unconscionable receipt was not appealed, leaving the focus on the €12 million dishonest assistance claim.</w:t>
      </w:r>
    </w:p>
    <w:p w14:paraId="368F0817" w14:textId="2BD41951" w:rsidR="0048770F" w:rsidRPr="0048770F" w:rsidRDefault="0048770F" w:rsidP="004F0D29">
      <w:pPr>
        <w:spacing w:after="240" w:line="360" w:lineRule="auto"/>
        <w:rPr>
          <w:rFonts w:ascii="Times New Roman" w:hAnsi="Times New Roman"/>
          <w:lang w:val="en-HK"/>
        </w:rPr>
      </w:pPr>
      <w:r w:rsidRPr="0048770F">
        <w:rPr>
          <w:rFonts w:ascii="Times New Roman" w:hAnsi="Times New Roman"/>
          <w:lang w:val="en-HK"/>
        </w:rPr>
        <w:t xml:space="preserve">Morgan J’s decision rested on his interpretation of dishonesty under authorities such as </w:t>
      </w:r>
      <w:r w:rsidRPr="0048770F">
        <w:rPr>
          <w:rFonts w:ascii="Times New Roman" w:hAnsi="Times New Roman"/>
          <w:i/>
          <w:iCs/>
          <w:lang w:val="en-HK"/>
        </w:rPr>
        <w:t>Tan</w:t>
      </w:r>
      <w:r w:rsidRPr="0048770F">
        <w:rPr>
          <w:rFonts w:ascii="Times New Roman" w:hAnsi="Times New Roman"/>
          <w:lang w:val="en-HK"/>
        </w:rPr>
        <w:t xml:space="preserve"> and </w:t>
      </w:r>
      <w:r w:rsidRPr="0048770F">
        <w:rPr>
          <w:rFonts w:ascii="Times New Roman" w:hAnsi="Times New Roman"/>
          <w:i/>
          <w:iCs/>
          <w:lang w:val="en-HK"/>
        </w:rPr>
        <w:t>Barlow Clowes</w:t>
      </w:r>
      <w:r w:rsidRPr="0048770F">
        <w:rPr>
          <w:rFonts w:ascii="Times New Roman" w:hAnsi="Times New Roman"/>
          <w:lang w:val="en-HK"/>
        </w:rPr>
        <w:t xml:space="preserve">. He concluded that Mr. Landman neither knew nor had turned a blind eye to the fact that the funds transferred to Notable LLP were in breach of trust (Conv. 2019, 3, 197). This finding hinged on an objective test of dishonesty, rejecting the part-subjective, part-objective approach suggested in </w:t>
      </w:r>
      <w:proofErr w:type="spellStart"/>
      <w:r w:rsidRPr="0048770F">
        <w:rPr>
          <w:rFonts w:ascii="Times New Roman" w:hAnsi="Times New Roman"/>
          <w:i/>
          <w:iCs/>
          <w:lang w:val="en-HK"/>
        </w:rPr>
        <w:t>Twinsectra</w:t>
      </w:r>
      <w:proofErr w:type="spellEnd"/>
      <w:r w:rsidRPr="0048770F">
        <w:rPr>
          <w:rFonts w:ascii="Times New Roman" w:hAnsi="Times New Roman"/>
          <w:i/>
          <w:iCs/>
          <w:lang w:val="en-HK"/>
        </w:rPr>
        <w:t xml:space="preserve"> Ltd v Yardley</w:t>
      </w:r>
      <w:r w:rsidRPr="0048770F">
        <w:rPr>
          <w:rFonts w:ascii="Times New Roman" w:hAnsi="Times New Roman"/>
          <w:lang w:val="en-HK"/>
        </w:rPr>
        <w:t xml:space="preserve"> [2002] UKHL 12. However, Morgan J delivered his judgment without the benefit of the Supreme Court’s subsequent ruling in </w:t>
      </w:r>
      <w:r w:rsidRPr="0048770F">
        <w:rPr>
          <w:rFonts w:ascii="Times New Roman" w:hAnsi="Times New Roman"/>
          <w:i/>
          <w:iCs/>
          <w:lang w:val="en-HK"/>
        </w:rPr>
        <w:t>Ivey</w:t>
      </w:r>
      <w:r w:rsidRPr="0048770F">
        <w:rPr>
          <w:rFonts w:ascii="Times New Roman" w:hAnsi="Times New Roman"/>
          <w:lang w:val="en-HK"/>
        </w:rPr>
        <w:t>, handed down less than three weeks later, which would prove pivotal in the appeal.</w:t>
      </w:r>
    </w:p>
    <w:p w14:paraId="7D6EFB5D" w14:textId="77777777" w:rsidR="0048770F" w:rsidRPr="004F0D29" w:rsidRDefault="0048770F" w:rsidP="004F0D29">
      <w:pPr>
        <w:spacing w:after="240" w:line="360" w:lineRule="auto"/>
        <w:outlineLvl w:val="3"/>
        <w:rPr>
          <w:rFonts w:ascii="Times New Roman" w:hAnsi="Times New Roman"/>
          <w:b/>
          <w:bCs/>
          <w:lang w:val="en-HK"/>
        </w:rPr>
      </w:pPr>
    </w:p>
    <w:p w14:paraId="19E4F568" w14:textId="03A57465" w:rsidR="0048770F" w:rsidRPr="004F0D29" w:rsidRDefault="0048770F" w:rsidP="004F0D29">
      <w:pPr>
        <w:spacing w:after="240" w:line="360" w:lineRule="auto"/>
        <w:outlineLvl w:val="3"/>
        <w:rPr>
          <w:rFonts w:ascii="Times New Roman" w:hAnsi="Times New Roman"/>
          <w:b/>
          <w:bCs/>
          <w:lang w:val="en-HK"/>
        </w:rPr>
      </w:pPr>
      <w:r w:rsidRPr="0048770F">
        <w:rPr>
          <w:rFonts w:ascii="Times New Roman" w:hAnsi="Times New Roman"/>
          <w:b/>
          <w:bCs/>
          <w:lang w:val="en-HK"/>
        </w:rPr>
        <w:t>The Court of Appeal’s Ruling</w:t>
      </w:r>
    </w:p>
    <w:p w14:paraId="77CB53BE" w14:textId="3C015349" w:rsidR="0048770F" w:rsidRPr="0048770F" w:rsidRDefault="0048770F" w:rsidP="004F0D29">
      <w:pPr>
        <w:spacing w:after="240" w:line="360" w:lineRule="auto"/>
        <w:outlineLvl w:val="3"/>
        <w:rPr>
          <w:rFonts w:ascii="Times New Roman" w:hAnsi="Times New Roman"/>
          <w:b/>
          <w:bCs/>
          <w:lang w:val="en-HK"/>
        </w:rPr>
      </w:pPr>
      <w:r w:rsidRPr="0048770F">
        <w:rPr>
          <w:rFonts w:ascii="Times New Roman" w:hAnsi="Times New Roman"/>
          <w:lang w:val="en-HK"/>
        </w:rPr>
        <w:t xml:space="preserve">The Court of Appeal, in a judgment delivered by Henderson LJ (with contributions from Peter Jackson LJ and </w:t>
      </w:r>
      <w:proofErr w:type="spellStart"/>
      <w:r w:rsidRPr="0048770F">
        <w:rPr>
          <w:rFonts w:ascii="Times New Roman" w:hAnsi="Times New Roman"/>
          <w:lang w:val="en-HK"/>
        </w:rPr>
        <w:t>Asplin</w:t>
      </w:r>
      <w:proofErr w:type="spellEnd"/>
      <w:r w:rsidRPr="0048770F">
        <w:rPr>
          <w:rFonts w:ascii="Times New Roman" w:hAnsi="Times New Roman"/>
          <w:lang w:val="en-HK"/>
        </w:rPr>
        <w:t xml:space="preserve"> LJ), overturned Morgan J’s finding on dishonest assistance (Group Seven Ltd v Notable Services LLP [2019] EWCA </w:t>
      </w:r>
      <w:proofErr w:type="spellStart"/>
      <w:r w:rsidRPr="0048770F">
        <w:rPr>
          <w:rFonts w:ascii="Times New Roman" w:hAnsi="Times New Roman"/>
          <w:lang w:val="en-HK"/>
        </w:rPr>
        <w:t>Civ</w:t>
      </w:r>
      <w:proofErr w:type="spellEnd"/>
      <w:r w:rsidRPr="0048770F">
        <w:rPr>
          <w:rFonts w:ascii="Times New Roman" w:hAnsi="Times New Roman"/>
          <w:lang w:val="en-HK"/>
        </w:rPr>
        <w:t xml:space="preserve"> 614 at [1]). The court seized the opportunity to clarify the scope of liability for dishonest assistance, emphasizing four essential elements: </w:t>
      </w:r>
      <w:r w:rsidRPr="0048770F">
        <w:rPr>
          <w:rFonts w:ascii="Times New Roman" w:hAnsi="Times New Roman"/>
          <w:b/>
          <w:bCs/>
          <w:color w:val="FF0000"/>
          <w:lang w:val="en-HK"/>
        </w:rPr>
        <w:t>(1) the existence of a trust at the relevant time; (2) a breach of that trust by the trustee; (3) assistance by the defendant in that breach; and (4) dishonesty in the defendant’s assistance (Conv. 2019, 3, 196, citing [28]).</w:t>
      </w:r>
      <w:r w:rsidRPr="0048770F">
        <w:rPr>
          <w:rFonts w:ascii="Times New Roman" w:hAnsi="Times New Roman"/>
          <w:color w:val="FF0000"/>
          <w:lang w:val="en-HK"/>
        </w:rPr>
        <w:t xml:space="preserve"> </w:t>
      </w:r>
      <w:r w:rsidRPr="0048770F">
        <w:rPr>
          <w:rFonts w:ascii="Times New Roman" w:hAnsi="Times New Roman"/>
          <w:lang w:val="en-HK"/>
        </w:rPr>
        <w:t xml:space="preserve">The court explicitly extended these principles, </w:t>
      </w:r>
      <w:r w:rsidRPr="0048770F">
        <w:rPr>
          <w:rFonts w:ascii="Times New Roman" w:hAnsi="Times New Roman"/>
          <w:i/>
          <w:iCs/>
          <w:lang w:val="en-HK"/>
        </w:rPr>
        <w:t>mutatis mutandis</w:t>
      </w:r>
      <w:r w:rsidRPr="0048770F">
        <w:rPr>
          <w:rFonts w:ascii="Times New Roman" w:hAnsi="Times New Roman"/>
          <w:lang w:val="en-HK"/>
        </w:rPr>
        <w:t>, to breaches of fiduciary duty by a company director in relation to company assets (ibid.).</w:t>
      </w:r>
    </w:p>
    <w:p w14:paraId="3A049770" w14:textId="0B4746F8" w:rsidR="0048770F" w:rsidRPr="0048770F" w:rsidRDefault="0048770F" w:rsidP="004F0D29">
      <w:pPr>
        <w:spacing w:after="240" w:line="360" w:lineRule="auto"/>
        <w:rPr>
          <w:rFonts w:ascii="Times New Roman" w:hAnsi="Times New Roman"/>
          <w:lang w:val="en-HK"/>
        </w:rPr>
      </w:pPr>
      <w:r w:rsidRPr="0048770F">
        <w:rPr>
          <w:rFonts w:ascii="Times New Roman" w:hAnsi="Times New Roman"/>
          <w:lang w:val="en-HK"/>
        </w:rPr>
        <w:lastRenderedPageBreak/>
        <w:t xml:space="preserve">In </w:t>
      </w:r>
      <w:r w:rsidRPr="0048770F">
        <w:rPr>
          <w:rFonts w:ascii="Times New Roman" w:hAnsi="Times New Roman"/>
          <w:i/>
          <w:iCs/>
          <w:lang w:val="en-HK"/>
        </w:rPr>
        <w:t>Group Seven</w:t>
      </w:r>
      <w:r w:rsidRPr="0048770F">
        <w:rPr>
          <w:rFonts w:ascii="Times New Roman" w:hAnsi="Times New Roman"/>
          <w:lang w:val="en-HK"/>
        </w:rPr>
        <w:t xml:space="preserve">, the first three elements were uncontested, as Morgan J’s findings in this regard were not appealed. Thus, the appeal turned squarely on the fourth element: whether Mr. Landman’s assistance was dishonest. The court’s analysis was grounded in a synthesis of </w:t>
      </w:r>
      <w:r w:rsidRPr="0048770F">
        <w:rPr>
          <w:rFonts w:ascii="Times New Roman" w:hAnsi="Times New Roman"/>
          <w:i/>
          <w:iCs/>
          <w:lang w:val="en-HK"/>
        </w:rPr>
        <w:t>Tan</w:t>
      </w:r>
      <w:r w:rsidRPr="0048770F">
        <w:rPr>
          <w:rFonts w:ascii="Times New Roman" w:hAnsi="Times New Roman"/>
          <w:lang w:val="en-HK"/>
        </w:rPr>
        <w:t xml:space="preserve">, </w:t>
      </w:r>
      <w:r w:rsidRPr="0048770F">
        <w:rPr>
          <w:rFonts w:ascii="Times New Roman" w:hAnsi="Times New Roman"/>
          <w:i/>
          <w:iCs/>
          <w:lang w:val="en-HK"/>
        </w:rPr>
        <w:t>Barlow Clowes</w:t>
      </w:r>
      <w:r w:rsidRPr="0048770F">
        <w:rPr>
          <w:rFonts w:ascii="Times New Roman" w:hAnsi="Times New Roman"/>
          <w:lang w:val="en-HK"/>
        </w:rPr>
        <w:t xml:space="preserve">, and </w:t>
      </w:r>
      <w:r w:rsidRPr="0048770F">
        <w:rPr>
          <w:rFonts w:ascii="Times New Roman" w:hAnsi="Times New Roman"/>
          <w:i/>
          <w:iCs/>
          <w:lang w:val="en-HK"/>
        </w:rPr>
        <w:t>Ivey</w:t>
      </w:r>
      <w:r w:rsidRPr="0048770F">
        <w:rPr>
          <w:rFonts w:ascii="Times New Roman" w:hAnsi="Times New Roman"/>
          <w:lang w:val="en-HK"/>
        </w:rPr>
        <w:t>, which it described as providing principles that can now be stated in a few sentences and should not require detailed exposition in future cases (Conv. 2019, 3, 196, citing [92]).</w:t>
      </w:r>
    </w:p>
    <w:p w14:paraId="6CB555B2" w14:textId="77777777" w:rsidR="0048770F" w:rsidRPr="004F0D29" w:rsidRDefault="0048770F" w:rsidP="004F0D29">
      <w:pPr>
        <w:spacing w:after="240" w:line="360" w:lineRule="auto"/>
        <w:outlineLvl w:val="3"/>
        <w:rPr>
          <w:rFonts w:ascii="Times New Roman" w:hAnsi="Times New Roman"/>
          <w:b/>
          <w:bCs/>
          <w:lang w:val="en-HK"/>
        </w:rPr>
      </w:pPr>
    </w:p>
    <w:p w14:paraId="7365A877" w14:textId="6B851CF8" w:rsidR="0048770F" w:rsidRPr="0048770F" w:rsidRDefault="0048770F" w:rsidP="004F0D29">
      <w:pPr>
        <w:spacing w:after="240" w:line="360" w:lineRule="auto"/>
        <w:outlineLvl w:val="3"/>
        <w:rPr>
          <w:rFonts w:ascii="Times New Roman" w:hAnsi="Times New Roman"/>
          <w:b/>
          <w:bCs/>
          <w:lang w:val="en-HK"/>
        </w:rPr>
      </w:pPr>
      <w:r w:rsidRPr="0048770F">
        <w:rPr>
          <w:rFonts w:ascii="Times New Roman" w:hAnsi="Times New Roman"/>
          <w:b/>
          <w:bCs/>
          <w:lang w:val="en-HK"/>
        </w:rPr>
        <w:t>The Test for Dishonesty: Legal Principles and Evolution</w:t>
      </w:r>
    </w:p>
    <w:p w14:paraId="0646B9D7" w14:textId="5147F708" w:rsidR="0048770F" w:rsidRPr="0048770F" w:rsidRDefault="0048770F" w:rsidP="004F0D29">
      <w:pPr>
        <w:spacing w:after="240" w:line="360" w:lineRule="auto"/>
        <w:rPr>
          <w:rFonts w:ascii="Times New Roman" w:hAnsi="Times New Roman"/>
          <w:lang w:val="en-HK"/>
        </w:rPr>
      </w:pPr>
      <w:r w:rsidRPr="0048770F">
        <w:rPr>
          <w:rFonts w:ascii="Times New Roman" w:hAnsi="Times New Roman"/>
          <w:lang w:val="en-HK"/>
        </w:rPr>
        <w:t xml:space="preserve">The Court of Appeal’s clarification of dishonesty built on a lineage of case law. In </w:t>
      </w:r>
      <w:r w:rsidRPr="0048770F">
        <w:rPr>
          <w:rFonts w:ascii="Times New Roman" w:hAnsi="Times New Roman"/>
          <w:i/>
          <w:iCs/>
          <w:lang w:val="en-HK"/>
        </w:rPr>
        <w:t xml:space="preserve">Royal Brunei Airlines </w:t>
      </w:r>
      <w:proofErr w:type="spellStart"/>
      <w:r w:rsidRPr="0048770F">
        <w:rPr>
          <w:rFonts w:ascii="Times New Roman" w:hAnsi="Times New Roman"/>
          <w:i/>
          <w:iCs/>
          <w:lang w:val="en-HK"/>
        </w:rPr>
        <w:t>Sdn</w:t>
      </w:r>
      <w:proofErr w:type="spellEnd"/>
      <w:r w:rsidRPr="0048770F">
        <w:rPr>
          <w:rFonts w:ascii="Times New Roman" w:hAnsi="Times New Roman"/>
          <w:i/>
          <w:iCs/>
          <w:lang w:val="en-HK"/>
        </w:rPr>
        <w:t xml:space="preserve"> </w:t>
      </w:r>
      <w:proofErr w:type="spellStart"/>
      <w:r w:rsidRPr="0048770F">
        <w:rPr>
          <w:rFonts w:ascii="Times New Roman" w:hAnsi="Times New Roman"/>
          <w:i/>
          <w:iCs/>
          <w:lang w:val="en-HK"/>
        </w:rPr>
        <w:t>Bhd</w:t>
      </w:r>
      <w:proofErr w:type="spellEnd"/>
      <w:r w:rsidRPr="0048770F">
        <w:rPr>
          <w:rFonts w:ascii="Times New Roman" w:hAnsi="Times New Roman"/>
          <w:i/>
          <w:iCs/>
          <w:lang w:val="en-HK"/>
        </w:rPr>
        <w:t xml:space="preserve"> v Tan</w:t>
      </w:r>
      <w:r w:rsidRPr="0048770F">
        <w:rPr>
          <w:rFonts w:ascii="Times New Roman" w:hAnsi="Times New Roman"/>
          <w:lang w:val="en-HK"/>
        </w:rPr>
        <w:t>, Lord Nicholls established dishonesty as the touchstone of accessory liability, rejecting strict liability or negligence-based standards. He emphasized that liability requires a personal lack of probity, stating, Knowingly is better avoided as a defining ingredient of the principle (Tan judgment at 392F, cited in footnote 3, Conv. 2019, 3, 198). This high threshold, Dixon notes, is justified because the defendant, not having benefited from the asset (unlike in receipt cases), must compensate the victim from their own resources (footnote 12, Conv. 2019, 3, 198).</w:t>
      </w:r>
    </w:p>
    <w:p w14:paraId="501F698D" w14:textId="5D964A05" w:rsidR="0048770F" w:rsidRPr="0048770F" w:rsidRDefault="0048770F" w:rsidP="004F0D29">
      <w:pPr>
        <w:spacing w:after="240" w:line="360" w:lineRule="auto"/>
        <w:rPr>
          <w:rFonts w:ascii="Times New Roman" w:hAnsi="Times New Roman"/>
          <w:lang w:val="en-HK"/>
        </w:rPr>
      </w:pPr>
      <w:r w:rsidRPr="0048770F">
        <w:rPr>
          <w:rFonts w:ascii="Times New Roman" w:hAnsi="Times New Roman"/>
          <w:i/>
          <w:iCs/>
          <w:lang w:val="en-HK"/>
        </w:rPr>
        <w:t>Barlow Clowes</w:t>
      </w:r>
      <w:r w:rsidRPr="0048770F">
        <w:rPr>
          <w:rFonts w:ascii="Times New Roman" w:hAnsi="Times New Roman"/>
          <w:lang w:val="en-HK"/>
        </w:rPr>
        <w:t xml:space="preserve"> reinforced this objective approach, with the Privy Council affirming that dishonesty is assessed by reference to the defendant’s conduct, not their subjective appreciation of its wrongfulness (Conv. 2019, 3, 197). However, </w:t>
      </w:r>
      <w:proofErr w:type="spellStart"/>
      <w:r w:rsidRPr="0048770F">
        <w:rPr>
          <w:rFonts w:ascii="Times New Roman" w:hAnsi="Times New Roman"/>
          <w:i/>
          <w:iCs/>
          <w:lang w:val="en-HK"/>
        </w:rPr>
        <w:t>Twinsectra</w:t>
      </w:r>
      <w:proofErr w:type="spellEnd"/>
      <w:r w:rsidRPr="0048770F">
        <w:rPr>
          <w:rFonts w:ascii="Times New Roman" w:hAnsi="Times New Roman"/>
          <w:i/>
          <w:iCs/>
          <w:lang w:val="en-HK"/>
        </w:rPr>
        <w:t xml:space="preserve"> Ltd v Yardley</w:t>
      </w:r>
      <w:r w:rsidRPr="0048770F">
        <w:rPr>
          <w:rFonts w:ascii="Times New Roman" w:hAnsi="Times New Roman"/>
          <w:lang w:val="en-HK"/>
        </w:rPr>
        <w:t xml:space="preserve"> introduced confusion by suggesting a hybrid test, combining subjective and objective elements—a view later critiqued as clouding Lord Nicholls’ clear exposition in </w:t>
      </w:r>
      <w:r w:rsidRPr="0048770F">
        <w:rPr>
          <w:rFonts w:ascii="Times New Roman" w:hAnsi="Times New Roman"/>
          <w:i/>
          <w:iCs/>
          <w:lang w:val="en-HK"/>
        </w:rPr>
        <w:t>Tan</w:t>
      </w:r>
      <w:r w:rsidRPr="0048770F">
        <w:rPr>
          <w:rFonts w:ascii="Times New Roman" w:hAnsi="Times New Roman"/>
          <w:lang w:val="en-HK"/>
        </w:rPr>
        <w:t xml:space="preserve"> (Group Seven at [38], cited in footnote 17, Conv. 2019, 3, 198).</w:t>
      </w:r>
    </w:p>
    <w:p w14:paraId="727030A1" w14:textId="7FA7611B" w:rsidR="0048770F" w:rsidRPr="0048770F" w:rsidRDefault="0048770F" w:rsidP="004F0D29">
      <w:pPr>
        <w:spacing w:after="240" w:line="360" w:lineRule="auto"/>
        <w:rPr>
          <w:rFonts w:ascii="Times New Roman" w:hAnsi="Times New Roman"/>
          <w:lang w:val="en-HK"/>
        </w:rPr>
      </w:pPr>
      <w:r w:rsidRPr="0048770F">
        <w:rPr>
          <w:rFonts w:ascii="Times New Roman" w:hAnsi="Times New Roman"/>
          <w:lang w:val="en-HK"/>
        </w:rPr>
        <w:t xml:space="preserve">The </w:t>
      </w:r>
      <w:r w:rsidRPr="004F0D29">
        <w:rPr>
          <w:rFonts w:ascii="Times New Roman" w:hAnsi="Times New Roman"/>
          <w:lang w:val="en-HK"/>
        </w:rPr>
        <w:t>S</w:t>
      </w:r>
      <w:r w:rsidRPr="0048770F">
        <w:rPr>
          <w:rFonts w:ascii="Times New Roman" w:hAnsi="Times New Roman"/>
          <w:lang w:val="en-HK"/>
        </w:rPr>
        <w:t xml:space="preserve">upreme Court’s decision in </w:t>
      </w:r>
      <w:r w:rsidRPr="0048770F">
        <w:rPr>
          <w:rFonts w:ascii="Times New Roman" w:hAnsi="Times New Roman"/>
          <w:i/>
          <w:iCs/>
          <w:lang w:val="en-HK"/>
        </w:rPr>
        <w:t>Ivey</w:t>
      </w:r>
      <w:r w:rsidRPr="0048770F">
        <w:rPr>
          <w:rFonts w:ascii="Times New Roman" w:hAnsi="Times New Roman"/>
          <w:lang w:val="en-HK"/>
        </w:rPr>
        <w:t xml:space="preserve"> marked a turning point, consigning the subjective-objective </w:t>
      </w:r>
      <w:r w:rsidRPr="0048770F">
        <w:rPr>
          <w:rFonts w:ascii="Times New Roman" w:hAnsi="Times New Roman"/>
          <w:i/>
          <w:iCs/>
          <w:lang w:val="en-HK"/>
        </w:rPr>
        <w:t>Ghosh</w:t>
      </w:r>
      <w:r w:rsidRPr="0048770F">
        <w:rPr>
          <w:rFonts w:ascii="Times New Roman" w:hAnsi="Times New Roman"/>
          <w:lang w:val="en-HK"/>
        </w:rPr>
        <w:t xml:space="preserve"> test (</w:t>
      </w:r>
      <w:r w:rsidRPr="0048770F">
        <w:rPr>
          <w:rFonts w:ascii="Times New Roman" w:hAnsi="Times New Roman"/>
          <w:i/>
          <w:iCs/>
          <w:lang w:val="en-HK"/>
        </w:rPr>
        <w:t>R. v Ghosh</w:t>
      </w:r>
      <w:r w:rsidRPr="0048770F">
        <w:rPr>
          <w:rFonts w:ascii="Times New Roman" w:hAnsi="Times New Roman"/>
          <w:lang w:val="en-HK"/>
        </w:rPr>
        <w:t xml:space="preserve"> [1982] Q.B. 1053) to the shredder of history (Conv. 2019, 3, 197). In </w:t>
      </w:r>
      <w:r w:rsidRPr="0048770F">
        <w:rPr>
          <w:rFonts w:ascii="Times New Roman" w:hAnsi="Times New Roman"/>
          <w:i/>
          <w:iCs/>
          <w:lang w:val="en-HK"/>
        </w:rPr>
        <w:t>Ivey</w:t>
      </w:r>
      <w:r w:rsidRPr="0048770F">
        <w:rPr>
          <w:rFonts w:ascii="Times New Roman" w:hAnsi="Times New Roman"/>
          <w:lang w:val="en-HK"/>
        </w:rPr>
        <w:t xml:space="preserve">, Lord Hughes recognized dishonesty’s critical role in civil proceedings, stating, The meaning of dishonesty was particularly critical in civil proceedings for dishonest assistance (Ivey at [62], cited in footnote 19, Conv. 2019, 3, 198). The Supreme Court affirmed a purely objective test, rejecting the second limb of </w:t>
      </w:r>
      <w:r w:rsidRPr="0048770F">
        <w:rPr>
          <w:rFonts w:ascii="Times New Roman" w:hAnsi="Times New Roman"/>
          <w:i/>
          <w:iCs/>
          <w:lang w:val="en-HK"/>
        </w:rPr>
        <w:t>Ghosh</w:t>
      </w:r>
      <w:r w:rsidRPr="0048770F">
        <w:rPr>
          <w:rFonts w:ascii="Times New Roman" w:hAnsi="Times New Roman"/>
          <w:lang w:val="en-HK"/>
        </w:rPr>
        <w:t xml:space="preserve"> that required the defendant to realize their conduct was dishonest by ordinary standards.</w:t>
      </w:r>
    </w:p>
    <w:p w14:paraId="2522BD6C" w14:textId="487A5443" w:rsidR="0048770F" w:rsidRPr="004F0D29" w:rsidRDefault="0048770F" w:rsidP="004F0D29">
      <w:pPr>
        <w:spacing w:after="240" w:line="360" w:lineRule="auto"/>
        <w:rPr>
          <w:rFonts w:ascii="Times New Roman" w:hAnsi="Times New Roman"/>
          <w:lang w:val="en-HK"/>
        </w:rPr>
      </w:pPr>
      <w:r w:rsidRPr="0048770F">
        <w:rPr>
          <w:rFonts w:ascii="Times New Roman" w:hAnsi="Times New Roman"/>
          <w:lang w:val="en-HK"/>
        </w:rPr>
        <w:lastRenderedPageBreak/>
        <w:t xml:space="preserve">The Court of Appeal in </w:t>
      </w:r>
      <w:r w:rsidRPr="0048770F">
        <w:rPr>
          <w:rFonts w:ascii="Times New Roman" w:hAnsi="Times New Roman"/>
          <w:i/>
          <w:iCs/>
          <w:lang w:val="en-HK"/>
        </w:rPr>
        <w:t>Group Seven</w:t>
      </w:r>
      <w:r w:rsidRPr="0048770F">
        <w:rPr>
          <w:rFonts w:ascii="Times New Roman" w:hAnsi="Times New Roman"/>
          <w:lang w:val="en-HK"/>
        </w:rPr>
        <w:t xml:space="preserve"> embraced </w:t>
      </w:r>
      <w:r w:rsidRPr="0048770F">
        <w:rPr>
          <w:rFonts w:ascii="Times New Roman" w:hAnsi="Times New Roman"/>
          <w:i/>
          <w:iCs/>
          <w:lang w:val="en-HK"/>
        </w:rPr>
        <w:t>Ivey</w:t>
      </w:r>
      <w:r w:rsidRPr="0048770F">
        <w:rPr>
          <w:rFonts w:ascii="Times New Roman" w:hAnsi="Times New Roman"/>
          <w:lang w:val="en-HK"/>
        </w:rPr>
        <w:t xml:space="preserve"> as settled law, declaring, In the light of Ivey, it must in our view now be treated as settled law that the touchstone of accessory liability for breach of trust or fiduciary duty is indeed dishonesty, as Lord Nicholls so clearly explained in Tan, and that there is no room in the application of that test for the now discredited subjective second limb of the Ghosh test (Group Seven at [57], cited at Conv. 2019, 3, 197). This meant that Mr. Landman’s subjective belief in the propriety of his actions was irrelevant; what mattered was whether his conduct, viewed objectively, was dishonest.</w:t>
      </w:r>
    </w:p>
    <w:p w14:paraId="3B7AA7D3" w14:textId="77777777" w:rsidR="0048770F" w:rsidRPr="004F0D29" w:rsidRDefault="0048770F" w:rsidP="004F0D29">
      <w:pPr>
        <w:spacing w:after="240" w:line="360" w:lineRule="auto"/>
        <w:outlineLvl w:val="3"/>
        <w:rPr>
          <w:rFonts w:ascii="Times New Roman" w:hAnsi="Times New Roman"/>
          <w:b/>
          <w:bCs/>
          <w:lang w:val="en-HK"/>
        </w:rPr>
      </w:pPr>
    </w:p>
    <w:p w14:paraId="079E3DDD" w14:textId="17FF62B6" w:rsidR="0048770F" w:rsidRPr="0048770F" w:rsidRDefault="0048770F" w:rsidP="004F0D29">
      <w:pPr>
        <w:spacing w:after="240" w:line="360" w:lineRule="auto"/>
        <w:outlineLvl w:val="3"/>
        <w:rPr>
          <w:rFonts w:ascii="Times New Roman" w:hAnsi="Times New Roman"/>
          <w:b/>
          <w:bCs/>
          <w:lang w:val="en-HK"/>
        </w:rPr>
      </w:pPr>
      <w:r w:rsidRPr="0048770F">
        <w:rPr>
          <w:rFonts w:ascii="Times New Roman" w:hAnsi="Times New Roman"/>
          <w:b/>
          <w:bCs/>
          <w:lang w:val="en-HK"/>
        </w:rPr>
        <w:t>Application of the Test: Subjective Knowledge and Objective Assessment</w:t>
      </w:r>
    </w:p>
    <w:p w14:paraId="13EF7E05" w14:textId="27409B27" w:rsidR="0048770F" w:rsidRPr="004F0D29" w:rsidRDefault="0048770F" w:rsidP="004F0D29">
      <w:pPr>
        <w:spacing w:after="240" w:line="360" w:lineRule="auto"/>
        <w:rPr>
          <w:rFonts w:ascii="Times New Roman" w:hAnsi="Times New Roman"/>
          <w:lang w:val="en-HK"/>
        </w:rPr>
      </w:pPr>
      <w:r w:rsidRPr="0048770F">
        <w:rPr>
          <w:rFonts w:ascii="Times New Roman" w:hAnsi="Times New Roman"/>
          <w:lang w:val="en-HK"/>
        </w:rPr>
        <w:t xml:space="preserve">The court articulated a two-stage process for assessing dishonesty. </w:t>
      </w:r>
      <w:r w:rsidRPr="0048770F">
        <w:rPr>
          <w:rFonts w:ascii="Times New Roman" w:hAnsi="Times New Roman"/>
          <w:b/>
          <w:bCs/>
          <w:color w:val="FF0000"/>
          <w:lang w:val="en-HK"/>
        </w:rPr>
        <w:t>First, it must establish the primary facts of what the defendant knew, believed, or understood about the breach</w:t>
      </w:r>
      <w:r w:rsidRPr="0048770F">
        <w:rPr>
          <w:rFonts w:ascii="Times New Roman" w:hAnsi="Times New Roman"/>
          <w:color w:val="FF0000"/>
          <w:lang w:val="en-HK"/>
        </w:rPr>
        <w:t>—</w:t>
      </w:r>
      <w:r w:rsidRPr="0048770F">
        <w:rPr>
          <w:rFonts w:ascii="Times New Roman" w:hAnsi="Times New Roman"/>
          <w:lang w:val="en-HK"/>
        </w:rPr>
        <w:t>an inquiry Dixon describes as a piece of the factual background akin to determining whether a breach occurred or assistance was provided (Conv. 2019, 3, 198). This stage is not subjective in the sense of defining dishonesty but is crucial for contextualizing the defendant’s actions. As the court noted, The defendant’s actual state of knowledge and belief as to relevant facts forms a crucial part of the first stage of the test of dishonesty set out in Tan (Group Seven at [57], cited at Conv. 2019, 3, 197). Suspicions of varying degrees may form part of this picture (Group Seven at [60], cited in footnote 23, Conv. 2019, 3, 198).</w:t>
      </w:r>
    </w:p>
    <w:p w14:paraId="3285D1B0" w14:textId="40C9AC9B" w:rsidR="0048770F" w:rsidRPr="0048770F" w:rsidRDefault="0048770F" w:rsidP="004F0D29">
      <w:pPr>
        <w:spacing w:after="240" w:line="360" w:lineRule="auto"/>
        <w:rPr>
          <w:rFonts w:ascii="Times New Roman" w:hAnsi="Times New Roman"/>
          <w:lang w:val="en-HK"/>
        </w:rPr>
      </w:pPr>
      <w:r w:rsidRPr="0048770F">
        <w:rPr>
          <w:rFonts w:ascii="Times New Roman" w:hAnsi="Times New Roman"/>
          <w:b/>
          <w:bCs/>
          <w:color w:val="FF0000"/>
          <w:lang w:val="en-HK"/>
        </w:rPr>
        <w:t>Second, the court applies an objective standard: would an ordinary decent person</w:t>
      </w:r>
      <w:r w:rsidRPr="0048770F">
        <w:rPr>
          <w:rFonts w:ascii="Times New Roman" w:hAnsi="Times New Roman"/>
          <w:lang w:val="en-HK"/>
        </w:rPr>
        <w:t>, considering these facts (including the defendant’s knowledge), deem the assistance dishonest? This is essentially a jury question, namely whether the defendant’s conduct was honest or dishonest according to the standards of ordinary decent people (Group Seven at [57], cited at Conv. 2019, 3, 198). The defendant’s personal moral code or lack of appreciation of dishonesty is immaterial.</w:t>
      </w:r>
    </w:p>
    <w:p w14:paraId="090DA7F0" w14:textId="77777777" w:rsidR="004F0D29" w:rsidRPr="004F0D29" w:rsidRDefault="004F0D29" w:rsidP="004F0D29">
      <w:pPr>
        <w:spacing w:after="240" w:line="360" w:lineRule="auto"/>
        <w:rPr>
          <w:rFonts w:ascii="Times New Roman" w:hAnsi="Times New Roman"/>
          <w:lang w:val="en-HK"/>
        </w:rPr>
      </w:pPr>
    </w:p>
    <w:p w14:paraId="52CA0ECC" w14:textId="17C20384" w:rsidR="0048770F" w:rsidRPr="0048770F" w:rsidRDefault="0048770F" w:rsidP="004F0D29">
      <w:pPr>
        <w:spacing w:after="240" w:line="360" w:lineRule="auto"/>
        <w:rPr>
          <w:rFonts w:ascii="Times New Roman" w:hAnsi="Times New Roman"/>
          <w:lang w:val="en-HK"/>
        </w:rPr>
      </w:pPr>
      <w:r w:rsidRPr="0048770F">
        <w:rPr>
          <w:rFonts w:ascii="Times New Roman" w:hAnsi="Times New Roman"/>
          <w:lang w:val="en-HK"/>
        </w:rPr>
        <w:t xml:space="preserve">In applying this test, the Court of Appeal diverged from Morgan J. The trial judge had found that </w:t>
      </w:r>
      <w:r w:rsidRPr="0048770F">
        <w:rPr>
          <w:rFonts w:ascii="Times New Roman" w:hAnsi="Times New Roman"/>
          <w:color w:val="FF0000"/>
          <w:lang w:val="en-HK"/>
        </w:rPr>
        <w:t xml:space="preserve">Mr. Landman did not know or turn a blind eye to the breach, concluding that no ordinary person would label him dishonest given these facts </w:t>
      </w:r>
      <w:r w:rsidRPr="0048770F">
        <w:rPr>
          <w:rFonts w:ascii="Times New Roman" w:hAnsi="Times New Roman"/>
          <w:lang w:val="en-HK"/>
        </w:rPr>
        <w:t xml:space="preserve">(Conv. 2019, 3, 198). However, the Court of Appeal, exercising appellate restraint (Group Seven at [21]–[24], cited at Conv. 2019, 3, 196), re-evaluated the inferences from the primary facts. It determined that Mr. Landman </w:t>
      </w:r>
      <w:r w:rsidRPr="0048770F">
        <w:rPr>
          <w:rFonts w:ascii="Times New Roman" w:hAnsi="Times New Roman"/>
          <w:lang w:val="en-HK"/>
        </w:rPr>
        <w:lastRenderedPageBreak/>
        <w:t>clearly understood all that was happening, and thus, an ordinary decent person would deem his assistance dishonest (Conv. 2019, 3, 198). The appeal was allowed, reversing Morgan J’s ruling on this point.</w:t>
      </w:r>
    </w:p>
    <w:p w14:paraId="2CA69B5A" w14:textId="77777777" w:rsidR="0048770F" w:rsidRPr="0048770F" w:rsidRDefault="0048770F" w:rsidP="004F0D29">
      <w:pPr>
        <w:spacing w:after="240" w:line="360" w:lineRule="auto"/>
        <w:rPr>
          <w:rFonts w:ascii="Times New Roman" w:hAnsi="Times New Roman"/>
          <w:lang w:val="en-HK"/>
        </w:rPr>
      </w:pPr>
    </w:p>
    <w:p w14:paraId="284AD216" w14:textId="58D097C2" w:rsidR="0048770F" w:rsidRPr="0048770F" w:rsidRDefault="0048770F" w:rsidP="004F0D29">
      <w:pPr>
        <w:spacing w:after="240" w:line="360" w:lineRule="auto"/>
        <w:outlineLvl w:val="3"/>
        <w:rPr>
          <w:rFonts w:ascii="Times New Roman" w:hAnsi="Times New Roman"/>
          <w:b/>
          <w:bCs/>
          <w:lang w:val="en-HK"/>
        </w:rPr>
      </w:pPr>
      <w:r w:rsidRPr="0048770F">
        <w:rPr>
          <w:rFonts w:ascii="Times New Roman" w:hAnsi="Times New Roman"/>
          <w:b/>
          <w:bCs/>
          <w:lang w:val="en-HK"/>
        </w:rPr>
        <w:t>Judicial Intent and Appellate Restraint</w:t>
      </w:r>
      <w:r w:rsidRPr="0048770F">
        <w:rPr>
          <w:rFonts w:ascii="Times New Roman" w:hAnsi="Times New Roman"/>
          <w:lang w:val="en-HK"/>
        </w:rPr>
        <w:br/>
        <w:t xml:space="preserve">The Court of Appeal’s judgment was unusually emphatic, reflecting frustration with ongoing academic and judicial debates. Henderson LJ underscored its authority by noting, This is the judgment of the court to which each of its members has contributed (Group Seven at [1], cited at Conv. 2019, 3, 196), a rare statement </w:t>
      </w:r>
      <w:proofErr w:type="spellStart"/>
      <w:r w:rsidRPr="0048770F">
        <w:rPr>
          <w:rFonts w:ascii="Times New Roman" w:hAnsi="Times New Roman"/>
          <w:lang w:val="en-HK"/>
        </w:rPr>
        <w:t>signaling</w:t>
      </w:r>
      <w:proofErr w:type="spellEnd"/>
      <w:r w:rsidRPr="0048770F">
        <w:rPr>
          <w:rFonts w:ascii="Times New Roman" w:hAnsi="Times New Roman"/>
          <w:lang w:val="en-HK"/>
        </w:rPr>
        <w:t xml:space="preserve"> unanimity and finality. The court’s section on Appellate restraint acknowledged the deference typically owed to a trial judge’s factual findings but justified intervention where necessary (Conv. 2019, 3, 196). Dixon interprets this as a pragmatic response to the Devil’s driving—the need to resolve persistent uncertainty.</w:t>
      </w:r>
    </w:p>
    <w:p w14:paraId="596A5D2C" w14:textId="77777777" w:rsidR="0048770F" w:rsidRPr="0048770F" w:rsidRDefault="0048770F" w:rsidP="004F0D29">
      <w:pPr>
        <w:spacing w:after="240" w:line="360" w:lineRule="auto"/>
        <w:rPr>
          <w:rFonts w:ascii="Times New Roman" w:hAnsi="Times New Roman"/>
          <w:lang w:val="en-HK"/>
        </w:rPr>
      </w:pPr>
    </w:p>
    <w:p w14:paraId="1D775066" w14:textId="77777777" w:rsidR="0048770F" w:rsidRPr="004F0D29" w:rsidRDefault="0048770F" w:rsidP="004F0D29">
      <w:pPr>
        <w:spacing w:after="240" w:line="360" w:lineRule="auto"/>
        <w:outlineLvl w:val="3"/>
        <w:rPr>
          <w:rFonts w:ascii="Times New Roman" w:hAnsi="Times New Roman"/>
          <w:b/>
          <w:bCs/>
          <w:lang w:val="en-HK"/>
        </w:rPr>
      </w:pPr>
      <w:r w:rsidRPr="0048770F">
        <w:rPr>
          <w:rFonts w:ascii="Times New Roman" w:hAnsi="Times New Roman"/>
          <w:b/>
          <w:bCs/>
          <w:lang w:val="en-HK"/>
        </w:rPr>
        <w:t>Scholarly Commentary and Implications</w:t>
      </w:r>
    </w:p>
    <w:p w14:paraId="5DE6D3C9" w14:textId="555ADB78" w:rsidR="0048770F" w:rsidRPr="0048770F" w:rsidRDefault="0048770F" w:rsidP="004F0D29">
      <w:pPr>
        <w:spacing w:after="240" w:line="360" w:lineRule="auto"/>
        <w:outlineLvl w:val="3"/>
        <w:rPr>
          <w:rFonts w:ascii="Times New Roman" w:hAnsi="Times New Roman"/>
          <w:b/>
          <w:bCs/>
          <w:lang w:val="en-HK"/>
        </w:rPr>
      </w:pPr>
      <w:r w:rsidRPr="0048770F">
        <w:rPr>
          <w:rFonts w:ascii="Times New Roman" w:hAnsi="Times New Roman"/>
          <w:lang w:val="en-HK"/>
        </w:rPr>
        <w:t xml:space="preserve">Dixon expresses cautious optimism about the decision’s clarity, noting that it aligns with his preference for an objective test (Conv. 2019, 3, 197). He praises the court’s effort to slay any lingering dragons—academic or judicial—by emphasizing that liability hinges on personal lack of probity, not negligence or strict liability (Conv. 2019, 3, 196). However, he remains </w:t>
      </w:r>
      <w:proofErr w:type="spellStart"/>
      <w:r w:rsidRPr="0048770F">
        <w:rPr>
          <w:rFonts w:ascii="Times New Roman" w:hAnsi="Times New Roman"/>
          <w:lang w:val="en-HK"/>
        </w:rPr>
        <w:t>skeptical</w:t>
      </w:r>
      <w:proofErr w:type="spellEnd"/>
      <w:r w:rsidRPr="0048770F">
        <w:rPr>
          <w:rFonts w:ascii="Times New Roman" w:hAnsi="Times New Roman"/>
          <w:lang w:val="en-HK"/>
        </w:rPr>
        <w:t xml:space="preserve"> that this will be the last word, given the complexity of fraud cases where individual transactions may appear innocuous but collectively reveal a pattern (Conv. 2019, 3, 198). Future disputes, he suggests, should focus on factual inferences rather than the legal test itself.</w:t>
      </w:r>
    </w:p>
    <w:p w14:paraId="7B57B55C" w14:textId="77777777" w:rsidR="0048770F" w:rsidRPr="0048770F" w:rsidRDefault="0048770F" w:rsidP="004F0D29">
      <w:pPr>
        <w:spacing w:after="240" w:line="360" w:lineRule="auto"/>
        <w:rPr>
          <w:rFonts w:ascii="Times New Roman" w:hAnsi="Times New Roman"/>
          <w:lang w:val="en-HK"/>
        </w:rPr>
      </w:pPr>
      <w:r w:rsidRPr="0048770F">
        <w:rPr>
          <w:rFonts w:ascii="Times New Roman" w:hAnsi="Times New Roman"/>
          <w:lang w:val="en-HK"/>
        </w:rPr>
        <w:t xml:space="preserve">Dixon also reflects on broader trusts law issues in a footnote, questioning whether a thief can be a constructive trustee merely for unconscionable taking (referencing </w:t>
      </w:r>
      <w:r w:rsidRPr="0048770F">
        <w:rPr>
          <w:rFonts w:ascii="Times New Roman" w:hAnsi="Times New Roman"/>
          <w:i/>
          <w:iCs/>
          <w:lang w:val="en-HK"/>
        </w:rPr>
        <w:t>Williams v Central Bank of Nigeria</w:t>
      </w:r>
      <w:r w:rsidRPr="0048770F">
        <w:rPr>
          <w:rFonts w:ascii="Times New Roman" w:hAnsi="Times New Roman"/>
          <w:lang w:val="en-HK"/>
        </w:rPr>
        <w:t xml:space="preserve"> [2014] UKSC 10) and whether some constructive trustees lack fiduciary duties (footnote 1, Conv. 2019, 3, 198). While tangential, these musings underscore his nuanced engagement with the field.</w:t>
      </w:r>
    </w:p>
    <w:p w14:paraId="4B58D425" w14:textId="77777777" w:rsidR="00CD5F82" w:rsidRPr="00CD5F82" w:rsidRDefault="0090550C" w:rsidP="004F0D29">
      <w:pPr>
        <w:spacing w:after="240" w:line="360" w:lineRule="auto"/>
        <w:rPr>
          <w:rFonts w:ascii="Times New Roman" w:hAnsi="Times New Roman"/>
          <w:lang w:val="en-HK"/>
        </w:rPr>
      </w:pPr>
      <w:r w:rsidRPr="0090550C">
        <w:rPr>
          <w:rFonts w:ascii="Times New Roman" w:hAnsi="Times New Roman"/>
          <w:noProof/>
          <w:lang w:val="en-HK"/>
          <w14:ligatures w14:val="standardContextual"/>
        </w:rPr>
        <w:pict w14:anchorId="3C5217B7">
          <v:rect id="_x0000_i1025" alt="" style="width:451.3pt;height:.05pt;mso-width-percent:0;mso-height-percent:0;mso-width-percent:0;mso-height-percent:0" o:hralign="center" o:hrstd="t" o:hr="t" fillcolor="#a0a0a0" stroked="f"/>
        </w:pict>
      </w:r>
    </w:p>
    <w:p w14:paraId="12C7DAB2" w14:textId="462DC695" w:rsidR="00CD5F82" w:rsidRPr="00CD5F82" w:rsidRDefault="00CD5F82" w:rsidP="004F0D29">
      <w:pPr>
        <w:spacing w:after="240" w:line="360" w:lineRule="auto"/>
        <w:outlineLvl w:val="2"/>
        <w:rPr>
          <w:rFonts w:ascii="Times New Roman" w:hAnsi="Times New Roman"/>
          <w:b/>
          <w:bCs/>
          <w:lang w:val="en-HK"/>
        </w:rPr>
      </w:pPr>
      <w:r w:rsidRPr="00CD5F82">
        <w:rPr>
          <w:rFonts w:ascii="Times New Roman" w:hAnsi="Times New Roman"/>
          <w:b/>
          <w:bCs/>
          <w:lang w:val="en-HK"/>
        </w:rPr>
        <w:lastRenderedPageBreak/>
        <w:t>Which Test is Currently in Use?</w:t>
      </w:r>
    </w:p>
    <w:p w14:paraId="4433E174" w14:textId="521F688A" w:rsidR="00CD5F82" w:rsidRPr="00CD5F82" w:rsidRDefault="00CD5F82" w:rsidP="004F0D29">
      <w:pPr>
        <w:spacing w:after="240" w:line="360" w:lineRule="auto"/>
        <w:rPr>
          <w:rFonts w:ascii="Times New Roman" w:hAnsi="Times New Roman"/>
          <w:lang w:val="en-HK"/>
        </w:rPr>
      </w:pPr>
      <w:r w:rsidRPr="00CD5F82">
        <w:rPr>
          <w:rFonts w:ascii="Times New Roman" w:hAnsi="Times New Roman"/>
          <w:lang w:val="en-HK"/>
        </w:rPr>
        <w:t xml:space="preserve">Based on the document, the test for dishonest assistance as articulated in </w:t>
      </w:r>
      <w:r w:rsidRPr="00CD5F82">
        <w:rPr>
          <w:rFonts w:ascii="Times New Roman" w:hAnsi="Times New Roman"/>
          <w:i/>
          <w:iCs/>
          <w:lang w:val="en-HK"/>
        </w:rPr>
        <w:t>Group Seven Ltd v Notable Services LLP</w:t>
      </w:r>
      <w:r w:rsidRPr="00CD5F82">
        <w:rPr>
          <w:rFonts w:ascii="Times New Roman" w:hAnsi="Times New Roman"/>
          <w:lang w:val="en-HK"/>
        </w:rPr>
        <w:t xml:space="preserve"> [2019] EWCA </w:t>
      </w:r>
      <w:proofErr w:type="spellStart"/>
      <w:r w:rsidRPr="00CD5F82">
        <w:rPr>
          <w:rFonts w:ascii="Times New Roman" w:hAnsi="Times New Roman"/>
          <w:lang w:val="en-HK"/>
        </w:rPr>
        <w:t>Civ</w:t>
      </w:r>
      <w:proofErr w:type="spellEnd"/>
      <w:r w:rsidRPr="00CD5F82">
        <w:rPr>
          <w:rFonts w:ascii="Times New Roman" w:hAnsi="Times New Roman"/>
          <w:lang w:val="en-HK"/>
        </w:rPr>
        <w:t xml:space="preserve"> 614 is the prevailing standard as of the editorial’s context (2019, with relevance extending to the current date of February 24, 2025, per the system’s framing). The Court of Appeal declared its analysis "firmly founded on the legal principles which we have derived from Tan, Barlow Clowes and Ivey. Those principles can now be stated in a few sentences, and in future cases they should not need detailed exposition" (Group Seven at [92], cited at Conv. 2019, 3, 196). This test:</w:t>
      </w:r>
    </w:p>
    <w:p w14:paraId="2ABD0760" w14:textId="33A0F4F5" w:rsidR="00CD5F82" w:rsidRPr="00CD5F82" w:rsidRDefault="00CD5F82" w:rsidP="004F0D29">
      <w:pPr>
        <w:numPr>
          <w:ilvl w:val="0"/>
          <w:numId w:val="6"/>
        </w:numPr>
        <w:spacing w:after="240" w:line="360" w:lineRule="auto"/>
        <w:rPr>
          <w:rFonts w:ascii="Times New Roman" w:hAnsi="Times New Roman"/>
          <w:color w:val="FF0000"/>
          <w:lang w:val="en-HK"/>
        </w:rPr>
      </w:pPr>
      <w:r w:rsidRPr="00CD5F82">
        <w:rPr>
          <w:rFonts w:ascii="Times New Roman" w:hAnsi="Times New Roman"/>
          <w:color w:val="FF0000"/>
          <w:lang w:val="en-HK"/>
        </w:rPr>
        <w:t>Requires a breach of trust or fiduciary duty, assistance therein, and dishonesty.</w:t>
      </w:r>
    </w:p>
    <w:p w14:paraId="5131EFB1" w14:textId="1CB92017" w:rsidR="00CD5F82" w:rsidRPr="00CD5F82" w:rsidRDefault="00CD5F82" w:rsidP="004F0D29">
      <w:pPr>
        <w:numPr>
          <w:ilvl w:val="0"/>
          <w:numId w:val="6"/>
        </w:numPr>
        <w:spacing w:after="240" w:line="360" w:lineRule="auto"/>
        <w:rPr>
          <w:rFonts w:ascii="Times New Roman" w:hAnsi="Times New Roman"/>
          <w:color w:val="FF0000"/>
          <w:lang w:val="en-HK"/>
        </w:rPr>
      </w:pPr>
      <w:r w:rsidRPr="00CD5F82">
        <w:rPr>
          <w:rFonts w:ascii="Times New Roman" w:hAnsi="Times New Roman"/>
          <w:color w:val="FF0000"/>
          <w:lang w:val="en-HK"/>
        </w:rPr>
        <w:t>Assesses dishonesty objectively, with a preliminary factual inquiry into the defendant’s knowledge, rejecting subjective self-assessment.</w:t>
      </w:r>
    </w:p>
    <w:p w14:paraId="3F47BDC0" w14:textId="2A16C26E" w:rsidR="00CD5F82" w:rsidRPr="00CD5F82" w:rsidRDefault="00CD5F82" w:rsidP="004F0D29">
      <w:pPr>
        <w:numPr>
          <w:ilvl w:val="0"/>
          <w:numId w:val="6"/>
        </w:numPr>
        <w:spacing w:after="240" w:line="360" w:lineRule="auto"/>
        <w:rPr>
          <w:rFonts w:ascii="Times New Roman" w:hAnsi="Times New Roman"/>
          <w:color w:val="FF0000"/>
          <w:lang w:val="en-HK"/>
        </w:rPr>
      </w:pPr>
      <w:r w:rsidRPr="00CD5F82">
        <w:rPr>
          <w:rFonts w:ascii="Times New Roman" w:hAnsi="Times New Roman"/>
          <w:color w:val="FF0000"/>
          <w:lang w:val="en-HK"/>
        </w:rPr>
        <w:t xml:space="preserve">Supersedes </w:t>
      </w:r>
      <w:proofErr w:type="spellStart"/>
      <w:r w:rsidRPr="00CD5F82">
        <w:rPr>
          <w:rFonts w:ascii="Times New Roman" w:hAnsi="Times New Roman"/>
          <w:i/>
          <w:iCs/>
          <w:color w:val="FF0000"/>
          <w:lang w:val="en-HK"/>
        </w:rPr>
        <w:t>Twinsectra</w:t>
      </w:r>
      <w:r w:rsidRPr="00CD5F82">
        <w:rPr>
          <w:rFonts w:ascii="Times New Roman" w:hAnsi="Times New Roman"/>
          <w:color w:val="FF0000"/>
          <w:lang w:val="en-HK"/>
        </w:rPr>
        <w:t>’s</w:t>
      </w:r>
      <w:proofErr w:type="spellEnd"/>
      <w:r w:rsidRPr="00CD5F82">
        <w:rPr>
          <w:rFonts w:ascii="Times New Roman" w:hAnsi="Times New Roman"/>
          <w:color w:val="FF0000"/>
          <w:lang w:val="en-HK"/>
        </w:rPr>
        <w:t xml:space="preserve"> hybrid test and aligns with </w:t>
      </w:r>
      <w:r w:rsidRPr="00CD5F82">
        <w:rPr>
          <w:rFonts w:ascii="Times New Roman" w:hAnsi="Times New Roman"/>
          <w:i/>
          <w:iCs/>
          <w:color w:val="FF0000"/>
          <w:lang w:val="en-HK"/>
        </w:rPr>
        <w:t>Tan</w:t>
      </w:r>
      <w:r w:rsidRPr="00CD5F82">
        <w:rPr>
          <w:rFonts w:ascii="Times New Roman" w:hAnsi="Times New Roman"/>
          <w:color w:val="FF0000"/>
          <w:lang w:val="en-HK"/>
        </w:rPr>
        <w:t xml:space="preserve">’s original intent, as refined by </w:t>
      </w:r>
      <w:r w:rsidRPr="00CD5F82">
        <w:rPr>
          <w:rFonts w:ascii="Times New Roman" w:hAnsi="Times New Roman"/>
          <w:i/>
          <w:iCs/>
          <w:color w:val="FF0000"/>
          <w:lang w:val="en-HK"/>
        </w:rPr>
        <w:t>Barlow Clowes</w:t>
      </w:r>
      <w:r w:rsidRPr="00CD5F82">
        <w:rPr>
          <w:rFonts w:ascii="Times New Roman" w:hAnsi="Times New Roman"/>
          <w:color w:val="FF0000"/>
          <w:lang w:val="en-HK"/>
        </w:rPr>
        <w:t xml:space="preserve"> and </w:t>
      </w:r>
      <w:r w:rsidRPr="00CD5F82">
        <w:rPr>
          <w:rFonts w:ascii="Times New Roman" w:hAnsi="Times New Roman"/>
          <w:i/>
          <w:iCs/>
          <w:color w:val="FF0000"/>
          <w:lang w:val="en-HK"/>
        </w:rPr>
        <w:t>Ivey</w:t>
      </w:r>
      <w:r w:rsidRPr="00CD5F82">
        <w:rPr>
          <w:rFonts w:ascii="Times New Roman" w:hAnsi="Times New Roman"/>
          <w:color w:val="FF0000"/>
          <w:lang w:val="en-HK"/>
        </w:rPr>
        <w:t>.</w:t>
      </w:r>
    </w:p>
    <w:p w14:paraId="3E474824" w14:textId="77777777" w:rsidR="00CD5F82" w:rsidRPr="00CD5F82" w:rsidRDefault="00CD5F82" w:rsidP="004F0D29">
      <w:pPr>
        <w:spacing w:after="240" w:line="360" w:lineRule="auto"/>
        <w:rPr>
          <w:rFonts w:ascii="Times New Roman" w:hAnsi="Times New Roman"/>
          <w:lang w:val="en-HK"/>
        </w:rPr>
      </w:pPr>
      <w:r w:rsidRPr="00CD5F82">
        <w:rPr>
          <w:rFonts w:ascii="Times New Roman" w:hAnsi="Times New Roman"/>
          <w:lang w:val="en-HK"/>
        </w:rPr>
        <w:t xml:space="preserve">Dixon acknowledges lingering potential for factual disputes but asserts that the legal test itself is now settled (Conv. 2019, 3, 198), marking </w:t>
      </w:r>
      <w:r w:rsidRPr="00CD5F82">
        <w:rPr>
          <w:rFonts w:ascii="Times New Roman" w:hAnsi="Times New Roman"/>
          <w:i/>
          <w:iCs/>
          <w:lang w:val="en-HK"/>
        </w:rPr>
        <w:t>Group Seven</w:t>
      </w:r>
      <w:r w:rsidRPr="00CD5F82">
        <w:rPr>
          <w:rFonts w:ascii="Times New Roman" w:hAnsi="Times New Roman"/>
          <w:lang w:val="en-HK"/>
        </w:rPr>
        <w:t xml:space="preserve"> as the culmination of this jurisprudential evolution.</w:t>
      </w:r>
    </w:p>
    <w:p w14:paraId="472D6952" w14:textId="77777777" w:rsidR="00CD39F1" w:rsidRPr="004F0D29" w:rsidRDefault="00CD39F1" w:rsidP="004F0D29">
      <w:pPr>
        <w:spacing w:after="240" w:line="360" w:lineRule="auto"/>
      </w:pPr>
    </w:p>
    <w:sectPr w:rsidR="00CD39F1" w:rsidRPr="004F0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534F8"/>
    <w:multiLevelType w:val="multilevel"/>
    <w:tmpl w:val="92AE9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E556D"/>
    <w:multiLevelType w:val="multilevel"/>
    <w:tmpl w:val="FB7AFB88"/>
    <w:lvl w:ilvl="0">
      <w:start w:val="1"/>
      <w:numFmt w:val="decimal"/>
      <w:lvlText w:val="%1."/>
      <w:lvlJc w:val="left"/>
      <w:pPr>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4394D24"/>
    <w:multiLevelType w:val="multilevel"/>
    <w:tmpl w:val="37BA56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227CB"/>
    <w:multiLevelType w:val="multilevel"/>
    <w:tmpl w:val="B686B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50EAE"/>
    <w:multiLevelType w:val="multilevel"/>
    <w:tmpl w:val="C86A3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6185A"/>
    <w:multiLevelType w:val="multilevel"/>
    <w:tmpl w:val="C72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07B38"/>
    <w:multiLevelType w:val="multilevel"/>
    <w:tmpl w:val="DFD8FD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530989">
    <w:abstractNumId w:val="4"/>
  </w:num>
  <w:num w:numId="2" w16cid:durableId="1253469935">
    <w:abstractNumId w:val="3"/>
  </w:num>
  <w:num w:numId="3" w16cid:durableId="1469281542">
    <w:abstractNumId w:val="0"/>
  </w:num>
  <w:num w:numId="4" w16cid:durableId="1164278916">
    <w:abstractNumId w:val="6"/>
  </w:num>
  <w:num w:numId="5" w16cid:durableId="88736998">
    <w:abstractNumId w:val="2"/>
  </w:num>
  <w:num w:numId="6" w16cid:durableId="969626197">
    <w:abstractNumId w:val="1"/>
  </w:num>
  <w:num w:numId="7" w16cid:durableId="2082022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E44"/>
    <w:rsid w:val="000046A5"/>
    <w:rsid w:val="00004E44"/>
    <w:rsid w:val="00012117"/>
    <w:rsid w:val="000147A9"/>
    <w:rsid w:val="00042755"/>
    <w:rsid w:val="00053E26"/>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77C"/>
    <w:rsid w:val="00361975"/>
    <w:rsid w:val="0036202D"/>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8770F"/>
    <w:rsid w:val="004A553E"/>
    <w:rsid w:val="004B0B8B"/>
    <w:rsid w:val="004B1048"/>
    <w:rsid w:val="004D01FE"/>
    <w:rsid w:val="004D582C"/>
    <w:rsid w:val="004D5B1A"/>
    <w:rsid w:val="004E1930"/>
    <w:rsid w:val="004E458E"/>
    <w:rsid w:val="004F0D29"/>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92EF8"/>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50C"/>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D5F82"/>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2C8AA"/>
  <w15:chartTrackingRefBased/>
  <w15:docId w15:val="{D76F7D26-DC27-E344-A750-5FA68F63E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04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E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4E4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04E4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4E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04E4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4E4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4E4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4E4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E4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04E4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04E4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04E4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04E4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04E4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04E4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04E4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04E4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04E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E4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04E4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E4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04E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4E4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04E44"/>
    <w:pPr>
      <w:ind w:left="720"/>
      <w:contextualSpacing/>
    </w:pPr>
  </w:style>
  <w:style w:type="character" w:styleId="IntenseEmphasis">
    <w:name w:val="Intense Emphasis"/>
    <w:basedOn w:val="DefaultParagraphFont"/>
    <w:uiPriority w:val="21"/>
    <w:qFormat/>
    <w:rsid w:val="00004E44"/>
    <w:rPr>
      <w:i/>
      <w:iCs/>
      <w:color w:val="2F5496" w:themeColor="accent1" w:themeShade="BF"/>
    </w:rPr>
  </w:style>
  <w:style w:type="paragraph" w:styleId="IntenseQuote">
    <w:name w:val="Intense Quote"/>
    <w:basedOn w:val="Normal"/>
    <w:next w:val="Normal"/>
    <w:link w:val="IntenseQuoteChar"/>
    <w:uiPriority w:val="30"/>
    <w:qFormat/>
    <w:rsid w:val="00004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E4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04E44"/>
    <w:rPr>
      <w:b/>
      <w:bCs/>
      <w:smallCaps/>
      <w:color w:val="2F5496" w:themeColor="accent1" w:themeShade="BF"/>
      <w:spacing w:val="5"/>
    </w:rPr>
  </w:style>
  <w:style w:type="character" w:styleId="Emphasis">
    <w:name w:val="Emphasis"/>
    <w:basedOn w:val="DefaultParagraphFont"/>
    <w:uiPriority w:val="20"/>
    <w:qFormat/>
    <w:rsid w:val="00CD5F82"/>
    <w:rPr>
      <w:i/>
      <w:iCs/>
    </w:rPr>
  </w:style>
  <w:style w:type="paragraph" w:customStyle="1" w:styleId="break-words">
    <w:name w:val="break-words"/>
    <w:basedOn w:val="Normal"/>
    <w:rsid w:val="00CD5F82"/>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CD5F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557164">
      <w:bodyDiv w:val="1"/>
      <w:marLeft w:val="0"/>
      <w:marRight w:val="0"/>
      <w:marTop w:val="0"/>
      <w:marBottom w:val="0"/>
      <w:divBdr>
        <w:top w:val="none" w:sz="0" w:space="0" w:color="auto"/>
        <w:left w:val="none" w:sz="0" w:space="0" w:color="auto"/>
        <w:bottom w:val="none" w:sz="0" w:space="0" w:color="auto"/>
        <w:right w:val="none" w:sz="0" w:space="0" w:color="auto"/>
      </w:divBdr>
      <w:divsChild>
        <w:div w:id="1207327685">
          <w:marLeft w:val="0"/>
          <w:marRight w:val="0"/>
          <w:marTop w:val="0"/>
          <w:marBottom w:val="0"/>
          <w:divBdr>
            <w:top w:val="none" w:sz="0" w:space="0" w:color="auto"/>
            <w:left w:val="none" w:sz="0" w:space="0" w:color="auto"/>
            <w:bottom w:val="none" w:sz="0" w:space="0" w:color="auto"/>
            <w:right w:val="none" w:sz="0" w:space="0" w:color="auto"/>
          </w:divBdr>
        </w:div>
      </w:divsChild>
    </w:div>
    <w:div w:id="818419751">
      <w:bodyDiv w:val="1"/>
      <w:marLeft w:val="0"/>
      <w:marRight w:val="0"/>
      <w:marTop w:val="0"/>
      <w:marBottom w:val="0"/>
      <w:divBdr>
        <w:top w:val="none" w:sz="0" w:space="0" w:color="auto"/>
        <w:left w:val="none" w:sz="0" w:space="0" w:color="auto"/>
        <w:bottom w:val="none" w:sz="0" w:space="0" w:color="auto"/>
        <w:right w:val="none" w:sz="0" w:space="0" w:color="auto"/>
      </w:divBdr>
      <w:divsChild>
        <w:div w:id="1945456110">
          <w:marLeft w:val="0"/>
          <w:marRight w:val="0"/>
          <w:marTop w:val="0"/>
          <w:marBottom w:val="0"/>
          <w:divBdr>
            <w:top w:val="none" w:sz="0" w:space="0" w:color="auto"/>
            <w:left w:val="none" w:sz="0" w:space="0" w:color="auto"/>
            <w:bottom w:val="none" w:sz="0" w:space="0" w:color="auto"/>
            <w:right w:val="none" w:sz="0" w:space="0" w:color="auto"/>
          </w:divBdr>
        </w:div>
      </w:divsChild>
    </w:div>
    <w:div w:id="1108887545">
      <w:bodyDiv w:val="1"/>
      <w:marLeft w:val="0"/>
      <w:marRight w:val="0"/>
      <w:marTop w:val="0"/>
      <w:marBottom w:val="0"/>
      <w:divBdr>
        <w:top w:val="none" w:sz="0" w:space="0" w:color="auto"/>
        <w:left w:val="none" w:sz="0" w:space="0" w:color="auto"/>
        <w:bottom w:val="none" w:sz="0" w:space="0" w:color="auto"/>
        <w:right w:val="none" w:sz="0" w:space="0" w:color="auto"/>
      </w:divBdr>
      <w:divsChild>
        <w:div w:id="2053382341">
          <w:marLeft w:val="0"/>
          <w:marRight w:val="0"/>
          <w:marTop w:val="0"/>
          <w:marBottom w:val="0"/>
          <w:divBdr>
            <w:top w:val="none" w:sz="0" w:space="0" w:color="auto"/>
            <w:left w:val="none" w:sz="0" w:space="0" w:color="auto"/>
            <w:bottom w:val="none" w:sz="0" w:space="0" w:color="auto"/>
            <w:right w:val="none" w:sz="0" w:space="0" w:color="auto"/>
          </w:divBdr>
        </w:div>
      </w:divsChild>
    </w:div>
    <w:div w:id="2113624709">
      <w:bodyDiv w:val="1"/>
      <w:marLeft w:val="0"/>
      <w:marRight w:val="0"/>
      <w:marTop w:val="0"/>
      <w:marBottom w:val="0"/>
      <w:divBdr>
        <w:top w:val="none" w:sz="0" w:space="0" w:color="auto"/>
        <w:left w:val="none" w:sz="0" w:space="0" w:color="auto"/>
        <w:bottom w:val="none" w:sz="0" w:space="0" w:color="auto"/>
        <w:right w:val="none" w:sz="0" w:space="0" w:color="auto"/>
      </w:divBdr>
      <w:divsChild>
        <w:div w:id="456532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3064</Words>
  <Characters>17470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2025-02-24T13:21:00Z</dcterms:created>
  <dcterms:modified xsi:type="dcterms:W3CDTF">2025-02-24T13:21:00Z</dcterms:modified>
</cp:coreProperties>
</file>