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1A5BD" w14:textId="461365C3" w:rsidR="00105013" w:rsidRPr="00105013" w:rsidRDefault="003D4C74" w:rsidP="003D4C74">
      <w:pPr>
        <w:spacing w:after="240" w:line="360" w:lineRule="auto"/>
        <w:outlineLvl w:val="2"/>
        <w:rPr>
          <w:rFonts w:ascii="Times New Roman" w:hAnsi="Times New Roman"/>
          <w:b/>
          <w:bCs/>
          <w:lang w:val="en-HK"/>
        </w:rPr>
      </w:pPr>
      <w:r w:rsidRPr="003D4C74">
        <w:rPr>
          <w:rFonts w:ascii="Times New Roman" w:hAnsi="Times New Roman"/>
          <w:b/>
          <w:bCs/>
          <w:lang w:val="en-HK"/>
        </w:rPr>
        <w:t xml:space="preserve">1. </w:t>
      </w:r>
      <w:r w:rsidR="00105013" w:rsidRPr="00105013">
        <w:rPr>
          <w:rFonts w:ascii="Times New Roman" w:hAnsi="Times New Roman"/>
          <w:b/>
          <w:bCs/>
          <w:lang w:val="en-HK"/>
        </w:rPr>
        <w:t>Proprietary Claims to Recover Trust Assets</w:t>
      </w:r>
    </w:p>
    <w:p w14:paraId="6633521C" w14:textId="173AECFB" w:rsidR="00105013" w:rsidRPr="00105013" w:rsidRDefault="00105013" w:rsidP="003D4C74">
      <w:pPr>
        <w:spacing w:after="240" w:line="360" w:lineRule="auto"/>
        <w:rPr>
          <w:rFonts w:ascii="Times New Roman" w:hAnsi="Times New Roman"/>
          <w:lang w:val="en-HK"/>
        </w:rPr>
      </w:pPr>
      <w:r w:rsidRPr="00105013">
        <w:rPr>
          <w:rFonts w:ascii="Times New Roman" w:hAnsi="Times New Roman"/>
          <w:lang w:val="en-HK"/>
        </w:rPr>
        <w:t xml:space="preserve">Proprietary claims aim to recover trust assets or their traceable proceeds transferred in breach of trust. In a domestic English context, three questions arise: (1) whether a breach of trust occurred, (2) whether the claimant can trace the property into the defendant’s hands, and (3) whether the defendant has an impregnable title, such as being a bona fide purchaser for value without notice (per </w:t>
      </w:r>
      <w:proofErr w:type="spellStart"/>
      <w:r w:rsidRPr="00105013">
        <w:rPr>
          <w:rFonts w:ascii="Times New Roman" w:hAnsi="Times New Roman"/>
          <w:lang w:val="en-HK"/>
        </w:rPr>
        <w:t>Foskett</w:t>
      </w:r>
      <w:proofErr w:type="spellEnd"/>
      <w:r w:rsidRPr="00105013">
        <w:rPr>
          <w:rFonts w:ascii="Times New Roman" w:hAnsi="Times New Roman"/>
          <w:lang w:val="en-HK"/>
        </w:rPr>
        <w:t xml:space="preserve"> v McKeown [2001] 1 AC 102 at 128) or protected under section 29 of the Land Registration Act 2002 for registered land.</w:t>
      </w:r>
    </w:p>
    <w:p w14:paraId="59E1EC0A" w14:textId="77777777" w:rsidR="00105013" w:rsidRPr="00105013" w:rsidRDefault="00105013" w:rsidP="003D4C74">
      <w:pPr>
        <w:spacing w:after="240" w:line="360" w:lineRule="auto"/>
        <w:rPr>
          <w:rFonts w:ascii="Times New Roman" w:hAnsi="Times New Roman"/>
          <w:lang w:val="en-HK"/>
        </w:rPr>
      </w:pPr>
    </w:p>
    <w:p w14:paraId="4B291CBD" w14:textId="6B5005E6" w:rsidR="00105013" w:rsidRPr="00105013"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 xml:space="preserve">2. </w:t>
      </w:r>
      <w:r w:rsidR="00105013" w:rsidRPr="00105013">
        <w:rPr>
          <w:rFonts w:ascii="Times New Roman" w:hAnsi="Times New Roman"/>
          <w:b/>
          <w:bCs/>
          <w:lang w:val="en-HK"/>
        </w:rPr>
        <w:t>Choice of Law in International Cases</w:t>
      </w:r>
    </w:p>
    <w:p w14:paraId="0EF57DBA" w14:textId="77777777" w:rsidR="003D4C74" w:rsidRPr="003D4C74" w:rsidRDefault="00105013" w:rsidP="003D4C74">
      <w:pPr>
        <w:spacing w:after="240" w:line="360" w:lineRule="auto"/>
        <w:rPr>
          <w:rFonts w:ascii="Times New Roman" w:hAnsi="Times New Roman"/>
          <w:lang w:val="en-HK"/>
        </w:rPr>
      </w:pPr>
      <w:r w:rsidRPr="00105013">
        <w:rPr>
          <w:rFonts w:ascii="Times New Roman" w:hAnsi="Times New Roman"/>
          <w:lang w:val="en-HK"/>
        </w:rPr>
        <w:t>In international scenarios, the applicable law governs these questions. For express trusts, the Hague Convention on the Law Applicable to Trusts and on their Recognition (implemented in the UK via the Recognition of Trusts Act 1987) determines the governing law. Article 6 allows the settlor to choose the governing law explicitly, while Article 7 defaults to the law with which the trust is most closely connected if no choice is made. Article 8 specifies that this law governs the trustees’ rights, duties, and liabilities, thus determining whether a breach occurred.</w:t>
      </w:r>
    </w:p>
    <w:p w14:paraId="4B143747" w14:textId="4263EFDB" w:rsidR="00105013" w:rsidRPr="00105013" w:rsidRDefault="00105013" w:rsidP="003D4C74">
      <w:pPr>
        <w:spacing w:after="240" w:line="360" w:lineRule="auto"/>
        <w:rPr>
          <w:rFonts w:ascii="Times New Roman" w:hAnsi="Times New Roman"/>
          <w:lang w:val="en-HK"/>
        </w:rPr>
      </w:pPr>
      <w:r w:rsidRPr="00105013">
        <w:rPr>
          <w:rFonts w:ascii="Times New Roman" w:hAnsi="Times New Roman"/>
          <w:lang w:val="en-HK"/>
        </w:rPr>
        <w:t xml:space="preserve">Tracing’s choice of law lacks definitive authority, though Dicey, Morris &amp; Collins: Conflict of Laws (16th </w:t>
      </w:r>
      <w:proofErr w:type="spellStart"/>
      <w:r w:rsidRPr="00105013">
        <w:rPr>
          <w:rFonts w:ascii="Times New Roman" w:hAnsi="Times New Roman"/>
          <w:lang w:val="en-HK"/>
        </w:rPr>
        <w:t>edn</w:t>
      </w:r>
      <w:proofErr w:type="spellEnd"/>
      <w:r w:rsidRPr="00105013">
        <w:rPr>
          <w:rFonts w:ascii="Times New Roman" w:hAnsi="Times New Roman"/>
          <w:lang w:val="en-HK"/>
        </w:rPr>
        <w:t xml:space="preserve">) suggests the lex </w:t>
      </w:r>
      <w:proofErr w:type="spellStart"/>
      <w:r w:rsidRPr="00105013">
        <w:rPr>
          <w:rFonts w:ascii="Times New Roman" w:hAnsi="Times New Roman"/>
          <w:lang w:val="en-HK"/>
        </w:rPr>
        <w:t>causae</w:t>
      </w:r>
      <w:proofErr w:type="spellEnd"/>
      <w:r w:rsidRPr="00105013">
        <w:rPr>
          <w:rFonts w:ascii="Times New Roman" w:hAnsi="Times New Roman"/>
          <w:lang w:val="en-HK"/>
        </w:rPr>
        <w:t xml:space="preserve">—often the trust’s governing law—applies (at 29-057). Article 11(3)(d) of the Convention supports this, stating that recognition of a trust implies that trust assets may be recovered when a trustee, in breach of trust, mingles or alienates them. However, the third question—impregnable title—is governed by the lex situs (law of the asset’s location), as confirmed obiter by Lord </w:t>
      </w:r>
      <w:proofErr w:type="spellStart"/>
      <w:r w:rsidRPr="00105013">
        <w:rPr>
          <w:rFonts w:ascii="Times New Roman" w:hAnsi="Times New Roman"/>
          <w:lang w:val="en-HK"/>
        </w:rPr>
        <w:t>Mance</w:t>
      </w:r>
      <w:proofErr w:type="spellEnd"/>
      <w:r w:rsidRPr="00105013">
        <w:rPr>
          <w:rFonts w:ascii="Times New Roman" w:hAnsi="Times New Roman"/>
          <w:lang w:val="en-HK"/>
        </w:rPr>
        <w:t xml:space="preserve"> in Akers v Samba Financial Group [2017] UKSC 6, [2017] AC 424 at [20]: "where under the lex situs … the effect of a transfer … is to override any equitable interest … that effect should be recognised as giving the transferee a defence."</w:t>
      </w:r>
    </w:p>
    <w:p w14:paraId="6199843F" w14:textId="77777777" w:rsidR="00105013" w:rsidRPr="00105013" w:rsidRDefault="00105013" w:rsidP="003D4C74">
      <w:pPr>
        <w:spacing w:after="240" w:line="360" w:lineRule="auto"/>
        <w:rPr>
          <w:rFonts w:ascii="Times New Roman" w:hAnsi="Times New Roman"/>
          <w:lang w:val="en-HK"/>
        </w:rPr>
      </w:pPr>
    </w:p>
    <w:p w14:paraId="04FFAD6A" w14:textId="12756741" w:rsidR="003D4C74" w:rsidRPr="003D4C74" w:rsidRDefault="003D4C74" w:rsidP="003D4C74">
      <w:pPr>
        <w:spacing w:after="240" w:line="360" w:lineRule="auto"/>
        <w:outlineLvl w:val="2"/>
        <w:rPr>
          <w:rFonts w:ascii="Times New Roman" w:hAnsi="Times New Roman"/>
          <w:b/>
          <w:bCs/>
          <w:lang w:val="en-HK"/>
        </w:rPr>
      </w:pPr>
      <w:r w:rsidRPr="003D4C74">
        <w:rPr>
          <w:rFonts w:ascii="Times New Roman" w:hAnsi="Times New Roman"/>
          <w:b/>
          <w:bCs/>
          <w:lang w:val="en-HK"/>
        </w:rPr>
        <w:t>3</w:t>
      </w:r>
      <w:r w:rsidRPr="003D4C74">
        <w:rPr>
          <w:rFonts w:ascii="Times New Roman" w:hAnsi="Times New Roman"/>
          <w:b/>
          <w:bCs/>
          <w:lang w:val="en-HK"/>
        </w:rPr>
        <w:t>. Dishonest Assistance</w:t>
      </w:r>
    </w:p>
    <w:p w14:paraId="7275CA62"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Definition and Nature</w:t>
      </w:r>
    </w:p>
    <w:p w14:paraId="5CD78E81" w14:textId="7AE501E3"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lastRenderedPageBreak/>
        <w:t xml:space="preserve">Dishonest assistance is an equitable liability imposed on a third party who assists or procures a breach of trust or fiduciary duty, without necessarily receiving trust property. The document characterizes it as a species of equitable wrongdoing, akin to a common law tort, emphasizing that liability hinges on the assistant’s dishonesty rather than possession of trust assets. This is articulated by Lord Nicholls in </w:t>
      </w:r>
      <w:r w:rsidRPr="003D4C74">
        <w:rPr>
          <w:rFonts w:ascii="Times New Roman" w:hAnsi="Times New Roman"/>
          <w:i/>
          <w:iCs/>
          <w:lang w:val="en-HK"/>
        </w:rPr>
        <w:t xml:space="preserve">Royal Brunei Airlines </w:t>
      </w:r>
      <w:proofErr w:type="spellStart"/>
      <w:r w:rsidRPr="003D4C74">
        <w:rPr>
          <w:rFonts w:ascii="Times New Roman" w:hAnsi="Times New Roman"/>
          <w:i/>
          <w:iCs/>
          <w:lang w:val="en-HK"/>
        </w:rPr>
        <w:t>Sdn</w:t>
      </w:r>
      <w:proofErr w:type="spellEnd"/>
      <w:r w:rsidRPr="003D4C74">
        <w:rPr>
          <w:rFonts w:ascii="Times New Roman" w:hAnsi="Times New Roman"/>
          <w:i/>
          <w:iCs/>
          <w:lang w:val="en-HK"/>
        </w:rPr>
        <w:t xml:space="preserve"> </w:t>
      </w:r>
      <w:proofErr w:type="spellStart"/>
      <w:r w:rsidRPr="003D4C74">
        <w:rPr>
          <w:rFonts w:ascii="Times New Roman" w:hAnsi="Times New Roman"/>
          <w:i/>
          <w:iCs/>
          <w:lang w:val="en-HK"/>
        </w:rPr>
        <w:t>Bhd</w:t>
      </w:r>
      <w:proofErr w:type="spellEnd"/>
      <w:r w:rsidRPr="003D4C74">
        <w:rPr>
          <w:rFonts w:ascii="Times New Roman" w:hAnsi="Times New Roman"/>
          <w:i/>
          <w:iCs/>
          <w:lang w:val="en-HK"/>
        </w:rPr>
        <w:t xml:space="preserve"> v Tan</w:t>
      </w:r>
      <w:r w:rsidRPr="003D4C74">
        <w:rPr>
          <w:rFonts w:ascii="Times New Roman" w:hAnsi="Times New Roman"/>
          <w:lang w:val="en-HK"/>
        </w:rPr>
        <w:t xml:space="preserve"> [1995] 2 AC 378 at 392: </w:t>
      </w:r>
      <w:r w:rsidRPr="003D4C74">
        <w:rPr>
          <w:rFonts w:ascii="Times New Roman" w:hAnsi="Times New Roman"/>
          <w:i/>
          <w:iCs/>
          <w:lang w:val="en-HK"/>
        </w:rPr>
        <w:t>A liability in equity to make good resulting loss attaches to a person who dishonestly procures or assists in a breach of trust or fiduciary obligation</w:t>
      </w:r>
      <w:r w:rsidRPr="003D4C74">
        <w:rPr>
          <w:rFonts w:ascii="Times New Roman" w:hAnsi="Times New Roman"/>
          <w:lang w:val="en-HK"/>
        </w:rPr>
        <w:t>. The absence of a requirement for receipt distinguishes it from proprietary or knowing receipt claims, focusing instead on culpability for facilitating the breach.</w:t>
      </w:r>
    </w:p>
    <w:p w14:paraId="21632114"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Case Law</w:t>
      </w:r>
    </w:p>
    <w:p w14:paraId="1993419D" w14:textId="76BBE593"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 xml:space="preserve">Royal Brunei Airlines </w:t>
      </w:r>
      <w:proofErr w:type="spellStart"/>
      <w:r w:rsidRPr="003D4C74">
        <w:rPr>
          <w:rFonts w:ascii="Times New Roman" w:hAnsi="Times New Roman"/>
          <w:b/>
          <w:bCs/>
          <w:lang w:val="en-HK"/>
        </w:rPr>
        <w:t>Sdn</w:t>
      </w:r>
      <w:proofErr w:type="spellEnd"/>
      <w:r w:rsidRPr="003D4C74">
        <w:rPr>
          <w:rFonts w:ascii="Times New Roman" w:hAnsi="Times New Roman"/>
          <w:b/>
          <w:bCs/>
          <w:lang w:val="en-HK"/>
        </w:rPr>
        <w:t xml:space="preserve"> </w:t>
      </w:r>
      <w:proofErr w:type="spellStart"/>
      <w:r w:rsidRPr="003D4C74">
        <w:rPr>
          <w:rFonts w:ascii="Times New Roman" w:hAnsi="Times New Roman"/>
          <w:b/>
          <w:bCs/>
          <w:lang w:val="en-HK"/>
        </w:rPr>
        <w:t>Bhd</w:t>
      </w:r>
      <w:proofErr w:type="spellEnd"/>
      <w:r w:rsidRPr="003D4C74">
        <w:rPr>
          <w:rFonts w:ascii="Times New Roman" w:hAnsi="Times New Roman"/>
          <w:b/>
          <w:bCs/>
          <w:lang w:val="en-HK"/>
        </w:rPr>
        <w:t xml:space="preserve"> v Tan [1995] 2 AC 378</w:t>
      </w:r>
    </w:p>
    <w:p w14:paraId="231EA727"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Facts</w:t>
      </w:r>
      <w:r w:rsidRPr="003D4C74">
        <w:rPr>
          <w:rFonts w:ascii="Times New Roman" w:hAnsi="Times New Roman"/>
          <w:lang w:val="en-HK"/>
        </w:rPr>
        <w:t>: The claimant airline engaged a travel agency, controlled by the defendant Tan, to sell tickets and hold proceeds in trust pending payment to the airline. Tan diverted the funds to the agency’s general account, breaching the trust. The airline sought to hold Tan personally liable for dishonestly assisting the breach.</w:t>
      </w:r>
    </w:p>
    <w:p w14:paraId="7F56044F"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Held</w:t>
      </w:r>
      <w:r w:rsidRPr="003D4C74">
        <w:rPr>
          <w:rFonts w:ascii="Times New Roman" w:hAnsi="Times New Roman"/>
          <w:lang w:val="en-HK"/>
        </w:rPr>
        <w:t>: The Privy Council held Tan liable, establishing dishonest assistance as a distinct equitable wrong. Liability did not require the assistant to receive trust property, only to dishonestly aid the breach.</w:t>
      </w:r>
    </w:p>
    <w:p w14:paraId="18120D24"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Reasoning</w:t>
      </w:r>
      <w:r w:rsidRPr="003D4C74">
        <w:rPr>
          <w:rFonts w:ascii="Times New Roman" w:hAnsi="Times New Roman"/>
          <w:lang w:val="en-HK"/>
        </w:rPr>
        <w:t xml:space="preserve">: Lord Nicholls clarified that dishonesty is the touchstone, assessed objectively by whether the assistant’s conduct deviates from ordinary standards of honest </w:t>
      </w:r>
      <w:proofErr w:type="spellStart"/>
      <w:r w:rsidRPr="003D4C74">
        <w:rPr>
          <w:rFonts w:ascii="Times New Roman" w:hAnsi="Times New Roman"/>
          <w:lang w:val="en-HK"/>
        </w:rPr>
        <w:t>behavior</w:t>
      </w:r>
      <w:proofErr w:type="spellEnd"/>
      <w:r w:rsidRPr="003D4C74">
        <w:rPr>
          <w:rFonts w:ascii="Times New Roman" w:hAnsi="Times New Roman"/>
          <w:lang w:val="en-HK"/>
        </w:rPr>
        <w:t xml:space="preserve">. He rejected a subjective test, emphasizing at 392 that liability attaches to one who </w:t>
      </w:r>
      <w:r w:rsidRPr="003D4C74">
        <w:rPr>
          <w:rFonts w:ascii="Times New Roman" w:hAnsi="Times New Roman"/>
          <w:i/>
          <w:iCs/>
          <w:lang w:val="en-HK"/>
        </w:rPr>
        <w:t>dishonestly procures or assists</w:t>
      </w:r>
      <w:r w:rsidRPr="003D4C74">
        <w:rPr>
          <w:rFonts w:ascii="Times New Roman" w:hAnsi="Times New Roman"/>
          <w:lang w:val="en-HK"/>
        </w:rPr>
        <w:t>, ensuring accountability for culpable third-party involvement without necessitating proprietary tracing. This marked a shift from earlier accessory liability principles, broadening the remedy’s scope.</w:t>
      </w:r>
    </w:p>
    <w:p w14:paraId="0C496EED" w14:textId="77777777" w:rsidR="003D4C74" w:rsidRPr="003D4C74" w:rsidRDefault="003D4C74" w:rsidP="003D4C74">
      <w:pPr>
        <w:spacing w:after="240" w:line="360" w:lineRule="auto"/>
        <w:outlineLvl w:val="4"/>
        <w:rPr>
          <w:rFonts w:ascii="Times New Roman" w:hAnsi="Times New Roman"/>
          <w:b/>
          <w:bCs/>
          <w:lang w:val="en-HK"/>
        </w:rPr>
      </w:pPr>
      <w:r w:rsidRPr="003D4C74">
        <w:rPr>
          <w:rFonts w:ascii="Times New Roman" w:hAnsi="Times New Roman"/>
          <w:b/>
          <w:bCs/>
          <w:lang w:val="en-HK"/>
        </w:rPr>
        <w:t xml:space="preserve">OJSC Oil Co </w:t>
      </w:r>
      <w:proofErr w:type="spellStart"/>
      <w:r w:rsidRPr="003D4C74">
        <w:rPr>
          <w:rFonts w:ascii="Times New Roman" w:hAnsi="Times New Roman"/>
          <w:b/>
          <w:bCs/>
          <w:lang w:val="en-HK"/>
        </w:rPr>
        <w:t>Yugraneft</w:t>
      </w:r>
      <w:proofErr w:type="spellEnd"/>
      <w:r w:rsidRPr="003D4C74">
        <w:rPr>
          <w:rFonts w:ascii="Times New Roman" w:hAnsi="Times New Roman"/>
          <w:b/>
          <w:bCs/>
          <w:lang w:val="en-HK"/>
        </w:rPr>
        <w:t xml:space="preserve"> v Abramovich [2008] EWHC 2613 (Comm)</w:t>
      </w:r>
    </w:p>
    <w:p w14:paraId="12BF45CB"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Facts</w:t>
      </w:r>
      <w:r w:rsidRPr="003D4C74">
        <w:rPr>
          <w:rFonts w:ascii="Times New Roman" w:hAnsi="Times New Roman"/>
          <w:lang w:val="en-HK"/>
        </w:rPr>
        <w:t>: The claimant alleged that the defendant facilitated a breach of fiduciary duty by directors of a Russian oil company, involving misappropriation of assets. The case raised choice of law issues in an international context.</w:t>
      </w:r>
    </w:p>
    <w:p w14:paraId="483B9A9B"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lastRenderedPageBreak/>
        <w:t>Held</w:t>
      </w:r>
      <w:r w:rsidRPr="003D4C74">
        <w:rPr>
          <w:rFonts w:ascii="Times New Roman" w:hAnsi="Times New Roman"/>
          <w:lang w:val="en-HK"/>
        </w:rPr>
        <w:t>: At [223], the court applied tort choice of law rules to dishonest assistance, reflecting its tort-like nature, though specific liability outcomes are not detailed in the document.</w:t>
      </w:r>
    </w:p>
    <w:p w14:paraId="625B11A4" w14:textId="3D06DF3D"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Reasoning</w:t>
      </w:r>
      <w:r w:rsidRPr="003D4C74">
        <w:rPr>
          <w:rFonts w:ascii="Times New Roman" w:hAnsi="Times New Roman"/>
          <w:lang w:val="en-HK"/>
        </w:rPr>
        <w:t>: The court treated dishonest assistance as analogous to tortious wrongs, adopting common law conflict rules predating statutory frameworks like Rome II. This approach underscored its personal, fault-based character, distinct from property-based claims, and facilitated its application across jurisdictions.</w:t>
      </w:r>
    </w:p>
    <w:p w14:paraId="5AC0B624"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Statutory Framework</w:t>
      </w:r>
    </w:p>
    <w:p w14:paraId="77A8D56E" w14:textId="4E81F0E6"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The document references the </w:t>
      </w:r>
      <w:r w:rsidRPr="003D4C74">
        <w:rPr>
          <w:rFonts w:ascii="Times New Roman" w:hAnsi="Times New Roman"/>
          <w:i/>
          <w:iCs/>
          <w:lang w:val="en-HK"/>
        </w:rPr>
        <w:t>Rome II Regulation on the Law Applicable to Non-Contractual Obligations</w:t>
      </w:r>
      <w:r w:rsidRPr="003D4C74">
        <w:rPr>
          <w:rFonts w:ascii="Times New Roman" w:hAnsi="Times New Roman"/>
          <w:lang w:val="en-HK"/>
        </w:rPr>
        <w:t xml:space="preserve">, retained in English law post-Brexit under section 3 of the </w:t>
      </w:r>
      <w:r w:rsidRPr="003D4C74">
        <w:rPr>
          <w:rFonts w:ascii="Times New Roman" w:hAnsi="Times New Roman"/>
          <w:i/>
          <w:iCs/>
          <w:lang w:val="en-HK"/>
        </w:rPr>
        <w:t>European Union (Withdrawal) Act 2018</w:t>
      </w:r>
      <w:r w:rsidRPr="003D4C74">
        <w:rPr>
          <w:rFonts w:ascii="Times New Roman" w:hAnsi="Times New Roman"/>
          <w:lang w:val="en-HK"/>
        </w:rPr>
        <w:t xml:space="preserve">. Article 4(1) provides: </w:t>
      </w:r>
      <w:r w:rsidRPr="003D4C74">
        <w:rPr>
          <w:rFonts w:ascii="Times New Roman" w:hAnsi="Times New Roman"/>
          <w:i/>
          <w:iCs/>
          <w:lang w:val="en-HK"/>
        </w:rPr>
        <w:t>the law of the country in which the damage occurs irrespective of the country in which the event giving rise to the damage occurred</w:t>
      </w:r>
      <w:r w:rsidRPr="003D4C74">
        <w:rPr>
          <w:rFonts w:ascii="Times New Roman" w:hAnsi="Times New Roman"/>
          <w:lang w:val="en-HK"/>
        </w:rPr>
        <w:t xml:space="preserve">. This typically applies to dishonest assistance, locating damage where trust assets were misappropriated or received. Article 4(3) allows deviation to a law </w:t>
      </w:r>
      <w:r w:rsidRPr="003D4C74">
        <w:rPr>
          <w:rFonts w:ascii="Times New Roman" w:hAnsi="Times New Roman"/>
          <w:i/>
          <w:iCs/>
          <w:lang w:val="en-HK"/>
        </w:rPr>
        <w:t>manifestly more closely connected</w:t>
      </w:r>
      <w:r w:rsidRPr="003D4C74">
        <w:rPr>
          <w:rFonts w:ascii="Times New Roman" w:hAnsi="Times New Roman"/>
          <w:lang w:val="en-HK"/>
        </w:rPr>
        <w:t xml:space="preserve"> with the wrong, potentially the trust’s governing law under the Hague Convention (per the </w:t>
      </w:r>
      <w:r w:rsidRPr="003D4C74">
        <w:rPr>
          <w:rFonts w:ascii="Times New Roman" w:hAnsi="Times New Roman"/>
          <w:i/>
          <w:iCs/>
          <w:lang w:val="en-HK"/>
        </w:rPr>
        <w:t>Recognition of Trusts Act 1987</w:t>
      </w:r>
      <w:r w:rsidRPr="003D4C74">
        <w:rPr>
          <w:rFonts w:ascii="Times New Roman" w:hAnsi="Times New Roman"/>
          <w:lang w:val="en-HK"/>
        </w:rPr>
        <w:t>), enhancing flexibility in multi-jurisdictional cases.</w:t>
      </w:r>
    </w:p>
    <w:p w14:paraId="441B91C4" w14:textId="77777777" w:rsidR="003D4C74" w:rsidRPr="003D4C74" w:rsidRDefault="003D4C74" w:rsidP="003D4C74">
      <w:pPr>
        <w:spacing w:after="240" w:line="360" w:lineRule="auto"/>
        <w:outlineLvl w:val="2"/>
        <w:rPr>
          <w:rFonts w:ascii="Times New Roman" w:hAnsi="Times New Roman"/>
          <w:lang w:val="en-HK"/>
        </w:rPr>
      </w:pPr>
    </w:p>
    <w:p w14:paraId="735FCAD2" w14:textId="3E865FF2" w:rsidR="003D4C74" w:rsidRPr="003D4C74" w:rsidRDefault="003D4C74" w:rsidP="003D4C74">
      <w:pPr>
        <w:spacing w:after="240" w:line="360" w:lineRule="auto"/>
        <w:outlineLvl w:val="2"/>
        <w:rPr>
          <w:rFonts w:ascii="Times New Roman" w:hAnsi="Times New Roman"/>
          <w:b/>
          <w:bCs/>
          <w:lang w:val="en-HK"/>
        </w:rPr>
      </w:pPr>
      <w:r w:rsidRPr="003D4C74">
        <w:rPr>
          <w:rFonts w:ascii="Times New Roman" w:hAnsi="Times New Roman"/>
          <w:b/>
          <w:bCs/>
          <w:lang w:val="en-HK"/>
        </w:rPr>
        <w:t>4</w:t>
      </w:r>
      <w:r w:rsidRPr="003D4C74">
        <w:rPr>
          <w:rFonts w:ascii="Times New Roman" w:hAnsi="Times New Roman"/>
          <w:b/>
          <w:bCs/>
          <w:lang w:val="en-HK"/>
        </w:rPr>
        <w:t>. Knowing Receipt</w:t>
      </w:r>
    </w:p>
    <w:p w14:paraId="17C26D48"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Definition and Nature</w:t>
      </w:r>
    </w:p>
    <w:p w14:paraId="77E58DC8" w14:textId="7B64E9CC"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Knowing receipt imposes personal liability on a recipient of trust property transferred in breach of trust, where their knowledge renders retention or dealing unconscionable. </w:t>
      </w:r>
      <w:r w:rsidRPr="003D4C74">
        <w:rPr>
          <w:rFonts w:ascii="Times New Roman" w:hAnsi="Times New Roman"/>
          <w:i/>
          <w:iCs/>
          <w:lang w:val="en-HK"/>
        </w:rPr>
        <w:t>Lewin on Trusts</w:t>
      </w:r>
      <w:r w:rsidRPr="003D4C74">
        <w:rPr>
          <w:rFonts w:ascii="Times New Roman" w:hAnsi="Times New Roman"/>
          <w:lang w:val="en-HK"/>
        </w:rPr>
        <w:t xml:space="preserve"> (20th </w:t>
      </w:r>
      <w:proofErr w:type="spellStart"/>
      <w:r w:rsidRPr="003D4C74">
        <w:rPr>
          <w:rFonts w:ascii="Times New Roman" w:hAnsi="Times New Roman"/>
          <w:lang w:val="en-HK"/>
        </w:rPr>
        <w:t>edn</w:t>
      </w:r>
      <w:proofErr w:type="spellEnd"/>
      <w:r w:rsidRPr="003D4C74">
        <w:rPr>
          <w:rFonts w:ascii="Times New Roman" w:hAnsi="Times New Roman"/>
          <w:lang w:val="en-HK"/>
        </w:rPr>
        <w:t>) at 42-023 outlines six elements: (1) property subject to a trust, (2) transferred, (3) in breach of trust, (4) received by the defendant, (5) for their own benefit, and (6) with knowledge of the breach or, if not a bona fide purchaser, retention/dealing inconsistent with the trust after gaining such knowledge. The document highlights its debated characterization—equitable wrongdoing versus unjust enrichment—with fault-based liability currently prevailing (</w:t>
      </w:r>
      <w:r w:rsidRPr="003D4C74">
        <w:rPr>
          <w:rFonts w:ascii="Times New Roman" w:hAnsi="Times New Roman"/>
          <w:i/>
          <w:iCs/>
          <w:lang w:val="en-HK"/>
        </w:rPr>
        <w:t>Bank of Credit and Commerce International (Overseas) Ltd v Akindele</w:t>
      </w:r>
      <w:r w:rsidRPr="003D4C74">
        <w:rPr>
          <w:rFonts w:ascii="Times New Roman" w:hAnsi="Times New Roman"/>
          <w:lang w:val="en-HK"/>
        </w:rPr>
        <w:t xml:space="preserve"> [2001] Ch 437 at 455).</w:t>
      </w:r>
    </w:p>
    <w:p w14:paraId="3C7D37A1" w14:textId="77777777" w:rsidR="003D4C74" w:rsidRPr="003D4C74" w:rsidRDefault="003D4C74" w:rsidP="003D4C74">
      <w:pPr>
        <w:spacing w:after="240" w:line="360" w:lineRule="auto"/>
        <w:rPr>
          <w:rFonts w:ascii="Times New Roman" w:hAnsi="Times New Roman"/>
          <w:lang w:val="en-HK"/>
        </w:rPr>
      </w:pPr>
    </w:p>
    <w:p w14:paraId="2ACBECA3"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lastRenderedPageBreak/>
        <w:t>Case Law</w:t>
      </w:r>
    </w:p>
    <w:p w14:paraId="62D11E3C" w14:textId="77777777" w:rsidR="003D4C74" w:rsidRPr="003D4C74" w:rsidRDefault="003D4C74" w:rsidP="003D4C74">
      <w:pPr>
        <w:spacing w:before="100" w:beforeAutospacing="1" w:after="240" w:line="360" w:lineRule="auto"/>
        <w:outlineLvl w:val="3"/>
        <w:rPr>
          <w:rFonts w:ascii="Times New Roman" w:hAnsi="Times New Roman"/>
          <w:b/>
          <w:bCs/>
          <w:lang w:val="en-HK"/>
        </w:rPr>
      </w:pPr>
      <w:r w:rsidRPr="003D4C74">
        <w:rPr>
          <w:rFonts w:ascii="Times New Roman" w:hAnsi="Times New Roman"/>
          <w:b/>
          <w:bCs/>
          <w:i/>
          <w:iCs/>
          <w:lang w:val="en-HK"/>
        </w:rPr>
        <w:t>Byers v Saudi National Bank</w:t>
      </w:r>
    </w:p>
    <w:p w14:paraId="0E968263" w14:textId="77777777" w:rsidR="003D4C74" w:rsidRPr="003D4C74" w:rsidRDefault="003D4C74" w:rsidP="003D4C74">
      <w:pPr>
        <w:spacing w:before="100" w:beforeAutospacing="1" w:after="240" w:line="360" w:lineRule="auto"/>
        <w:rPr>
          <w:rFonts w:ascii="Times New Roman" w:hAnsi="Times New Roman"/>
          <w:lang w:val="en-HK"/>
        </w:rPr>
      </w:pPr>
      <w:r w:rsidRPr="003D4C74">
        <w:rPr>
          <w:rFonts w:ascii="Times New Roman" w:hAnsi="Times New Roman"/>
          <w:b/>
          <w:bCs/>
          <w:lang w:val="en-HK"/>
        </w:rPr>
        <w:t>Facts</w:t>
      </w:r>
      <w:r w:rsidRPr="003D4C74">
        <w:rPr>
          <w:rFonts w:ascii="Times New Roman" w:hAnsi="Times New Roman"/>
          <w:lang w:val="en-HK"/>
        </w:rPr>
        <w:t>: Saad Investments Company Ltd (SICL), a Cayman Islands company, and its joint liquidators claimed that shares held on trust by Mr. Maan Al-</w:t>
      </w:r>
      <w:proofErr w:type="spellStart"/>
      <w:r w:rsidRPr="003D4C74">
        <w:rPr>
          <w:rFonts w:ascii="Times New Roman" w:hAnsi="Times New Roman"/>
          <w:lang w:val="en-HK"/>
        </w:rPr>
        <w:t>Sanea</w:t>
      </w:r>
      <w:proofErr w:type="spellEnd"/>
      <w:r w:rsidRPr="003D4C74">
        <w:rPr>
          <w:rFonts w:ascii="Times New Roman" w:hAnsi="Times New Roman"/>
          <w:lang w:val="en-HK"/>
        </w:rPr>
        <w:t xml:space="preserve"> were transferred in breach of trust to Samba Financial Group in Saudi Arabia, subsequently assumed by the defendant, Saudi National Bank. Under Saudi Arabian law (the lex situs), the transfer extinguished SICL’s equitable interest in the shares. The claimants argued that English or Cayman law governed their knowing receipt claim against the bank, asserting liability despite the loss of proprietary rights. The defendant contended that Saudi law’s effect precluded the claim by eliminating any trust property interest.</w:t>
      </w:r>
    </w:p>
    <w:p w14:paraId="19A92297" w14:textId="77777777" w:rsidR="003D4C74" w:rsidRPr="003D4C74" w:rsidRDefault="003D4C74" w:rsidP="003D4C74">
      <w:pPr>
        <w:spacing w:before="100" w:beforeAutospacing="1" w:after="240" w:line="360" w:lineRule="auto"/>
        <w:rPr>
          <w:rFonts w:ascii="Times New Roman" w:hAnsi="Times New Roman"/>
          <w:lang w:val="en-HK"/>
        </w:rPr>
      </w:pPr>
      <w:r w:rsidRPr="003D4C74">
        <w:rPr>
          <w:rFonts w:ascii="Times New Roman" w:hAnsi="Times New Roman"/>
          <w:b/>
          <w:bCs/>
          <w:lang w:val="en-HK"/>
        </w:rPr>
        <w:t>Held</w:t>
      </w:r>
      <w:r w:rsidRPr="003D4C74">
        <w:rPr>
          <w:rFonts w:ascii="Times New Roman" w:hAnsi="Times New Roman"/>
          <w:lang w:val="en-HK"/>
        </w:rPr>
        <w:t xml:space="preserve">: </w:t>
      </w:r>
      <w:proofErr w:type="spellStart"/>
      <w:r w:rsidRPr="003D4C74">
        <w:rPr>
          <w:rFonts w:ascii="Times New Roman" w:hAnsi="Times New Roman"/>
          <w:lang w:val="en-HK"/>
        </w:rPr>
        <w:t>Fancourt</w:t>
      </w:r>
      <w:proofErr w:type="spellEnd"/>
      <w:r w:rsidRPr="003D4C74">
        <w:rPr>
          <w:rFonts w:ascii="Times New Roman" w:hAnsi="Times New Roman"/>
          <w:lang w:val="en-HK"/>
        </w:rPr>
        <w:t xml:space="preserve"> J at trial dismissed the claim, a decision upheld by the Court of Appeal. The court ruled that knowing receipt requires actual, beneficial receipt of trust property and a continuing proprietary interest, both of which were absent due to the operation of Saudi law. Permission to appeal to the Supreme Court was granted on October 3, 2022.</w:t>
      </w:r>
    </w:p>
    <w:p w14:paraId="175E03C7" w14:textId="77777777" w:rsidR="003D4C74" w:rsidRPr="003D4C74" w:rsidRDefault="003D4C74" w:rsidP="003D4C74">
      <w:pPr>
        <w:spacing w:before="100" w:beforeAutospacing="1" w:after="240" w:line="360" w:lineRule="auto"/>
        <w:rPr>
          <w:rFonts w:ascii="Times New Roman" w:hAnsi="Times New Roman"/>
          <w:lang w:val="en-HK"/>
        </w:rPr>
      </w:pPr>
      <w:r w:rsidRPr="003D4C74">
        <w:rPr>
          <w:rFonts w:ascii="Times New Roman" w:hAnsi="Times New Roman"/>
          <w:b/>
          <w:bCs/>
          <w:lang w:val="en-HK"/>
        </w:rPr>
        <w:t>Reasoning</w:t>
      </w:r>
      <w:r w:rsidRPr="003D4C74">
        <w:rPr>
          <w:rFonts w:ascii="Times New Roman" w:hAnsi="Times New Roman"/>
          <w:lang w:val="en-HK"/>
        </w:rPr>
        <w:t xml:space="preserve">: The Court of Appeal held at [21]-[22] that liability stems from </w:t>
      </w:r>
      <w:r w:rsidRPr="003D4C74">
        <w:rPr>
          <w:rFonts w:ascii="Times New Roman" w:hAnsi="Times New Roman"/>
          <w:i/>
          <w:iCs/>
          <w:lang w:val="en-HK"/>
        </w:rPr>
        <w:t>the beneficial receipt … of assets which are traceable as representing the assets of the plaintiff</w:t>
      </w:r>
      <w:r w:rsidRPr="003D4C74">
        <w:rPr>
          <w:rFonts w:ascii="Times New Roman" w:hAnsi="Times New Roman"/>
          <w:lang w:val="en-HK"/>
        </w:rPr>
        <w:t xml:space="preserve"> combined with knowledge making retention unconscionable. At [23], it emphasized actual receipt as essential, and at [75]-[76], concluded that an impregnable title under the lex situs negates any duty to restore, defeating the claim (</w:t>
      </w:r>
      <w:r w:rsidRPr="003D4C74">
        <w:rPr>
          <w:rFonts w:ascii="Times New Roman" w:hAnsi="Times New Roman"/>
          <w:i/>
          <w:iCs/>
          <w:lang w:val="en-HK"/>
        </w:rPr>
        <w:t>Bank of Credit and Commerce International (Overseas) Ltd v Akindele</w:t>
      </w:r>
      <w:r w:rsidRPr="003D4C74">
        <w:rPr>
          <w:rFonts w:ascii="Times New Roman" w:hAnsi="Times New Roman"/>
          <w:lang w:val="en-HK"/>
        </w:rPr>
        <w:t xml:space="preserve"> [2001] Ch 437 at 455).</w:t>
      </w:r>
    </w:p>
    <w:p w14:paraId="38EE373F" w14:textId="77777777" w:rsidR="003D4C74" w:rsidRPr="003D4C74" w:rsidRDefault="003D4C74" w:rsidP="003D4C74">
      <w:pPr>
        <w:spacing w:before="100" w:beforeAutospacing="1" w:after="240" w:line="360" w:lineRule="auto"/>
        <w:outlineLvl w:val="2"/>
        <w:rPr>
          <w:rFonts w:ascii="Times New Roman" w:hAnsi="Times New Roman"/>
          <w:b/>
          <w:bCs/>
          <w:lang w:val="en-HK"/>
        </w:rPr>
      </w:pPr>
      <w:r w:rsidRPr="003D4C74">
        <w:rPr>
          <w:rFonts w:ascii="Times New Roman" w:hAnsi="Times New Roman"/>
          <w:b/>
          <w:bCs/>
          <w:lang w:val="en-HK"/>
        </w:rPr>
        <w:t xml:space="preserve">Ashdown’s View on </w:t>
      </w:r>
      <w:r w:rsidRPr="003D4C74">
        <w:rPr>
          <w:rFonts w:ascii="Times New Roman" w:hAnsi="Times New Roman"/>
          <w:b/>
          <w:bCs/>
          <w:i/>
          <w:iCs/>
          <w:lang w:val="en-HK"/>
        </w:rPr>
        <w:t>Byers v Saudi National Bank</w:t>
      </w:r>
    </w:p>
    <w:p w14:paraId="7D0A3C43" w14:textId="77777777" w:rsid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Michael J. Ashdown explicitly supports the Court of Appeal’s decision in </w:t>
      </w:r>
      <w:r w:rsidRPr="003D4C74">
        <w:rPr>
          <w:rFonts w:ascii="Times New Roman" w:hAnsi="Times New Roman"/>
          <w:i/>
          <w:iCs/>
          <w:lang w:val="en-HK"/>
        </w:rPr>
        <w:t>Byers v Saudi National Bank</w:t>
      </w:r>
      <w:r w:rsidRPr="003D4C74">
        <w:rPr>
          <w:rFonts w:ascii="Times New Roman" w:hAnsi="Times New Roman"/>
          <w:lang w:val="en-HK"/>
        </w:rPr>
        <w:t xml:space="preserve">, as articulated on page 435 of the document: </w:t>
      </w:r>
      <w:r w:rsidRPr="003D4C74">
        <w:rPr>
          <w:rFonts w:ascii="Times New Roman" w:hAnsi="Times New Roman"/>
          <w:i/>
          <w:iCs/>
          <w:lang w:val="en-HK"/>
        </w:rPr>
        <w:t>Did the Court of Appeal get it right? Permission to appeal to the Supreme Court was given on 3 October 2022, so this is not the end of the story. But in my view the Court of Appeal was correct</w:t>
      </w:r>
      <w:r w:rsidRPr="003D4C74">
        <w:rPr>
          <w:rFonts w:ascii="Times New Roman" w:hAnsi="Times New Roman"/>
          <w:lang w:val="en-HK"/>
        </w:rPr>
        <w:t xml:space="preserve">. His endorsement rests on the decision’s alignment with the fundamental purpose of knowing receipt as a mechanism to vindicate equitable property rights, drawing a parallel to the tort of conversion. He elaborates at 436: </w:t>
      </w:r>
      <w:r w:rsidRPr="003D4C74">
        <w:rPr>
          <w:rFonts w:ascii="Times New Roman" w:hAnsi="Times New Roman"/>
          <w:i/>
          <w:iCs/>
          <w:lang w:val="en-HK"/>
        </w:rPr>
        <w:t xml:space="preserve">it follows from the Court of Appeal’s analysis, and the work done by Professors Mitchell and Watterson … that the knowing receipt claim exists at all as a means </w:t>
      </w:r>
      <w:r w:rsidRPr="003D4C74">
        <w:rPr>
          <w:rFonts w:ascii="Times New Roman" w:hAnsi="Times New Roman"/>
          <w:i/>
          <w:iCs/>
          <w:lang w:val="en-HK"/>
        </w:rPr>
        <w:lastRenderedPageBreak/>
        <w:t>of vindicating equitable property rights. It is in that respect perfectly orthodox, and akin to the tort of conversion, which uses a personal claim for damages to protect property rights</w:t>
      </w:r>
      <w:r w:rsidRPr="003D4C74">
        <w:rPr>
          <w:rFonts w:ascii="Times New Roman" w:hAnsi="Times New Roman"/>
          <w:lang w:val="en-HK"/>
        </w:rPr>
        <w:t>.</w:t>
      </w:r>
    </w:p>
    <w:p w14:paraId="1E7CA7DD" w14:textId="20872E5C"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Ashdown counters criticisms that the ruling is uncommercial or </w:t>
      </w:r>
      <w:proofErr w:type="spellStart"/>
      <w:r w:rsidRPr="003D4C74">
        <w:rPr>
          <w:rFonts w:ascii="Times New Roman" w:hAnsi="Times New Roman"/>
          <w:lang w:val="en-HK"/>
        </w:rPr>
        <w:t>favors</w:t>
      </w:r>
      <w:proofErr w:type="spellEnd"/>
      <w:r w:rsidRPr="003D4C74">
        <w:rPr>
          <w:rFonts w:ascii="Times New Roman" w:hAnsi="Times New Roman"/>
          <w:lang w:val="en-HK"/>
        </w:rPr>
        <w:t xml:space="preserve"> fraudsters by providing three supplemental arguments (at 436):</w:t>
      </w:r>
    </w:p>
    <w:p w14:paraId="580D75DD" w14:textId="71FAC019" w:rsidR="003D4C74" w:rsidRPr="003D4C74" w:rsidRDefault="003D4C74" w:rsidP="003D4C74">
      <w:pPr>
        <w:numPr>
          <w:ilvl w:val="0"/>
          <w:numId w:val="9"/>
        </w:numPr>
        <w:spacing w:before="100" w:beforeAutospacing="1" w:after="240" w:line="360" w:lineRule="auto"/>
        <w:rPr>
          <w:rFonts w:ascii="Times New Roman" w:hAnsi="Times New Roman"/>
          <w:lang w:val="en-HK"/>
        </w:rPr>
      </w:pPr>
      <w:r w:rsidRPr="003D4C74">
        <w:rPr>
          <w:rFonts w:ascii="Times New Roman" w:hAnsi="Times New Roman"/>
          <w:b/>
          <w:bCs/>
          <w:lang w:val="en-HK"/>
        </w:rPr>
        <w:t>Dishonest Assistance as a Safeguard</w:t>
      </w:r>
      <w:r w:rsidRPr="003D4C74">
        <w:rPr>
          <w:rFonts w:ascii="Times New Roman" w:hAnsi="Times New Roman"/>
          <w:lang w:val="en-HK"/>
        </w:rPr>
        <w:t xml:space="preserve">: He notes that equity already addresses non-receiving third parties through dishonest assistance, per </w:t>
      </w:r>
      <w:r w:rsidRPr="003D4C74">
        <w:rPr>
          <w:rFonts w:ascii="Times New Roman" w:hAnsi="Times New Roman"/>
          <w:i/>
          <w:iCs/>
          <w:lang w:val="en-HK"/>
        </w:rPr>
        <w:t xml:space="preserve">Royal Brunei Airlines </w:t>
      </w:r>
      <w:proofErr w:type="spellStart"/>
      <w:r w:rsidRPr="003D4C74">
        <w:rPr>
          <w:rFonts w:ascii="Times New Roman" w:hAnsi="Times New Roman"/>
          <w:i/>
          <w:iCs/>
          <w:lang w:val="en-HK"/>
        </w:rPr>
        <w:t>Sdn</w:t>
      </w:r>
      <w:proofErr w:type="spellEnd"/>
      <w:r w:rsidRPr="003D4C74">
        <w:rPr>
          <w:rFonts w:ascii="Times New Roman" w:hAnsi="Times New Roman"/>
          <w:i/>
          <w:iCs/>
          <w:lang w:val="en-HK"/>
        </w:rPr>
        <w:t xml:space="preserve"> </w:t>
      </w:r>
      <w:proofErr w:type="spellStart"/>
      <w:r w:rsidRPr="003D4C74">
        <w:rPr>
          <w:rFonts w:ascii="Times New Roman" w:hAnsi="Times New Roman"/>
          <w:i/>
          <w:iCs/>
          <w:lang w:val="en-HK"/>
        </w:rPr>
        <w:t>Bhd</w:t>
      </w:r>
      <w:proofErr w:type="spellEnd"/>
      <w:r w:rsidRPr="003D4C74">
        <w:rPr>
          <w:rFonts w:ascii="Times New Roman" w:hAnsi="Times New Roman"/>
          <w:i/>
          <w:iCs/>
          <w:lang w:val="en-HK"/>
        </w:rPr>
        <w:t xml:space="preserve"> v Tan</w:t>
      </w:r>
      <w:r w:rsidRPr="003D4C74">
        <w:rPr>
          <w:rFonts w:ascii="Times New Roman" w:hAnsi="Times New Roman"/>
          <w:lang w:val="en-HK"/>
        </w:rPr>
        <w:t xml:space="preserve"> [1995] 2 AC 378. This remedy’s high dishonesty threshold ensures accountability without diluting knowing receipt’s proprietary basis: </w:t>
      </w:r>
      <w:r w:rsidRPr="003D4C74">
        <w:rPr>
          <w:rFonts w:ascii="Times New Roman" w:hAnsi="Times New Roman"/>
          <w:i/>
          <w:iCs/>
          <w:lang w:val="en-HK"/>
        </w:rPr>
        <w:t>equity already has a powerful remedy against third parties who interfere but do not receive, namely dishonest assistance</w:t>
      </w:r>
      <w:r w:rsidRPr="003D4C74">
        <w:rPr>
          <w:rFonts w:ascii="Times New Roman" w:hAnsi="Times New Roman"/>
          <w:lang w:val="en-HK"/>
        </w:rPr>
        <w:t>.</w:t>
      </w:r>
    </w:p>
    <w:p w14:paraId="2D1E946D" w14:textId="7A1C0673" w:rsidR="003D4C74" w:rsidRPr="003D4C74" w:rsidRDefault="003D4C74" w:rsidP="003D4C74">
      <w:pPr>
        <w:numPr>
          <w:ilvl w:val="0"/>
          <w:numId w:val="9"/>
        </w:numPr>
        <w:spacing w:before="100" w:beforeAutospacing="1" w:after="240" w:line="360" w:lineRule="auto"/>
        <w:rPr>
          <w:rFonts w:ascii="Times New Roman" w:hAnsi="Times New Roman"/>
          <w:lang w:val="en-HK"/>
        </w:rPr>
      </w:pPr>
      <w:r w:rsidRPr="003D4C74">
        <w:rPr>
          <w:rFonts w:ascii="Times New Roman" w:hAnsi="Times New Roman"/>
          <w:b/>
          <w:bCs/>
          <w:lang w:val="en-HK"/>
        </w:rPr>
        <w:t>Acceptance of Jurisdictional Risks</w:t>
      </w:r>
      <w:r w:rsidRPr="003D4C74">
        <w:rPr>
          <w:rFonts w:ascii="Times New Roman" w:hAnsi="Times New Roman"/>
          <w:lang w:val="en-HK"/>
        </w:rPr>
        <w:t xml:space="preserve">: He argues that trusts opting to hold assets in non-trust jurisdictions, like Saudi Arabia in </w:t>
      </w:r>
      <w:r w:rsidRPr="003D4C74">
        <w:rPr>
          <w:rFonts w:ascii="Times New Roman" w:hAnsi="Times New Roman"/>
          <w:i/>
          <w:iCs/>
          <w:lang w:val="en-HK"/>
        </w:rPr>
        <w:t>Byers</w:t>
      </w:r>
      <w:r w:rsidRPr="003D4C74">
        <w:rPr>
          <w:rFonts w:ascii="Times New Roman" w:hAnsi="Times New Roman"/>
          <w:lang w:val="en-HK"/>
        </w:rPr>
        <w:t xml:space="preserve">, inherently accept the risks of local laws overriding equitable interests: </w:t>
      </w:r>
      <w:r w:rsidRPr="003D4C74">
        <w:rPr>
          <w:rFonts w:ascii="Times New Roman" w:hAnsi="Times New Roman"/>
          <w:i/>
          <w:iCs/>
          <w:lang w:val="en-HK"/>
        </w:rPr>
        <w:t>if a trust chooses to hold assets in a non-trust jurisdiction, it is knowingly exposed to the additional risks that entails</w:t>
      </w:r>
      <w:r w:rsidRPr="003D4C74">
        <w:rPr>
          <w:rFonts w:ascii="Times New Roman" w:hAnsi="Times New Roman"/>
          <w:lang w:val="en-HK"/>
        </w:rPr>
        <w:t>. Beneficiaries, though not decision-makers, are bound by the trust structure.</w:t>
      </w:r>
    </w:p>
    <w:p w14:paraId="0930D3BF" w14:textId="77777777" w:rsidR="003D4C74" w:rsidRPr="003D4C74" w:rsidRDefault="003D4C74" w:rsidP="003D4C74">
      <w:pPr>
        <w:numPr>
          <w:ilvl w:val="0"/>
          <w:numId w:val="9"/>
        </w:numPr>
        <w:spacing w:before="100" w:beforeAutospacing="1" w:after="240" w:line="360" w:lineRule="auto"/>
        <w:rPr>
          <w:rFonts w:ascii="Times New Roman" w:hAnsi="Times New Roman"/>
          <w:lang w:val="en-HK"/>
        </w:rPr>
      </w:pPr>
      <w:r w:rsidRPr="003D4C74">
        <w:rPr>
          <w:rFonts w:ascii="Times New Roman" w:hAnsi="Times New Roman"/>
          <w:b/>
          <w:bCs/>
          <w:lang w:val="en-HK"/>
        </w:rPr>
        <w:t>Respect for Foreign Legal Systems</w:t>
      </w:r>
      <w:r w:rsidRPr="003D4C74">
        <w:rPr>
          <w:rFonts w:ascii="Times New Roman" w:hAnsi="Times New Roman"/>
          <w:lang w:val="en-HK"/>
        </w:rPr>
        <w:t xml:space="preserve">: He asserts that English law should not distort its principles to override foreign rules with legitimate connections to the claim: </w:t>
      </w:r>
      <w:r w:rsidRPr="003D4C74">
        <w:rPr>
          <w:rFonts w:ascii="Times New Roman" w:hAnsi="Times New Roman"/>
          <w:i/>
          <w:iCs/>
          <w:lang w:val="en-HK"/>
        </w:rPr>
        <w:t>the law should not be distorted to protect claimants in the English courts from the rules of other legal systems with which the claim has a proper connection</w:t>
      </w:r>
      <w:r w:rsidRPr="003D4C74">
        <w:rPr>
          <w:rFonts w:ascii="Times New Roman" w:hAnsi="Times New Roman"/>
          <w:lang w:val="en-HK"/>
        </w:rPr>
        <w:t>. This upholds comity and legal consistency.</w:t>
      </w:r>
    </w:p>
    <w:p w14:paraId="05FB22E8" w14:textId="7A4AAF3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Implications if Byers is Upheld</w:t>
      </w:r>
    </w:p>
    <w:p w14:paraId="015C6581" w14:textId="76813FF3" w:rsidR="003D4C74" w:rsidRPr="003D4C74" w:rsidRDefault="003D4C74" w:rsidP="003D4C74">
      <w:pPr>
        <w:spacing w:after="240" w:line="360" w:lineRule="auto"/>
        <w:outlineLvl w:val="4"/>
        <w:rPr>
          <w:rFonts w:ascii="Times New Roman" w:hAnsi="Times New Roman"/>
          <w:lang w:val="en-HK"/>
        </w:rPr>
      </w:pPr>
      <w:r w:rsidRPr="003D4C74">
        <w:rPr>
          <w:rFonts w:ascii="Times New Roman" w:hAnsi="Times New Roman"/>
          <w:lang w:val="en-HK"/>
        </w:rPr>
        <w:t>Ashdown ties the implications directly to Byers v Saudi National Bank, stating at 436: Finally, what are the implications for the sort of claim this article is concerned with (assuming that Byers v Saudi National Bank is good law and likely to be upheld in the Supreme Court)? The answer is really a short one: knowing receipt claims have the same vulnerability as proprietary claims where the trust assets (or their traceable proceeds) are to be found in a non-trust jurisdiction. If the Supreme Court affirms the Court of Appeal, knowing receipt’s dependence on a subsisting equitable interest—defeated by lex situs rules conferring impregnable title (e.g., Saudi law in Byers)—mirrors proprietary claims’ susceptibility, as seen in Akers v Samba Financial Group [2017] UKSC 6 at [20].</w:t>
      </w:r>
    </w:p>
    <w:p w14:paraId="471A5878" w14:textId="77777777" w:rsidR="003D4C74" w:rsidRPr="003D4C74" w:rsidRDefault="003D4C74" w:rsidP="003D4C74">
      <w:pPr>
        <w:spacing w:after="240" w:line="360" w:lineRule="auto"/>
        <w:outlineLvl w:val="4"/>
        <w:rPr>
          <w:rFonts w:ascii="Times New Roman" w:hAnsi="Times New Roman"/>
          <w:b/>
          <w:bCs/>
          <w:lang w:val="en-HK"/>
        </w:rPr>
      </w:pPr>
      <w:r w:rsidRPr="003D4C74">
        <w:rPr>
          <w:rFonts w:ascii="Times New Roman" w:hAnsi="Times New Roman"/>
          <w:lang w:val="en-HK"/>
        </w:rPr>
        <w:lastRenderedPageBreak/>
        <w:t>He advises practical measures at 436: vulnerability is increased by proximity, so the simple answer is to ensure that trust assets are, so far as possible, kept well away from non-trust jurisdictions. Trusts should only acquire assets in non-trust jurisdictions voluntarily after a thorough assessment of the all risks and benefits of doing so. Where breaches occur, he suggests shifting focus to dishonest assistance, and other forms of “pure” wrongdoing, which avoid proprietary hurdles, unlike knowing receipt and proprietary claims that can more readily be defeated by steps taken in the non-trust jurisdiction.</w:t>
      </w:r>
      <w:r w:rsidRPr="003D4C74">
        <w:rPr>
          <w:rFonts w:ascii="Times New Roman" w:hAnsi="Times New Roman"/>
          <w:b/>
          <w:bCs/>
          <w:lang w:val="en-HK"/>
        </w:rPr>
        <w:t xml:space="preserve"> </w:t>
      </w:r>
    </w:p>
    <w:p w14:paraId="788624A5" w14:textId="577F3B7F" w:rsidR="003D4C74" w:rsidRPr="003D4C74" w:rsidRDefault="003D4C74" w:rsidP="003D4C74">
      <w:pPr>
        <w:spacing w:after="240" w:line="360" w:lineRule="auto"/>
        <w:outlineLvl w:val="4"/>
        <w:rPr>
          <w:rFonts w:ascii="Times New Roman" w:hAnsi="Times New Roman"/>
          <w:b/>
          <w:bCs/>
          <w:lang w:val="en-HK"/>
        </w:rPr>
      </w:pPr>
      <w:r w:rsidRPr="003D4C74">
        <w:rPr>
          <w:rFonts w:ascii="Times New Roman" w:hAnsi="Times New Roman"/>
          <w:b/>
          <w:bCs/>
          <w:lang w:val="en-HK"/>
        </w:rPr>
        <w:t>Bank of Credit and Commerce International (Overseas) Ltd v Akindele [2001] Ch 437</w:t>
      </w:r>
    </w:p>
    <w:p w14:paraId="4D38C91F"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Facts</w:t>
      </w:r>
      <w:r w:rsidRPr="003D4C74">
        <w:rPr>
          <w:rFonts w:ascii="Times New Roman" w:hAnsi="Times New Roman"/>
          <w:lang w:val="en-HK"/>
        </w:rPr>
        <w:t>: The claimant sought to recover funds paid to the defendant from a breached trust, alleging knowing receipt based on his knowledge of irregularities.</w:t>
      </w:r>
    </w:p>
    <w:p w14:paraId="11CD0241"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Held</w:t>
      </w:r>
      <w:r w:rsidRPr="003D4C74">
        <w:rPr>
          <w:rFonts w:ascii="Times New Roman" w:hAnsi="Times New Roman"/>
          <w:lang w:val="en-HK"/>
        </w:rPr>
        <w:t>: The Court of Appeal held liability requires knowledge making retention unconscionable, not dishonesty, setting a lower fault threshold than dishonest assistance.</w:t>
      </w:r>
    </w:p>
    <w:p w14:paraId="19AD202F" w14:textId="77777777"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Reasoning</w:t>
      </w:r>
      <w:r w:rsidRPr="003D4C74">
        <w:rPr>
          <w:rFonts w:ascii="Times New Roman" w:hAnsi="Times New Roman"/>
          <w:lang w:val="en-HK"/>
        </w:rPr>
        <w:t xml:space="preserve">: At 455, </w:t>
      </w:r>
      <w:proofErr w:type="spellStart"/>
      <w:r w:rsidRPr="003D4C74">
        <w:rPr>
          <w:rFonts w:ascii="Times New Roman" w:hAnsi="Times New Roman"/>
          <w:lang w:val="en-HK"/>
        </w:rPr>
        <w:t>Nourse</w:t>
      </w:r>
      <w:proofErr w:type="spellEnd"/>
      <w:r w:rsidRPr="003D4C74">
        <w:rPr>
          <w:rFonts w:ascii="Times New Roman" w:hAnsi="Times New Roman"/>
          <w:lang w:val="en-HK"/>
        </w:rPr>
        <w:t xml:space="preserve"> LJ stated: </w:t>
      </w:r>
      <w:r w:rsidRPr="003D4C74">
        <w:rPr>
          <w:rFonts w:ascii="Times New Roman" w:hAnsi="Times New Roman"/>
          <w:i/>
          <w:iCs/>
          <w:lang w:val="en-HK"/>
        </w:rPr>
        <w:t>the recipient’s state of knowledge must be such as to make it unconscionable for him to retain the benefit of the receipt</w:t>
      </w:r>
      <w:r w:rsidRPr="003D4C74">
        <w:rPr>
          <w:rFonts w:ascii="Times New Roman" w:hAnsi="Times New Roman"/>
          <w:lang w:val="en-HK"/>
        </w:rPr>
        <w:t>. This fault-based test balances recipient accountability with innocence, distinguishing it from proprietary claims (no fault) and dishonest assistance (dishonesty).</w:t>
      </w:r>
    </w:p>
    <w:p w14:paraId="13557BBF" w14:textId="21FA9E63" w:rsidR="003D4C74" w:rsidRPr="003D4C74" w:rsidRDefault="003D4C74" w:rsidP="003D4C74">
      <w:pPr>
        <w:spacing w:after="240" w:line="360" w:lineRule="auto"/>
        <w:outlineLvl w:val="4"/>
        <w:rPr>
          <w:rFonts w:ascii="Times New Roman" w:hAnsi="Times New Roman"/>
          <w:b/>
          <w:bCs/>
          <w:lang w:val="en-HK"/>
        </w:rPr>
      </w:pPr>
      <w:r w:rsidRPr="003D4C74">
        <w:rPr>
          <w:rFonts w:ascii="Times New Roman" w:hAnsi="Times New Roman"/>
          <w:b/>
          <w:bCs/>
          <w:lang w:val="en-HK"/>
        </w:rPr>
        <w:t>Macmillan Inc v Bishopsgate Investment Trust plc (No 3) [1995] 1 WLR 978 (affirmed [1996] 1 WLR 387)</w:t>
      </w:r>
    </w:p>
    <w:p w14:paraId="2954F7F4" w14:textId="269AFA4F"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Facts</w:t>
      </w:r>
      <w:r w:rsidRPr="003D4C74">
        <w:rPr>
          <w:rFonts w:ascii="Times New Roman" w:hAnsi="Times New Roman"/>
          <w:lang w:val="en-HK"/>
        </w:rPr>
        <w:t>: Trust shares were misapplied, received by a third party claiming bona fide purchaser status. The claimant pursued both proprietary and personal claims.</w:t>
      </w:r>
    </w:p>
    <w:p w14:paraId="43CF4BAE" w14:textId="26A09E36"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Held</w:t>
      </w:r>
      <w:r w:rsidRPr="003D4C74">
        <w:rPr>
          <w:rFonts w:ascii="Times New Roman" w:hAnsi="Times New Roman"/>
          <w:lang w:val="en-HK"/>
        </w:rPr>
        <w:t>: Millett J (affirmed on appeal) ruled both claims failed if the recipient acquired impregnable title under the lex situs.</w:t>
      </w:r>
    </w:p>
    <w:p w14:paraId="7F02C38D" w14:textId="6A03915A" w:rsidR="003D4C74" w:rsidRPr="003D4C74" w:rsidRDefault="003D4C74" w:rsidP="003D4C74">
      <w:pPr>
        <w:spacing w:after="240" w:line="360" w:lineRule="auto"/>
        <w:rPr>
          <w:rFonts w:ascii="Times New Roman" w:hAnsi="Times New Roman"/>
          <w:lang w:val="en-HK"/>
        </w:rPr>
      </w:pPr>
      <w:r w:rsidRPr="003D4C74">
        <w:rPr>
          <w:rFonts w:ascii="Times New Roman" w:hAnsi="Times New Roman"/>
          <w:b/>
          <w:bCs/>
          <w:lang w:val="en-HK"/>
        </w:rPr>
        <w:t>Rea</w:t>
      </w:r>
      <w:r w:rsidRPr="003D4C74">
        <w:rPr>
          <w:rFonts w:ascii="Times New Roman" w:hAnsi="Times New Roman"/>
          <w:b/>
          <w:bCs/>
          <w:lang w:val="en-HK"/>
        </w:rPr>
        <w:t>s</w:t>
      </w:r>
      <w:r w:rsidRPr="003D4C74">
        <w:rPr>
          <w:rFonts w:ascii="Times New Roman" w:hAnsi="Times New Roman"/>
          <w:b/>
          <w:bCs/>
          <w:lang w:val="en-HK"/>
        </w:rPr>
        <w:t>oning</w:t>
      </w:r>
      <w:r w:rsidRPr="003D4C74">
        <w:rPr>
          <w:rFonts w:ascii="Times New Roman" w:hAnsi="Times New Roman"/>
          <w:lang w:val="en-HK"/>
        </w:rPr>
        <w:t xml:space="preserve">: Equity respects property law outcomes; a valid title transfer defeats proprietary and knowing receipt claims, reinforcing the proprietary nexus (cited in </w:t>
      </w:r>
      <w:r w:rsidRPr="003D4C74">
        <w:rPr>
          <w:rFonts w:ascii="Times New Roman" w:hAnsi="Times New Roman"/>
          <w:i/>
          <w:iCs/>
          <w:lang w:val="en-HK"/>
        </w:rPr>
        <w:t>Byers</w:t>
      </w:r>
      <w:r w:rsidRPr="003D4C74">
        <w:rPr>
          <w:rFonts w:ascii="Times New Roman" w:hAnsi="Times New Roman"/>
          <w:lang w:val="en-HK"/>
        </w:rPr>
        <w:t xml:space="preserve"> at [38]-[40]).</w:t>
      </w:r>
    </w:p>
    <w:p w14:paraId="2814F9B4"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Statutory Framework</w:t>
      </w:r>
    </w:p>
    <w:p w14:paraId="66BE23B8" w14:textId="70B3F7A6"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The </w:t>
      </w:r>
      <w:r w:rsidRPr="003D4C74">
        <w:rPr>
          <w:rFonts w:ascii="Times New Roman" w:hAnsi="Times New Roman"/>
          <w:i/>
          <w:iCs/>
          <w:lang w:val="en-HK"/>
        </w:rPr>
        <w:t>Rome II Regulation</w:t>
      </w:r>
      <w:r w:rsidRPr="003D4C74">
        <w:rPr>
          <w:rFonts w:ascii="Times New Roman" w:hAnsi="Times New Roman"/>
          <w:lang w:val="en-HK"/>
        </w:rPr>
        <w:t xml:space="preserve"> governs choice of law. </w:t>
      </w:r>
      <w:r w:rsidRPr="003D4C74">
        <w:rPr>
          <w:rFonts w:ascii="Times New Roman" w:hAnsi="Times New Roman"/>
          <w:i/>
          <w:iCs/>
          <w:lang w:val="en-HK"/>
        </w:rPr>
        <w:t>Dicey</w:t>
      </w:r>
      <w:r w:rsidRPr="003D4C74">
        <w:rPr>
          <w:rFonts w:ascii="Times New Roman" w:hAnsi="Times New Roman"/>
          <w:lang w:val="en-HK"/>
        </w:rPr>
        <w:t xml:space="preserve"> </w:t>
      </w:r>
      <w:proofErr w:type="spellStart"/>
      <w:r w:rsidRPr="003D4C74">
        <w:rPr>
          <w:rFonts w:ascii="Times New Roman" w:hAnsi="Times New Roman"/>
          <w:lang w:val="en-HK"/>
        </w:rPr>
        <w:t>favors</w:t>
      </w:r>
      <w:proofErr w:type="spellEnd"/>
      <w:r w:rsidRPr="003D4C74">
        <w:rPr>
          <w:rFonts w:ascii="Times New Roman" w:hAnsi="Times New Roman"/>
          <w:lang w:val="en-HK"/>
        </w:rPr>
        <w:t xml:space="preserve"> Article 10 (unjust enrichment) over Article 4 (tort), with Article 10(3) applying </w:t>
      </w:r>
      <w:r w:rsidRPr="003D4C74">
        <w:rPr>
          <w:rFonts w:ascii="Times New Roman" w:hAnsi="Times New Roman"/>
          <w:i/>
          <w:iCs/>
          <w:lang w:val="en-HK"/>
        </w:rPr>
        <w:t>the law of the country in which the unjust enrichment took place</w:t>
      </w:r>
      <w:r w:rsidRPr="003D4C74">
        <w:rPr>
          <w:rFonts w:ascii="Times New Roman" w:hAnsi="Times New Roman"/>
          <w:lang w:val="en-HK"/>
        </w:rPr>
        <w:t xml:space="preserve">—typically where assets are received—unless Article 10(4) finds a </w:t>
      </w:r>
      <w:r w:rsidRPr="003D4C74">
        <w:rPr>
          <w:rFonts w:ascii="Times New Roman" w:hAnsi="Times New Roman"/>
          <w:i/>
          <w:iCs/>
          <w:lang w:val="en-HK"/>
        </w:rPr>
        <w:lastRenderedPageBreak/>
        <w:t>manifestly more closely connected</w:t>
      </w:r>
      <w:r w:rsidRPr="003D4C74">
        <w:rPr>
          <w:rFonts w:ascii="Times New Roman" w:hAnsi="Times New Roman"/>
          <w:lang w:val="en-HK"/>
        </w:rPr>
        <w:t xml:space="preserve"> law, possibly the trust’s governing law under the </w:t>
      </w:r>
      <w:r w:rsidRPr="003D4C74">
        <w:rPr>
          <w:rFonts w:ascii="Times New Roman" w:hAnsi="Times New Roman"/>
          <w:i/>
          <w:iCs/>
          <w:lang w:val="en-HK"/>
        </w:rPr>
        <w:t>Recognition of Trusts Act 1987</w:t>
      </w:r>
      <w:r w:rsidRPr="003D4C74">
        <w:rPr>
          <w:rFonts w:ascii="Times New Roman" w:hAnsi="Times New Roman"/>
          <w:lang w:val="en-HK"/>
        </w:rPr>
        <w:t>. This flexibility complicates non-trust jurisdiction scenarios.</w:t>
      </w:r>
    </w:p>
    <w:p w14:paraId="2157DE3D" w14:textId="137F90C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Scholarly and Judicial Opinions</w:t>
      </w:r>
    </w:p>
    <w:p w14:paraId="62AA5C4D" w14:textId="24E4E29B" w:rsidR="003D4C74" w:rsidRPr="003D4C74" w:rsidRDefault="003D4C74" w:rsidP="003D4C74">
      <w:pPr>
        <w:numPr>
          <w:ilvl w:val="0"/>
          <w:numId w:val="7"/>
        </w:numPr>
        <w:spacing w:after="240" w:line="360" w:lineRule="auto"/>
        <w:rPr>
          <w:rFonts w:ascii="Times New Roman" w:hAnsi="Times New Roman"/>
          <w:lang w:val="en-HK"/>
        </w:rPr>
      </w:pPr>
      <w:r w:rsidRPr="003D4C74">
        <w:rPr>
          <w:rFonts w:ascii="Times New Roman" w:hAnsi="Times New Roman"/>
          <w:b/>
          <w:bCs/>
          <w:lang w:val="en-HK"/>
        </w:rPr>
        <w:t>Mitchell and Watterson</w:t>
      </w:r>
      <w:r w:rsidRPr="003D4C74">
        <w:rPr>
          <w:rFonts w:ascii="Times New Roman" w:hAnsi="Times New Roman"/>
          <w:lang w:val="en-HK"/>
        </w:rPr>
        <w:t xml:space="preserve">: In </w:t>
      </w:r>
      <w:r w:rsidRPr="003D4C74">
        <w:rPr>
          <w:rFonts w:ascii="Times New Roman" w:hAnsi="Times New Roman"/>
          <w:i/>
          <w:iCs/>
          <w:lang w:val="en-HK"/>
        </w:rPr>
        <w:t>Constructive and Resulting Trusts</w:t>
      </w:r>
      <w:r w:rsidRPr="003D4C74">
        <w:rPr>
          <w:rFonts w:ascii="Times New Roman" w:hAnsi="Times New Roman"/>
          <w:lang w:val="en-HK"/>
        </w:rPr>
        <w:t xml:space="preserve"> (2010, p.130), they argue: </w:t>
      </w:r>
      <w:r w:rsidRPr="003D4C74">
        <w:rPr>
          <w:rFonts w:ascii="Times New Roman" w:hAnsi="Times New Roman"/>
          <w:i/>
          <w:iCs/>
          <w:lang w:val="en-HK"/>
        </w:rPr>
        <w:t>because of the circumstances in which knowing recipients acquire title … Equity fixes them with custodial duties which are the same as some of the duties … assumed by express trustees</w:t>
      </w:r>
      <w:r w:rsidRPr="003D4C74">
        <w:rPr>
          <w:rFonts w:ascii="Times New Roman" w:hAnsi="Times New Roman"/>
          <w:lang w:val="en-HK"/>
        </w:rPr>
        <w:t>, requiring a subsisting equitable interest (</w:t>
      </w:r>
      <w:r w:rsidRPr="003D4C74">
        <w:rPr>
          <w:rFonts w:ascii="Times New Roman" w:hAnsi="Times New Roman"/>
          <w:i/>
          <w:iCs/>
          <w:lang w:val="en-HK"/>
        </w:rPr>
        <w:t>Byers</w:t>
      </w:r>
      <w:r w:rsidRPr="003D4C74">
        <w:rPr>
          <w:rFonts w:ascii="Times New Roman" w:hAnsi="Times New Roman"/>
          <w:lang w:val="en-HK"/>
        </w:rPr>
        <w:t xml:space="preserve"> at [49]).</w:t>
      </w:r>
    </w:p>
    <w:p w14:paraId="77EE9C1D" w14:textId="012A8D88" w:rsidR="003D4C74" w:rsidRPr="003D4C74" w:rsidRDefault="003D4C74" w:rsidP="003D4C74">
      <w:pPr>
        <w:numPr>
          <w:ilvl w:val="0"/>
          <w:numId w:val="7"/>
        </w:numPr>
        <w:spacing w:after="240" w:line="360" w:lineRule="auto"/>
        <w:rPr>
          <w:rFonts w:ascii="Times New Roman" w:hAnsi="Times New Roman"/>
          <w:lang w:val="en-HK"/>
        </w:rPr>
      </w:pPr>
      <w:r w:rsidRPr="003D4C74">
        <w:rPr>
          <w:rFonts w:ascii="Times New Roman" w:hAnsi="Times New Roman"/>
          <w:b/>
          <w:bCs/>
          <w:lang w:val="en-HK"/>
        </w:rPr>
        <w:t>Lord Sumption JSC</w:t>
      </w:r>
      <w:r w:rsidRPr="003D4C74">
        <w:rPr>
          <w:rFonts w:ascii="Times New Roman" w:hAnsi="Times New Roman"/>
          <w:lang w:val="en-HK"/>
        </w:rPr>
        <w:t xml:space="preserve">: In </w:t>
      </w:r>
      <w:r w:rsidRPr="003D4C74">
        <w:rPr>
          <w:rFonts w:ascii="Times New Roman" w:hAnsi="Times New Roman"/>
          <w:i/>
          <w:iCs/>
          <w:lang w:val="en-HK"/>
        </w:rPr>
        <w:t>Williams v Central Bank of Nigeria</w:t>
      </w:r>
      <w:r w:rsidRPr="003D4C74">
        <w:rPr>
          <w:rFonts w:ascii="Times New Roman" w:hAnsi="Times New Roman"/>
          <w:lang w:val="en-HK"/>
        </w:rPr>
        <w:t xml:space="preserve"> [2014] UKSC 10 at [31], he noted: </w:t>
      </w:r>
      <w:r w:rsidRPr="003D4C74">
        <w:rPr>
          <w:rFonts w:ascii="Times New Roman" w:hAnsi="Times New Roman"/>
          <w:i/>
          <w:iCs/>
          <w:lang w:val="en-HK"/>
        </w:rPr>
        <w:t>His sole obligation of any practical significance is to restore the assets immediately</w:t>
      </w:r>
      <w:r w:rsidRPr="003D4C74">
        <w:rPr>
          <w:rFonts w:ascii="Times New Roman" w:hAnsi="Times New Roman"/>
          <w:lang w:val="en-HK"/>
        </w:rPr>
        <w:t>, supporting the custodial duty framework.</w:t>
      </w:r>
    </w:p>
    <w:p w14:paraId="394D0C61" w14:textId="164D7B3E" w:rsidR="003D4C74" w:rsidRPr="003D4C74" w:rsidRDefault="003D4C74" w:rsidP="003D4C74">
      <w:pPr>
        <w:numPr>
          <w:ilvl w:val="0"/>
          <w:numId w:val="7"/>
        </w:numPr>
        <w:spacing w:after="240" w:line="360" w:lineRule="auto"/>
        <w:rPr>
          <w:rFonts w:ascii="Times New Roman" w:hAnsi="Times New Roman"/>
          <w:lang w:val="en-HK"/>
        </w:rPr>
      </w:pPr>
      <w:r w:rsidRPr="003D4C74">
        <w:rPr>
          <w:rFonts w:ascii="Times New Roman" w:hAnsi="Times New Roman"/>
          <w:b/>
          <w:bCs/>
          <w:lang w:val="en-HK"/>
        </w:rPr>
        <w:t>Lord Nicholls</w:t>
      </w:r>
      <w:r w:rsidRPr="003D4C74">
        <w:rPr>
          <w:rFonts w:ascii="Times New Roman" w:hAnsi="Times New Roman"/>
          <w:lang w:val="en-HK"/>
        </w:rPr>
        <w:t xml:space="preserve">: In </w:t>
      </w:r>
      <w:r w:rsidRPr="003D4C74">
        <w:rPr>
          <w:rFonts w:ascii="Times New Roman" w:hAnsi="Times New Roman"/>
          <w:i/>
          <w:iCs/>
          <w:lang w:val="en-HK"/>
        </w:rPr>
        <w:t>Royal Brunei</w:t>
      </w:r>
      <w:r w:rsidRPr="003D4C74">
        <w:rPr>
          <w:rFonts w:ascii="Times New Roman" w:hAnsi="Times New Roman"/>
          <w:lang w:val="en-HK"/>
        </w:rPr>
        <w:t xml:space="preserve"> at 386, he suggested: </w:t>
      </w:r>
      <w:r w:rsidRPr="003D4C74">
        <w:rPr>
          <w:rFonts w:ascii="Times New Roman" w:hAnsi="Times New Roman"/>
          <w:i/>
          <w:iCs/>
          <w:lang w:val="en-HK"/>
        </w:rPr>
        <w:t>Recipient liability is restitution-based; accessory liability is not</w:t>
      </w:r>
      <w:r w:rsidRPr="003D4C74">
        <w:rPr>
          <w:rFonts w:ascii="Times New Roman" w:hAnsi="Times New Roman"/>
          <w:lang w:val="en-HK"/>
        </w:rPr>
        <w:t>, though fault-based views now prevail.</w:t>
      </w:r>
    </w:p>
    <w:p w14:paraId="5BE0B137" w14:textId="77777777" w:rsidR="003D4C74" w:rsidRPr="003D4C74" w:rsidRDefault="003D4C74" w:rsidP="003D4C74">
      <w:pPr>
        <w:spacing w:after="240" w:line="360" w:lineRule="auto"/>
        <w:outlineLvl w:val="3"/>
        <w:rPr>
          <w:rFonts w:ascii="Times New Roman" w:hAnsi="Times New Roman"/>
          <w:b/>
          <w:bCs/>
          <w:lang w:val="en-HK"/>
        </w:rPr>
      </w:pPr>
      <w:r w:rsidRPr="003D4C74">
        <w:rPr>
          <w:rFonts w:ascii="Times New Roman" w:hAnsi="Times New Roman"/>
          <w:b/>
          <w:bCs/>
          <w:lang w:val="en-HK"/>
        </w:rPr>
        <w:t>Implications in Non-Trust Jurisdictions</w:t>
      </w:r>
    </w:p>
    <w:p w14:paraId="2965D1CE" w14:textId="19BE5229" w:rsidR="003D4C74" w:rsidRPr="003D4C74" w:rsidRDefault="003D4C74" w:rsidP="003D4C74">
      <w:pPr>
        <w:spacing w:after="240" w:line="360" w:lineRule="auto"/>
        <w:rPr>
          <w:rFonts w:ascii="Times New Roman" w:hAnsi="Times New Roman"/>
          <w:lang w:val="en-HK"/>
        </w:rPr>
      </w:pPr>
      <w:r w:rsidRPr="003D4C74">
        <w:rPr>
          <w:rFonts w:ascii="Times New Roman" w:hAnsi="Times New Roman"/>
          <w:lang w:val="en-HK"/>
        </w:rPr>
        <w:t xml:space="preserve">Knowing receipt’s reliance on receipt and a continuing proprietary interest renders it vulnerable in non-trust jurisdictions. If the lex situs (e.g., Saudi law in </w:t>
      </w:r>
      <w:r w:rsidRPr="003D4C74">
        <w:rPr>
          <w:rFonts w:ascii="Times New Roman" w:hAnsi="Times New Roman"/>
          <w:i/>
          <w:iCs/>
          <w:lang w:val="en-HK"/>
        </w:rPr>
        <w:t>Byers</w:t>
      </w:r>
      <w:r w:rsidRPr="003D4C74">
        <w:rPr>
          <w:rFonts w:ascii="Times New Roman" w:hAnsi="Times New Roman"/>
          <w:lang w:val="en-HK"/>
        </w:rPr>
        <w:t>) extinguishes equitable rights, no claim lies, even under English law, as the recipient owes no duty to restore (</w:t>
      </w:r>
      <w:r w:rsidRPr="003D4C74">
        <w:rPr>
          <w:rFonts w:ascii="Times New Roman" w:hAnsi="Times New Roman"/>
          <w:i/>
          <w:iCs/>
          <w:lang w:val="en-HK"/>
        </w:rPr>
        <w:t>Byers</w:t>
      </w:r>
      <w:r w:rsidRPr="003D4C74">
        <w:rPr>
          <w:rFonts w:ascii="Times New Roman" w:hAnsi="Times New Roman"/>
          <w:lang w:val="en-HK"/>
        </w:rPr>
        <w:t xml:space="preserve"> at [75]-[76]). Ashdown at 436 deems this orthodox, akin to conversion, and advises avoiding non-trust jurisdictions to mitigate risks. If upheld by the Supreme Court, claimants may pivot to dishonest assistance, which sidesteps proprietary hurdles, though proximity to non-trust jurisdictions heightens exposure.</w:t>
      </w:r>
    </w:p>
    <w:p w14:paraId="422EA17B" w14:textId="77777777" w:rsidR="003D4C74" w:rsidRPr="003D4C74" w:rsidRDefault="003D4C74" w:rsidP="003D4C74">
      <w:pPr>
        <w:spacing w:after="240" w:line="360" w:lineRule="auto"/>
        <w:rPr>
          <w:rFonts w:ascii="Times New Roman" w:hAnsi="Times New Roman"/>
          <w:lang w:val="en-HK"/>
        </w:rPr>
      </w:pPr>
    </w:p>
    <w:p w14:paraId="7866F4DA" w14:textId="77777777" w:rsidR="00CD39F1" w:rsidRPr="003D4C74" w:rsidRDefault="00CD39F1" w:rsidP="003D4C74">
      <w:pPr>
        <w:spacing w:after="240" w:line="360" w:lineRule="auto"/>
      </w:pPr>
    </w:p>
    <w:sectPr w:rsidR="00CD39F1" w:rsidRPr="003D4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16678"/>
    <w:multiLevelType w:val="multilevel"/>
    <w:tmpl w:val="A01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1F2C"/>
    <w:multiLevelType w:val="multilevel"/>
    <w:tmpl w:val="01824B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3247A85"/>
    <w:multiLevelType w:val="multilevel"/>
    <w:tmpl w:val="22B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12A85"/>
    <w:multiLevelType w:val="multilevel"/>
    <w:tmpl w:val="BF98B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F911D9"/>
    <w:multiLevelType w:val="multilevel"/>
    <w:tmpl w:val="E916A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61105FC"/>
    <w:multiLevelType w:val="multilevel"/>
    <w:tmpl w:val="752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33495"/>
    <w:multiLevelType w:val="multilevel"/>
    <w:tmpl w:val="CBAE4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F2F35"/>
    <w:multiLevelType w:val="multilevel"/>
    <w:tmpl w:val="68B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542CB"/>
    <w:multiLevelType w:val="multilevel"/>
    <w:tmpl w:val="42E4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949870">
    <w:abstractNumId w:val="8"/>
  </w:num>
  <w:num w:numId="2" w16cid:durableId="848832221">
    <w:abstractNumId w:val="7"/>
  </w:num>
  <w:num w:numId="3" w16cid:durableId="1078598412">
    <w:abstractNumId w:val="2"/>
  </w:num>
  <w:num w:numId="4" w16cid:durableId="543492564">
    <w:abstractNumId w:val="6"/>
  </w:num>
  <w:num w:numId="5" w16cid:durableId="249045065">
    <w:abstractNumId w:val="4"/>
  </w:num>
  <w:num w:numId="6" w16cid:durableId="728922884">
    <w:abstractNumId w:val="5"/>
  </w:num>
  <w:num w:numId="7" w16cid:durableId="999581211">
    <w:abstractNumId w:val="3"/>
  </w:num>
  <w:num w:numId="8" w16cid:durableId="657804061">
    <w:abstractNumId w:val="0"/>
  </w:num>
  <w:num w:numId="9" w16cid:durableId="21632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B0"/>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05013"/>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4C74"/>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4A5E"/>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16CB0"/>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D550F"/>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B973"/>
  <w15:chartTrackingRefBased/>
  <w15:docId w15:val="{DF1DAB1E-BF81-A247-B8D5-E34D545F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16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CB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6C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D16C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16C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6C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6C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6C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B0"/>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16CB0"/>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16CB0"/>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16CB0"/>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D16CB0"/>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16CB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16CB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16CB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16CB0"/>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16C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CB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16C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CB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16C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CB0"/>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16CB0"/>
    <w:pPr>
      <w:ind w:left="720"/>
      <w:contextualSpacing/>
    </w:pPr>
  </w:style>
  <w:style w:type="character" w:styleId="IntenseEmphasis">
    <w:name w:val="Intense Emphasis"/>
    <w:basedOn w:val="DefaultParagraphFont"/>
    <w:uiPriority w:val="21"/>
    <w:qFormat/>
    <w:rsid w:val="00D16CB0"/>
    <w:rPr>
      <w:i/>
      <w:iCs/>
      <w:color w:val="2F5496" w:themeColor="accent1" w:themeShade="BF"/>
    </w:rPr>
  </w:style>
  <w:style w:type="paragraph" w:styleId="IntenseQuote">
    <w:name w:val="Intense Quote"/>
    <w:basedOn w:val="Normal"/>
    <w:next w:val="Normal"/>
    <w:link w:val="IntenseQuoteChar"/>
    <w:uiPriority w:val="30"/>
    <w:qFormat/>
    <w:rsid w:val="00D16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CB0"/>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16CB0"/>
    <w:rPr>
      <w:b/>
      <w:bCs/>
      <w:smallCaps/>
      <w:color w:val="2F5496" w:themeColor="accent1" w:themeShade="BF"/>
      <w:spacing w:val="5"/>
    </w:rPr>
  </w:style>
  <w:style w:type="paragraph" w:customStyle="1" w:styleId="break-words">
    <w:name w:val="break-words"/>
    <w:basedOn w:val="Normal"/>
    <w:rsid w:val="00105013"/>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105013"/>
    <w:rPr>
      <w:b/>
      <w:bCs/>
    </w:rPr>
  </w:style>
  <w:style w:type="character" w:styleId="Emphasis">
    <w:name w:val="Emphasis"/>
    <w:basedOn w:val="DefaultParagraphFont"/>
    <w:uiPriority w:val="20"/>
    <w:qFormat/>
    <w:rsid w:val="003D4C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393486">
      <w:bodyDiv w:val="1"/>
      <w:marLeft w:val="0"/>
      <w:marRight w:val="0"/>
      <w:marTop w:val="0"/>
      <w:marBottom w:val="0"/>
      <w:divBdr>
        <w:top w:val="none" w:sz="0" w:space="0" w:color="auto"/>
        <w:left w:val="none" w:sz="0" w:space="0" w:color="auto"/>
        <w:bottom w:val="none" w:sz="0" w:space="0" w:color="auto"/>
        <w:right w:val="none" w:sz="0" w:space="0" w:color="auto"/>
      </w:divBdr>
      <w:divsChild>
        <w:div w:id="1530492180">
          <w:marLeft w:val="0"/>
          <w:marRight w:val="0"/>
          <w:marTop w:val="0"/>
          <w:marBottom w:val="0"/>
          <w:divBdr>
            <w:top w:val="none" w:sz="0" w:space="0" w:color="auto"/>
            <w:left w:val="none" w:sz="0" w:space="0" w:color="auto"/>
            <w:bottom w:val="none" w:sz="0" w:space="0" w:color="auto"/>
            <w:right w:val="none" w:sz="0" w:space="0" w:color="auto"/>
          </w:divBdr>
        </w:div>
      </w:divsChild>
    </w:div>
    <w:div w:id="868879278">
      <w:bodyDiv w:val="1"/>
      <w:marLeft w:val="0"/>
      <w:marRight w:val="0"/>
      <w:marTop w:val="0"/>
      <w:marBottom w:val="0"/>
      <w:divBdr>
        <w:top w:val="none" w:sz="0" w:space="0" w:color="auto"/>
        <w:left w:val="none" w:sz="0" w:space="0" w:color="auto"/>
        <w:bottom w:val="none" w:sz="0" w:space="0" w:color="auto"/>
        <w:right w:val="none" w:sz="0" w:space="0" w:color="auto"/>
      </w:divBdr>
      <w:divsChild>
        <w:div w:id="1418021588">
          <w:marLeft w:val="0"/>
          <w:marRight w:val="0"/>
          <w:marTop w:val="0"/>
          <w:marBottom w:val="0"/>
          <w:divBdr>
            <w:top w:val="none" w:sz="0" w:space="0" w:color="auto"/>
            <w:left w:val="none" w:sz="0" w:space="0" w:color="auto"/>
            <w:bottom w:val="none" w:sz="0" w:space="0" w:color="auto"/>
            <w:right w:val="none" w:sz="0" w:space="0" w:color="auto"/>
          </w:divBdr>
        </w:div>
      </w:divsChild>
    </w:div>
    <w:div w:id="1167791436">
      <w:bodyDiv w:val="1"/>
      <w:marLeft w:val="0"/>
      <w:marRight w:val="0"/>
      <w:marTop w:val="0"/>
      <w:marBottom w:val="0"/>
      <w:divBdr>
        <w:top w:val="none" w:sz="0" w:space="0" w:color="auto"/>
        <w:left w:val="none" w:sz="0" w:space="0" w:color="auto"/>
        <w:bottom w:val="none" w:sz="0" w:space="0" w:color="auto"/>
        <w:right w:val="none" w:sz="0" w:space="0" w:color="auto"/>
      </w:divBdr>
      <w:divsChild>
        <w:div w:id="1747262411">
          <w:marLeft w:val="0"/>
          <w:marRight w:val="0"/>
          <w:marTop w:val="0"/>
          <w:marBottom w:val="0"/>
          <w:divBdr>
            <w:top w:val="none" w:sz="0" w:space="0" w:color="auto"/>
            <w:left w:val="none" w:sz="0" w:space="0" w:color="auto"/>
            <w:bottom w:val="none" w:sz="0" w:space="0" w:color="auto"/>
            <w:right w:val="none" w:sz="0" w:space="0" w:color="auto"/>
          </w:divBdr>
        </w:div>
      </w:divsChild>
    </w:div>
    <w:div w:id="1297105065">
      <w:bodyDiv w:val="1"/>
      <w:marLeft w:val="0"/>
      <w:marRight w:val="0"/>
      <w:marTop w:val="0"/>
      <w:marBottom w:val="0"/>
      <w:divBdr>
        <w:top w:val="none" w:sz="0" w:space="0" w:color="auto"/>
        <w:left w:val="none" w:sz="0" w:space="0" w:color="auto"/>
        <w:bottom w:val="none" w:sz="0" w:space="0" w:color="auto"/>
        <w:right w:val="none" w:sz="0" w:space="0" w:color="auto"/>
      </w:divBdr>
      <w:divsChild>
        <w:div w:id="912742058">
          <w:marLeft w:val="0"/>
          <w:marRight w:val="0"/>
          <w:marTop w:val="0"/>
          <w:marBottom w:val="0"/>
          <w:divBdr>
            <w:top w:val="none" w:sz="0" w:space="0" w:color="auto"/>
            <w:left w:val="none" w:sz="0" w:space="0" w:color="auto"/>
            <w:bottom w:val="none" w:sz="0" w:space="0" w:color="auto"/>
            <w:right w:val="none" w:sz="0" w:space="0" w:color="auto"/>
          </w:divBdr>
        </w:div>
      </w:divsChild>
    </w:div>
    <w:div w:id="1369452576">
      <w:bodyDiv w:val="1"/>
      <w:marLeft w:val="0"/>
      <w:marRight w:val="0"/>
      <w:marTop w:val="0"/>
      <w:marBottom w:val="0"/>
      <w:divBdr>
        <w:top w:val="none" w:sz="0" w:space="0" w:color="auto"/>
        <w:left w:val="none" w:sz="0" w:space="0" w:color="auto"/>
        <w:bottom w:val="none" w:sz="0" w:space="0" w:color="auto"/>
        <w:right w:val="none" w:sz="0" w:space="0" w:color="auto"/>
      </w:divBdr>
      <w:divsChild>
        <w:div w:id="1678843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2025-03-02T17:20:00Z</dcterms:created>
  <dcterms:modified xsi:type="dcterms:W3CDTF">2025-03-03T10:23:00Z</dcterms:modified>
</cp:coreProperties>
</file>