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5A7C5A" w14:textId="77777777" w:rsidR="00586789" w:rsidRPr="00586789" w:rsidRDefault="00586789" w:rsidP="00586789">
      <w:pPr>
        <w:spacing w:after="240" w:line="360" w:lineRule="auto"/>
        <w:outlineLvl w:val="2"/>
        <w:rPr>
          <w:rFonts w:ascii="Times New Roman" w:hAnsi="Times New Roman"/>
          <w:b/>
          <w:bCs/>
          <w:lang w:val="en-HK"/>
        </w:rPr>
      </w:pPr>
      <w:r w:rsidRPr="00586789">
        <w:rPr>
          <w:rFonts w:ascii="Times New Roman" w:hAnsi="Times New Roman"/>
          <w:b/>
          <w:bCs/>
          <w:lang w:val="en-HK"/>
        </w:rPr>
        <w:t>1. Cases and Their Implications</w:t>
      </w:r>
    </w:p>
    <w:p w14:paraId="68963715" w14:textId="6571C792" w:rsidR="00586789" w:rsidRPr="00586789" w:rsidRDefault="00586789" w:rsidP="00586789">
      <w:pPr>
        <w:spacing w:after="240" w:line="360" w:lineRule="auto"/>
        <w:rPr>
          <w:rFonts w:ascii="Times New Roman" w:hAnsi="Times New Roman"/>
          <w:lang w:val="en-HK"/>
        </w:rPr>
      </w:pPr>
      <w:r w:rsidRPr="00586789">
        <w:rPr>
          <w:rFonts w:ascii="Times New Roman" w:hAnsi="Times New Roman"/>
          <w:lang w:val="en-HK"/>
        </w:rPr>
        <w:t xml:space="preserve">The document primarily </w:t>
      </w:r>
      <w:proofErr w:type="spellStart"/>
      <w:r w:rsidRPr="00586789">
        <w:rPr>
          <w:rFonts w:ascii="Times New Roman" w:hAnsi="Times New Roman"/>
          <w:lang w:val="en-HK"/>
        </w:rPr>
        <w:t>analyzes</w:t>
      </w:r>
      <w:proofErr w:type="spellEnd"/>
      <w:r w:rsidRPr="00586789">
        <w:rPr>
          <w:rFonts w:ascii="Times New Roman" w:hAnsi="Times New Roman"/>
          <w:lang w:val="en-HK"/>
        </w:rPr>
        <w:t xml:space="preserve"> the Court of Appeal’s decision in </w:t>
      </w:r>
      <w:r w:rsidRPr="00586789">
        <w:rPr>
          <w:rFonts w:ascii="Times New Roman" w:hAnsi="Times New Roman"/>
          <w:i/>
          <w:iCs/>
          <w:lang w:val="en-HK"/>
        </w:rPr>
        <w:t>Byers v The Saudi National Bank</w:t>
      </w:r>
      <w:r w:rsidRPr="00586789">
        <w:rPr>
          <w:rFonts w:ascii="Times New Roman" w:hAnsi="Times New Roman"/>
          <w:lang w:val="en-HK"/>
        </w:rPr>
        <w:t xml:space="preserve"> [2022] EWCA </w:t>
      </w:r>
      <w:proofErr w:type="spellStart"/>
      <w:r w:rsidRPr="00586789">
        <w:rPr>
          <w:rFonts w:ascii="Times New Roman" w:hAnsi="Times New Roman"/>
          <w:lang w:val="en-HK"/>
        </w:rPr>
        <w:t>Civ</w:t>
      </w:r>
      <w:proofErr w:type="spellEnd"/>
      <w:r w:rsidRPr="00586789">
        <w:rPr>
          <w:rFonts w:ascii="Times New Roman" w:hAnsi="Times New Roman"/>
          <w:lang w:val="en-HK"/>
        </w:rPr>
        <w:t xml:space="preserve"> 43, alongside supporting precedents, to address whether a knowing receipt claim requires a continuing proprietary interest. Implications focus on the interplay between English equitable principles and foreign property laws in trust litigation.</w:t>
      </w:r>
    </w:p>
    <w:p w14:paraId="65CC0E3F" w14:textId="77777777" w:rsidR="00586789" w:rsidRPr="00586789" w:rsidRDefault="00586789" w:rsidP="00586789">
      <w:pPr>
        <w:numPr>
          <w:ilvl w:val="0"/>
          <w:numId w:val="1"/>
        </w:numPr>
        <w:spacing w:after="240" w:line="360" w:lineRule="auto"/>
        <w:rPr>
          <w:rFonts w:ascii="Times New Roman" w:hAnsi="Times New Roman"/>
          <w:lang w:val="en-HK"/>
        </w:rPr>
      </w:pPr>
      <w:r w:rsidRPr="00586789">
        <w:rPr>
          <w:rFonts w:ascii="Times New Roman" w:hAnsi="Times New Roman"/>
          <w:b/>
          <w:bCs/>
          <w:lang w:val="en-HK"/>
        </w:rPr>
        <w:t xml:space="preserve">Byers v The Saudi National Bank [2022] EWCA </w:t>
      </w:r>
      <w:proofErr w:type="spellStart"/>
      <w:r w:rsidRPr="00586789">
        <w:rPr>
          <w:rFonts w:ascii="Times New Roman" w:hAnsi="Times New Roman"/>
          <w:b/>
          <w:bCs/>
          <w:lang w:val="en-HK"/>
        </w:rPr>
        <w:t>Civ</w:t>
      </w:r>
      <w:proofErr w:type="spellEnd"/>
      <w:r w:rsidRPr="00586789">
        <w:rPr>
          <w:rFonts w:ascii="Times New Roman" w:hAnsi="Times New Roman"/>
          <w:b/>
          <w:bCs/>
          <w:lang w:val="en-HK"/>
        </w:rPr>
        <w:t xml:space="preserve"> 43, [2022] 4 WLR 22</w:t>
      </w:r>
      <w:r w:rsidRPr="00586789">
        <w:rPr>
          <w:rFonts w:ascii="Times New Roman" w:hAnsi="Times New Roman"/>
          <w:lang w:val="en-HK"/>
        </w:rPr>
        <w:t xml:space="preserve"> </w:t>
      </w:r>
    </w:p>
    <w:p w14:paraId="604B7D1F"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Facts</w:t>
      </w:r>
      <w:r w:rsidRPr="00586789">
        <w:rPr>
          <w:rFonts w:ascii="Times New Roman" w:hAnsi="Times New Roman"/>
          <w:lang w:val="en-HK"/>
        </w:rPr>
        <w:t>: Saad Investments Company Ltd (SICL), a Cayman Islands entity, and its liquidators claimed that Mr. Maan Al-</w:t>
      </w:r>
      <w:proofErr w:type="spellStart"/>
      <w:r w:rsidRPr="00586789">
        <w:rPr>
          <w:rFonts w:ascii="Times New Roman" w:hAnsi="Times New Roman"/>
          <w:lang w:val="en-HK"/>
        </w:rPr>
        <w:t>Sanea</w:t>
      </w:r>
      <w:proofErr w:type="spellEnd"/>
      <w:r w:rsidRPr="00586789">
        <w:rPr>
          <w:rFonts w:ascii="Times New Roman" w:hAnsi="Times New Roman"/>
          <w:lang w:val="en-HK"/>
        </w:rPr>
        <w:t xml:space="preserve"> transferred shares in five Saudi banks, including Samba Financial Group, to Samba in breach of trust in September 2009, partially discharging Al-</w:t>
      </w:r>
      <w:proofErr w:type="spellStart"/>
      <w:r w:rsidRPr="00586789">
        <w:rPr>
          <w:rFonts w:ascii="Times New Roman" w:hAnsi="Times New Roman"/>
          <w:lang w:val="en-HK"/>
        </w:rPr>
        <w:t>Sanea’s</w:t>
      </w:r>
      <w:proofErr w:type="spellEnd"/>
      <w:r w:rsidRPr="00586789">
        <w:rPr>
          <w:rFonts w:ascii="Times New Roman" w:hAnsi="Times New Roman"/>
          <w:lang w:val="en-HK"/>
        </w:rPr>
        <w:t xml:space="preserve"> personal debts. The shares, valued over US$300 million, were allegedly held on trust for SICL under agreements from 2002-2008. Following Samba’s merger with The Saudi National Bank (SNB), SNB became the defendant. SICL alleged Samba knew of the breach, asserting a knowing receipt claim under English or Cayman law. Samba argued that Saudi law (lex situs) extinguished SICL’s equitable interest upon transfer.</w:t>
      </w:r>
    </w:p>
    <w:p w14:paraId="2671957A"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Held</w:t>
      </w:r>
      <w:r w:rsidRPr="00586789">
        <w:rPr>
          <w:rFonts w:ascii="Times New Roman" w:hAnsi="Times New Roman"/>
          <w:lang w:val="en-HK"/>
        </w:rPr>
        <w:t xml:space="preserve">: The Court of Appeal (Newey LJ, </w:t>
      </w:r>
      <w:proofErr w:type="spellStart"/>
      <w:r w:rsidRPr="00586789">
        <w:rPr>
          <w:rFonts w:ascii="Times New Roman" w:hAnsi="Times New Roman"/>
          <w:lang w:val="en-HK"/>
        </w:rPr>
        <w:t>Asplin</w:t>
      </w:r>
      <w:proofErr w:type="spellEnd"/>
      <w:r w:rsidRPr="00586789">
        <w:rPr>
          <w:rFonts w:ascii="Times New Roman" w:hAnsi="Times New Roman"/>
          <w:lang w:val="en-HK"/>
        </w:rPr>
        <w:t xml:space="preserve"> LJ, </w:t>
      </w:r>
      <w:proofErr w:type="spellStart"/>
      <w:r w:rsidRPr="00586789">
        <w:rPr>
          <w:rFonts w:ascii="Times New Roman" w:hAnsi="Times New Roman"/>
          <w:lang w:val="en-HK"/>
        </w:rPr>
        <w:t>Popplewell</w:t>
      </w:r>
      <w:proofErr w:type="spellEnd"/>
      <w:r w:rsidRPr="00586789">
        <w:rPr>
          <w:rFonts w:ascii="Times New Roman" w:hAnsi="Times New Roman"/>
          <w:lang w:val="en-HK"/>
        </w:rPr>
        <w:t xml:space="preserve"> LJ) upheld </w:t>
      </w:r>
      <w:proofErr w:type="spellStart"/>
      <w:r w:rsidRPr="00586789">
        <w:rPr>
          <w:rFonts w:ascii="Times New Roman" w:hAnsi="Times New Roman"/>
          <w:lang w:val="en-HK"/>
        </w:rPr>
        <w:t>Fancourt</w:t>
      </w:r>
      <w:proofErr w:type="spellEnd"/>
      <w:r w:rsidRPr="00586789">
        <w:rPr>
          <w:rFonts w:ascii="Times New Roman" w:hAnsi="Times New Roman"/>
          <w:lang w:val="en-HK"/>
        </w:rPr>
        <w:t xml:space="preserve"> J’s dismissal of the claim ([2021] EWHC 60 (Ch)), ruling that a continuing proprietary interest is required for knowing receipt. Since Saudi law gave Samba unencumbered title, SICL’s claim failed.</w:t>
      </w:r>
    </w:p>
    <w:p w14:paraId="4627F566"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Reasoning</w:t>
      </w:r>
      <w:r w:rsidRPr="00586789">
        <w:rPr>
          <w:rFonts w:ascii="Times New Roman" w:hAnsi="Times New Roman"/>
          <w:lang w:val="en-HK"/>
        </w:rPr>
        <w:t>:</w:t>
      </w:r>
    </w:p>
    <w:p w14:paraId="022114F4" w14:textId="2043BF94" w:rsidR="00586789" w:rsidRPr="00586789" w:rsidRDefault="00586789" w:rsidP="00586789">
      <w:pPr>
        <w:numPr>
          <w:ilvl w:val="2"/>
          <w:numId w:val="1"/>
        </w:numPr>
        <w:spacing w:after="240" w:line="360" w:lineRule="auto"/>
        <w:rPr>
          <w:rFonts w:ascii="Times New Roman" w:hAnsi="Times New Roman"/>
          <w:lang w:val="en-HK"/>
        </w:rPr>
      </w:pPr>
      <w:r w:rsidRPr="00586789">
        <w:rPr>
          <w:rFonts w:ascii="Times New Roman" w:hAnsi="Times New Roman"/>
          <w:lang w:val="en-HK"/>
        </w:rPr>
        <w:t xml:space="preserve">At 803, Hoffmann LJ’s test from </w:t>
      </w:r>
      <w:r w:rsidRPr="00586789">
        <w:rPr>
          <w:rFonts w:ascii="Times New Roman" w:hAnsi="Times New Roman"/>
          <w:i/>
          <w:iCs/>
          <w:lang w:val="en-HK"/>
        </w:rPr>
        <w:t xml:space="preserve">El </w:t>
      </w:r>
      <w:proofErr w:type="spellStart"/>
      <w:r w:rsidRPr="00586789">
        <w:rPr>
          <w:rFonts w:ascii="Times New Roman" w:hAnsi="Times New Roman"/>
          <w:i/>
          <w:iCs/>
          <w:lang w:val="en-HK"/>
        </w:rPr>
        <w:t>Ajou</w:t>
      </w:r>
      <w:proofErr w:type="spellEnd"/>
      <w:r w:rsidRPr="00586789">
        <w:rPr>
          <w:rFonts w:ascii="Times New Roman" w:hAnsi="Times New Roman"/>
          <w:i/>
          <w:iCs/>
          <w:lang w:val="en-HK"/>
        </w:rPr>
        <w:t xml:space="preserve"> v Dollar Land Holdings plc</w:t>
      </w:r>
      <w:r w:rsidRPr="00586789">
        <w:rPr>
          <w:rFonts w:ascii="Times New Roman" w:hAnsi="Times New Roman"/>
          <w:lang w:val="en-HK"/>
        </w:rPr>
        <w:t xml:space="preserve"> [1994] 2 All ER 685 at 700 was cited: a claimant must show </w:t>
      </w:r>
      <w:r w:rsidRPr="00586789">
        <w:rPr>
          <w:rFonts w:ascii="Times New Roman" w:hAnsi="Times New Roman"/>
          <w:i/>
          <w:iCs/>
          <w:lang w:val="en-HK"/>
        </w:rPr>
        <w:t>a disposal of his assets in breach of fiduciary duty; secondly, the beneficial receipt by the defendant of assets which are traceable as representing the assets of the plaintiff; and thirdly, knowledge on the part of the defendant that the assets he received are traceable to a breach of fiduciary duty</w:t>
      </w:r>
      <w:r w:rsidRPr="00586789">
        <w:rPr>
          <w:rFonts w:ascii="Times New Roman" w:hAnsi="Times New Roman"/>
          <w:lang w:val="en-HK"/>
        </w:rPr>
        <w:t xml:space="preserve">. In </w:t>
      </w:r>
      <w:r w:rsidRPr="00586789">
        <w:rPr>
          <w:rFonts w:ascii="Times New Roman" w:hAnsi="Times New Roman"/>
          <w:i/>
          <w:iCs/>
          <w:lang w:val="en-HK"/>
        </w:rPr>
        <w:t>Bank of Credit and Commerce International (Overseas) Ltd v Akindele</w:t>
      </w:r>
      <w:r w:rsidRPr="00586789">
        <w:rPr>
          <w:rFonts w:ascii="Times New Roman" w:hAnsi="Times New Roman"/>
          <w:lang w:val="en-HK"/>
        </w:rPr>
        <w:t xml:space="preserve"> [2001] Ch 437 at 455, this knowledge must make retention </w:t>
      </w:r>
      <w:r w:rsidRPr="00586789">
        <w:rPr>
          <w:rFonts w:ascii="Times New Roman" w:hAnsi="Times New Roman"/>
          <w:i/>
          <w:iCs/>
          <w:lang w:val="en-HK"/>
        </w:rPr>
        <w:t>unconscionable</w:t>
      </w:r>
      <w:r w:rsidRPr="00586789">
        <w:rPr>
          <w:rFonts w:ascii="Times New Roman" w:hAnsi="Times New Roman"/>
          <w:lang w:val="en-HK"/>
        </w:rPr>
        <w:t>, not requiring dishonesty.</w:t>
      </w:r>
    </w:p>
    <w:p w14:paraId="4F41BEC8" w14:textId="30405676" w:rsidR="00586789" w:rsidRPr="00586789" w:rsidRDefault="00586789" w:rsidP="00586789">
      <w:pPr>
        <w:numPr>
          <w:ilvl w:val="2"/>
          <w:numId w:val="1"/>
        </w:numPr>
        <w:spacing w:after="240" w:line="360" w:lineRule="auto"/>
        <w:rPr>
          <w:rFonts w:ascii="Times New Roman" w:hAnsi="Times New Roman"/>
          <w:lang w:val="en-HK"/>
        </w:rPr>
      </w:pPr>
      <w:r w:rsidRPr="00586789">
        <w:rPr>
          <w:rFonts w:ascii="Times New Roman" w:hAnsi="Times New Roman"/>
          <w:lang w:val="en-HK"/>
        </w:rPr>
        <w:t xml:space="preserve">At 804, the Court clarified that receipt means the property must remain trust property post-transfer, rejecting the claimants’ view that prior trust status suffices. It queried: </w:t>
      </w:r>
      <w:r w:rsidRPr="00586789">
        <w:rPr>
          <w:rFonts w:ascii="Times New Roman" w:hAnsi="Times New Roman"/>
          <w:i/>
          <w:iCs/>
          <w:lang w:val="en-HK"/>
        </w:rPr>
        <w:t xml:space="preserve">Why </w:t>
      </w:r>
      <w:r w:rsidRPr="00586789">
        <w:rPr>
          <w:rFonts w:ascii="Times New Roman" w:hAnsi="Times New Roman"/>
          <w:i/>
          <w:iCs/>
          <w:lang w:val="en-HK"/>
        </w:rPr>
        <w:lastRenderedPageBreak/>
        <w:t>should it be crucial that the defendant had possession of property that had been subject to the trust if it never had to be so subject when held by the defendant?</w:t>
      </w:r>
    </w:p>
    <w:p w14:paraId="5945C2C0" w14:textId="26DBD38D" w:rsidR="00586789" w:rsidRPr="00586789" w:rsidRDefault="00586789" w:rsidP="00586789">
      <w:pPr>
        <w:numPr>
          <w:ilvl w:val="2"/>
          <w:numId w:val="1"/>
        </w:numPr>
        <w:spacing w:after="240" w:line="360" w:lineRule="auto"/>
        <w:rPr>
          <w:rFonts w:ascii="Times New Roman" w:hAnsi="Times New Roman"/>
          <w:lang w:val="en-HK"/>
        </w:rPr>
      </w:pPr>
      <w:r w:rsidRPr="00586789">
        <w:rPr>
          <w:rFonts w:ascii="Times New Roman" w:hAnsi="Times New Roman"/>
          <w:lang w:val="en-HK"/>
        </w:rPr>
        <w:t>At 805-806, prior cases (</w:t>
      </w:r>
      <w:r w:rsidRPr="00586789">
        <w:rPr>
          <w:rFonts w:ascii="Times New Roman" w:hAnsi="Times New Roman"/>
          <w:i/>
          <w:iCs/>
          <w:lang w:val="en-HK"/>
        </w:rPr>
        <w:t>Macmillan</w:t>
      </w:r>
      <w:r w:rsidRPr="00586789">
        <w:rPr>
          <w:rFonts w:ascii="Times New Roman" w:hAnsi="Times New Roman"/>
          <w:lang w:val="en-HK"/>
        </w:rPr>
        <w:t xml:space="preserve">, </w:t>
      </w:r>
      <w:r w:rsidRPr="00586789">
        <w:rPr>
          <w:rFonts w:ascii="Times New Roman" w:hAnsi="Times New Roman"/>
          <w:i/>
          <w:iCs/>
          <w:lang w:val="en-HK"/>
        </w:rPr>
        <w:t>Lightning</w:t>
      </w:r>
      <w:r w:rsidRPr="00586789">
        <w:rPr>
          <w:rFonts w:ascii="Times New Roman" w:hAnsi="Times New Roman"/>
          <w:lang w:val="en-HK"/>
        </w:rPr>
        <w:t xml:space="preserve">, </w:t>
      </w:r>
      <w:r w:rsidRPr="00586789">
        <w:rPr>
          <w:rFonts w:ascii="Times New Roman" w:hAnsi="Times New Roman"/>
          <w:i/>
          <w:iCs/>
          <w:lang w:val="en-HK"/>
        </w:rPr>
        <w:t>Akers</w:t>
      </w:r>
      <w:r w:rsidRPr="00586789">
        <w:rPr>
          <w:rFonts w:ascii="Times New Roman" w:hAnsi="Times New Roman"/>
          <w:lang w:val="en-HK"/>
        </w:rPr>
        <w:t xml:space="preserve">, </w:t>
      </w:r>
      <w:proofErr w:type="spellStart"/>
      <w:r w:rsidRPr="00586789">
        <w:rPr>
          <w:rFonts w:ascii="Times New Roman" w:hAnsi="Times New Roman"/>
          <w:i/>
          <w:iCs/>
          <w:lang w:val="en-HK"/>
        </w:rPr>
        <w:t>Courtwood</w:t>
      </w:r>
      <w:proofErr w:type="spellEnd"/>
      <w:r w:rsidRPr="00586789">
        <w:rPr>
          <w:rFonts w:ascii="Times New Roman" w:hAnsi="Times New Roman"/>
          <w:lang w:val="en-HK"/>
        </w:rPr>
        <w:t xml:space="preserve">) confirmed this requirement. Custodial duties (e.g., </w:t>
      </w:r>
      <w:r w:rsidRPr="00586789">
        <w:rPr>
          <w:rFonts w:ascii="Times New Roman" w:hAnsi="Times New Roman"/>
          <w:i/>
          <w:iCs/>
          <w:lang w:val="en-HK"/>
        </w:rPr>
        <w:t>Arthur</w:t>
      </w:r>
      <w:r w:rsidRPr="00586789">
        <w:rPr>
          <w:rFonts w:ascii="Times New Roman" w:hAnsi="Times New Roman"/>
          <w:lang w:val="en-HK"/>
        </w:rPr>
        <w:t xml:space="preserve"> [2012] UKPC 30 at [37]: </w:t>
      </w:r>
      <w:r w:rsidRPr="00586789">
        <w:rPr>
          <w:rFonts w:ascii="Times New Roman" w:hAnsi="Times New Roman"/>
          <w:i/>
          <w:iCs/>
          <w:lang w:val="en-HK"/>
        </w:rPr>
        <w:t>subject to custodial duties which are the same as those voluntarily assumed by express trustees</w:t>
      </w:r>
      <w:r w:rsidRPr="00586789">
        <w:rPr>
          <w:rFonts w:ascii="Times New Roman" w:hAnsi="Times New Roman"/>
          <w:lang w:val="en-HK"/>
        </w:rPr>
        <w:t>) only arise with a subsisting interest. At 806, an impregnable title negates unconscionability (</w:t>
      </w:r>
      <w:r w:rsidRPr="00586789">
        <w:rPr>
          <w:rFonts w:ascii="Times New Roman" w:hAnsi="Times New Roman"/>
          <w:i/>
          <w:iCs/>
          <w:lang w:val="en-HK"/>
        </w:rPr>
        <w:t>Akindele</w:t>
      </w:r>
      <w:r w:rsidRPr="00586789">
        <w:rPr>
          <w:rFonts w:ascii="Times New Roman" w:hAnsi="Times New Roman"/>
          <w:lang w:val="en-HK"/>
        </w:rPr>
        <w:t xml:space="preserve"> at 455)</w:t>
      </w:r>
      <w:r w:rsidRPr="00586789">
        <w:rPr>
          <w:rFonts w:ascii="Times New Roman" w:hAnsi="Times New Roman"/>
          <w:lang w:val="en-HK"/>
        </w:rPr>
        <w:t>.</w:t>
      </w:r>
    </w:p>
    <w:p w14:paraId="644D1BE9" w14:textId="77777777" w:rsidR="00586789" w:rsidRPr="00586789" w:rsidRDefault="00586789" w:rsidP="00586789">
      <w:pPr>
        <w:numPr>
          <w:ilvl w:val="2"/>
          <w:numId w:val="1"/>
        </w:numPr>
        <w:spacing w:after="240" w:line="360" w:lineRule="auto"/>
        <w:rPr>
          <w:rFonts w:ascii="Times New Roman" w:hAnsi="Times New Roman"/>
          <w:lang w:val="en-HK"/>
        </w:rPr>
      </w:pPr>
      <w:r w:rsidRPr="00586789">
        <w:rPr>
          <w:rFonts w:ascii="Times New Roman" w:hAnsi="Times New Roman"/>
          <w:lang w:val="en-HK"/>
        </w:rPr>
        <w:t xml:space="preserve">On Saudi law (806-807), the Court upheld </w:t>
      </w:r>
      <w:proofErr w:type="spellStart"/>
      <w:r w:rsidRPr="00586789">
        <w:rPr>
          <w:rFonts w:ascii="Times New Roman" w:hAnsi="Times New Roman"/>
          <w:lang w:val="en-HK"/>
        </w:rPr>
        <w:t>Fancourt</w:t>
      </w:r>
      <w:proofErr w:type="spellEnd"/>
      <w:r w:rsidRPr="00586789">
        <w:rPr>
          <w:rFonts w:ascii="Times New Roman" w:hAnsi="Times New Roman"/>
          <w:lang w:val="en-HK"/>
        </w:rPr>
        <w:t xml:space="preserve"> J’s finding, based on expert evidence, that registration under the Saudi Arabian Capital Market Regulation of 2003 and Companies Regulation of 1965 conferred unencumbered title, unreversible by off-market trusts.</w:t>
      </w:r>
    </w:p>
    <w:p w14:paraId="195F69D6"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Implications</w:t>
      </w:r>
      <w:r w:rsidRPr="00586789">
        <w:rPr>
          <w:rFonts w:ascii="Times New Roman" w:hAnsi="Times New Roman"/>
          <w:lang w:val="en-HK"/>
        </w:rPr>
        <w:t>:</w:t>
      </w:r>
    </w:p>
    <w:p w14:paraId="578BA3E5" w14:textId="508F4603" w:rsidR="00586789" w:rsidRPr="00586789" w:rsidRDefault="00586789" w:rsidP="00586789">
      <w:pPr>
        <w:numPr>
          <w:ilvl w:val="2"/>
          <w:numId w:val="1"/>
        </w:numPr>
        <w:spacing w:after="240" w:line="360" w:lineRule="auto"/>
        <w:rPr>
          <w:rFonts w:ascii="Times New Roman" w:hAnsi="Times New Roman"/>
          <w:lang w:val="en-HK"/>
        </w:rPr>
      </w:pPr>
      <w:r w:rsidRPr="00586789">
        <w:rPr>
          <w:rFonts w:ascii="Times New Roman" w:hAnsi="Times New Roman"/>
          <w:lang w:val="en-HK"/>
        </w:rPr>
        <w:t>A knowing receipt claim fails if the lex situs extinguishes the claimant’s equitable interest, aligning it with proprietary claims’ vulnerability (808). This respects foreign property law under English private international law, avoiding undermining lex situs outcomes with personal liability.</w:t>
      </w:r>
    </w:p>
    <w:p w14:paraId="7091B047" w14:textId="4BD16906" w:rsidR="00586789" w:rsidRPr="00586789" w:rsidRDefault="00586789" w:rsidP="00586789">
      <w:pPr>
        <w:numPr>
          <w:ilvl w:val="2"/>
          <w:numId w:val="1"/>
        </w:numPr>
        <w:spacing w:after="240" w:line="360" w:lineRule="auto"/>
        <w:rPr>
          <w:rFonts w:ascii="Times New Roman" w:hAnsi="Times New Roman"/>
          <w:lang w:val="en-HK"/>
        </w:rPr>
      </w:pPr>
      <w:r w:rsidRPr="00586789">
        <w:rPr>
          <w:rFonts w:ascii="Times New Roman" w:hAnsi="Times New Roman"/>
          <w:lang w:val="en-HK"/>
        </w:rPr>
        <w:t>Dishonest assistance remains viable where proprietary interests are lost, not requiring receipt (808).</w:t>
      </w:r>
    </w:p>
    <w:p w14:paraId="506B90CF" w14:textId="4DE4966F" w:rsidR="00586789" w:rsidRPr="00586789" w:rsidRDefault="00586789" w:rsidP="00586789">
      <w:pPr>
        <w:numPr>
          <w:ilvl w:val="2"/>
          <w:numId w:val="1"/>
        </w:numPr>
        <w:spacing w:after="240" w:line="360" w:lineRule="auto"/>
        <w:rPr>
          <w:rFonts w:ascii="Times New Roman" w:hAnsi="Times New Roman"/>
          <w:lang w:val="en-HK"/>
        </w:rPr>
      </w:pPr>
      <w:r w:rsidRPr="00586789">
        <w:rPr>
          <w:rFonts w:ascii="Times New Roman" w:hAnsi="Times New Roman"/>
          <w:lang w:val="en-HK"/>
        </w:rPr>
        <w:t>Appellate deference to trial judges’ foreign law findings limits re-interpretation absent clear error (807).</w:t>
      </w:r>
    </w:p>
    <w:p w14:paraId="499F2286" w14:textId="77777777" w:rsidR="00586789" w:rsidRPr="00586789" w:rsidRDefault="00586789" w:rsidP="00586789">
      <w:pPr>
        <w:numPr>
          <w:ilvl w:val="0"/>
          <w:numId w:val="1"/>
        </w:numPr>
        <w:spacing w:after="240" w:line="360" w:lineRule="auto"/>
        <w:rPr>
          <w:rFonts w:ascii="Times New Roman" w:hAnsi="Times New Roman"/>
          <w:lang w:val="en-HK"/>
        </w:rPr>
      </w:pPr>
      <w:r w:rsidRPr="00586789">
        <w:rPr>
          <w:rFonts w:ascii="Times New Roman" w:hAnsi="Times New Roman"/>
          <w:b/>
          <w:bCs/>
          <w:lang w:val="en-HK"/>
        </w:rPr>
        <w:t>Macmillan Inc v Bishopsgate Investment Trust plc (No. 3) [1995] 1 WLR 978 (affirmed [1996] 1 WLR 387])</w:t>
      </w:r>
      <w:r w:rsidRPr="00586789">
        <w:rPr>
          <w:rFonts w:ascii="Times New Roman" w:hAnsi="Times New Roman"/>
          <w:lang w:val="en-HK"/>
        </w:rPr>
        <w:t xml:space="preserve"> </w:t>
      </w:r>
    </w:p>
    <w:p w14:paraId="78FC59E6"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Facts</w:t>
      </w:r>
      <w:r w:rsidRPr="00586789">
        <w:rPr>
          <w:rFonts w:ascii="Times New Roman" w:hAnsi="Times New Roman"/>
          <w:lang w:val="en-HK"/>
        </w:rPr>
        <w:t>: Macmillan claimed shares pledged to three banks without consent, asserting proprietary and personal (knowing receipt) claims. The banks argued they were bona fide purchasers without notice.</w:t>
      </w:r>
    </w:p>
    <w:p w14:paraId="397EA4EF"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Held</w:t>
      </w:r>
      <w:r w:rsidRPr="00586789">
        <w:rPr>
          <w:rFonts w:ascii="Times New Roman" w:hAnsi="Times New Roman"/>
          <w:lang w:val="en-HK"/>
        </w:rPr>
        <w:t>: Millett J ruled both claims failed if the banks took free under the applicable law. The Court of Appeal affirmed this.</w:t>
      </w:r>
    </w:p>
    <w:p w14:paraId="345C33E3"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lastRenderedPageBreak/>
        <w:t>Reasoning</w:t>
      </w:r>
      <w:r w:rsidRPr="00586789">
        <w:rPr>
          <w:rFonts w:ascii="Times New Roman" w:hAnsi="Times New Roman"/>
          <w:lang w:val="en-HK"/>
        </w:rPr>
        <w:t xml:space="preserve">: At 989, Millett J stated: </w:t>
      </w:r>
      <w:r w:rsidRPr="00586789">
        <w:rPr>
          <w:rFonts w:ascii="Times New Roman" w:hAnsi="Times New Roman"/>
          <w:i/>
          <w:iCs/>
          <w:lang w:val="en-HK"/>
        </w:rPr>
        <w:t>In the absence of such an equity, any liability … must be based upon Macmillan’s continuing equitable ownership of the shares … Macmillan’s claim must rest upon “an undestroyed proprietary base”</w:t>
      </w:r>
      <w:r w:rsidRPr="00586789">
        <w:rPr>
          <w:rFonts w:ascii="Times New Roman" w:hAnsi="Times New Roman"/>
          <w:lang w:val="en-HK"/>
        </w:rPr>
        <w:t>. The Court of Appeal (at 398-399) agreed the issue was whether the banks’ title defeated Macmillan’s interest.</w:t>
      </w:r>
    </w:p>
    <w:p w14:paraId="4751D92A" w14:textId="556C0D58"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Implications</w:t>
      </w:r>
      <w:r w:rsidRPr="00586789">
        <w:rPr>
          <w:rFonts w:ascii="Times New Roman" w:hAnsi="Times New Roman"/>
          <w:lang w:val="en-HK"/>
        </w:rPr>
        <w:t>: Establishes that knowing receipt hinges on a continuing proprietary interest, not mere receipt with knowledge (804-805).</w:t>
      </w:r>
    </w:p>
    <w:p w14:paraId="2A0503EA" w14:textId="77777777" w:rsidR="00586789" w:rsidRPr="00586789" w:rsidRDefault="00586789" w:rsidP="00586789">
      <w:pPr>
        <w:numPr>
          <w:ilvl w:val="0"/>
          <w:numId w:val="1"/>
        </w:numPr>
        <w:spacing w:after="240" w:line="360" w:lineRule="auto"/>
        <w:rPr>
          <w:rFonts w:ascii="Times New Roman" w:hAnsi="Times New Roman"/>
          <w:lang w:val="en-HK"/>
        </w:rPr>
      </w:pPr>
      <w:r w:rsidRPr="00586789">
        <w:rPr>
          <w:rFonts w:ascii="Times New Roman" w:hAnsi="Times New Roman"/>
          <w:b/>
          <w:bCs/>
          <w:lang w:val="en-HK"/>
        </w:rPr>
        <w:t>Lightning v Lightning Electrical Contractors Ltd (1998, cited (2009) 23 TLI 35)</w:t>
      </w:r>
      <w:r w:rsidRPr="00586789">
        <w:rPr>
          <w:rFonts w:ascii="Times New Roman" w:hAnsi="Times New Roman"/>
          <w:lang w:val="en-HK"/>
        </w:rPr>
        <w:t xml:space="preserve"> </w:t>
      </w:r>
    </w:p>
    <w:p w14:paraId="1D73F1D1"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Facts</w:t>
      </w:r>
      <w:r w:rsidRPr="00586789">
        <w:rPr>
          <w:rFonts w:ascii="Times New Roman" w:hAnsi="Times New Roman"/>
          <w:lang w:val="en-HK"/>
        </w:rPr>
        <w:t>: Property was transferred with notice of an equity, but the lex situs extinguished it.</w:t>
      </w:r>
    </w:p>
    <w:p w14:paraId="0A51B0A8"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Held</w:t>
      </w:r>
      <w:r w:rsidRPr="00586789">
        <w:rPr>
          <w:rFonts w:ascii="Times New Roman" w:hAnsi="Times New Roman"/>
          <w:lang w:val="en-HK"/>
        </w:rPr>
        <w:t xml:space="preserve">: Peter Gibson LJ, approving </w:t>
      </w:r>
      <w:r w:rsidRPr="00586789">
        <w:rPr>
          <w:rFonts w:ascii="Times New Roman" w:hAnsi="Times New Roman"/>
          <w:i/>
          <w:iCs/>
          <w:lang w:val="en-HK"/>
        </w:rPr>
        <w:t>Macmillan</w:t>
      </w:r>
      <w:r w:rsidRPr="00586789">
        <w:rPr>
          <w:rFonts w:ascii="Times New Roman" w:hAnsi="Times New Roman"/>
          <w:lang w:val="en-HK"/>
        </w:rPr>
        <w:t>, denied relief against the transferee.</w:t>
      </w:r>
    </w:p>
    <w:p w14:paraId="4DF416E4"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Reasoning</w:t>
      </w:r>
      <w:r w:rsidRPr="00586789">
        <w:rPr>
          <w:rFonts w:ascii="Times New Roman" w:hAnsi="Times New Roman"/>
          <w:lang w:val="en-HK"/>
        </w:rPr>
        <w:t>: At 38, he held that lex situs outcomes preclude equitable remedies absent a subsisting interest.</w:t>
      </w:r>
    </w:p>
    <w:p w14:paraId="66A43D5D" w14:textId="2C077B70"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Implications</w:t>
      </w:r>
      <w:r w:rsidRPr="00586789">
        <w:rPr>
          <w:rFonts w:ascii="Times New Roman" w:hAnsi="Times New Roman"/>
          <w:lang w:val="en-HK"/>
        </w:rPr>
        <w:t xml:space="preserve">: Reinforces </w:t>
      </w:r>
      <w:r w:rsidRPr="00586789">
        <w:rPr>
          <w:rFonts w:ascii="Times New Roman" w:hAnsi="Times New Roman"/>
          <w:i/>
          <w:iCs/>
          <w:lang w:val="en-HK"/>
        </w:rPr>
        <w:t>Byers</w:t>
      </w:r>
      <w:r w:rsidRPr="00586789">
        <w:rPr>
          <w:rFonts w:ascii="Times New Roman" w:hAnsi="Times New Roman"/>
          <w:lang w:val="en-HK"/>
        </w:rPr>
        <w:t xml:space="preserve"> that foreign law’s proprietary effect governs liability (805).</w:t>
      </w:r>
    </w:p>
    <w:p w14:paraId="45D2FD44" w14:textId="77777777" w:rsidR="00586789" w:rsidRPr="00586789" w:rsidRDefault="00586789" w:rsidP="00586789">
      <w:pPr>
        <w:numPr>
          <w:ilvl w:val="0"/>
          <w:numId w:val="1"/>
        </w:numPr>
        <w:spacing w:after="240" w:line="360" w:lineRule="auto"/>
        <w:rPr>
          <w:rFonts w:ascii="Times New Roman" w:hAnsi="Times New Roman"/>
          <w:lang w:val="en-HK"/>
        </w:rPr>
      </w:pPr>
      <w:r w:rsidRPr="00586789">
        <w:rPr>
          <w:rFonts w:ascii="Times New Roman" w:hAnsi="Times New Roman"/>
          <w:b/>
          <w:bCs/>
          <w:lang w:val="en-HK"/>
        </w:rPr>
        <w:t>Akers v Samba Financial Group [2017] UKSC 6, [2017] AC 424]</w:t>
      </w:r>
      <w:r w:rsidRPr="00586789">
        <w:rPr>
          <w:rFonts w:ascii="Times New Roman" w:hAnsi="Times New Roman"/>
          <w:lang w:val="en-HK"/>
        </w:rPr>
        <w:t xml:space="preserve"> </w:t>
      </w:r>
    </w:p>
    <w:p w14:paraId="3603E8F9" w14:textId="36174F94"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Facts</w:t>
      </w:r>
      <w:r w:rsidRPr="00586789">
        <w:rPr>
          <w:rFonts w:ascii="Times New Roman" w:hAnsi="Times New Roman"/>
          <w:lang w:val="en-HK"/>
        </w:rPr>
        <w:t>: SICL claimed a transfer by Al-</w:t>
      </w:r>
      <w:proofErr w:type="spellStart"/>
      <w:r w:rsidRPr="00586789">
        <w:rPr>
          <w:rFonts w:ascii="Times New Roman" w:hAnsi="Times New Roman"/>
          <w:lang w:val="en-HK"/>
        </w:rPr>
        <w:t>Sanea</w:t>
      </w:r>
      <w:proofErr w:type="spellEnd"/>
      <w:r w:rsidRPr="00586789">
        <w:rPr>
          <w:rFonts w:ascii="Times New Roman" w:hAnsi="Times New Roman"/>
          <w:lang w:val="en-HK"/>
        </w:rPr>
        <w:t xml:space="preserve"> to Samba was void under s.127 of the </w:t>
      </w:r>
      <w:r w:rsidRPr="00586789">
        <w:rPr>
          <w:rFonts w:ascii="Times New Roman" w:hAnsi="Times New Roman"/>
          <w:i/>
          <w:iCs/>
          <w:lang w:val="en-HK"/>
        </w:rPr>
        <w:t>Insolvency Act 1986</w:t>
      </w:r>
      <w:r w:rsidRPr="00586789">
        <w:rPr>
          <w:rFonts w:ascii="Times New Roman" w:hAnsi="Times New Roman"/>
          <w:lang w:val="en-HK"/>
        </w:rPr>
        <w:t>. The Supreme Court addressed proprietary effects.</w:t>
      </w:r>
    </w:p>
    <w:p w14:paraId="4F0D7584"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Held</w:t>
      </w:r>
      <w:r w:rsidRPr="00586789">
        <w:rPr>
          <w:rFonts w:ascii="Times New Roman" w:hAnsi="Times New Roman"/>
          <w:lang w:val="en-HK"/>
        </w:rPr>
        <w:t xml:space="preserve">: Lord </w:t>
      </w:r>
      <w:proofErr w:type="spellStart"/>
      <w:r w:rsidRPr="00586789">
        <w:rPr>
          <w:rFonts w:ascii="Times New Roman" w:hAnsi="Times New Roman"/>
          <w:lang w:val="en-HK"/>
        </w:rPr>
        <w:t>Mance</w:t>
      </w:r>
      <w:proofErr w:type="spellEnd"/>
      <w:r w:rsidRPr="00586789">
        <w:rPr>
          <w:rFonts w:ascii="Times New Roman" w:hAnsi="Times New Roman"/>
          <w:lang w:val="en-HK"/>
        </w:rPr>
        <w:t xml:space="preserve"> at [20] ruled: </w:t>
      </w:r>
      <w:r w:rsidRPr="00586789">
        <w:rPr>
          <w:rFonts w:ascii="Times New Roman" w:hAnsi="Times New Roman"/>
          <w:i/>
          <w:iCs/>
          <w:lang w:val="en-HK"/>
        </w:rPr>
        <w:t xml:space="preserve">where under the lex situs … the effect of a transfer … is to override any equitable interest … that effect should be recognised as giving the transferee a defence to any claim by the beneficiary, whether proprietary or simply </w:t>
      </w:r>
      <w:proofErr w:type="spellStart"/>
      <w:r w:rsidRPr="00586789">
        <w:rPr>
          <w:rFonts w:ascii="Times New Roman" w:hAnsi="Times New Roman"/>
          <w:i/>
          <w:iCs/>
          <w:lang w:val="en-HK"/>
        </w:rPr>
        <w:t>restitutionary</w:t>
      </w:r>
      <w:proofErr w:type="spellEnd"/>
      <w:r w:rsidRPr="00586789">
        <w:rPr>
          <w:rFonts w:ascii="Times New Roman" w:hAnsi="Times New Roman"/>
          <w:lang w:val="en-HK"/>
        </w:rPr>
        <w:t>.</w:t>
      </w:r>
    </w:p>
    <w:p w14:paraId="1D4D2FD9"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Reasoning</w:t>
      </w:r>
      <w:r w:rsidRPr="00586789">
        <w:rPr>
          <w:rFonts w:ascii="Times New Roman" w:hAnsi="Times New Roman"/>
          <w:lang w:val="en-HK"/>
        </w:rPr>
        <w:t xml:space="preserve">: Affirmed </w:t>
      </w:r>
      <w:r w:rsidRPr="00586789">
        <w:rPr>
          <w:rFonts w:ascii="Times New Roman" w:hAnsi="Times New Roman"/>
          <w:i/>
          <w:iCs/>
          <w:lang w:val="en-HK"/>
        </w:rPr>
        <w:t>Macmillan</w:t>
      </w:r>
      <w:r w:rsidRPr="00586789">
        <w:rPr>
          <w:rFonts w:ascii="Times New Roman" w:hAnsi="Times New Roman"/>
          <w:lang w:val="en-HK"/>
        </w:rPr>
        <w:t>’s Court of Appeal ruling, tying personal claims to proprietary survival.</w:t>
      </w:r>
    </w:p>
    <w:p w14:paraId="6EF9384E" w14:textId="55E19ADE"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Implications</w:t>
      </w:r>
      <w:r w:rsidRPr="00586789">
        <w:rPr>
          <w:rFonts w:ascii="Times New Roman" w:hAnsi="Times New Roman"/>
          <w:lang w:val="en-HK"/>
        </w:rPr>
        <w:t>: Solidifies that knowing receipt mirrors proprietary claims’ dependence on lex situs (805).</w:t>
      </w:r>
    </w:p>
    <w:p w14:paraId="69F20D55" w14:textId="77777777" w:rsidR="00586789" w:rsidRPr="00586789" w:rsidRDefault="00586789" w:rsidP="00586789">
      <w:pPr>
        <w:numPr>
          <w:ilvl w:val="0"/>
          <w:numId w:val="1"/>
        </w:numPr>
        <w:spacing w:after="240" w:line="360" w:lineRule="auto"/>
        <w:rPr>
          <w:rFonts w:ascii="Times New Roman" w:hAnsi="Times New Roman"/>
          <w:lang w:val="en-HK"/>
        </w:rPr>
      </w:pPr>
      <w:proofErr w:type="spellStart"/>
      <w:r w:rsidRPr="00586789">
        <w:rPr>
          <w:rFonts w:ascii="Times New Roman" w:hAnsi="Times New Roman"/>
          <w:b/>
          <w:bCs/>
          <w:lang w:val="en-HK"/>
        </w:rPr>
        <w:t>Courtwood</w:t>
      </w:r>
      <w:proofErr w:type="spellEnd"/>
      <w:r w:rsidRPr="00586789">
        <w:rPr>
          <w:rFonts w:ascii="Times New Roman" w:hAnsi="Times New Roman"/>
          <w:b/>
          <w:bCs/>
          <w:lang w:val="en-HK"/>
        </w:rPr>
        <w:t xml:space="preserve"> Holdings SA v Woodley Properties Ltd [2018] EWHC 2163 (Ch])</w:t>
      </w:r>
      <w:r w:rsidRPr="00586789">
        <w:rPr>
          <w:rFonts w:ascii="Times New Roman" w:hAnsi="Times New Roman"/>
          <w:lang w:val="en-HK"/>
        </w:rPr>
        <w:t xml:space="preserve"> </w:t>
      </w:r>
    </w:p>
    <w:p w14:paraId="05F65F9B"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Facts</w:t>
      </w:r>
      <w:r w:rsidRPr="00586789">
        <w:rPr>
          <w:rFonts w:ascii="Times New Roman" w:hAnsi="Times New Roman"/>
          <w:lang w:val="en-HK"/>
        </w:rPr>
        <w:t>: A knowing receipt claim followed a disputed transfer.</w:t>
      </w:r>
    </w:p>
    <w:p w14:paraId="41ABAD2A"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lastRenderedPageBreak/>
        <w:t>Held</w:t>
      </w:r>
      <w:r w:rsidRPr="00586789">
        <w:rPr>
          <w:rFonts w:ascii="Times New Roman" w:hAnsi="Times New Roman"/>
          <w:lang w:val="en-HK"/>
        </w:rPr>
        <w:t xml:space="preserve">: </w:t>
      </w:r>
      <w:proofErr w:type="spellStart"/>
      <w:r w:rsidRPr="00586789">
        <w:rPr>
          <w:rFonts w:ascii="Times New Roman" w:hAnsi="Times New Roman"/>
          <w:lang w:val="en-HK"/>
        </w:rPr>
        <w:t>Nugee</w:t>
      </w:r>
      <w:proofErr w:type="spellEnd"/>
      <w:r w:rsidRPr="00586789">
        <w:rPr>
          <w:rFonts w:ascii="Times New Roman" w:hAnsi="Times New Roman"/>
          <w:lang w:val="en-HK"/>
        </w:rPr>
        <w:t xml:space="preserve"> J at [201] ruled: </w:t>
      </w:r>
      <w:r w:rsidRPr="00586789">
        <w:rPr>
          <w:rFonts w:ascii="Times New Roman" w:hAnsi="Times New Roman"/>
          <w:i/>
          <w:iCs/>
          <w:lang w:val="en-HK"/>
        </w:rPr>
        <w:t>what gives the equity to the claimants is not the knowledge of the defendants by itself … but the fact that the transaction … is not one which transfers a good title to the recipient</w:t>
      </w:r>
      <w:r w:rsidRPr="00586789">
        <w:rPr>
          <w:rFonts w:ascii="Times New Roman" w:hAnsi="Times New Roman"/>
          <w:lang w:val="en-HK"/>
        </w:rPr>
        <w:t>.</w:t>
      </w:r>
    </w:p>
    <w:p w14:paraId="28B0C625"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Reasoning</w:t>
      </w:r>
      <w:r w:rsidRPr="00586789">
        <w:rPr>
          <w:rFonts w:ascii="Times New Roman" w:hAnsi="Times New Roman"/>
          <w:lang w:val="en-HK"/>
        </w:rPr>
        <w:t>: Liability requires a defective title transfer retaining the claimant’s interest.</w:t>
      </w:r>
    </w:p>
    <w:p w14:paraId="3068C47D" w14:textId="4AFF1309"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Implications</w:t>
      </w:r>
      <w:r w:rsidRPr="00586789">
        <w:rPr>
          <w:rFonts w:ascii="Times New Roman" w:hAnsi="Times New Roman"/>
          <w:lang w:val="en-HK"/>
        </w:rPr>
        <w:t xml:space="preserve">: Supports </w:t>
      </w:r>
      <w:r w:rsidRPr="00586789">
        <w:rPr>
          <w:rFonts w:ascii="Times New Roman" w:hAnsi="Times New Roman"/>
          <w:i/>
          <w:iCs/>
          <w:lang w:val="en-HK"/>
        </w:rPr>
        <w:t>Byers</w:t>
      </w:r>
      <w:r w:rsidRPr="00586789">
        <w:rPr>
          <w:rFonts w:ascii="Times New Roman" w:hAnsi="Times New Roman"/>
          <w:lang w:val="en-HK"/>
        </w:rPr>
        <w:t>’s proprietary prerequisite (805).</w:t>
      </w:r>
    </w:p>
    <w:p w14:paraId="3E46ADAD" w14:textId="77777777" w:rsidR="00586789" w:rsidRPr="00586789" w:rsidRDefault="00586789" w:rsidP="00586789">
      <w:pPr>
        <w:numPr>
          <w:ilvl w:val="0"/>
          <w:numId w:val="1"/>
        </w:numPr>
        <w:spacing w:after="240" w:line="360" w:lineRule="auto"/>
        <w:rPr>
          <w:rFonts w:ascii="Times New Roman" w:hAnsi="Times New Roman"/>
          <w:lang w:val="en-HK"/>
        </w:rPr>
      </w:pPr>
      <w:r w:rsidRPr="00586789">
        <w:rPr>
          <w:rFonts w:ascii="Times New Roman" w:hAnsi="Times New Roman"/>
          <w:b/>
          <w:bCs/>
          <w:lang w:val="en-HK"/>
        </w:rPr>
        <w:t>Statutory Reference</w:t>
      </w:r>
      <w:r w:rsidRPr="00586789">
        <w:rPr>
          <w:rFonts w:ascii="Times New Roman" w:hAnsi="Times New Roman"/>
          <w:lang w:val="en-HK"/>
        </w:rPr>
        <w:t xml:space="preserve">: </w:t>
      </w:r>
      <w:r w:rsidRPr="00586789">
        <w:rPr>
          <w:rFonts w:ascii="Times New Roman" w:hAnsi="Times New Roman"/>
          <w:i/>
          <w:iCs/>
          <w:lang w:val="en-HK"/>
        </w:rPr>
        <w:t>Land Registration Act 2002, s.29</w:t>
      </w:r>
      <w:r w:rsidRPr="00586789">
        <w:rPr>
          <w:rFonts w:ascii="Times New Roman" w:hAnsi="Times New Roman"/>
          <w:lang w:val="en-HK"/>
        </w:rPr>
        <w:t xml:space="preserve"> </w:t>
      </w:r>
    </w:p>
    <w:p w14:paraId="38819D84"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Text</w:t>
      </w:r>
      <w:r w:rsidRPr="00586789">
        <w:rPr>
          <w:rFonts w:ascii="Times New Roman" w:hAnsi="Times New Roman"/>
          <w:lang w:val="en-HK"/>
        </w:rPr>
        <w:t>: Provides that a transferee for valuable consideration of registered land takes free of prior equitable interests unless beneficiaries are in actual occupation, despite notice of a breach.</w:t>
      </w:r>
    </w:p>
    <w:p w14:paraId="4ED2B032"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Implication</w:t>
      </w:r>
      <w:r w:rsidRPr="00586789">
        <w:rPr>
          <w:rFonts w:ascii="Times New Roman" w:hAnsi="Times New Roman"/>
          <w:lang w:val="en-HK"/>
        </w:rPr>
        <w:t xml:space="preserve">: At 806, the Court left open whether this shields against knowing receipt, noting Law Commission views (below) versus </w:t>
      </w:r>
      <w:r w:rsidRPr="00586789">
        <w:rPr>
          <w:rFonts w:ascii="Times New Roman" w:hAnsi="Times New Roman"/>
          <w:i/>
          <w:iCs/>
          <w:lang w:val="en-HK"/>
        </w:rPr>
        <w:t>Byers</w:t>
      </w:r>
      <w:r w:rsidRPr="00586789">
        <w:rPr>
          <w:rFonts w:ascii="Times New Roman" w:hAnsi="Times New Roman"/>
          <w:lang w:val="en-HK"/>
        </w:rPr>
        <w:t xml:space="preserve"> logic that unencumbered title precludes liability.</w:t>
      </w:r>
    </w:p>
    <w:p w14:paraId="732163E7" w14:textId="53079E46" w:rsidR="00586789" w:rsidRPr="00586789" w:rsidRDefault="00586789" w:rsidP="00586789">
      <w:pPr>
        <w:pStyle w:val="ListParagraph"/>
        <w:numPr>
          <w:ilvl w:val="0"/>
          <w:numId w:val="1"/>
        </w:numPr>
        <w:spacing w:after="240" w:line="360" w:lineRule="auto"/>
        <w:rPr>
          <w:rFonts w:ascii="Times New Roman" w:hAnsi="Times New Roman"/>
          <w:lang w:val="en-HK"/>
        </w:rPr>
      </w:pPr>
      <w:r w:rsidRPr="00586789">
        <w:rPr>
          <w:rFonts w:ascii="Times New Roman" w:hAnsi="Times New Roman"/>
          <w:b/>
          <w:bCs/>
          <w:lang w:val="en-HK"/>
        </w:rPr>
        <w:t>Valuation Dispute and Its Broader Relevance (807-809)</w:t>
      </w:r>
      <w:r w:rsidRPr="00586789">
        <w:rPr>
          <w:rFonts w:ascii="Times New Roman" w:hAnsi="Times New Roman"/>
          <w:lang w:val="en-HK"/>
        </w:rPr>
        <w:t xml:space="preserve"> </w:t>
      </w:r>
    </w:p>
    <w:p w14:paraId="63028575"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Details</w:t>
      </w:r>
      <w:r w:rsidRPr="00586789">
        <w:rPr>
          <w:rFonts w:ascii="Times New Roman" w:hAnsi="Times New Roman"/>
          <w:lang w:val="en-HK"/>
        </w:rPr>
        <w:t xml:space="preserve">: Although not determinative due to the dismissal of the appeal, the Court of Appeal addressed </w:t>
      </w:r>
      <w:proofErr w:type="spellStart"/>
      <w:r w:rsidRPr="00586789">
        <w:rPr>
          <w:rFonts w:ascii="Times New Roman" w:hAnsi="Times New Roman"/>
          <w:lang w:val="en-HK"/>
        </w:rPr>
        <w:t>Fancourt</w:t>
      </w:r>
      <w:proofErr w:type="spellEnd"/>
      <w:r w:rsidRPr="00586789">
        <w:rPr>
          <w:rFonts w:ascii="Times New Roman" w:hAnsi="Times New Roman"/>
          <w:lang w:val="en-HK"/>
        </w:rPr>
        <w:t xml:space="preserve"> J’s valuation ruling that a ‘block discount’ applied to the shares’ market value, reflecting their large size and sale complexity (807-808). The Court expressed doubt at 808: </w:t>
      </w:r>
      <w:r w:rsidRPr="00586789">
        <w:rPr>
          <w:rFonts w:ascii="Times New Roman" w:hAnsi="Times New Roman"/>
          <w:i/>
          <w:iCs/>
          <w:lang w:val="en-HK"/>
        </w:rPr>
        <w:t>It seems to us that there is a persuasive argument for saying that, where a trustee has elected to receive the value of an asset rather than its return in specie, the sum which is necessary to restore or re-constitute the trust fund will often at least be best determined by reference to the cost of the asset had it been purchased by the trustee rather than what the asset would have fetched on a sale</w:t>
      </w:r>
      <w:r w:rsidRPr="00586789">
        <w:rPr>
          <w:rFonts w:ascii="Times New Roman" w:hAnsi="Times New Roman"/>
          <w:lang w:val="en-HK"/>
        </w:rPr>
        <w:t xml:space="preserve">. Roxburgh at 809 suggests this could align with restoring the trust’s full monetary equivalent, though he counters that liquidation context </w:t>
      </w:r>
      <w:proofErr w:type="spellStart"/>
      <w:r w:rsidRPr="00586789">
        <w:rPr>
          <w:rFonts w:ascii="Times New Roman" w:hAnsi="Times New Roman"/>
          <w:lang w:val="en-HK"/>
        </w:rPr>
        <w:t>favors</w:t>
      </w:r>
      <w:proofErr w:type="spellEnd"/>
      <w:r w:rsidRPr="00586789">
        <w:rPr>
          <w:rFonts w:ascii="Times New Roman" w:hAnsi="Times New Roman"/>
          <w:lang w:val="en-HK"/>
        </w:rPr>
        <w:t xml:space="preserve"> sale value.</w:t>
      </w:r>
    </w:p>
    <w:p w14:paraId="4CD27ED6"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Implication</w:t>
      </w:r>
      <w:r w:rsidRPr="00586789">
        <w:rPr>
          <w:rFonts w:ascii="Times New Roman" w:hAnsi="Times New Roman"/>
          <w:lang w:val="en-HK"/>
        </w:rPr>
        <w:t>: This discussion, while obiter, hints at unresolved tensions in equitable compensation principles for knowing receipt. It suggests a potential alternative measure (purchase cost vs. sale value) that could influence future cases where beneficiaries seek monetary remedies rather than restitution in specie, especially in liquidation scenarios like SICL’s. This was not fully explored in the summary as it was peripheral to the proprietary interest issue but remains a key point for trusts law remedies.</w:t>
      </w:r>
    </w:p>
    <w:p w14:paraId="0AD82743" w14:textId="59668393" w:rsidR="00586789" w:rsidRPr="00586789" w:rsidRDefault="00586789" w:rsidP="00586789">
      <w:pPr>
        <w:pStyle w:val="ListParagraph"/>
        <w:numPr>
          <w:ilvl w:val="0"/>
          <w:numId w:val="1"/>
        </w:numPr>
        <w:spacing w:after="240" w:line="360" w:lineRule="auto"/>
        <w:rPr>
          <w:rFonts w:ascii="Times New Roman" w:hAnsi="Times New Roman"/>
          <w:lang w:val="en-HK"/>
        </w:rPr>
      </w:pPr>
      <w:r w:rsidRPr="00586789">
        <w:rPr>
          <w:rFonts w:ascii="Times New Roman" w:hAnsi="Times New Roman"/>
          <w:b/>
          <w:bCs/>
          <w:lang w:val="en-HK"/>
        </w:rPr>
        <w:lastRenderedPageBreak/>
        <w:t>Se</w:t>
      </w:r>
      <w:r w:rsidRPr="00586789">
        <w:rPr>
          <w:rFonts w:ascii="Times New Roman" w:hAnsi="Times New Roman"/>
          <w:b/>
          <w:bCs/>
          <w:lang w:val="en-HK"/>
        </w:rPr>
        <w:t>ction 127 of the Insolvency Act 1986 Context (802)</w:t>
      </w:r>
      <w:r w:rsidRPr="00586789">
        <w:rPr>
          <w:rFonts w:ascii="Times New Roman" w:hAnsi="Times New Roman"/>
          <w:lang w:val="en-HK"/>
        </w:rPr>
        <w:t xml:space="preserve"> </w:t>
      </w:r>
    </w:p>
    <w:p w14:paraId="2166E7FE"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Details</w:t>
      </w:r>
      <w:r w:rsidRPr="00586789">
        <w:rPr>
          <w:rFonts w:ascii="Times New Roman" w:hAnsi="Times New Roman"/>
          <w:lang w:val="en-HK"/>
        </w:rPr>
        <w:t xml:space="preserve">: The document notes SICL’s initial claim under s.127 of the </w:t>
      </w:r>
      <w:r w:rsidRPr="00586789">
        <w:rPr>
          <w:rFonts w:ascii="Times New Roman" w:hAnsi="Times New Roman"/>
          <w:i/>
          <w:iCs/>
          <w:lang w:val="en-HK"/>
        </w:rPr>
        <w:t>Insolvency Act 1986</w:t>
      </w:r>
      <w:r w:rsidRPr="00586789">
        <w:rPr>
          <w:rFonts w:ascii="Times New Roman" w:hAnsi="Times New Roman"/>
          <w:lang w:val="en-HK"/>
        </w:rPr>
        <w:t xml:space="preserve"> (declaring dispositions after winding-up void) failed in </w:t>
      </w:r>
      <w:r w:rsidRPr="00586789">
        <w:rPr>
          <w:rFonts w:ascii="Times New Roman" w:hAnsi="Times New Roman"/>
          <w:i/>
          <w:iCs/>
          <w:lang w:val="en-HK"/>
        </w:rPr>
        <w:t>Akers v Samba Financial Group</w:t>
      </w:r>
      <w:r w:rsidRPr="00586789">
        <w:rPr>
          <w:rFonts w:ascii="Times New Roman" w:hAnsi="Times New Roman"/>
          <w:lang w:val="en-HK"/>
        </w:rPr>
        <w:t xml:space="preserve"> [2017] UKSC 6, prompting the knowing receipt claim. Section 127 states: </w:t>
      </w:r>
      <w:r w:rsidRPr="00586789">
        <w:rPr>
          <w:rFonts w:ascii="Times New Roman" w:hAnsi="Times New Roman"/>
          <w:i/>
          <w:iCs/>
          <w:lang w:val="en-HK"/>
        </w:rPr>
        <w:t>In a winding up by the court, any disposition of the company’s property … made after the commencement of the winding up is, unless the court otherwise orders, void</w:t>
      </w:r>
      <w:r w:rsidRPr="00586789">
        <w:rPr>
          <w:rFonts w:ascii="Times New Roman" w:hAnsi="Times New Roman"/>
          <w:lang w:val="en-HK"/>
        </w:rPr>
        <w:t>. The Supreme Court ruled the transfer of legal title by Al-</w:t>
      </w:r>
      <w:proofErr w:type="spellStart"/>
      <w:r w:rsidRPr="00586789">
        <w:rPr>
          <w:rFonts w:ascii="Times New Roman" w:hAnsi="Times New Roman"/>
          <w:lang w:val="en-HK"/>
        </w:rPr>
        <w:t>Sanea</w:t>
      </w:r>
      <w:proofErr w:type="spellEnd"/>
      <w:r w:rsidRPr="00586789">
        <w:rPr>
          <w:rFonts w:ascii="Times New Roman" w:hAnsi="Times New Roman"/>
          <w:lang w:val="en-HK"/>
        </w:rPr>
        <w:t xml:space="preserve"> was not a disposition of SICL’s equitable interest.</w:t>
      </w:r>
    </w:p>
    <w:p w14:paraId="1EBB3745" w14:textId="63CDCC43"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Implication</w:t>
      </w:r>
      <w:r w:rsidRPr="00586789">
        <w:rPr>
          <w:rFonts w:ascii="Times New Roman" w:hAnsi="Times New Roman"/>
          <w:lang w:val="en-HK"/>
        </w:rPr>
        <w:t xml:space="preserve">: This backstory underscores why SICL pivoted to knowing receipt, highlighting the interplay between statutory insolvency remedies and equitable claims. It illustrates a practical implication: when proprietary claims fail due to legal title transfers, personal claims like knowing receipt become critical, though still constrained by proprietary interest requirements per </w:t>
      </w:r>
      <w:r w:rsidRPr="00586789">
        <w:rPr>
          <w:rFonts w:ascii="Times New Roman" w:hAnsi="Times New Roman"/>
          <w:i/>
          <w:iCs/>
          <w:lang w:val="en-HK"/>
        </w:rPr>
        <w:t>Byers</w:t>
      </w:r>
      <w:r w:rsidRPr="00586789">
        <w:rPr>
          <w:rFonts w:ascii="Times New Roman" w:hAnsi="Times New Roman"/>
          <w:lang w:val="en-HK"/>
        </w:rPr>
        <w:t>. This context was briefly mentioned but not emphasized as a key driver of the litigation trajectory.</w:t>
      </w:r>
    </w:p>
    <w:p w14:paraId="0F441A86" w14:textId="77777777" w:rsidR="00586789" w:rsidRPr="00586789" w:rsidRDefault="00586789" w:rsidP="00586789">
      <w:pPr>
        <w:pStyle w:val="ListParagraph"/>
        <w:numPr>
          <w:ilvl w:val="0"/>
          <w:numId w:val="1"/>
        </w:numPr>
        <w:spacing w:after="240" w:line="360" w:lineRule="auto"/>
        <w:rPr>
          <w:rFonts w:ascii="Times New Roman" w:hAnsi="Times New Roman"/>
          <w:lang w:val="en-HK"/>
        </w:rPr>
      </w:pPr>
      <w:r w:rsidRPr="00586789">
        <w:rPr>
          <w:rFonts w:ascii="Times New Roman" w:hAnsi="Times New Roman"/>
          <w:b/>
          <w:bCs/>
          <w:lang w:val="en-HK"/>
        </w:rPr>
        <w:t xml:space="preserve">Procedural Constraint on Samba’s </w:t>
      </w:r>
      <w:proofErr w:type="spellStart"/>
      <w:r w:rsidRPr="00586789">
        <w:rPr>
          <w:rFonts w:ascii="Times New Roman" w:hAnsi="Times New Roman"/>
          <w:b/>
          <w:bCs/>
          <w:lang w:val="en-HK"/>
        </w:rPr>
        <w:t>Defense</w:t>
      </w:r>
      <w:proofErr w:type="spellEnd"/>
      <w:r w:rsidRPr="00586789">
        <w:rPr>
          <w:rFonts w:ascii="Times New Roman" w:hAnsi="Times New Roman"/>
          <w:b/>
          <w:bCs/>
          <w:lang w:val="en-HK"/>
        </w:rPr>
        <w:t xml:space="preserve"> (802)</w:t>
      </w:r>
      <w:r w:rsidRPr="00586789">
        <w:rPr>
          <w:rFonts w:ascii="Times New Roman" w:hAnsi="Times New Roman"/>
          <w:lang w:val="en-HK"/>
        </w:rPr>
        <w:t xml:space="preserve"> </w:t>
      </w:r>
    </w:p>
    <w:p w14:paraId="42BA52F5"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Details</w:t>
      </w:r>
      <w:r w:rsidRPr="00586789">
        <w:rPr>
          <w:rFonts w:ascii="Times New Roman" w:hAnsi="Times New Roman"/>
          <w:lang w:val="en-HK"/>
        </w:rPr>
        <w:t xml:space="preserve">: Samba’s inability to dispute knowledge allegations due to incomplete disclosure (802) shaped the trial’s focus on legal issues (e.g., proprietary interest, Saudi law). </w:t>
      </w:r>
      <w:proofErr w:type="spellStart"/>
      <w:r w:rsidRPr="00586789">
        <w:rPr>
          <w:rFonts w:ascii="Times New Roman" w:hAnsi="Times New Roman"/>
          <w:lang w:val="en-HK"/>
        </w:rPr>
        <w:t>Fancourt</w:t>
      </w:r>
      <w:proofErr w:type="spellEnd"/>
      <w:r w:rsidRPr="00586789">
        <w:rPr>
          <w:rFonts w:ascii="Times New Roman" w:hAnsi="Times New Roman"/>
          <w:lang w:val="en-HK"/>
        </w:rPr>
        <w:t xml:space="preserve"> J assumed SICL’s pleaded knowledge claims were true for adjudication.</w:t>
      </w:r>
    </w:p>
    <w:p w14:paraId="1E1311DC" w14:textId="78498119"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Implication</w:t>
      </w:r>
      <w:r w:rsidRPr="00586789">
        <w:rPr>
          <w:rFonts w:ascii="Times New Roman" w:hAnsi="Times New Roman"/>
          <w:lang w:val="en-HK"/>
        </w:rPr>
        <w:t xml:space="preserve">: This procedural limitation underscores that </w:t>
      </w:r>
      <w:r w:rsidRPr="00586789">
        <w:rPr>
          <w:rFonts w:ascii="Times New Roman" w:hAnsi="Times New Roman"/>
          <w:i/>
          <w:iCs/>
          <w:lang w:val="en-HK"/>
        </w:rPr>
        <w:t>Byers</w:t>
      </w:r>
      <w:r w:rsidRPr="00586789">
        <w:rPr>
          <w:rFonts w:ascii="Times New Roman" w:hAnsi="Times New Roman"/>
          <w:lang w:val="en-HK"/>
        </w:rPr>
        <w:t xml:space="preserve">’s ruling hinges on a legal principle (continuing proprietary interest) rather than factual disputes about unconscionability, reinforcing its precedential weight. It also implies that in fully contested cases, knowledge disputes could complicate applying </w:t>
      </w:r>
      <w:r w:rsidRPr="00586789">
        <w:rPr>
          <w:rFonts w:ascii="Times New Roman" w:hAnsi="Times New Roman"/>
          <w:i/>
          <w:iCs/>
          <w:lang w:val="en-HK"/>
        </w:rPr>
        <w:t>Byers</w:t>
      </w:r>
      <w:r w:rsidRPr="00586789">
        <w:rPr>
          <w:rFonts w:ascii="Times New Roman" w:hAnsi="Times New Roman"/>
          <w:lang w:val="en-HK"/>
        </w:rPr>
        <w:t>, a nuance not fully highlighted in the summary.</w:t>
      </w:r>
    </w:p>
    <w:p w14:paraId="64AF5686" w14:textId="77777777" w:rsidR="00586789" w:rsidRPr="00586789" w:rsidRDefault="000E44B6" w:rsidP="00586789">
      <w:pPr>
        <w:spacing w:after="240" w:line="360" w:lineRule="auto"/>
        <w:rPr>
          <w:rFonts w:ascii="Times New Roman" w:hAnsi="Times New Roman"/>
          <w:lang w:val="en-HK"/>
        </w:rPr>
      </w:pPr>
      <w:r w:rsidRPr="000E44B6">
        <w:rPr>
          <w:rFonts w:ascii="Times New Roman" w:hAnsi="Times New Roman"/>
          <w:noProof/>
          <w:lang w:val="en-HK"/>
          <w14:ligatures w14:val="standardContextual"/>
        </w:rPr>
        <w:pict w14:anchorId="2B2D63CD">
          <v:rect id="_x0000_i1025" alt="" style="width:451.3pt;height:.05pt;mso-width-percent:0;mso-height-percent:0;mso-width-percent:0;mso-height-percent:0" o:hralign="center" o:hrstd="t" o:hr="t" fillcolor="#a0a0a0" stroked="f"/>
        </w:pict>
      </w:r>
    </w:p>
    <w:p w14:paraId="23F2AE33" w14:textId="77777777" w:rsidR="00586789" w:rsidRPr="00586789" w:rsidRDefault="00586789" w:rsidP="00586789">
      <w:pPr>
        <w:spacing w:after="240" w:line="360" w:lineRule="auto"/>
        <w:outlineLvl w:val="2"/>
        <w:rPr>
          <w:rFonts w:ascii="Times New Roman" w:hAnsi="Times New Roman"/>
          <w:b/>
          <w:bCs/>
          <w:lang w:val="en-HK"/>
        </w:rPr>
      </w:pPr>
      <w:r w:rsidRPr="00586789">
        <w:rPr>
          <w:rFonts w:ascii="Times New Roman" w:hAnsi="Times New Roman"/>
          <w:b/>
          <w:bCs/>
          <w:lang w:val="en-HK"/>
        </w:rPr>
        <w:t>2. Scholars’ Opinions on Topics</w:t>
      </w:r>
    </w:p>
    <w:p w14:paraId="3F258500" w14:textId="46630E80" w:rsidR="00586789" w:rsidRPr="00586789" w:rsidRDefault="00586789" w:rsidP="00586789">
      <w:pPr>
        <w:spacing w:after="240" w:line="360" w:lineRule="auto"/>
        <w:outlineLvl w:val="2"/>
        <w:rPr>
          <w:rFonts w:ascii="Times New Roman" w:hAnsi="Times New Roman"/>
          <w:b/>
          <w:bCs/>
          <w:lang w:val="en-HK"/>
        </w:rPr>
      </w:pPr>
      <w:r w:rsidRPr="00586789">
        <w:rPr>
          <w:rFonts w:ascii="Times New Roman" w:hAnsi="Times New Roman"/>
          <w:b/>
          <w:bCs/>
          <w:lang w:val="en-HK"/>
        </w:rPr>
        <w:t xml:space="preserve">1. </w:t>
      </w:r>
      <w:r w:rsidRPr="00586789">
        <w:rPr>
          <w:rFonts w:ascii="Times New Roman" w:hAnsi="Times New Roman"/>
          <w:b/>
          <w:bCs/>
          <w:lang w:val="en-HK"/>
        </w:rPr>
        <w:t xml:space="preserve">Lewin on Trusts (20th </w:t>
      </w:r>
      <w:proofErr w:type="spellStart"/>
      <w:r w:rsidRPr="00586789">
        <w:rPr>
          <w:rFonts w:ascii="Times New Roman" w:hAnsi="Times New Roman"/>
          <w:b/>
          <w:bCs/>
          <w:lang w:val="en-HK"/>
        </w:rPr>
        <w:t>edn</w:t>
      </w:r>
      <w:proofErr w:type="spellEnd"/>
      <w:r w:rsidRPr="00586789">
        <w:rPr>
          <w:rFonts w:ascii="Times New Roman" w:hAnsi="Times New Roman"/>
          <w:b/>
          <w:bCs/>
          <w:lang w:val="en-HK"/>
        </w:rPr>
        <w:t>, ed. T Fletcher, Sweet &amp; Maxwell 2020)</w:t>
      </w:r>
      <w:r w:rsidRPr="00586789">
        <w:rPr>
          <w:rFonts w:ascii="Times New Roman" w:hAnsi="Times New Roman"/>
          <w:lang w:val="en-HK"/>
        </w:rPr>
        <w:t xml:space="preserve"> </w:t>
      </w:r>
    </w:p>
    <w:p w14:paraId="7CAA51E3"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Opinion</w:t>
      </w:r>
      <w:r w:rsidRPr="00586789">
        <w:rPr>
          <w:rFonts w:ascii="Times New Roman" w:hAnsi="Times New Roman"/>
          <w:lang w:val="en-HK"/>
        </w:rPr>
        <w:t>:</w:t>
      </w:r>
    </w:p>
    <w:p w14:paraId="769A442D"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lang w:val="en-HK"/>
        </w:rPr>
        <w:lastRenderedPageBreak/>
        <w:t xml:space="preserve">At 804 (para 42-047): </w:t>
      </w:r>
      <w:r w:rsidRPr="00586789">
        <w:rPr>
          <w:rFonts w:ascii="Times New Roman" w:hAnsi="Times New Roman"/>
          <w:i/>
          <w:iCs/>
          <w:lang w:val="en-HK"/>
        </w:rPr>
        <w:t>The general effect of overreaching in the case of the beneficiaries</w:t>
      </w:r>
      <w:r w:rsidRPr="00586789">
        <w:rPr>
          <w:rFonts w:ascii="Times New Roman" w:hAnsi="Times New Roman"/>
          <w:lang w:val="en-HK"/>
        </w:rPr>
        <w:t xml:space="preserve"> implies a purchaser takes free, shifting interests to proceeds, questioning knowing receipt liability.</w:t>
      </w:r>
    </w:p>
    <w:p w14:paraId="6F9263BB" w14:textId="03372BDC" w:rsidR="00586789" w:rsidRPr="00586789" w:rsidRDefault="00586789" w:rsidP="00586789">
      <w:pPr>
        <w:spacing w:after="240" w:line="360" w:lineRule="auto"/>
        <w:rPr>
          <w:rFonts w:ascii="Times New Roman" w:hAnsi="Times New Roman"/>
          <w:lang w:val="en-HK"/>
        </w:rPr>
      </w:pPr>
      <w:r w:rsidRPr="00586789">
        <w:rPr>
          <w:rFonts w:ascii="Times New Roman" w:hAnsi="Times New Roman"/>
          <w:lang w:val="en-HK"/>
        </w:rPr>
        <w:t xml:space="preserve">At 804 (para 42-044): </w:t>
      </w:r>
      <w:r w:rsidRPr="00586789">
        <w:rPr>
          <w:rFonts w:ascii="Times New Roman" w:hAnsi="Times New Roman"/>
          <w:i/>
          <w:iCs/>
          <w:lang w:val="en-HK"/>
        </w:rPr>
        <w:t>If the beneficial title does pass to the recipient there is no occasion for the imposition of liability in equity on the recipient under the knowing receipt head of constructive trusteeship</w:t>
      </w:r>
      <w:r w:rsidRPr="00586789">
        <w:rPr>
          <w:rFonts w:ascii="Times New Roman" w:hAnsi="Times New Roman"/>
          <w:lang w:val="en-HK"/>
        </w:rPr>
        <w:t>.</w:t>
      </w:r>
    </w:p>
    <w:p w14:paraId="12DDAED0"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Context</w:t>
      </w:r>
      <w:r w:rsidRPr="00586789">
        <w:rPr>
          <w:rFonts w:ascii="Times New Roman" w:hAnsi="Times New Roman"/>
          <w:lang w:val="en-HK"/>
        </w:rPr>
        <w:t xml:space="preserve">: Cited in </w:t>
      </w:r>
      <w:r w:rsidRPr="00586789">
        <w:rPr>
          <w:rFonts w:ascii="Times New Roman" w:hAnsi="Times New Roman"/>
          <w:i/>
          <w:iCs/>
          <w:lang w:val="en-HK"/>
        </w:rPr>
        <w:t>Byers</w:t>
      </w:r>
      <w:r w:rsidRPr="00586789">
        <w:rPr>
          <w:rFonts w:ascii="Times New Roman" w:hAnsi="Times New Roman"/>
          <w:lang w:val="en-HK"/>
        </w:rPr>
        <w:t xml:space="preserve"> to argue that unencumbered title negates liability, supporting the Court’s rejection of claims post-overreaching or title transfer (804).</w:t>
      </w:r>
    </w:p>
    <w:p w14:paraId="3D16D70F"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Impact</w:t>
      </w:r>
      <w:r w:rsidRPr="00586789">
        <w:rPr>
          <w:rFonts w:ascii="Times New Roman" w:hAnsi="Times New Roman"/>
          <w:lang w:val="en-HK"/>
        </w:rPr>
        <w:t xml:space="preserve">: Reinforces the proprietary basis of knowing receipt, aligning with </w:t>
      </w:r>
      <w:r w:rsidRPr="00586789">
        <w:rPr>
          <w:rFonts w:ascii="Times New Roman" w:hAnsi="Times New Roman"/>
          <w:i/>
          <w:iCs/>
          <w:lang w:val="en-HK"/>
        </w:rPr>
        <w:t>Byers</w:t>
      </w:r>
      <w:r w:rsidRPr="00586789">
        <w:rPr>
          <w:rFonts w:ascii="Times New Roman" w:hAnsi="Times New Roman"/>
          <w:lang w:val="en-HK"/>
        </w:rPr>
        <w:t>’s holding.</w:t>
      </w:r>
    </w:p>
    <w:p w14:paraId="3E8459F9" w14:textId="74E6B043"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 xml:space="preserve">2. </w:t>
      </w:r>
      <w:r w:rsidRPr="00586789">
        <w:rPr>
          <w:rFonts w:ascii="Times New Roman" w:hAnsi="Times New Roman"/>
          <w:b/>
          <w:bCs/>
          <w:lang w:val="en-HK"/>
        </w:rPr>
        <w:t>Law Commission Reports</w:t>
      </w:r>
      <w:r w:rsidRPr="00586789">
        <w:rPr>
          <w:rFonts w:ascii="Times New Roman" w:hAnsi="Times New Roman"/>
          <w:lang w:val="en-HK"/>
        </w:rPr>
        <w:t xml:space="preserve"> </w:t>
      </w:r>
    </w:p>
    <w:p w14:paraId="7232EFF9"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Opinion</w:t>
      </w:r>
      <w:r w:rsidRPr="00586789">
        <w:rPr>
          <w:rFonts w:ascii="Times New Roman" w:hAnsi="Times New Roman"/>
          <w:lang w:val="en-HK"/>
        </w:rPr>
        <w:t>:</w:t>
      </w:r>
    </w:p>
    <w:p w14:paraId="1ECDD392" w14:textId="763BE0FB" w:rsidR="00586789" w:rsidRPr="00586789" w:rsidRDefault="00586789" w:rsidP="00586789">
      <w:pPr>
        <w:spacing w:after="240" w:line="360" w:lineRule="auto"/>
        <w:rPr>
          <w:rFonts w:ascii="Times New Roman" w:hAnsi="Times New Roman"/>
          <w:lang w:val="en-HK"/>
        </w:rPr>
      </w:pPr>
      <w:r w:rsidRPr="00586789">
        <w:rPr>
          <w:rFonts w:ascii="Times New Roman" w:hAnsi="Times New Roman"/>
          <w:lang w:val="en-HK"/>
        </w:rPr>
        <w:t xml:space="preserve">In </w:t>
      </w:r>
      <w:r w:rsidRPr="00586789">
        <w:rPr>
          <w:rFonts w:ascii="Times New Roman" w:hAnsi="Times New Roman"/>
          <w:i/>
          <w:iCs/>
          <w:lang w:val="en-HK"/>
        </w:rPr>
        <w:t>Land Registration for the Twenty-First Century: A Consultative Document</w:t>
      </w:r>
      <w:r w:rsidRPr="00586789">
        <w:rPr>
          <w:rFonts w:ascii="Times New Roman" w:hAnsi="Times New Roman"/>
          <w:lang w:val="en-HK"/>
        </w:rPr>
        <w:t xml:space="preserve"> (Law Com No 254, 1998) para 3.48; </w:t>
      </w:r>
      <w:r w:rsidRPr="00586789">
        <w:rPr>
          <w:rFonts w:ascii="Times New Roman" w:hAnsi="Times New Roman"/>
          <w:i/>
          <w:iCs/>
          <w:lang w:val="en-HK"/>
        </w:rPr>
        <w:t>A Conveyancing Revolution</w:t>
      </w:r>
      <w:r w:rsidRPr="00586789">
        <w:rPr>
          <w:rFonts w:ascii="Times New Roman" w:hAnsi="Times New Roman"/>
          <w:lang w:val="en-HK"/>
        </w:rPr>
        <w:t xml:space="preserve"> (Law Com No 271, 2001) para 4.11; and </w:t>
      </w:r>
      <w:r w:rsidRPr="00586789">
        <w:rPr>
          <w:rFonts w:ascii="Times New Roman" w:hAnsi="Times New Roman"/>
          <w:i/>
          <w:iCs/>
          <w:lang w:val="en-HK"/>
        </w:rPr>
        <w:t>Updating the Land Registration Act 2002</w:t>
      </w:r>
      <w:r w:rsidRPr="00586789">
        <w:rPr>
          <w:rFonts w:ascii="Times New Roman" w:hAnsi="Times New Roman"/>
          <w:lang w:val="en-HK"/>
        </w:rPr>
        <w:t xml:space="preserve"> (Law Com No 350, 2018) paras 5.149-150, the Commission suggested a transferee under s.29 of the </w:t>
      </w:r>
      <w:r w:rsidRPr="00586789">
        <w:rPr>
          <w:rFonts w:ascii="Times New Roman" w:hAnsi="Times New Roman"/>
          <w:i/>
          <w:iCs/>
          <w:lang w:val="en-HK"/>
        </w:rPr>
        <w:t>Land Registration Act 2002</w:t>
      </w:r>
      <w:r w:rsidRPr="00586789">
        <w:rPr>
          <w:rFonts w:ascii="Times New Roman" w:hAnsi="Times New Roman"/>
          <w:lang w:val="en-HK"/>
        </w:rPr>
        <w:t xml:space="preserve"> might face knowing receipt liability despite taking free of equitable interests, reflected in the Act’s Explanatory Notes at para 59.</w:t>
      </w:r>
    </w:p>
    <w:p w14:paraId="1A64B6C8"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Context</w:t>
      </w:r>
      <w:r w:rsidRPr="00586789">
        <w:rPr>
          <w:rFonts w:ascii="Times New Roman" w:hAnsi="Times New Roman"/>
          <w:lang w:val="en-HK"/>
        </w:rPr>
        <w:t xml:space="preserve">: At 806, the Court noted this view but found it unsupported by </w:t>
      </w:r>
      <w:r w:rsidRPr="00586789">
        <w:rPr>
          <w:rFonts w:ascii="Times New Roman" w:hAnsi="Times New Roman"/>
          <w:i/>
          <w:iCs/>
          <w:lang w:val="en-HK"/>
        </w:rPr>
        <w:t>Arthur</w:t>
      </w:r>
      <w:r w:rsidRPr="00586789">
        <w:rPr>
          <w:rFonts w:ascii="Times New Roman" w:hAnsi="Times New Roman"/>
          <w:lang w:val="en-HK"/>
        </w:rPr>
        <w:t xml:space="preserve">, </w:t>
      </w:r>
      <w:proofErr w:type="spellStart"/>
      <w:r w:rsidRPr="00586789">
        <w:rPr>
          <w:rFonts w:ascii="Times New Roman" w:hAnsi="Times New Roman"/>
          <w:lang w:val="en-HK"/>
        </w:rPr>
        <w:t>favoring</w:t>
      </w:r>
      <w:proofErr w:type="spellEnd"/>
      <w:r w:rsidRPr="00586789">
        <w:rPr>
          <w:rFonts w:ascii="Times New Roman" w:hAnsi="Times New Roman"/>
          <w:lang w:val="en-HK"/>
        </w:rPr>
        <w:t xml:space="preserve"> </w:t>
      </w:r>
      <w:r w:rsidRPr="00586789">
        <w:rPr>
          <w:rFonts w:ascii="Times New Roman" w:hAnsi="Times New Roman"/>
          <w:i/>
          <w:iCs/>
          <w:lang w:val="en-HK"/>
        </w:rPr>
        <w:t>Byers</w:t>
      </w:r>
      <w:r w:rsidRPr="00586789">
        <w:rPr>
          <w:rFonts w:ascii="Times New Roman" w:hAnsi="Times New Roman"/>
          <w:lang w:val="en-HK"/>
        </w:rPr>
        <w:t>’s requirement of a continuing interest.</w:t>
      </w:r>
    </w:p>
    <w:p w14:paraId="20052FA1"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Impact</w:t>
      </w:r>
      <w:r w:rsidRPr="00586789">
        <w:rPr>
          <w:rFonts w:ascii="Times New Roman" w:hAnsi="Times New Roman"/>
          <w:lang w:val="en-HK"/>
        </w:rPr>
        <w:t xml:space="preserve">: Highlights a debated exception to </w:t>
      </w:r>
      <w:r w:rsidRPr="00586789">
        <w:rPr>
          <w:rFonts w:ascii="Times New Roman" w:hAnsi="Times New Roman"/>
          <w:i/>
          <w:iCs/>
          <w:lang w:val="en-HK"/>
        </w:rPr>
        <w:t>Byers</w:t>
      </w:r>
      <w:r w:rsidRPr="00586789">
        <w:rPr>
          <w:rFonts w:ascii="Times New Roman" w:hAnsi="Times New Roman"/>
          <w:lang w:val="en-HK"/>
        </w:rPr>
        <w:t>, unresolved due to the Court’s abstention on land registration (806).</w:t>
      </w:r>
    </w:p>
    <w:p w14:paraId="0EA7C166" w14:textId="36DF4C39"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 xml:space="preserve">3. </w:t>
      </w:r>
      <w:r w:rsidRPr="00586789">
        <w:rPr>
          <w:rFonts w:ascii="Times New Roman" w:hAnsi="Times New Roman"/>
          <w:b/>
          <w:bCs/>
          <w:lang w:val="en-HK"/>
        </w:rPr>
        <w:t xml:space="preserve">M </w:t>
      </w:r>
      <w:proofErr w:type="spellStart"/>
      <w:r w:rsidRPr="00586789">
        <w:rPr>
          <w:rFonts w:ascii="Times New Roman" w:hAnsi="Times New Roman"/>
          <w:b/>
          <w:bCs/>
          <w:lang w:val="en-HK"/>
        </w:rPr>
        <w:t>Conaglen</w:t>
      </w:r>
      <w:proofErr w:type="spellEnd"/>
      <w:r w:rsidRPr="00586789">
        <w:rPr>
          <w:rFonts w:ascii="Times New Roman" w:hAnsi="Times New Roman"/>
          <w:b/>
          <w:bCs/>
          <w:lang w:val="en-HK"/>
        </w:rPr>
        <w:t xml:space="preserve"> and A </w:t>
      </w:r>
      <w:proofErr w:type="spellStart"/>
      <w:r w:rsidRPr="00586789">
        <w:rPr>
          <w:rFonts w:ascii="Times New Roman" w:hAnsi="Times New Roman"/>
          <w:b/>
          <w:bCs/>
          <w:lang w:val="en-HK"/>
        </w:rPr>
        <w:t>Goymour</w:t>
      </w:r>
      <w:proofErr w:type="spellEnd"/>
      <w:r w:rsidRPr="00586789">
        <w:rPr>
          <w:rFonts w:ascii="Times New Roman" w:hAnsi="Times New Roman"/>
          <w:b/>
          <w:bCs/>
          <w:lang w:val="en-HK"/>
        </w:rPr>
        <w:t>, ‘Knowing Receipt and Registered Land’ in Constructive and Resulting Trusts (ed. C Mitchell, Hart 2010) 159</w:t>
      </w:r>
      <w:r w:rsidRPr="00586789">
        <w:rPr>
          <w:rFonts w:ascii="Times New Roman" w:hAnsi="Times New Roman"/>
          <w:lang w:val="en-HK"/>
        </w:rPr>
        <w:t xml:space="preserve"> </w:t>
      </w:r>
    </w:p>
    <w:p w14:paraId="54B32E82"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Opinion</w:t>
      </w:r>
      <w:r w:rsidRPr="00586789">
        <w:rPr>
          <w:rFonts w:ascii="Times New Roman" w:hAnsi="Times New Roman"/>
          <w:lang w:val="en-HK"/>
        </w:rPr>
        <w:t>: Argued that s.29’s protection precludes knowing receipt claims, contra the Law Commission.</w:t>
      </w:r>
    </w:p>
    <w:p w14:paraId="61C8D20A"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Context</w:t>
      </w:r>
      <w:r w:rsidRPr="00586789">
        <w:rPr>
          <w:rFonts w:ascii="Times New Roman" w:hAnsi="Times New Roman"/>
          <w:lang w:val="en-HK"/>
        </w:rPr>
        <w:t xml:space="preserve">: At 806, cited as aligning with </w:t>
      </w:r>
      <w:r w:rsidRPr="00586789">
        <w:rPr>
          <w:rFonts w:ascii="Times New Roman" w:hAnsi="Times New Roman"/>
          <w:i/>
          <w:iCs/>
          <w:lang w:val="en-HK"/>
        </w:rPr>
        <w:t>Byers</w:t>
      </w:r>
      <w:r w:rsidRPr="00586789">
        <w:rPr>
          <w:rFonts w:ascii="Times New Roman" w:hAnsi="Times New Roman"/>
          <w:lang w:val="en-HK"/>
        </w:rPr>
        <w:t xml:space="preserve"> that unencumbered title defeats liability.</w:t>
      </w:r>
    </w:p>
    <w:p w14:paraId="485D525E"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lastRenderedPageBreak/>
        <w:t>Impact</w:t>
      </w:r>
      <w:r w:rsidRPr="00586789">
        <w:rPr>
          <w:rFonts w:ascii="Times New Roman" w:hAnsi="Times New Roman"/>
          <w:lang w:val="en-HK"/>
        </w:rPr>
        <w:t>: Bolsters the Court’s logic, suggesting statutory title systems mirror foreign lex situs effects.</w:t>
      </w:r>
    </w:p>
    <w:p w14:paraId="3D483767" w14:textId="748FB69B"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Judicial-Scholarly Opinions (Custodial Duties)</w:t>
      </w:r>
      <w:r w:rsidRPr="00586789">
        <w:rPr>
          <w:rFonts w:ascii="Times New Roman" w:hAnsi="Times New Roman"/>
          <w:lang w:val="en-HK"/>
        </w:rPr>
        <w:t>:</w:t>
      </w:r>
    </w:p>
    <w:p w14:paraId="1B0EF15B" w14:textId="59D6B354"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 xml:space="preserve">Sir Terence </w:t>
      </w:r>
      <w:proofErr w:type="spellStart"/>
      <w:r w:rsidRPr="00586789">
        <w:rPr>
          <w:rFonts w:ascii="Times New Roman" w:hAnsi="Times New Roman"/>
          <w:b/>
          <w:bCs/>
          <w:lang w:val="en-HK"/>
        </w:rPr>
        <w:t>Etherton</w:t>
      </w:r>
      <w:proofErr w:type="spellEnd"/>
      <w:r w:rsidRPr="00586789">
        <w:rPr>
          <w:rFonts w:ascii="Times New Roman" w:hAnsi="Times New Roman"/>
          <w:b/>
          <w:bCs/>
          <w:lang w:val="en-HK"/>
        </w:rPr>
        <w:t xml:space="preserve"> (Arthur v Attorney General of the Turks and Caicos Islands [2012] UKPC 30 at [37])</w:t>
      </w:r>
      <w:r w:rsidRPr="00586789">
        <w:rPr>
          <w:rFonts w:ascii="Times New Roman" w:hAnsi="Times New Roman"/>
          <w:lang w:val="en-HK"/>
        </w:rPr>
        <w:t xml:space="preserve">: </w:t>
      </w:r>
      <w:r w:rsidRPr="00586789">
        <w:rPr>
          <w:rFonts w:ascii="Times New Roman" w:hAnsi="Times New Roman"/>
          <w:i/>
          <w:iCs/>
          <w:lang w:val="en-HK"/>
        </w:rPr>
        <w:t>The knowing recipient is subject to custodial duties which are the same as those voluntarily assumed by express trustees</w:t>
      </w:r>
      <w:r w:rsidRPr="00586789">
        <w:rPr>
          <w:rFonts w:ascii="Times New Roman" w:hAnsi="Times New Roman"/>
          <w:lang w:val="en-HK"/>
        </w:rPr>
        <w:t>. Cited at 805, this assumes a subsisting interest (</w:t>
      </w:r>
      <w:r w:rsidRPr="00586789">
        <w:rPr>
          <w:rFonts w:ascii="Times New Roman" w:hAnsi="Times New Roman"/>
          <w:i/>
          <w:iCs/>
          <w:lang w:val="en-HK"/>
        </w:rPr>
        <w:t>Byers</w:t>
      </w:r>
      <w:r w:rsidRPr="00586789">
        <w:rPr>
          <w:rFonts w:ascii="Times New Roman" w:hAnsi="Times New Roman"/>
          <w:lang w:val="en-HK"/>
        </w:rPr>
        <w:t xml:space="preserve"> at 806).</w:t>
      </w:r>
    </w:p>
    <w:p w14:paraId="71EDF2A3" w14:textId="6FC4834E"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Lord Sumption (Williams v Central Bank of Nigeria [2014] UKSC 10 at [31])</w:t>
      </w:r>
      <w:r w:rsidRPr="00586789">
        <w:rPr>
          <w:rFonts w:ascii="Times New Roman" w:hAnsi="Times New Roman"/>
          <w:lang w:val="en-HK"/>
        </w:rPr>
        <w:t xml:space="preserve">: </w:t>
      </w:r>
      <w:r w:rsidRPr="00586789">
        <w:rPr>
          <w:rFonts w:ascii="Times New Roman" w:hAnsi="Times New Roman"/>
          <w:i/>
          <w:iCs/>
          <w:lang w:val="en-HK"/>
        </w:rPr>
        <w:t>His sole obligation of any practical significance is to restore the assets immediately</w:t>
      </w:r>
      <w:r w:rsidRPr="00586789">
        <w:rPr>
          <w:rFonts w:ascii="Times New Roman" w:hAnsi="Times New Roman"/>
          <w:lang w:val="en-HK"/>
        </w:rPr>
        <w:t>. At 805, this ties liability to proprietary retention.</w:t>
      </w:r>
    </w:p>
    <w:p w14:paraId="324F61D4" w14:textId="2D34F52D"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Lord Sumption and Lord Briggs (DD Growth Premium 2X Fund v RMF Market Neutral Strategies (Master) Ltd [2017] UKPC 36 at [58])</w:t>
      </w:r>
      <w:r w:rsidRPr="00586789">
        <w:rPr>
          <w:rFonts w:ascii="Times New Roman" w:hAnsi="Times New Roman"/>
          <w:lang w:val="en-HK"/>
        </w:rPr>
        <w:t xml:space="preserve">: Described liability as </w:t>
      </w:r>
      <w:r w:rsidRPr="00586789">
        <w:rPr>
          <w:rFonts w:ascii="Times New Roman" w:hAnsi="Times New Roman"/>
          <w:i/>
          <w:iCs/>
          <w:lang w:val="en-HK"/>
        </w:rPr>
        <w:t>essentially a custodial liability comparable to that of an express trustee</w:t>
      </w:r>
      <w:r w:rsidRPr="00586789">
        <w:rPr>
          <w:rFonts w:ascii="Times New Roman" w:hAnsi="Times New Roman"/>
          <w:lang w:val="en-HK"/>
        </w:rPr>
        <w:t xml:space="preserve">. At 805-806, this supports </w:t>
      </w:r>
      <w:r w:rsidRPr="00586789">
        <w:rPr>
          <w:rFonts w:ascii="Times New Roman" w:hAnsi="Times New Roman"/>
          <w:i/>
          <w:iCs/>
          <w:lang w:val="en-HK"/>
        </w:rPr>
        <w:t>Byers</w:t>
      </w:r>
      <w:r w:rsidRPr="00586789">
        <w:rPr>
          <w:rFonts w:ascii="Times New Roman" w:hAnsi="Times New Roman"/>
          <w:lang w:val="en-HK"/>
        </w:rPr>
        <w:t xml:space="preserve"> that no duty arises with impregnable title.</w:t>
      </w:r>
    </w:p>
    <w:p w14:paraId="2A68E346"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Impact</w:t>
      </w:r>
      <w:r w:rsidRPr="00586789">
        <w:rPr>
          <w:rFonts w:ascii="Times New Roman" w:hAnsi="Times New Roman"/>
          <w:lang w:val="en-HK"/>
        </w:rPr>
        <w:t xml:space="preserve">: Scholars and judges converge on custodial duties requiring a continuing interest, underpinning </w:t>
      </w:r>
      <w:r w:rsidRPr="00586789">
        <w:rPr>
          <w:rFonts w:ascii="Times New Roman" w:hAnsi="Times New Roman"/>
          <w:i/>
          <w:iCs/>
          <w:lang w:val="en-HK"/>
        </w:rPr>
        <w:t>Byers</w:t>
      </w:r>
      <w:r w:rsidRPr="00586789">
        <w:rPr>
          <w:rFonts w:ascii="Times New Roman" w:hAnsi="Times New Roman"/>
          <w:lang w:val="en-HK"/>
        </w:rPr>
        <w:t>’s conclusion (806).</w:t>
      </w:r>
    </w:p>
    <w:p w14:paraId="635AC062"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 xml:space="preserve">M Dixon and N Hopkins on Registered Land (806, </w:t>
      </w:r>
      <w:proofErr w:type="spellStart"/>
      <w:r w:rsidRPr="00586789">
        <w:rPr>
          <w:rFonts w:ascii="Times New Roman" w:hAnsi="Times New Roman"/>
          <w:b/>
          <w:bCs/>
          <w:lang w:val="en-HK"/>
        </w:rPr>
        <w:t>fn</w:t>
      </w:r>
      <w:proofErr w:type="spellEnd"/>
      <w:r w:rsidRPr="00586789">
        <w:rPr>
          <w:rFonts w:ascii="Times New Roman" w:hAnsi="Times New Roman"/>
          <w:b/>
          <w:bCs/>
          <w:lang w:val="en-HK"/>
        </w:rPr>
        <w:t xml:space="preserve"> 22)</w:t>
      </w:r>
      <w:r w:rsidRPr="00586789">
        <w:rPr>
          <w:rFonts w:ascii="Times New Roman" w:hAnsi="Times New Roman"/>
          <w:lang w:val="en-HK"/>
        </w:rPr>
        <w:t xml:space="preserve"> </w:t>
      </w:r>
    </w:p>
    <w:p w14:paraId="4EF36903" w14:textId="2337A42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Opinion</w:t>
      </w:r>
      <w:r w:rsidRPr="00586789">
        <w:rPr>
          <w:rFonts w:ascii="Times New Roman" w:hAnsi="Times New Roman"/>
          <w:lang w:val="en-HK"/>
        </w:rPr>
        <w:t>: Cited in footnotes, M Dixon (</w:t>
      </w:r>
      <w:r w:rsidRPr="00586789">
        <w:rPr>
          <w:rFonts w:ascii="Times New Roman" w:hAnsi="Times New Roman"/>
          <w:i/>
          <w:iCs/>
          <w:lang w:val="en-HK"/>
        </w:rPr>
        <w:t>‘Knowing Receipt, Constructive Trusts and Registered Title’</w:t>
      </w:r>
      <w:r w:rsidRPr="00586789">
        <w:rPr>
          <w:rFonts w:ascii="Times New Roman" w:hAnsi="Times New Roman"/>
          <w:lang w:val="en-HK"/>
        </w:rPr>
        <w:t xml:space="preserve"> (2012) 76 Conv 439) and N Hopkins (</w:t>
      </w:r>
      <w:r w:rsidRPr="00586789">
        <w:rPr>
          <w:rFonts w:ascii="Times New Roman" w:hAnsi="Times New Roman"/>
          <w:i/>
          <w:iCs/>
          <w:lang w:val="en-HK"/>
        </w:rPr>
        <w:t>‘Recipient Liability in the Twenty-First Century’</w:t>
      </w:r>
      <w:r w:rsidRPr="00586789">
        <w:rPr>
          <w:rFonts w:ascii="Times New Roman" w:hAnsi="Times New Roman"/>
          <w:lang w:val="en-HK"/>
        </w:rPr>
        <w:t xml:space="preserve"> (1993-97) Conv 4.199) align with the Law Commission’s view that s.29 of the </w:t>
      </w:r>
      <w:r w:rsidRPr="00586789">
        <w:rPr>
          <w:rFonts w:ascii="Times New Roman" w:hAnsi="Times New Roman"/>
          <w:i/>
          <w:iCs/>
          <w:lang w:val="en-HK"/>
        </w:rPr>
        <w:t>Land Registration Act 2002</w:t>
      </w:r>
      <w:r w:rsidRPr="00586789">
        <w:rPr>
          <w:rFonts w:ascii="Times New Roman" w:hAnsi="Times New Roman"/>
          <w:lang w:val="en-HK"/>
        </w:rPr>
        <w:t xml:space="preserve"> might not preclude knowing receipt liability despite statutory protection.</w:t>
      </w:r>
    </w:p>
    <w:p w14:paraId="71BE7FD2" w14:textId="28A13EF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Context</w:t>
      </w:r>
      <w:r w:rsidRPr="00586789">
        <w:rPr>
          <w:rFonts w:ascii="Times New Roman" w:hAnsi="Times New Roman"/>
          <w:lang w:val="en-HK"/>
        </w:rPr>
        <w:t xml:space="preserve">: At 806, the Court notes this as part of the debate but declines to resolve it, </w:t>
      </w:r>
      <w:proofErr w:type="spellStart"/>
      <w:r w:rsidRPr="00586789">
        <w:rPr>
          <w:rFonts w:ascii="Times New Roman" w:hAnsi="Times New Roman"/>
          <w:lang w:val="en-HK"/>
        </w:rPr>
        <w:t>favoring</w:t>
      </w:r>
      <w:proofErr w:type="spellEnd"/>
      <w:r w:rsidRPr="00586789">
        <w:rPr>
          <w:rFonts w:ascii="Times New Roman" w:hAnsi="Times New Roman"/>
          <w:lang w:val="en-HK"/>
        </w:rPr>
        <w:t xml:space="preserve"> </w:t>
      </w:r>
      <w:r w:rsidRPr="00586789">
        <w:rPr>
          <w:rFonts w:ascii="Times New Roman" w:hAnsi="Times New Roman"/>
          <w:i/>
          <w:iCs/>
          <w:lang w:val="en-HK"/>
        </w:rPr>
        <w:t>Byers</w:t>
      </w:r>
      <w:r w:rsidRPr="00586789">
        <w:rPr>
          <w:rFonts w:ascii="Times New Roman" w:hAnsi="Times New Roman"/>
          <w:lang w:val="en-HK"/>
        </w:rPr>
        <w:t>’s logic that unencumbered title defeats claims.</w:t>
      </w:r>
    </w:p>
    <w:p w14:paraId="343A7EDF"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Impact</w:t>
      </w:r>
      <w:r w:rsidRPr="00586789">
        <w:rPr>
          <w:rFonts w:ascii="Times New Roman" w:hAnsi="Times New Roman"/>
          <w:lang w:val="en-HK"/>
        </w:rPr>
        <w:t xml:space="preserve">: These scholars bolster the Law Commission’s position, suggesting a potential divergence from </w:t>
      </w:r>
      <w:r w:rsidRPr="00586789">
        <w:rPr>
          <w:rFonts w:ascii="Times New Roman" w:hAnsi="Times New Roman"/>
          <w:i/>
          <w:iCs/>
          <w:lang w:val="en-HK"/>
        </w:rPr>
        <w:t>Byers</w:t>
      </w:r>
      <w:r w:rsidRPr="00586789">
        <w:rPr>
          <w:rFonts w:ascii="Times New Roman" w:hAnsi="Times New Roman"/>
          <w:lang w:val="en-HK"/>
        </w:rPr>
        <w:t xml:space="preserve"> in land registration contexts. Their omission from the summary misses a fuller scholarly debate on statutory exceptions, though the Court’s non-determination limits its immediate relevance.</w:t>
      </w:r>
    </w:p>
    <w:p w14:paraId="380D717F"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lastRenderedPageBreak/>
        <w:t>Broader Scholarly Consensus via Case Citations (804-805)</w:t>
      </w:r>
      <w:r w:rsidRPr="00586789">
        <w:rPr>
          <w:rFonts w:ascii="Times New Roman" w:hAnsi="Times New Roman"/>
          <w:lang w:val="en-HK"/>
        </w:rPr>
        <w:t xml:space="preserve"> </w:t>
      </w:r>
    </w:p>
    <w:p w14:paraId="6D7B71C2" w14:textId="5EA76AFC"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Opinion</w:t>
      </w:r>
      <w:r w:rsidRPr="00586789">
        <w:rPr>
          <w:rFonts w:ascii="Times New Roman" w:hAnsi="Times New Roman"/>
          <w:lang w:val="en-HK"/>
        </w:rPr>
        <w:t xml:space="preserve">: The Court’s reliance on </w:t>
      </w:r>
      <w:r w:rsidRPr="00586789">
        <w:rPr>
          <w:rFonts w:ascii="Times New Roman" w:hAnsi="Times New Roman"/>
          <w:i/>
          <w:iCs/>
          <w:lang w:val="en-HK"/>
        </w:rPr>
        <w:t>Lewin</w:t>
      </w:r>
      <w:r w:rsidRPr="00586789">
        <w:rPr>
          <w:rFonts w:ascii="Times New Roman" w:hAnsi="Times New Roman"/>
          <w:lang w:val="en-HK"/>
        </w:rPr>
        <w:t xml:space="preserve"> (e.g., para 42-044: </w:t>
      </w:r>
      <w:r w:rsidRPr="00586789">
        <w:rPr>
          <w:rFonts w:ascii="Times New Roman" w:hAnsi="Times New Roman"/>
          <w:i/>
          <w:iCs/>
          <w:lang w:val="en-HK"/>
        </w:rPr>
        <w:t>If the beneficial title does pass to the recipient there is no occasion for the imposition of liability in equity on the recipient under the knowing receipt head of constructive trusteeship</w:t>
      </w:r>
      <w:r w:rsidRPr="00586789">
        <w:rPr>
          <w:rFonts w:ascii="Times New Roman" w:hAnsi="Times New Roman"/>
          <w:lang w:val="en-HK"/>
        </w:rPr>
        <w:t xml:space="preserve">) reflects a wider scholarly assumption, echoed in judicial citations (e.g., Millett J in </w:t>
      </w:r>
      <w:r w:rsidRPr="00586789">
        <w:rPr>
          <w:rFonts w:ascii="Times New Roman" w:hAnsi="Times New Roman"/>
          <w:i/>
          <w:iCs/>
          <w:lang w:val="en-HK"/>
        </w:rPr>
        <w:t>Macmillan</w:t>
      </w:r>
      <w:r w:rsidRPr="00586789">
        <w:rPr>
          <w:rFonts w:ascii="Times New Roman" w:hAnsi="Times New Roman"/>
          <w:lang w:val="en-HK"/>
        </w:rPr>
        <w:t>), that knowing receipt requires a proprietary nexus.</w:t>
      </w:r>
    </w:p>
    <w:p w14:paraId="33C81F88"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Context</w:t>
      </w:r>
      <w:r w:rsidRPr="00586789">
        <w:rPr>
          <w:rFonts w:ascii="Times New Roman" w:hAnsi="Times New Roman"/>
          <w:lang w:val="en-HK"/>
        </w:rPr>
        <w:t xml:space="preserve">: This underpins </w:t>
      </w:r>
      <w:r w:rsidRPr="00586789">
        <w:rPr>
          <w:rFonts w:ascii="Times New Roman" w:hAnsi="Times New Roman"/>
          <w:i/>
          <w:iCs/>
          <w:lang w:val="en-HK"/>
        </w:rPr>
        <w:t>Byers</w:t>
      </w:r>
      <w:r w:rsidRPr="00586789">
        <w:rPr>
          <w:rFonts w:ascii="Times New Roman" w:hAnsi="Times New Roman"/>
          <w:lang w:val="en-HK"/>
        </w:rPr>
        <w:t xml:space="preserve">’s reasoning but isn’t explicitly framed as a distinct scholarly opinion beyond </w:t>
      </w:r>
      <w:r w:rsidRPr="00586789">
        <w:rPr>
          <w:rFonts w:ascii="Times New Roman" w:hAnsi="Times New Roman"/>
          <w:i/>
          <w:iCs/>
          <w:lang w:val="en-HK"/>
        </w:rPr>
        <w:t>Lewin</w:t>
      </w:r>
      <w:r w:rsidRPr="00586789">
        <w:rPr>
          <w:rFonts w:ascii="Times New Roman" w:hAnsi="Times New Roman"/>
          <w:lang w:val="en-HK"/>
        </w:rPr>
        <w:t>.</w:t>
      </w:r>
    </w:p>
    <w:p w14:paraId="69A0EE94"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Impact</w:t>
      </w:r>
      <w:r w:rsidRPr="00586789">
        <w:rPr>
          <w:rFonts w:ascii="Times New Roman" w:hAnsi="Times New Roman"/>
          <w:lang w:val="en-HK"/>
        </w:rPr>
        <w:t xml:space="preserve">: Highlighting this consensus could emphasize the doctrinal foundation of </w:t>
      </w:r>
      <w:r w:rsidRPr="00586789">
        <w:rPr>
          <w:rFonts w:ascii="Times New Roman" w:hAnsi="Times New Roman"/>
          <w:i/>
          <w:iCs/>
          <w:lang w:val="en-HK"/>
        </w:rPr>
        <w:t>Byers</w:t>
      </w:r>
      <w:r w:rsidRPr="00586789">
        <w:rPr>
          <w:rFonts w:ascii="Times New Roman" w:hAnsi="Times New Roman"/>
          <w:lang w:val="en-HK"/>
        </w:rPr>
        <w:t>, showing it as less a judicial innovation and more a scholarly-jurisprudential synthesis, adding depth to the summary’s scholarly section.</w:t>
      </w:r>
    </w:p>
    <w:p w14:paraId="559414D5"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Foreign Law Methodology (808)</w:t>
      </w:r>
      <w:r w:rsidRPr="00586789">
        <w:rPr>
          <w:rFonts w:ascii="Times New Roman" w:hAnsi="Times New Roman"/>
          <w:lang w:val="en-HK"/>
        </w:rPr>
        <w:t xml:space="preserve"> </w:t>
      </w:r>
    </w:p>
    <w:p w14:paraId="43BE42E9" w14:textId="216C5F63"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Opinion</w:t>
      </w:r>
      <w:r w:rsidRPr="00586789">
        <w:rPr>
          <w:rFonts w:ascii="Times New Roman" w:hAnsi="Times New Roman"/>
          <w:lang w:val="en-HK"/>
        </w:rPr>
        <w:t xml:space="preserve">: Roxburgh at 808 reaffirms principles from cases like </w:t>
      </w:r>
      <w:r w:rsidRPr="00586789">
        <w:rPr>
          <w:rFonts w:ascii="Times New Roman" w:hAnsi="Times New Roman"/>
          <w:i/>
          <w:iCs/>
          <w:lang w:val="en-HK"/>
        </w:rPr>
        <w:t xml:space="preserve">A/S </w:t>
      </w:r>
      <w:proofErr w:type="spellStart"/>
      <w:r w:rsidRPr="00586789">
        <w:rPr>
          <w:rFonts w:ascii="Times New Roman" w:hAnsi="Times New Roman"/>
          <w:i/>
          <w:iCs/>
          <w:lang w:val="en-HK"/>
        </w:rPr>
        <w:t>Tallinna</w:t>
      </w:r>
      <w:proofErr w:type="spellEnd"/>
      <w:r w:rsidRPr="00586789">
        <w:rPr>
          <w:rFonts w:ascii="Times New Roman" w:hAnsi="Times New Roman"/>
          <w:i/>
          <w:iCs/>
          <w:lang w:val="en-HK"/>
        </w:rPr>
        <w:t xml:space="preserve"> </w:t>
      </w:r>
      <w:proofErr w:type="spellStart"/>
      <w:r w:rsidRPr="00586789">
        <w:rPr>
          <w:rFonts w:ascii="Times New Roman" w:hAnsi="Times New Roman"/>
          <w:i/>
          <w:iCs/>
          <w:lang w:val="en-HK"/>
        </w:rPr>
        <w:t>Laevauhisus</w:t>
      </w:r>
      <w:proofErr w:type="spellEnd"/>
      <w:r w:rsidRPr="00586789">
        <w:rPr>
          <w:rFonts w:ascii="Times New Roman" w:hAnsi="Times New Roman"/>
          <w:i/>
          <w:iCs/>
          <w:lang w:val="en-HK"/>
        </w:rPr>
        <w:t xml:space="preserve"> v Estonian State Steamship Line</w:t>
      </w:r>
      <w:r w:rsidRPr="00586789">
        <w:rPr>
          <w:rFonts w:ascii="Times New Roman" w:hAnsi="Times New Roman"/>
          <w:lang w:val="en-HK"/>
        </w:rPr>
        <w:t xml:space="preserve"> (1946) 80 </w:t>
      </w:r>
      <w:proofErr w:type="spellStart"/>
      <w:r w:rsidRPr="00586789">
        <w:rPr>
          <w:rFonts w:ascii="Times New Roman" w:hAnsi="Times New Roman"/>
          <w:lang w:val="en-HK"/>
        </w:rPr>
        <w:t>Ll</w:t>
      </w:r>
      <w:proofErr w:type="spellEnd"/>
      <w:r w:rsidRPr="00586789">
        <w:rPr>
          <w:rFonts w:ascii="Times New Roman" w:hAnsi="Times New Roman"/>
          <w:lang w:val="en-HK"/>
        </w:rPr>
        <w:t xml:space="preserve"> L Rep 99 at 107, where </w:t>
      </w:r>
      <w:proofErr w:type="spellStart"/>
      <w:r w:rsidRPr="00586789">
        <w:rPr>
          <w:rFonts w:ascii="Times New Roman" w:hAnsi="Times New Roman"/>
          <w:lang w:val="en-HK"/>
        </w:rPr>
        <w:t>Scrutton</w:t>
      </w:r>
      <w:proofErr w:type="spellEnd"/>
      <w:r w:rsidRPr="00586789">
        <w:rPr>
          <w:rFonts w:ascii="Times New Roman" w:hAnsi="Times New Roman"/>
          <w:lang w:val="en-HK"/>
        </w:rPr>
        <w:t xml:space="preserve"> LJ noted foreign law interpretation relies on expert evidence, not judicial construction. This isn’t a scholar per se but reflects a scholarly-endorsed legal norm.</w:t>
      </w:r>
    </w:p>
    <w:p w14:paraId="77BEABF1"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Context</w:t>
      </w:r>
      <w:r w:rsidRPr="00586789">
        <w:rPr>
          <w:rFonts w:ascii="Times New Roman" w:hAnsi="Times New Roman"/>
          <w:lang w:val="en-HK"/>
        </w:rPr>
        <w:t xml:space="preserve">: At 807, the Court rejects de novo statutory interpretation of Saudi law, deferring to </w:t>
      </w:r>
      <w:proofErr w:type="spellStart"/>
      <w:r w:rsidRPr="00586789">
        <w:rPr>
          <w:rFonts w:ascii="Times New Roman" w:hAnsi="Times New Roman"/>
          <w:lang w:val="en-HK"/>
        </w:rPr>
        <w:t>Fancourt</w:t>
      </w:r>
      <w:proofErr w:type="spellEnd"/>
      <w:r w:rsidRPr="00586789">
        <w:rPr>
          <w:rFonts w:ascii="Times New Roman" w:hAnsi="Times New Roman"/>
          <w:lang w:val="en-HK"/>
        </w:rPr>
        <w:t xml:space="preserve"> J’s expert-based findings.</w:t>
      </w:r>
    </w:p>
    <w:p w14:paraId="207CB551" w14:textId="77777777" w:rsidR="00586789" w:rsidRPr="00586789" w:rsidRDefault="00586789" w:rsidP="00586789">
      <w:pPr>
        <w:spacing w:after="240" w:line="360" w:lineRule="auto"/>
        <w:rPr>
          <w:rFonts w:ascii="Times New Roman" w:hAnsi="Times New Roman"/>
          <w:lang w:val="en-HK"/>
        </w:rPr>
      </w:pPr>
      <w:r w:rsidRPr="00586789">
        <w:rPr>
          <w:rFonts w:ascii="Times New Roman" w:hAnsi="Times New Roman"/>
          <w:b/>
          <w:bCs/>
          <w:lang w:val="en-HK"/>
        </w:rPr>
        <w:t>Impact</w:t>
      </w:r>
      <w:r w:rsidRPr="00586789">
        <w:rPr>
          <w:rFonts w:ascii="Times New Roman" w:hAnsi="Times New Roman"/>
          <w:lang w:val="en-HK"/>
        </w:rPr>
        <w:t xml:space="preserve">: While not a scholar’s opinion, this methodological point could be framed as a key legal principle with scholarly backing, reinforcing </w:t>
      </w:r>
      <w:r w:rsidRPr="00586789">
        <w:rPr>
          <w:rFonts w:ascii="Times New Roman" w:hAnsi="Times New Roman"/>
          <w:i/>
          <w:iCs/>
          <w:lang w:val="en-HK"/>
        </w:rPr>
        <w:t>Byers</w:t>
      </w:r>
      <w:r w:rsidRPr="00586789">
        <w:rPr>
          <w:rFonts w:ascii="Times New Roman" w:hAnsi="Times New Roman"/>
          <w:lang w:val="en-HK"/>
        </w:rPr>
        <w:t>’s implications for international trusts litigation. Its absence from the summary misses a procedural nuance affecting foreign law cases.</w:t>
      </w:r>
    </w:p>
    <w:p w14:paraId="6B44A204" w14:textId="77777777" w:rsidR="00586789" w:rsidRPr="00586789" w:rsidRDefault="00586789" w:rsidP="00586789">
      <w:pPr>
        <w:spacing w:after="240" w:line="360" w:lineRule="auto"/>
        <w:ind w:left="1440"/>
        <w:rPr>
          <w:rFonts w:ascii="Times New Roman" w:hAnsi="Times New Roman"/>
          <w:lang w:val="en-HK"/>
        </w:rPr>
      </w:pPr>
    </w:p>
    <w:p w14:paraId="3250338F" w14:textId="542ABFAB" w:rsidR="00586789" w:rsidRPr="00586789" w:rsidRDefault="00586789" w:rsidP="00586789">
      <w:pPr>
        <w:spacing w:after="240" w:line="360" w:lineRule="auto"/>
        <w:rPr>
          <w:rFonts w:ascii="Times New Roman" w:hAnsi="Times New Roman"/>
          <w:lang w:val="en-HK"/>
        </w:rPr>
      </w:pPr>
    </w:p>
    <w:p w14:paraId="05631DFB" w14:textId="77777777" w:rsidR="00CD39F1" w:rsidRPr="00586789" w:rsidRDefault="00CD39F1" w:rsidP="00586789">
      <w:pPr>
        <w:spacing w:after="240" w:line="360" w:lineRule="auto"/>
        <w:rPr>
          <w:lang w:val="en-US"/>
        </w:rPr>
      </w:pPr>
    </w:p>
    <w:sectPr w:rsidR="00CD39F1" w:rsidRPr="005867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F0324"/>
    <w:multiLevelType w:val="multilevel"/>
    <w:tmpl w:val="EEE8028A"/>
    <w:lvl w:ilvl="0">
      <w:start w:val="1"/>
      <w:numFmt w:val="decimal"/>
      <w:lvlText w:val="%1."/>
      <w:lvlJc w:val="left"/>
      <w:pPr>
        <w:ind w:left="-425" w:hanging="360"/>
      </w:pPr>
      <w:rPr>
        <w:rFonts w:hint="default"/>
        <w:sz w:val="20"/>
      </w:rPr>
    </w:lvl>
    <w:lvl w:ilvl="1">
      <w:start w:val="1"/>
      <w:numFmt w:val="bullet"/>
      <w:lvlText w:val=""/>
      <w:lvlJc w:val="left"/>
      <w:pPr>
        <w:ind w:left="-425" w:hanging="360"/>
      </w:pPr>
      <w:rPr>
        <w:rFonts w:ascii="Symbol" w:hAnsi="Symbol" w:hint="default"/>
        <w:color w:val="auto"/>
      </w:rPr>
    </w:lvl>
    <w:lvl w:ilvl="2">
      <w:start w:val="1"/>
      <w:numFmt w:val="bullet"/>
      <w:lvlText w:val=""/>
      <w:lvlJc w:val="left"/>
      <w:pPr>
        <w:tabs>
          <w:tab w:val="num" w:pos="-425"/>
        </w:tabs>
        <w:ind w:left="-425" w:hanging="360"/>
      </w:pPr>
      <w:rPr>
        <w:rFonts w:ascii="Wingdings" w:hAnsi="Wingdings" w:hint="default"/>
        <w:sz w:val="20"/>
      </w:rPr>
    </w:lvl>
    <w:lvl w:ilvl="3" w:tentative="1">
      <w:start w:val="1"/>
      <w:numFmt w:val="bullet"/>
      <w:lvlText w:val=""/>
      <w:lvlJc w:val="left"/>
      <w:pPr>
        <w:tabs>
          <w:tab w:val="num" w:pos="1735"/>
        </w:tabs>
        <w:ind w:left="1735" w:hanging="360"/>
      </w:pPr>
      <w:rPr>
        <w:rFonts w:ascii="Wingdings" w:hAnsi="Wingdings" w:hint="default"/>
        <w:sz w:val="20"/>
      </w:rPr>
    </w:lvl>
    <w:lvl w:ilvl="4" w:tentative="1">
      <w:start w:val="1"/>
      <w:numFmt w:val="bullet"/>
      <w:lvlText w:val=""/>
      <w:lvlJc w:val="left"/>
      <w:pPr>
        <w:tabs>
          <w:tab w:val="num" w:pos="2455"/>
        </w:tabs>
        <w:ind w:left="2455" w:hanging="360"/>
      </w:pPr>
      <w:rPr>
        <w:rFonts w:ascii="Wingdings" w:hAnsi="Wingdings" w:hint="default"/>
        <w:sz w:val="20"/>
      </w:rPr>
    </w:lvl>
    <w:lvl w:ilvl="5" w:tentative="1">
      <w:start w:val="1"/>
      <w:numFmt w:val="bullet"/>
      <w:lvlText w:val=""/>
      <w:lvlJc w:val="left"/>
      <w:pPr>
        <w:tabs>
          <w:tab w:val="num" w:pos="3175"/>
        </w:tabs>
        <w:ind w:left="3175" w:hanging="360"/>
      </w:pPr>
      <w:rPr>
        <w:rFonts w:ascii="Wingdings" w:hAnsi="Wingdings" w:hint="default"/>
        <w:sz w:val="20"/>
      </w:rPr>
    </w:lvl>
    <w:lvl w:ilvl="6" w:tentative="1">
      <w:start w:val="1"/>
      <w:numFmt w:val="bullet"/>
      <w:lvlText w:val=""/>
      <w:lvlJc w:val="left"/>
      <w:pPr>
        <w:tabs>
          <w:tab w:val="num" w:pos="3895"/>
        </w:tabs>
        <w:ind w:left="3895" w:hanging="360"/>
      </w:pPr>
      <w:rPr>
        <w:rFonts w:ascii="Wingdings" w:hAnsi="Wingdings" w:hint="default"/>
        <w:sz w:val="20"/>
      </w:rPr>
    </w:lvl>
    <w:lvl w:ilvl="7" w:tentative="1">
      <w:start w:val="1"/>
      <w:numFmt w:val="bullet"/>
      <w:lvlText w:val=""/>
      <w:lvlJc w:val="left"/>
      <w:pPr>
        <w:tabs>
          <w:tab w:val="num" w:pos="4615"/>
        </w:tabs>
        <w:ind w:left="4615" w:hanging="360"/>
      </w:pPr>
      <w:rPr>
        <w:rFonts w:ascii="Wingdings" w:hAnsi="Wingdings" w:hint="default"/>
        <w:sz w:val="20"/>
      </w:rPr>
    </w:lvl>
    <w:lvl w:ilvl="8" w:tentative="1">
      <w:start w:val="1"/>
      <w:numFmt w:val="bullet"/>
      <w:lvlText w:val=""/>
      <w:lvlJc w:val="left"/>
      <w:pPr>
        <w:tabs>
          <w:tab w:val="num" w:pos="5335"/>
        </w:tabs>
        <w:ind w:left="5335" w:hanging="360"/>
      </w:pPr>
      <w:rPr>
        <w:rFonts w:ascii="Wingdings" w:hAnsi="Wingdings" w:hint="default"/>
        <w:sz w:val="20"/>
      </w:rPr>
    </w:lvl>
  </w:abstractNum>
  <w:abstractNum w:abstractNumId="1" w15:restartNumberingAfterBreak="0">
    <w:nsid w:val="1FF24947"/>
    <w:multiLevelType w:val="multilevel"/>
    <w:tmpl w:val="D6DE90AA"/>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AB050AA"/>
    <w:multiLevelType w:val="multilevel"/>
    <w:tmpl w:val="88EE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23371"/>
    <w:multiLevelType w:val="multilevel"/>
    <w:tmpl w:val="7060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F251A"/>
    <w:multiLevelType w:val="multilevel"/>
    <w:tmpl w:val="D6DE90AA"/>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B293427"/>
    <w:multiLevelType w:val="hybridMultilevel"/>
    <w:tmpl w:val="D2409B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BF240F8"/>
    <w:multiLevelType w:val="multilevel"/>
    <w:tmpl w:val="173EF43A"/>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21392478">
    <w:abstractNumId w:val="6"/>
  </w:num>
  <w:num w:numId="2" w16cid:durableId="1796439269">
    <w:abstractNumId w:val="0"/>
  </w:num>
  <w:num w:numId="3" w16cid:durableId="1652522791">
    <w:abstractNumId w:val="1"/>
  </w:num>
  <w:num w:numId="4" w16cid:durableId="286355202">
    <w:abstractNumId w:val="4"/>
  </w:num>
  <w:num w:numId="5" w16cid:durableId="1531720122">
    <w:abstractNumId w:val="5"/>
  </w:num>
  <w:num w:numId="6" w16cid:durableId="1729457697">
    <w:abstractNumId w:val="2"/>
  </w:num>
  <w:num w:numId="7" w16cid:durableId="16061112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276"/>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E44B6"/>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86789"/>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72"/>
    <w:rsid w:val="00845AB5"/>
    <w:rsid w:val="00850813"/>
    <w:rsid w:val="00861B11"/>
    <w:rsid w:val="008829C2"/>
    <w:rsid w:val="008A54BE"/>
    <w:rsid w:val="008B2AB5"/>
    <w:rsid w:val="008C7B0A"/>
    <w:rsid w:val="008D0642"/>
    <w:rsid w:val="008E43C2"/>
    <w:rsid w:val="008E745B"/>
    <w:rsid w:val="008F4EA7"/>
    <w:rsid w:val="008F5A10"/>
    <w:rsid w:val="00905ED0"/>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2387E"/>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276"/>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0C57B"/>
  <w15:chartTrackingRefBased/>
  <w15:docId w15:val="{C8176655-77A7-9541-81C7-592FA19C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DB2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227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27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227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227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227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227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227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27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DB227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DB227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DB227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DB227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DB227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DB227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DB227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DB227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DB22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27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DB227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27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DB22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227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DB2276"/>
    <w:pPr>
      <w:ind w:left="720"/>
      <w:contextualSpacing/>
    </w:pPr>
  </w:style>
  <w:style w:type="character" w:styleId="IntenseEmphasis">
    <w:name w:val="Intense Emphasis"/>
    <w:basedOn w:val="DefaultParagraphFont"/>
    <w:uiPriority w:val="21"/>
    <w:qFormat/>
    <w:rsid w:val="00DB2276"/>
    <w:rPr>
      <w:i/>
      <w:iCs/>
      <w:color w:val="2F5496" w:themeColor="accent1" w:themeShade="BF"/>
    </w:rPr>
  </w:style>
  <w:style w:type="paragraph" w:styleId="IntenseQuote">
    <w:name w:val="Intense Quote"/>
    <w:basedOn w:val="Normal"/>
    <w:next w:val="Normal"/>
    <w:link w:val="IntenseQuoteChar"/>
    <w:uiPriority w:val="30"/>
    <w:qFormat/>
    <w:rsid w:val="00DB2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27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DB2276"/>
    <w:rPr>
      <w:b/>
      <w:bCs/>
      <w:smallCaps/>
      <w:color w:val="2F5496" w:themeColor="accent1" w:themeShade="BF"/>
      <w:spacing w:val="5"/>
    </w:rPr>
  </w:style>
  <w:style w:type="paragraph" w:customStyle="1" w:styleId="break-words">
    <w:name w:val="break-words"/>
    <w:basedOn w:val="Normal"/>
    <w:rsid w:val="00586789"/>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86789"/>
    <w:rPr>
      <w:i/>
      <w:iCs/>
    </w:rPr>
  </w:style>
  <w:style w:type="character" w:styleId="Strong">
    <w:name w:val="Strong"/>
    <w:basedOn w:val="DefaultParagraphFont"/>
    <w:uiPriority w:val="22"/>
    <w:qFormat/>
    <w:rsid w:val="005867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06218">
      <w:bodyDiv w:val="1"/>
      <w:marLeft w:val="0"/>
      <w:marRight w:val="0"/>
      <w:marTop w:val="0"/>
      <w:marBottom w:val="0"/>
      <w:divBdr>
        <w:top w:val="none" w:sz="0" w:space="0" w:color="auto"/>
        <w:left w:val="none" w:sz="0" w:space="0" w:color="auto"/>
        <w:bottom w:val="none" w:sz="0" w:space="0" w:color="auto"/>
        <w:right w:val="none" w:sz="0" w:space="0" w:color="auto"/>
      </w:divBdr>
      <w:divsChild>
        <w:div w:id="873077972">
          <w:marLeft w:val="0"/>
          <w:marRight w:val="0"/>
          <w:marTop w:val="0"/>
          <w:marBottom w:val="0"/>
          <w:divBdr>
            <w:top w:val="none" w:sz="0" w:space="0" w:color="auto"/>
            <w:left w:val="none" w:sz="0" w:space="0" w:color="auto"/>
            <w:bottom w:val="none" w:sz="0" w:space="0" w:color="auto"/>
            <w:right w:val="none" w:sz="0" w:space="0" w:color="auto"/>
          </w:divBdr>
        </w:div>
      </w:divsChild>
    </w:div>
    <w:div w:id="329646268">
      <w:bodyDiv w:val="1"/>
      <w:marLeft w:val="0"/>
      <w:marRight w:val="0"/>
      <w:marTop w:val="0"/>
      <w:marBottom w:val="0"/>
      <w:divBdr>
        <w:top w:val="none" w:sz="0" w:space="0" w:color="auto"/>
        <w:left w:val="none" w:sz="0" w:space="0" w:color="auto"/>
        <w:bottom w:val="none" w:sz="0" w:space="0" w:color="auto"/>
        <w:right w:val="none" w:sz="0" w:space="0" w:color="auto"/>
      </w:divBdr>
      <w:divsChild>
        <w:div w:id="1466197033">
          <w:marLeft w:val="0"/>
          <w:marRight w:val="0"/>
          <w:marTop w:val="0"/>
          <w:marBottom w:val="0"/>
          <w:divBdr>
            <w:top w:val="none" w:sz="0" w:space="0" w:color="auto"/>
            <w:left w:val="none" w:sz="0" w:space="0" w:color="auto"/>
            <w:bottom w:val="none" w:sz="0" w:space="0" w:color="auto"/>
            <w:right w:val="none" w:sz="0" w:space="0" w:color="auto"/>
          </w:divBdr>
        </w:div>
      </w:divsChild>
    </w:div>
    <w:div w:id="1982421292">
      <w:bodyDiv w:val="1"/>
      <w:marLeft w:val="0"/>
      <w:marRight w:val="0"/>
      <w:marTop w:val="0"/>
      <w:marBottom w:val="0"/>
      <w:divBdr>
        <w:top w:val="none" w:sz="0" w:space="0" w:color="auto"/>
        <w:left w:val="none" w:sz="0" w:space="0" w:color="auto"/>
        <w:bottom w:val="none" w:sz="0" w:space="0" w:color="auto"/>
        <w:right w:val="none" w:sz="0" w:space="0" w:color="auto"/>
      </w:divBdr>
      <w:divsChild>
        <w:div w:id="8629369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2248</Words>
  <Characters>12814</Characters>
  <Application>Microsoft Office Word</Application>
  <DocSecurity>0</DocSecurity>
  <Lines>106</Lines>
  <Paragraphs>30</Paragraphs>
  <ScaleCrop>false</ScaleCrop>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2025-03-03T10:24:00Z</dcterms:created>
  <dcterms:modified xsi:type="dcterms:W3CDTF">2025-03-03T13:35:00Z</dcterms:modified>
</cp:coreProperties>
</file>