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4C2B4" w14:textId="77777777" w:rsidR="00143ED5" w:rsidRPr="00143ED5" w:rsidRDefault="00143ED5" w:rsidP="00143ED5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Abstract</w:t>
      </w:r>
    </w:p>
    <w:p w14:paraId="03980337" w14:textId="295E5EB1" w:rsidR="00143ED5" w:rsidRPr="00143ED5" w:rsidRDefault="00143ED5" w:rsidP="00143ED5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Summary</w:t>
      </w:r>
      <w:r w:rsidRPr="00143ED5">
        <w:rPr>
          <w:rFonts w:ascii="Times New Roman" w:hAnsi="Times New Roman"/>
          <w:lang w:val="en-HK"/>
        </w:rPr>
        <w:t xml:space="preserve">: The abstract underscores the Supreme Court’s ruling in </w:t>
      </w:r>
      <w:r w:rsidRPr="00143ED5">
        <w:rPr>
          <w:rFonts w:ascii="Times New Roman" w:hAnsi="Times New Roman"/>
          <w:i/>
          <w:iCs/>
          <w:lang w:val="en-HK"/>
        </w:rPr>
        <w:t>Byers v Saudi National Bank</w:t>
      </w:r>
      <w:r w:rsidRPr="00143ED5">
        <w:rPr>
          <w:rFonts w:ascii="Times New Roman" w:hAnsi="Times New Roman"/>
          <w:lang w:val="en-HK"/>
        </w:rPr>
        <w:t xml:space="preserve"> [2023] UKSC 51 as a landmark decision in equity and trusts law, resolving whether a continuing proprietary interest is essential for a knowing receipt claim. It highlights the judgment’s dual role: addressing a novel question at the Supreme Court level and clarifying the basis and future application of knowing receipt, promising enduring significance.</w:t>
      </w:r>
    </w:p>
    <w:p w14:paraId="79BFFAD1" w14:textId="77777777" w:rsidR="00143ED5" w:rsidRPr="00143ED5" w:rsidRDefault="00EC2292" w:rsidP="00143ED5">
      <w:pPr>
        <w:spacing w:line="360" w:lineRule="auto"/>
        <w:rPr>
          <w:rFonts w:ascii="Times New Roman" w:hAnsi="Times New Roman"/>
          <w:lang w:val="en-HK"/>
        </w:rPr>
      </w:pPr>
      <w:r w:rsidRPr="00EC2292">
        <w:rPr>
          <w:rFonts w:ascii="Times New Roman" w:hAnsi="Times New Roman"/>
          <w:noProof/>
          <w:lang w:val="en-HK"/>
          <w14:ligatures w14:val="standardContextual"/>
        </w:rPr>
        <w:pict w14:anchorId="79CADA7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50619B6" w14:textId="77777777" w:rsidR="00143ED5" w:rsidRPr="00143ED5" w:rsidRDefault="00143ED5" w:rsidP="00143ED5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Case Note</w:t>
      </w:r>
    </w:p>
    <w:p w14:paraId="54492C0F" w14:textId="78F27ADD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Summary</w:t>
      </w:r>
      <w:r w:rsidRPr="00143ED5">
        <w:rPr>
          <w:rFonts w:ascii="Times New Roman" w:hAnsi="Times New Roman"/>
          <w:lang w:val="en-HK"/>
        </w:rPr>
        <w:t xml:space="preserve">: This section introduces the case’s focus on whether a continuing proprietary interest is required for knowing receipt, a gap in Supreme Court precedent. Lord Briggs acknowledges at [11] that this </w:t>
      </w:r>
      <w:r w:rsidRPr="00143ED5">
        <w:rPr>
          <w:rFonts w:ascii="Times New Roman" w:hAnsi="Times New Roman"/>
          <w:i/>
          <w:iCs/>
          <w:lang w:val="en-HK"/>
        </w:rPr>
        <w:t>has never been directly addressed</w:t>
      </w:r>
      <w:r w:rsidRPr="00143ED5">
        <w:rPr>
          <w:rFonts w:ascii="Times New Roman" w:hAnsi="Times New Roman"/>
          <w:lang w:val="en-HK"/>
        </w:rPr>
        <w:t xml:space="preserve">, and at [48] that prior courts were not </w:t>
      </w:r>
      <w:r w:rsidRPr="00143ED5">
        <w:rPr>
          <w:rFonts w:ascii="Times New Roman" w:hAnsi="Times New Roman"/>
          <w:i/>
          <w:iCs/>
          <w:lang w:val="en-HK"/>
        </w:rPr>
        <w:t>concerned even to consider, let alone decide, whether the continuation of such an equitable interest was a condition for liability</w:t>
      </w:r>
      <w:r w:rsidRPr="00143ED5">
        <w:rPr>
          <w:rFonts w:ascii="Times New Roman" w:hAnsi="Times New Roman"/>
          <w:lang w:val="en-HK"/>
        </w:rPr>
        <w:t>. The ruling’s importance stems from its first authoritative resolution of this issue.</w:t>
      </w:r>
    </w:p>
    <w:p w14:paraId="162C245A" w14:textId="77777777" w:rsidR="00143ED5" w:rsidRPr="00143ED5" w:rsidRDefault="00EC2292" w:rsidP="00143ED5">
      <w:pPr>
        <w:spacing w:line="360" w:lineRule="auto"/>
        <w:rPr>
          <w:rFonts w:ascii="Times New Roman" w:hAnsi="Times New Roman"/>
          <w:lang w:val="en-HK"/>
        </w:rPr>
      </w:pPr>
      <w:r w:rsidRPr="00EC2292">
        <w:rPr>
          <w:rFonts w:ascii="Times New Roman" w:hAnsi="Times New Roman"/>
          <w:noProof/>
          <w:lang w:val="en-HK"/>
          <w14:ligatures w14:val="standardContextual"/>
        </w:rPr>
        <w:pict w14:anchorId="762C38B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67B4F90" w14:textId="77777777" w:rsidR="00143ED5" w:rsidRPr="00143ED5" w:rsidRDefault="00143ED5" w:rsidP="00143ED5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Facts</w:t>
      </w:r>
    </w:p>
    <w:p w14:paraId="50946ECD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Summary</w:t>
      </w:r>
      <w:r w:rsidRPr="00143ED5">
        <w:rPr>
          <w:rFonts w:ascii="Times New Roman" w:hAnsi="Times New Roman"/>
          <w:lang w:val="en-HK"/>
        </w:rPr>
        <w:t>: Saad Investments Company Ltd (SICL) and its liquidators sued Samba Financial Group (later Saudi National Bank post-2021 merger) over a September 2009 transfer of shares in five Saudi banks by Mr. Al-</w:t>
      </w:r>
      <w:proofErr w:type="spellStart"/>
      <w:r w:rsidRPr="00143ED5">
        <w:rPr>
          <w:rFonts w:ascii="Times New Roman" w:hAnsi="Times New Roman"/>
          <w:lang w:val="en-HK"/>
        </w:rPr>
        <w:t>Sanea</w:t>
      </w:r>
      <w:proofErr w:type="spellEnd"/>
      <w:r w:rsidRPr="00143ED5">
        <w:rPr>
          <w:rFonts w:ascii="Times New Roman" w:hAnsi="Times New Roman"/>
          <w:lang w:val="en-HK"/>
        </w:rPr>
        <w:t xml:space="preserve"> to Samba to discharge his debts. Held on trust for SICL (2002-2008 agreements), the transfer breached trust obligations, with Samba allegedly aware. Saudi law, governing the transfer, extinguished SICL’s equitable interest upon registration, prompting the knowing receipt claim after a failed s.127 </w:t>
      </w:r>
      <w:r w:rsidRPr="00143ED5">
        <w:rPr>
          <w:rFonts w:ascii="Times New Roman" w:hAnsi="Times New Roman"/>
          <w:i/>
          <w:iCs/>
          <w:lang w:val="en-HK"/>
        </w:rPr>
        <w:t>Insolvency Act 1986</w:t>
      </w:r>
      <w:r w:rsidRPr="00143ED5">
        <w:rPr>
          <w:rFonts w:ascii="Times New Roman" w:hAnsi="Times New Roman"/>
          <w:lang w:val="en-HK"/>
        </w:rPr>
        <w:t xml:space="preserve"> challenge in </w:t>
      </w:r>
      <w:r w:rsidRPr="00143ED5">
        <w:rPr>
          <w:rFonts w:ascii="Times New Roman" w:hAnsi="Times New Roman"/>
          <w:i/>
          <w:iCs/>
          <w:lang w:val="en-HK"/>
        </w:rPr>
        <w:t>Akers v Samba Financial Group</w:t>
      </w:r>
      <w:r w:rsidRPr="00143ED5">
        <w:rPr>
          <w:rFonts w:ascii="Times New Roman" w:hAnsi="Times New Roman"/>
          <w:lang w:val="en-HK"/>
        </w:rPr>
        <w:t xml:space="preserve"> [2017] UKSC 6.</w:t>
      </w:r>
    </w:p>
    <w:p w14:paraId="522A1B84" w14:textId="17E3DA3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Details</w:t>
      </w:r>
      <w:r w:rsidRPr="00143ED5">
        <w:rPr>
          <w:rFonts w:ascii="Times New Roman" w:hAnsi="Times New Roman"/>
          <w:lang w:val="en-HK"/>
        </w:rPr>
        <w:t>: The shares’ value exceeded US$300 million. The parties agreed Samba had requisite knowledge for liability (</w:t>
      </w:r>
      <w:proofErr w:type="spellStart"/>
      <w:r w:rsidRPr="00143ED5">
        <w:rPr>
          <w:rFonts w:ascii="Times New Roman" w:hAnsi="Times New Roman"/>
          <w:lang w:val="en-HK"/>
        </w:rPr>
        <w:t>fn</w:t>
      </w:r>
      <w:proofErr w:type="spellEnd"/>
      <w:r w:rsidRPr="00143ED5">
        <w:rPr>
          <w:rFonts w:ascii="Times New Roman" w:hAnsi="Times New Roman"/>
          <w:lang w:val="en-HK"/>
        </w:rPr>
        <w:t xml:space="preserve"> 5).</w:t>
      </w:r>
    </w:p>
    <w:p w14:paraId="346E8805" w14:textId="77777777" w:rsidR="00143ED5" w:rsidRPr="00143ED5" w:rsidRDefault="00EC2292" w:rsidP="00143ED5">
      <w:pPr>
        <w:spacing w:line="360" w:lineRule="auto"/>
        <w:rPr>
          <w:rFonts w:ascii="Times New Roman" w:hAnsi="Times New Roman"/>
          <w:lang w:val="en-HK"/>
        </w:rPr>
      </w:pPr>
      <w:r w:rsidRPr="00EC2292">
        <w:rPr>
          <w:rFonts w:ascii="Times New Roman" w:hAnsi="Times New Roman"/>
          <w:noProof/>
          <w:lang w:val="en-HK"/>
          <w14:ligatures w14:val="standardContextual"/>
        </w:rPr>
        <w:pict w14:anchorId="198969F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650555" w14:textId="77777777" w:rsidR="00143ED5" w:rsidRPr="00143ED5" w:rsidRDefault="00143ED5" w:rsidP="00143ED5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Chancery Division</w:t>
      </w:r>
    </w:p>
    <w:p w14:paraId="1E2E266D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lastRenderedPageBreak/>
        <w:t>Summary</w:t>
      </w:r>
      <w:r w:rsidRPr="00143ED5">
        <w:rPr>
          <w:rFonts w:ascii="Times New Roman" w:hAnsi="Times New Roman"/>
          <w:lang w:val="en-HK"/>
        </w:rPr>
        <w:t xml:space="preserve">: </w:t>
      </w:r>
      <w:proofErr w:type="spellStart"/>
      <w:r w:rsidRPr="00143ED5">
        <w:rPr>
          <w:rFonts w:ascii="Times New Roman" w:hAnsi="Times New Roman"/>
          <w:lang w:val="en-HK"/>
        </w:rPr>
        <w:t>Fancourt</w:t>
      </w:r>
      <w:proofErr w:type="spellEnd"/>
      <w:r w:rsidRPr="00143ED5">
        <w:rPr>
          <w:rFonts w:ascii="Times New Roman" w:hAnsi="Times New Roman"/>
          <w:lang w:val="en-HK"/>
        </w:rPr>
        <w:t xml:space="preserve"> J dismissed SICL’s claim, ruling a continuing proprietary interest essential for knowing receipt.</w:t>
      </w:r>
    </w:p>
    <w:p w14:paraId="633E79EF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Case Law and Reasoning</w:t>
      </w:r>
      <w:r w:rsidRPr="00143ED5">
        <w:rPr>
          <w:rFonts w:ascii="Times New Roman" w:hAnsi="Times New Roman"/>
          <w:lang w:val="en-HK"/>
        </w:rPr>
        <w:t>:</w:t>
      </w:r>
    </w:p>
    <w:p w14:paraId="6ED8ABF3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Facts</w:t>
      </w:r>
      <w:r w:rsidRPr="00143ED5">
        <w:rPr>
          <w:rFonts w:ascii="Times New Roman" w:hAnsi="Times New Roman"/>
          <w:lang w:val="en-HK"/>
        </w:rPr>
        <w:t xml:space="preserve">: At [2021] EWHC 60, </w:t>
      </w:r>
      <w:proofErr w:type="spellStart"/>
      <w:r w:rsidRPr="00143ED5">
        <w:rPr>
          <w:rFonts w:ascii="Times New Roman" w:hAnsi="Times New Roman"/>
          <w:lang w:val="en-HK"/>
        </w:rPr>
        <w:t>Fancourt</w:t>
      </w:r>
      <w:proofErr w:type="spellEnd"/>
      <w:r w:rsidRPr="00143ED5">
        <w:rPr>
          <w:rFonts w:ascii="Times New Roman" w:hAnsi="Times New Roman"/>
          <w:lang w:val="en-HK"/>
        </w:rPr>
        <w:t xml:space="preserve"> J assessed Samba’s liability under English/Cayman law, with Saudi law (lex situs) determining proprietary effects.</w:t>
      </w:r>
    </w:p>
    <w:p w14:paraId="7AAF3C83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Held</w:t>
      </w:r>
      <w:r w:rsidRPr="00143ED5">
        <w:rPr>
          <w:rFonts w:ascii="Times New Roman" w:hAnsi="Times New Roman"/>
          <w:lang w:val="en-HK"/>
        </w:rPr>
        <w:t>: The claim failed as Saudi law extinguished SICL’s interest, leaving no proprietary base.</w:t>
      </w:r>
    </w:p>
    <w:p w14:paraId="40B60701" w14:textId="30DBC8B3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Reasoning</w:t>
      </w:r>
      <w:r w:rsidRPr="00143ED5">
        <w:rPr>
          <w:rFonts w:ascii="Times New Roman" w:hAnsi="Times New Roman"/>
          <w:lang w:val="en-HK"/>
        </w:rPr>
        <w:t>:</w:t>
      </w:r>
    </w:p>
    <w:p w14:paraId="4554B90C" w14:textId="70DB6E2D" w:rsidR="00143ED5" w:rsidRPr="00143ED5" w:rsidRDefault="00143ED5" w:rsidP="00143ED5">
      <w:pPr>
        <w:numPr>
          <w:ilvl w:val="2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t xml:space="preserve">At [45], citing </w:t>
      </w:r>
      <w:r w:rsidRPr="00143ED5">
        <w:rPr>
          <w:rFonts w:ascii="Times New Roman" w:hAnsi="Times New Roman"/>
          <w:i/>
          <w:iCs/>
          <w:lang w:val="en-HK"/>
        </w:rPr>
        <w:t>Williams v Central Bank of Nigeria</w:t>
      </w:r>
      <w:r w:rsidRPr="00143ED5">
        <w:rPr>
          <w:rFonts w:ascii="Times New Roman" w:hAnsi="Times New Roman"/>
          <w:lang w:val="en-HK"/>
        </w:rPr>
        <w:t xml:space="preserve"> [2014] UKSC 10 at [31] (</w:t>
      </w:r>
      <w:r w:rsidRPr="00143ED5">
        <w:rPr>
          <w:rFonts w:ascii="Times New Roman" w:hAnsi="Times New Roman"/>
          <w:i/>
          <w:iCs/>
          <w:lang w:val="en-HK"/>
        </w:rPr>
        <w:t>His sole obligation … is to restore the assets immediately</w:t>
      </w:r>
      <w:r w:rsidRPr="00143ED5">
        <w:rPr>
          <w:rFonts w:ascii="Times New Roman" w:hAnsi="Times New Roman"/>
          <w:lang w:val="en-HK"/>
        </w:rPr>
        <w:t xml:space="preserve">), </w:t>
      </w:r>
      <w:proofErr w:type="spellStart"/>
      <w:r w:rsidRPr="00143ED5">
        <w:rPr>
          <w:rFonts w:ascii="Times New Roman" w:hAnsi="Times New Roman"/>
          <w:lang w:val="en-HK"/>
        </w:rPr>
        <w:t>Fancourt</w:t>
      </w:r>
      <w:proofErr w:type="spellEnd"/>
      <w:r w:rsidRPr="00143ED5">
        <w:rPr>
          <w:rFonts w:ascii="Times New Roman" w:hAnsi="Times New Roman"/>
          <w:lang w:val="en-HK"/>
        </w:rPr>
        <w:t xml:space="preserve"> J held liability aims to restore assets, illogical if the recipient holds unencumbered title (at [16]: </w:t>
      </w:r>
      <w:r w:rsidRPr="00143ED5">
        <w:rPr>
          <w:rFonts w:ascii="Times New Roman" w:hAnsi="Times New Roman"/>
          <w:i/>
          <w:iCs/>
          <w:lang w:val="en-HK"/>
        </w:rPr>
        <w:t>should not arise where the recipient is entitled to the assets</w:t>
      </w:r>
      <w:r w:rsidRPr="00143ED5">
        <w:rPr>
          <w:rFonts w:ascii="Times New Roman" w:hAnsi="Times New Roman"/>
          <w:lang w:val="en-HK"/>
        </w:rPr>
        <w:t>).</w:t>
      </w:r>
    </w:p>
    <w:p w14:paraId="21E82563" w14:textId="6078287F" w:rsidR="00143ED5" w:rsidRPr="00143ED5" w:rsidRDefault="00143ED5" w:rsidP="00143ED5">
      <w:pPr>
        <w:numPr>
          <w:ilvl w:val="2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t xml:space="preserve">At [52], referencing </w:t>
      </w:r>
      <w:r w:rsidRPr="00143ED5">
        <w:rPr>
          <w:rFonts w:ascii="Times New Roman" w:hAnsi="Times New Roman"/>
          <w:i/>
          <w:iCs/>
          <w:lang w:val="en-HK"/>
        </w:rPr>
        <w:t>Macmillan Inc v Bishopsgate Investment Trust plc (No.3)</w:t>
      </w:r>
      <w:r w:rsidRPr="00143ED5">
        <w:rPr>
          <w:rFonts w:ascii="Times New Roman" w:hAnsi="Times New Roman"/>
          <w:lang w:val="en-HK"/>
        </w:rPr>
        <w:t xml:space="preserve"> [1995] 1 WLR 978 and </w:t>
      </w:r>
      <w:r w:rsidRPr="00143ED5">
        <w:rPr>
          <w:rFonts w:ascii="Times New Roman" w:hAnsi="Times New Roman"/>
          <w:i/>
          <w:iCs/>
          <w:lang w:val="en-HK"/>
        </w:rPr>
        <w:t>Lightning v Lightning Electrical Contractors Ltd</w:t>
      </w:r>
      <w:r w:rsidRPr="00143ED5">
        <w:rPr>
          <w:rFonts w:ascii="Times New Roman" w:hAnsi="Times New Roman"/>
          <w:lang w:val="en-HK"/>
        </w:rPr>
        <w:t xml:space="preserve"> (1998) 23 TLI 35, he found precedent supports an </w:t>
      </w:r>
      <w:r w:rsidRPr="00143ED5">
        <w:rPr>
          <w:rFonts w:ascii="Times New Roman" w:hAnsi="Times New Roman"/>
          <w:i/>
          <w:iCs/>
          <w:lang w:val="en-HK"/>
        </w:rPr>
        <w:t>undestroyed proprietary base</w:t>
      </w:r>
      <w:r w:rsidRPr="00143ED5">
        <w:rPr>
          <w:rFonts w:ascii="Times New Roman" w:hAnsi="Times New Roman"/>
          <w:lang w:val="en-HK"/>
        </w:rPr>
        <w:t>, as notice alone cannot sustain a claim against a title-holder.</w:t>
      </w:r>
    </w:p>
    <w:p w14:paraId="61EF1005" w14:textId="77777777" w:rsidR="00143ED5" w:rsidRPr="00143ED5" w:rsidRDefault="00143ED5" w:rsidP="00143ED5">
      <w:pPr>
        <w:numPr>
          <w:ilvl w:val="2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t>Distinguished dishonest assistance (fault-based) from knowing receipt (property-based), noting at [150] that if the defendant has good title, no claim arises.</w:t>
      </w:r>
    </w:p>
    <w:p w14:paraId="607DA234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Saudi Law</w:t>
      </w:r>
      <w:r w:rsidRPr="00143ED5">
        <w:rPr>
          <w:rFonts w:ascii="Times New Roman" w:hAnsi="Times New Roman"/>
          <w:lang w:val="en-HK"/>
        </w:rPr>
        <w:t>: Expert evidence showed Saudi law recognizes no legal-equitable split; registration conferred sole ownership, with no rectification or restoration available, only potential compensation (insufficient for a proprietary interest).</w:t>
      </w:r>
    </w:p>
    <w:p w14:paraId="64F62187" w14:textId="7CB669AC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Additional Note</w:t>
      </w:r>
      <w:r w:rsidRPr="00143ED5">
        <w:rPr>
          <w:rFonts w:ascii="Times New Roman" w:hAnsi="Times New Roman"/>
          <w:lang w:val="en-HK"/>
        </w:rPr>
        <w:t xml:space="preserve">: </w:t>
      </w:r>
      <w:proofErr w:type="spellStart"/>
      <w:r w:rsidRPr="00143ED5">
        <w:rPr>
          <w:rFonts w:ascii="Times New Roman" w:hAnsi="Times New Roman"/>
          <w:lang w:val="en-HK"/>
        </w:rPr>
        <w:t>Fancourt</w:t>
      </w:r>
      <w:proofErr w:type="spellEnd"/>
      <w:r w:rsidRPr="00143ED5">
        <w:rPr>
          <w:rFonts w:ascii="Times New Roman" w:hAnsi="Times New Roman"/>
          <w:lang w:val="en-HK"/>
        </w:rPr>
        <w:t xml:space="preserve"> J obiter applied a block discount to valuation, reflecting sale realities (</w:t>
      </w:r>
      <w:proofErr w:type="spellStart"/>
      <w:r w:rsidRPr="00143ED5">
        <w:rPr>
          <w:rFonts w:ascii="Times New Roman" w:hAnsi="Times New Roman"/>
          <w:lang w:val="en-HK"/>
        </w:rPr>
        <w:t>fn</w:t>
      </w:r>
      <w:proofErr w:type="spellEnd"/>
      <w:r w:rsidRPr="00143ED5">
        <w:rPr>
          <w:rFonts w:ascii="Times New Roman" w:hAnsi="Times New Roman"/>
          <w:lang w:val="en-HK"/>
        </w:rPr>
        <w:t xml:space="preserve"> 10).</w:t>
      </w:r>
    </w:p>
    <w:p w14:paraId="51712344" w14:textId="77777777" w:rsidR="00143ED5" w:rsidRPr="00143ED5" w:rsidRDefault="00EC2292" w:rsidP="00143ED5">
      <w:pPr>
        <w:spacing w:line="360" w:lineRule="auto"/>
        <w:rPr>
          <w:rFonts w:ascii="Times New Roman" w:hAnsi="Times New Roman"/>
          <w:lang w:val="en-HK"/>
        </w:rPr>
      </w:pPr>
      <w:r w:rsidRPr="00EC2292">
        <w:rPr>
          <w:rFonts w:ascii="Times New Roman" w:hAnsi="Times New Roman"/>
          <w:noProof/>
          <w:lang w:val="en-HK"/>
          <w14:ligatures w14:val="standardContextual"/>
        </w:rPr>
        <w:pict w14:anchorId="47B3620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C62BEC4" w14:textId="77777777" w:rsidR="00143ED5" w:rsidRPr="00143ED5" w:rsidRDefault="00143ED5" w:rsidP="00143ED5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Court of Appeal</w:t>
      </w:r>
    </w:p>
    <w:p w14:paraId="15C9D422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lastRenderedPageBreak/>
        <w:t>Summary</w:t>
      </w:r>
      <w:r w:rsidRPr="00143ED5">
        <w:rPr>
          <w:rFonts w:ascii="Times New Roman" w:hAnsi="Times New Roman"/>
          <w:lang w:val="en-HK"/>
        </w:rPr>
        <w:t xml:space="preserve">: The Court of Appeal upheld </w:t>
      </w:r>
      <w:proofErr w:type="spellStart"/>
      <w:r w:rsidRPr="00143ED5">
        <w:rPr>
          <w:rFonts w:ascii="Times New Roman" w:hAnsi="Times New Roman"/>
          <w:lang w:val="en-HK"/>
        </w:rPr>
        <w:t>Fancourt</w:t>
      </w:r>
      <w:proofErr w:type="spellEnd"/>
      <w:r w:rsidRPr="00143ED5">
        <w:rPr>
          <w:rFonts w:ascii="Times New Roman" w:hAnsi="Times New Roman"/>
          <w:lang w:val="en-HK"/>
        </w:rPr>
        <w:t xml:space="preserve"> J, dismissing SICL’s appeal on two grounds: the need for a continuing proprietary interest and the correctness of his Saudi law findings.</w:t>
      </w:r>
    </w:p>
    <w:p w14:paraId="60BD6749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Case Law and Reasoning</w:t>
      </w:r>
      <w:r w:rsidRPr="00143ED5">
        <w:rPr>
          <w:rFonts w:ascii="Times New Roman" w:hAnsi="Times New Roman"/>
          <w:lang w:val="en-HK"/>
        </w:rPr>
        <w:t>:</w:t>
      </w:r>
    </w:p>
    <w:p w14:paraId="5D30453E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Facts</w:t>
      </w:r>
      <w:r w:rsidRPr="00143ED5">
        <w:rPr>
          <w:rFonts w:ascii="Times New Roman" w:hAnsi="Times New Roman"/>
          <w:lang w:val="en-HK"/>
        </w:rPr>
        <w:t xml:space="preserve">: In </w:t>
      </w:r>
      <w:r w:rsidRPr="00143ED5">
        <w:rPr>
          <w:rFonts w:ascii="Times New Roman" w:hAnsi="Times New Roman"/>
          <w:i/>
          <w:iCs/>
          <w:lang w:val="en-HK"/>
        </w:rPr>
        <w:t>Byers v Saudi National Bank</w:t>
      </w:r>
      <w:r w:rsidRPr="00143ED5">
        <w:rPr>
          <w:rFonts w:ascii="Times New Roman" w:hAnsi="Times New Roman"/>
          <w:lang w:val="en-HK"/>
        </w:rPr>
        <w:t xml:space="preserve"> [2022] 4 WLR 22, SICL argued no proprietary interest was needed, or alternatively, Saudi law preserved it.</w:t>
      </w:r>
    </w:p>
    <w:p w14:paraId="06070EEF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Held</w:t>
      </w:r>
      <w:r w:rsidRPr="00143ED5">
        <w:rPr>
          <w:rFonts w:ascii="Times New Roman" w:hAnsi="Times New Roman"/>
          <w:lang w:val="en-HK"/>
        </w:rPr>
        <w:t>: Appeal dismissed; a continuing interest is required, and Saudi law extinguished SICL’s rights.</w:t>
      </w:r>
    </w:p>
    <w:p w14:paraId="10DA3D0A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Reasoning</w:t>
      </w:r>
      <w:r w:rsidRPr="00143ED5">
        <w:rPr>
          <w:rFonts w:ascii="Times New Roman" w:hAnsi="Times New Roman"/>
          <w:lang w:val="en-HK"/>
        </w:rPr>
        <w:t>:</w:t>
      </w:r>
    </w:p>
    <w:p w14:paraId="66DE1EF9" w14:textId="00965C38" w:rsidR="00143ED5" w:rsidRPr="00143ED5" w:rsidRDefault="00143ED5" w:rsidP="00143ED5">
      <w:pPr>
        <w:numPr>
          <w:ilvl w:val="2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t xml:space="preserve">At [70], </w:t>
      </w:r>
      <w:r w:rsidRPr="00143ED5">
        <w:rPr>
          <w:rFonts w:ascii="Times New Roman" w:hAnsi="Times New Roman"/>
          <w:i/>
          <w:iCs/>
          <w:lang w:val="en-HK"/>
        </w:rPr>
        <w:t>unconscionability must coincide with possession of trust property for liability to arise</w:t>
      </w:r>
      <w:r w:rsidRPr="00143ED5">
        <w:rPr>
          <w:rFonts w:ascii="Times New Roman" w:hAnsi="Times New Roman"/>
          <w:lang w:val="en-HK"/>
        </w:rPr>
        <w:t>, requiring the property to remain the claimant’s post-transfer (at [150]).</w:t>
      </w:r>
    </w:p>
    <w:p w14:paraId="144C406D" w14:textId="07D8E413" w:rsidR="00143ED5" w:rsidRPr="00143ED5" w:rsidRDefault="00143ED5" w:rsidP="00143ED5">
      <w:pPr>
        <w:numPr>
          <w:ilvl w:val="2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t>At [71], it’s illogical to impose custodial duties on a title-holder (</w:t>
      </w:r>
      <w:r w:rsidRPr="00143ED5">
        <w:rPr>
          <w:rFonts w:ascii="Times New Roman" w:hAnsi="Times New Roman"/>
          <w:i/>
          <w:iCs/>
          <w:lang w:val="en-HK"/>
        </w:rPr>
        <w:t>why a recipient should be bound to ‘restore’ property … if he has an unimpeachable title</w:t>
      </w:r>
      <w:r w:rsidRPr="00143ED5">
        <w:rPr>
          <w:rFonts w:ascii="Times New Roman" w:hAnsi="Times New Roman"/>
          <w:lang w:val="en-HK"/>
        </w:rPr>
        <w:t>).</w:t>
      </w:r>
    </w:p>
    <w:p w14:paraId="24BAA7E8" w14:textId="1F5E804E" w:rsidR="00143ED5" w:rsidRPr="00143ED5" w:rsidRDefault="00143ED5" w:rsidP="00143ED5">
      <w:pPr>
        <w:numPr>
          <w:ilvl w:val="2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t xml:space="preserve">Foreign law analysis (at 150-151) relied on expert evidence, not judicial interpretation, affirming </w:t>
      </w:r>
      <w:proofErr w:type="spellStart"/>
      <w:r w:rsidRPr="00143ED5">
        <w:rPr>
          <w:rFonts w:ascii="Times New Roman" w:hAnsi="Times New Roman"/>
          <w:lang w:val="en-HK"/>
        </w:rPr>
        <w:t>Fancourt</w:t>
      </w:r>
      <w:proofErr w:type="spellEnd"/>
      <w:r w:rsidRPr="00143ED5">
        <w:rPr>
          <w:rFonts w:ascii="Times New Roman" w:hAnsi="Times New Roman"/>
          <w:lang w:val="en-HK"/>
        </w:rPr>
        <w:t xml:space="preserve"> J’s findings as reasonable.</w:t>
      </w:r>
    </w:p>
    <w:p w14:paraId="43F5BDA2" w14:textId="4E58F00A" w:rsidR="00143ED5" w:rsidRPr="00143ED5" w:rsidRDefault="00143ED5" w:rsidP="00143E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Statute</w:t>
      </w:r>
      <w:r w:rsidRPr="00143ED5">
        <w:rPr>
          <w:rFonts w:ascii="Times New Roman" w:hAnsi="Times New Roman"/>
          <w:lang w:val="en-HK"/>
        </w:rPr>
        <w:t xml:space="preserve">: Saudi legislation deems registration </w:t>
      </w:r>
      <w:r w:rsidRPr="00143ED5">
        <w:rPr>
          <w:rFonts w:ascii="Times New Roman" w:hAnsi="Times New Roman"/>
          <w:i/>
          <w:iCs/>
          <w:lang w:val="en-HK"/>
        </w:rPr>
        <w:t>conclusive evidence and proof of ownership</w:t>
      </w:r>
      <w:r w:rsidRPr="00143ED5">
        <w:rPr>
          <w:rFonts w:ascii="Times New Roman" w:hAnsi="Times New Roman"/>
          <w:lang w:val="en-HK"/>
        </w:rPr>
        <w:t xml:space="preserve"> (at 150), subject to correction only for errors, not trusts.</w:t>
      </w:r>
    </w:p>
    <w:p w14:paraId="4578B8C2" w14:textId="77777777" w:rsidR="00143ED5" w:rsidRPr="00143ED5" w:rsidRDefault="00EC2292" w:rsidP="00143ED5">
      <w:pPr>
        <w:spacing w:line="360" w:lineRule="auto"/>
        <w:rPr>
          <w:rFonts w:ascii="Times New Roman" w:hAnsi="Times New Roman"/>
          <w:lang w:val="en-HK"/>
        </w:rPr>
      </w:pPr>
      <w:r w:rsidRPr="00EC2292">
        <w:rPr>
          <w:rFonts w:ascii="Times New Roman" w:hAnsi="Times New Roman"/>
          <w:noProof/>
          <w:lang w:val="en-HK"/>
          <w14:ligatures w14:val="standardContextual"/>
        </w:rPr>
        <w:pict w14:anchorId="47C487F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4781A8F" w14:textId="5E6C8452" w:rsidR="00143ED5" w:rsidRPr="00143ED5" w:rsidRDefault="00143ED5" w:rsidP="00143ED5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The Significance of the Supreme Court Decisio</w:t>
      </w:r>
      <w:r w:rsidRPr="00143ED5">
        <w:rPr>
          <w:rFonts w:ascii="Times New Roman" w:hAnsi="Times New Roman"/>
          <w:b/>
          <w:bCs/>
          <w:lang w:val="en-HK"/>
        </w:rPr>
        <w:t>n</w:t>
      </w:r>
    </w:p>
    <w:p w14:paraId="3DB90DCF" w14:textId="0CE97624" w:rsidR="00143ED5" w:rsidRPr="00143ED5" w:rsidRDefault="00143ED5" w:rsidP="00143E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Summary</w:t>
      </w:r>
      <w:r w:rsidRPr="00143ED5">
        <w:rPr>
          <w:rFonts w:ascii="Times New Roman" w:hAnsi="Times New Roman"/>
          <w:lang w:val="en-HK"/>
        </w:rPr>
        <w:t>: The Supreme Court’s ruling directly tackled the proprietary interest requirement, a novel issue per Lord Briggs at [1], [11], [116]. Lords Briggs and Burrows, with Lord Hodge summarizing (at [1]-[9]), agreed on its necessity.</w:t>
      </w:r>
    </w:p>
    <w:p w14:paraId="7F539902" w14:textId="77777777" w:rsidR="00143ED5" w:rsidRPr="00143ED5" w:rsidRDefault="00143ED5" w:rsidP="00143E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Lord Briggs’ Judgment</w:t>
      </w:r>
      <w:r w:rsidRPr="00143ED5">
        <w:rPr>
          <w:rFonts w:ascii="Times New Roman" w:hAnsi="Times New Roman"/>
          <w:lang w:val="en-HK"/>
        </w:rPr>
        <w:t>:</w:t>
      </w:r>
    </w:p>
    <w:p w14:paraId="4521E7A0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Reasoning</w:t>
      </w:r>
      <w:r w:rsidRPr="00143ED5">
        <w:rPr>
          <w:rFonts w:ascii="Times New Roman" w:hAnsi="Times New Roman"/>
          <w:lang w:val="en-HK"/>
        </w:rPr>
        <w:t>:</w:t>
      </w:r>
    </w:p>
    <w:p w14:paraId="14B7F64E" w14:textId="0BD190DA" w:rsidR="00143ED5" w:rsidRPr="00143ED5" w:rsidRDefault="00143ED5" w:rsidP="00143ED5">
      <w:pPr>
        <w:numPr>
          <w:ilvl w:val="2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t xml:space="preserve">At [39], equitable interests’ </w:t>
      </w:r>
      <w:r w:rsidRPr="00143ED5">
        <w:rPr>
          <w:rFonts w:ascii="Times New Roman" w:hAnsi="Times New Roman"/>
          <w:i/>
          <w:iCs/>
          <w:lang w:val="en-HK"/>
        </w:rPr>
        <w:t>essential fragility</w:t>
      </w:r>
      <w:r w:rsidRPr="00143ED5">
        <w:rPr>
          <w:rFonts w:ascii="Times New Roman" w:hAnsi="Times New Roman"/>
          <w:lang w:val="en-HK"/>
        </w:rPr>
        <w:t xml:space="preserve"> allows overriding/overreaching, destroying claims (at [21]). At [26]-[27], imposing liability post-override </w:t>
      </w:r>
      <w:r w:rsidRPr="00143ED5">
        <w:rPr>
          <w:rFonts w:ascii="Times New Roman" w:hAnsi="Times New Roman"/>
          <w:i/>
          <w:iCs/>
          <w:lang w:val="en-HK"/>
        </w:rPr>
        <w:t>would seriously detract from the full beneficial ownership</w:t>
      </w:r>
      <w:r w:rsidRPr="00143ED5">
        <w:rPr>
          <w:rFonts w:ascii="Times New Roman" w:hAnsi="Times New Roman"/>
          <w:lang w:val="en-HK"/>
        </w:rPr>
        <w:t xml:space="preserve"> and priority principles.</w:t>
      </w:r>
    </w:p>
    <w:p w14:paraId="32B0C440" w14:textId="524B8606" w:rsidR="00143ED5" w:rsidRPr="00143ED5" w:rsidRDefault="00143ED5" w:rsidP="00143ED5">
      <w:pPr>
        <w:numPr>
          <w:ilvl w:val="2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lastRenderedPageBreak/>
        <w:t xml:space="preserve">At [38]-[39], equity balances unconscionability with </w:t>
      </w:r>
      <w:r w:rsidRPr="00143ED5">
        <w:rPr>
          <w:rFonts w:ascii="Times New Roman" w:hAnsi="Times New Roman"/>
          <w:i/>
          <w:iCs/>
          <w:lang w:val="en-HK"/>
        </w:rPr>
        <w:t>certainty and … marketability of title</w:t>
      </w:r>
      <w:r w:rsidRPr="00143ED5">
        <w:rPr>
          <w:rFonts w:ascii="Times New Roman" w:hAnsi="Times New Roman"/>
          <w:lang w:val="en-HK"/>
        </w:rPr>
        <w:t>.</w:t>
      </w:r>
    </w:p>
    <w:p w14:paraId="42659A99" w14:textId="77777777" w:rsidR="00143ED5" w:rsidRPr="00143ED5" w:rsidRDefault="00143ED5" w:rsidP="00143ED5">
      <w:pPr>
        <w:numPr>
          <w:ilvl w:val="2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t>Case Law:</w:t>
      </w:r>
    </w:p>
    <w:p w14:paraId="532C3E3D" w14:textId="599B1A71" w:rsidR="00143ED5" w:rsidRPr="00143ED5" w:rsidRDefault="00143ED5" w:rsidP="00143ED5">
      <w:pPr>
        <w:numPr>
          <w:ilvl w:val="3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i/>
          <w:iCs/>
          <w:lang w:val="en-HK"/>
        </w:rPr>
        <w:t>Barnes v Addy</w:t>
      </w:r>
      <w:r w:rsidRPr="00143ED5">
        <w:rPr>
          <w:rFonts w:ascii="Times New Roman" w:hAnsi="Times New Roman"/>
          <w:lang w:val="en-HK"/>
        </w:rPr>
        <w:t xml:space="preserve"> (1874) LR 9 Ch App 244: Lord </w:t>
      </w:r>
      <w:proofErr w:type="spellStart"/>
      <w:r w:rsidRPr="00143ED5">
        <w:rPr>
          <w:rFonts w:ascii="Times New Roman" w:hAnsi="Times New Roman"/>
          <w:lang w:val="en-HK"/>
        </w:rPr>
        <w:t>Selborne’s</w:t>
      </w:r>
      <w:proofErr w:type="spellEnd"/>
      <w:r w:rsidRPr="00143ED5">
        <w:rPr>
          <w:rFonts w:ascii="Times New Roman" w:hAnsi="Times New Roman"/>
          <w:lang w:val="en-HK"/>
        </w:rPr>
        <w:t xml:space="preserve"> </w:t>
      </w:r>
      <w:r w:rsidRPr="00143ED5">
        <w:rPr>
          <w:rFonts w:ascii="Times New Roman" w:hAnsi="Times New Roman"/>
          <w:i/>
          <w:iCs/>
          <w:lang w:val="en-HK"/>
        </w:rPr>
        <w:t>receive and become chargeable with some part of the trust property</w:t>
      </w:r>
      <w:r w:rsidRPr="00143ED5">
        <w:rPr>
          <w:rFonts w:ascii="Times New Roman" w:hAnsi="Times New Roman"/>
          <w:lang w:val="en-HK"/>
        </w:rPr>
        <w:t xml:space="preserve"> (at [152]) implies ongoing trust status (at [69]).</w:t>
      </w:r>
    </w:p>
    <w:p w14:paraId="71268FD0" w14:textId="51E346F8" w:rsidR="00143ED5" w:rsidRPr="00143ED5" w:rsidRDefault="00143ED5" w:rsidP="00143ED5">
      <w:pPr>
        <w:numPr>
          <w:ilvl w:val="3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i/>
          <w:iCs/>
          <w:lang w:val="en-HK"/>
        </w:rPr>
        <w:t>El-</w:t>
      </w:r>
      <w:proofErr w:type="spellStart"/>
      <w:r w:rsidRPr="00143ED5">
        <w:rPr>
          <w:rFonts w:ascii="Times New Roman" w:hAnsi="Times New Roman"/>
          <w:i/>
          <w:iCs/>
          <w:lang w:val="en-HK"/>
        </w:rPr>
        <w:t>Ajou</w:t>
      </w:r>
      <w:proofErr w:type="spellEnd"/>
      <w:r w:rsidRPr="00143ED5">
        <w:rPr>
          <w:rFonts w:ascii="Times New Roman" w:hAnsi="Times New Roman"/>
          <w:i/>
          <w:iCs/>
          <w:lang w:val="en-HK"/>
        </w:rPr>
        <w:t xml:space="preserve"> v Dollar Land Holdings plc</w:t>
      </w:r>
      <w:r w:rsidRPr="00143ED5">
        <w:rPr>
          <w:rFonts w:ascii="Times New Roman" w:hAnsi="Times New Roman"/>
          <w:lang w:val="en-HK"/>
        </w:rPr>
        <w:t xml:space="preserve"> [1994] 2 All ER 685 at 700: Hoffmann LJ’s </w:t>
      </w:r>
      <w:r w:rsidRPr="00143ED5">
        <w:rPr>
          <w:rFonts w:ascii="Times New Roman" w:hAnsi="Times New Roman"/>
          <w:i/>
          <w:iCs/>
          <w:lang w:val="en-HK"/>
        </w:rPr>
        <w:t>beneficial receipt … of assets which are traceable</w:t>
      </w:r>
      <w:r w:rsidRPr="00143ED5">
        <w:rPr>
          <w:rFonts w:ascii="Times New Roman" w:hAnsi="Times New Roman"/>
          <w:lang w:val="en-HK"/>
        </w:rPr>
        <w:t xml:space="preserve"> (at [152]) requires a traceable interest (at [69]).</w:t>
      </w:r>
    </w:p>
    <w:p w14:paraId="58264022" w14:textId="7B3C3CE1" w:rsidR="00143ED5" w:rsidRPr="00143ED5" w:rsidRDefault="00143ED5" w:rsidP="00143ED5">
      <w:pPr>
        <w:numPr>
          <w:ilvl w:val="3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i/>
          <w:iCs/>
          <w:lang w:val="en-HK"/>
        </w:rPr>
        <w:t>Macmillan</w:t>
      </w:r>
      <w:r w:rsidRPr="00143ED5">
        <w:rPr>
          <w:rFonts w:ascii="Times New Roman" w:hAnsi="Times New Roman"/>
          <w:lang w:val="en-HK"/>
        </w:rPr>
        <w:t xml:space="preserve"> [1995] 1 WLR 978: Millett J’s </w:t>
      </w:r>
      <w:r w:rsidRPr="00143ED5">
        <w:rPr>
          <w:rFonts w:ascii="Times New Roman" w:hAnsi="Times New Roman"/>
          <w:i/>
          <w:iCs/>
          <w:lang w:val="en-HK"/>
        </w:rPr>
        <w:t>undestroyed proprietary base</w:t>
      </w:r>
      <w:r w:rsidRPr="00143ED5">
        <w:rPr>
          <w:rFonts w:ascii="Times New Roman" w:hAnsi="Times New Roman"/>
          <w:lang w:val="en-HK"/>
        </w:rPr>
        <w:t xml:space="preserve"> (at [77]) applies to strangers like Samba (at [97]).</w:t>
      </w:r>
    </w:p>
    <w:p w14:paraId="1DE8799E" w14:textId="236AD8FA" w:rsidR="00143ED5" w:rsidRPr="00143ED5" w:rsidRDefault="00143ED5" w:rsidP="00143ED5">
      <w:pPr>
        <w:numPr>
          <w:ilvl w:val="2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t xml:space="preserve">Conclusion at [97]: </w:t>
      </w:r>
      <w:r w:rsidRPr="00143ED5">
        <w:rPr>
          <w:rFonts w:ascii="Times New Roman" w:hAnsi="Times New Roman"/>
          <w:i/>
          <w:iCs/>
          <w:lang w:val="en-HK"/>
        </w:rPr>
        <w:t>the personal liability … does depend upon the claimant having a continuing equitable interest</w:t>
      </w:r>
      <w:r w:rsidRPr="00143ED5">
        <w:rPr>
          <w:rFonts w:ascii="Times New Roman" w:hAnsi="Times New Roman"/>
          <w:lang w:val="en-HK"/>
        </w:rPr>
        <w:t>.</w:t>
      </w:r>
    </w:p>
    <w:p w14:paraId="2ADBF108" w14:textId="5512B866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Implication</w:t>
      </w:r>
      <w:r w:rsidRPr="00143ED5">
        <w:rPr>
          <w:rFonts w:ascii="Times New Roman" w:hAnsi="Times New Roman"/>
          <w:lang w:val="en-HK"/>
        </w:rPr>
        <w:t>: Even with knowledge, liability fails if the interest is extinguished (at [151]).</w:t>
      </w:r>
    </w:p>
    <w:p w14:paraId="52BA82E4" w14:textId="77777777" w:rsidR="00143ED5" w:rsidRPr="00143ED5" w:rsidRDefault="00143ED5" w:rsidP="00143E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Lord Burrows’ Judgment</w:t>
      </w:r>
      <w:r w:rsidRPr="00143ED5">
        <w:rPr>
          <w:rFonts w:ascii="Times New Roman" w:hAnsi="Times New Roman"/>
          <w:lang w:val="en-HK"/>
        </w:rPr>
        <w:t>:</w:t>
      </w:r>
    </w:p>
    <w:p w14:paraId="583C4D80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Reasoning</w:t>
      </w:r>
      <w:r w:rsidRPr="00143ED5">
        <w:rPr>
          <w:rFonts w:ascii="Times New Roman" w:hAnsi="Times New Roman"/>
          <w:lang w:val="en-HK"/>
        </w:rPr>
        <w:t>:</w:t>
      </w:r>
    </w:p>
    <w:p w14:paraId="7A70E67C" w14:textId="4EA190D2" w:rsidR="00143ED5" w:rsidRPr="00143ED5" w:rsidRDefault="00143ED5" w:rsidP="00143ED5">
      <w:pPr>
        <w:numPr>
          <w:ilvl w:val="2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t xml:space="preserve">At [155], knowing receipt as an </w:t>
      </w:r>
      <w:r w:rsidRPr="00143ED5">
        <w:rPr>
          <w:rFonts w:ascii="Times New Roman" w:hAnsi="Times New Roman"/>
          <w:i/>
          <w:iCs/>
          <w:lang w:val="en-HK"/>
        </w:rPr>
        <w:t>equitable wrong</w:t>
      </w:r>
      <w:r w:rsidRPr="00143ED5">
        <w:rPr>
          <w:rFonts w:ascii="Times New Roman" w:hAnsi="Times New Roman"/>
          <w:lang w:val="en-HK"/>
        </w:rPr>
        <w:t xml:space="preserve"> requires interference with proprietary rights; unencumbered title defeats it (at [172]).</w:t>
      </w:r>
    </w:p>
    <w:p w14:paraId="3A00D85D" w14:textId="70D6DBA9" w:rsidR="00143ED5" w:rsidRPr="00143ED5" w:rsidRDefault="00143ED5" w:rsidP="00143ED5">
      <w:pPr>
        <w:numPr>
          <w:ilvl w:val="2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t>At [153], tracing needs an interest at receipt, absent here (at [172]).</w:t>
      </w:r>
    </w:p>
    <w:p w14:paraId="171B31F1" w14:textId="7F7F790D" w:rsidR="00143ED5" w:rsidRPr="00143ED5" w:rsidRDefault="00143ED5" w:rsidP="00143ED5">
      <w:pPr>
        <w:numPr>
          <w:ilvl w:val="2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lang w:val="en-HK"/>
        </w:rPr>
        <w:t xml:space="preserve">Conclusion at [172]: </w:t>
      </w:r>
      <w:r w:rsidRPr="00143ED5">
        <w:rPr>
          <w:rFonts w:ascii="Times New Roman" w:hAnsi="Times New Roman"/>
          <w:i/>
          <w:iCs/>
          <w:lang w:val="en-HK"/>
        </w:rPr>
        <w:t>liability for knowing receipt is dependent on … a continuing equitable proprietary interest</w:t>
      </w:r>
      <w:r w:rsidRPr="00143ED5">
        <w:rPr>
          <w:rFonts w:ascii="Times New Roman" w:hAnsi="Times New Roman"/>
          <w:lang w:val="en-HK"/>
        </w:rPr>
        <w:t>.</w:t>
      </w:r>
    </w:p>
    <w:p w14:paraId="01170710" w14:textId="05F874E0" w:rsidR="00143ED5" w:rsidRPr="00143ED5" w:rsidRDefault="00143ED5" w:rsidP="00143E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Significance</w:t>
      </w:r>
      <w:r w:rsidRPr="00143ED5">
        <w:rPr>
          <w:rFonts w:ascii="Times New Roman" w:hAnsi="Times New Roman"/>
          <w:lang w:val="en-HK"/>
        </w:rPr>
        <w:t>: First Supreme Court authority on this point (at 151).</w:t>
      </w:r>
    </w:p>
    <w:p w14:paraId="6B76B1C6" w14:textId="77777777" w:rsidR="00143ED5" w:rsidRPr="00143ED5" w:rsidRDefault="00EC2292" w:rsidP="00143ED5">
      <w:pPr>
        <w:spacing w:line="360" w:lineRule="auto"/>
        <w:rPr>
          <w:rFonts w:ascii="Times New Roman" w:hAnsi="Times New Roman"/>
          <w:lang w:val="en-HK"/>
        </w:rPr>
      </w:pPr>
      <w:r w:rsidRPr="00EC2292">
        <w:rPr>
          <w:rFonts w:ascii="Times New Roman" w:hAnsi="Times New Roman"/>
          <w:noProof/>
          <w:lang w:val="en-HK"/>
          <w14:ligatures w14:val="standardContextual"/>
        </w:rPr>
        <w:pict w14:anchorId="59A0543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8EE547" w14:textId="77777777" w:rsidR="00143ED5" w:rsidRPr="00143ED5" w:rsidRDefault="00143ED5" w:rsidP="00143ED5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The Consequences of the Supreme Court’s Judgment</w:t>
      </w:r>
    </w:p>
    <w:p w14:paraId="543951A0" w14:textId="0189535B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K</w:t>
      </w:r>
      <w:r w:rsidRPr="00143ED5">
        <w:rPr>
          <w:rFonts w:ascii="Times New Roman" w:hAnsi="Times New Roman"/>
          <w:b/>
          <w:bCs/>
          <w:lang w:val="en-HK"/>
        </w:rPr>
        <w:t>nowing Receipt as a Proprietary Claim</w:t>
      </w:r>
      <w:r w:rsidRPr="00143ED5">
        <w:rPr>
          <w:rFonts w:ascii="Times New Roman" w:hAnsi="Times New Roman"/>
          <w:lang w:val="en-HK"/>
        </w:rPr>
        <w:t>:</w:t>
      </w:r>
    </w:p>
    <w:p w14:paraId="52F3AFE6" w14:textId="3EB1E40B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Summary</w:t>
      </w:r>
      <w:r w:rsidRPr="00143ED5">
        <w:rPr>
          <w:rFonts w:ascii="Times New Roman" w:hAnsi="Times New Roman"/>
          <w:lang w:val="en-HK"/>
        </w:rPr>
        <w:t>: Both proprietary and personal knowing receipt claims require a continuing interest.</w:t>
      </w:r>
    </w:p>
    <w:p w14:paraId="69AFDE19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lastRenderedPageBreak/>
        <w:t>Lord Briggs</w:t>
      </w:r>
      <w:r w:rsidRPr="00143ED5">
        <w:rPr>
          <w:rFonts w:ascii="Times New Roman" w:hAnsi="Times New Roman"/>
          <w:lang w:val="en-HK"/>
        </w:rPr>
        <w:t xml:space="preserve">: At [44], </w:t>
      </w:r>
      <w:r w:rsidRPr="00143ED5">
        <w:rPr>
          <w:rFonts w:ascii="Times New Roman" w:hAnsi="Times New Roman"/>
          <w:i/>
          <w:iCs/>
          <w:lang w:val="en-HK"/>
        </w:rPr>
        <w:t>there is a serious lack of logic</w:t>
      </w:r>
      <w:r w:rsidRPr="00143ED5">
        <w:rPr>
          <w:rFonts w:ascii="Times New Roman" w:hAnsi="Times New Roman"/>
          <w:lang w:val="en-HK"/>
        </w:rPr>
        <w:t xml:space="preserve"> in allowing personal claims post-override when proprietary claims fail (at 153).</w:t>
      </w:r>
    </w:p>
    <w:p w14:paraId="6B91229E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Lord Burrows</w:t>
      </w:r>
      <w:r w:rsidRPr="00143ED5">
        <w:rPr>
          <w:rFonts w:ascii="Times New Roman" w:hAnsi="Times New Roman"/>
          <w:lang w:val="en-HK"/>
        </w:rPr>
        <w:t>: At [159], this prevents converting failed proprietary claims into personal ones (at 153).</w:t>
      </w:r>
    </w:p>
    <w:p w14:paraId="01049E5F" w14:textId="3E234EC1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Knowing Receipt vs. Dishonest Assistance</w:t>
      </w:r>
      <w:r w:rsidRPr="00143ED5">
        <w:rPr>
          <w:rFonts w:ascii="Times New Roman" w:hAnsi="Times New Roman"/>
          <w:lang w:val="en-HK"/>
        </w:rPr>
        <w:t>:</w:t>
      </w:r>
    </w:p>
    <w:p w14:paraId="0B345728" w14:textId="39EA05CE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Summary</w:t>
      </w:r>
      <w:r w:rsidRPr="00143ED5">
        <w:rPr>
          <w:rFonts w:ascii="Times New Roman" w:hAnsi="Times New Roman"/>
          <w:lang w:val="en-HK"/>
        </w:rPr>
        <w:t>: Dishonest assistance (accessory liability) contrasts with knowing receipt (property-based).</w:t>
      </w:r>
    </w:p>
    <w:p w14:paraId="25EB98D9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Lord Burrows</w:t>
      </w:r>
      <w:r w:rsidRPr="00143ED5">
        <w:rPr>
          <w:rFonts w:ascii="Times New Roman" w:hAnsi="Times New Roman"/>
          <w:lang w:val="en-HK"/>
        </w:rPr>
        <w:t>: At [148]-[149], dishonest assistance needs no interest, unlike knowing receipt’s restorative aim (at 154).</w:t>
      </w:r>
    </w:p>
    <w:p w14:paraId="235DDD5C" w14:textId="68BC96A1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Non-Paradigm Contexts</w:t>
      </w:r>
      <w:r w:rsidRPr="00143ED5">
        <w:rPr>
          <w:rFonts w:ascii="Times New Roman" w:hAnsi="Times New Roman"/>
          <w:lang w:val="en-HK"/>
        </w:rPr>
        <w:t>:</w:t>
      </w:r>
    </w:p>
    <w:p w14:paraId="5975F32B" w14:textId="5A53880F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Summary</w:t>
      </w:r>
      <w:r w:rsidRPr="00143ED5">
        <w:rPr>
          <w:rFonts w:ascii="Times New Roman" w:hAnsi="Times New Roman"/>
          <w:lang w:val="en-HK"/>
        </w:rPr>
        <w:t>: Applies to misapplied company property, treated as trust property.</w:t>
      </w:r>
    </w:p>
    <w:p w14:paraId="1CFEA771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Lord Burrows</w:t>
      </w:r>
      <w:r w:rsidRPr="00143ED5">
        <w:rPr>
          <w:rFonts w:ascii="Times New Roman" w:hAnsi="Times New Roman"/>
          <w:lang w:val="en-HK"/>
        </w:rPr>
        <w:t xml:space="preserve">: At [181], </w:t>
      </w:r>
      <w:r w:rsidRPr="00143ED5">
        <w:rPr>
          <w:rFonts w:ascii="Times New Roman" w:hAnsi="Times New Roman"/>
          <w:i/>
          <w:iCs/>
          <w:lang w:val="en-HK"/>
        </w:rPr>
        <w:t>if unencumbered title passes … there can be no liability</w:t>
      </w:r>
      <w:r w:rsidRPr="00143ED5">
        <w:rPr>
          <w:rFonts w:ascii="Times New Roman" w:hAnsi="Times New Roman"/>
          <w:lang w:val="en-HK"/>
        </w:rPr>
        <w:t xml:space="preserve"> in analogous contexts (at 154).</w:t>
      </w:r>
    </w:p>
    <w:p w14:paraId="12C5CA3A" w14:textId="230EA85C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Implication</w:t>
      </w:r>
      <w:r w:rsidRPr="00143ED5">
        <w:rPr>
          <w:rFonts w:ascii="Times New Roman" w:hAnsi="Times New Roman"/>
          <w:lang w:val="en-HK"/>
        </w:rPr>
        <w:t>: Uniform application across contexts (at 154).</w:t>
      </w:r>
    </w:p>
    <w:p w14:paraId="48EBCBF1" w14:textId="77777777" w:rsidR="00143ED5" w:rsidRPr="00143ED5" w:rsidRDefault="00EC2292" w:rsidP="00143ED5">
      <w:pPr>
        <w:spacing w:line="360" w:lineRule="auto"/>
        <w:rPr>
          <w:rFonts w:ascii="Times New Roman" w:hAnsi="Times New Roman"/>
          <w:lang w:val="en-HK"/>
        </w:rPr>
      </w:pPr>
      <w:r w:rsidRPr="00EC2292">
        <w:rPr>
          <w:rFonts w:ascii="Times New Roman" w:hAnsi="Times New Roman"/>
          <w:noProof/>
          <w:lang w:val="en-HK"/>
          <w14:ligatures w14:val="standardContextual"/>
        </w:rPr>
        <w:pict w14:anchorId="76CB7AC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8FBB139" w14:textId="77777777" w:rsidR="00143ED5" w:rsidRPr="00143ED5" w:rsidRDefault="00143ED5" w:rsidP="00143ED5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Conclusion</w:t>
      </w:r>
    </w:p>
    <w:p w14:paraId="18C00AF0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Summary</w:t>
      </w:r>
      <w:r w:rsidRPr="00143ED5">
        <w:rPr>
          <w:rFonts w:ascii="Times New Roman" w:hAnsi="Times New Roman"/>
          <w:lang w:val="en-HK"/>
        </w:rPr>
        <w:t xml:space="preserve">: The Supreme Court definitively holds that knowing receipt fails without a continuing proprietary interest, per Purewal at 154: </w:t>
      </w:r>
      <w:r w:rsidRPr="00143ED5">
        <w:rPr>
          <w:rFonts w:ascii="Times New Roman" w:hAnsi="Times New Roman"/>
          <w:i/>
          <w:iCs/>
          <w:lang w:val="en-HK"/>
        </w:rPr>
        <w:t>knowing receipt claims cannot be made if the claimant’s equitable interest … has been extinguished</w:t>
      </w:r>
      <w:r w:rsidRPr="00143ED5">
        <w:rPr>
          <w:rFonts w:ascii="Times New Roman" w:hAnsi="Times New Roman"/>
          <w:lang w:val="en-HK"/>
        </w:rPr>
        <w:t>.</w:t>
      </w:r>
    </w:p>
    <w:p w14:paraId="615C65E0" w14:textId="77777777" w:rsidR="00143ED5" w:rsidRPr="00143ED5" w:rsidRDefault="00143ED5" w:rsidP="00143ED5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43ED5">
        <w:rPr>
          <w:rFonts w:ascii="Times New Roman" w:hAnsi="Times New Roman"/>
          <w:b/>
          <w:bCs/>
          <w:lang w:val="en-HK"/>
        </w:rPr>
        <w:t>Significance</w:t>
      </w:r>
      <w:r w:rsidRPr="00143ED5">
        <w:rPr>
          <w:rFonts w:ascii="Times New Roman" w:hAnsi="Times New Roman"/>
          <w:lang w:val="en-HK"/>
        </w:rPr>
        <w:t>: Clarifies equitable principles, distinguishes remedies, and extends to non-paradigm cases.</w:t>
      </w:r>
    </w:p>
    <w:p w14:paraId="2530EF36" w14:textId="77777777" w:rsidR="00CD39F1" w:rsidRPr="00143ED5" w:rsidRDefault="00CD39F1" w:rsidP="00143ED5">
      <w:pPr>
        <w:spacing w:line="360" w:lineRule="auto"/>
      </w:pPr>
    </w:p>
    <w:sectPr w:rsidR="00CD39F1" w:rsidRPr="00143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F7970"/>
    <w:multiLevelType w:val="multilevel"/>
    <w:tmpl w:val="FD08E8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4DDC"/>
    <w:multiLevelType w:val="multilevel"/>
    <w:tmpl w:val="7806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056D9"/>
    <w:multiLevelType w:val="multilevel"/>
    <w:tmpl w:val="3260F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92CAB"/>
    <w:multiLevelType w:val="multilevel"/>
    <w:tmpl w:val="9F7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E5B84"/>
    <w:multiLevelType w:val="multilevel"/>
    <w:tmpl w:val="47F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36D17"/>
    <w:multiLevelType w:val="multilevel"/>
    <w:tmpl w:val="B420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50788"/>
    <w:multiLevelType w:val="multilevel"/>
    <w:tmpl w:val="2F78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D3E3F"/>
    <w:multiLevelType w:val="multilevel"/>
    <w:tmpl w:val="5E22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520032">
    <w:abstractNumId w:val="5"/>
  </w:num>
  <w:num w:numId="2" w16cid:durableId="972518162">
    <w:abstractNumId w:val="1"/>
  </w:num>
  <w:num w:numId="3" w16cid:durableId="1883128863">
    <w:abstractNumId w:val="4"/>
  </w:num>
  <w:num w:numId="4" w16cid:durableId="1645623869">
    <w:abstractNumId w:val="3"/>
  </w:num>
  <w:num w:numId="5" w16cid:durableId="1200554033">
    <w:abstractNumId w:val="0"/>
  </w:num>
  <w:num w:numId="6" w16cid:durableId="1046098365">
    <w:abstractNumId w:val="2"/>
  </w:num>
  <w:num w:numId="7" w16cid:durableId="357895604">
    <w:abstractNumId w:val="6"/>
  </w:num>
  <w:num w:numId="8" w16cid:durableId="7980640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3B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0F5868"/>
    <w:rsid w:val="00101CCF"/>
    <w:rsid w:val="00121A80"/>
    <w:rsid w:val="001372F7"/>
    <w:rsid w:val="00143ED5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568E"/>
    <w:rsid w:val="00297C6E"/>
    <w:rsid w:val="002B3377"/>
    <w:rsid w:val="002C38C0"/>
    <w:rsid w:val="002C6D8B"/>
    <w:rsid w:val="002D2BF1"/>
    <w:rsid w:val="002D715D"/>
    <w:rsid w:val="002E3864"/>
    <w:rsid w:val="002E46F2"/>
    <w:rsid w:val="002F06DE"/>
    <w:rsid w:val="002F1DB1"/>
    <w:rsid w:val="002F20B2"/>
    <w:rsid w:val="002F53C9"/>
    <w:rsid w:val="003048A0"/>
    <w:rsid w:val="0031138E"/>
    <w:rsid w:val="0031474F"/>
    <w:rsid w:val="00315815"/>
    <w:rsid w:val="0032656E"/>
    <w:rsid w:val="003278F5"/>
    <w:rsid w:val="00330665"/>
    <w:rsid w:val="00341960"/>
    <w:rsid w:val="00342A18"/>
    <w:rsid w:val="003435C9"/>
    <w:rsid w:val="00357561"/>
    <w:rsid w:val="00361344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3F66C5"/>
    <w:rsid w:val="0040210F"/>
    <w:rsid w:val="00412F9B"/>
    <w:rsid w:val="004222FD"/>
    <w:rsid w:val="004319FA"/>
    <w:rsid w:val="00442F56"/>
    <w:rsid w:val="0044616D"/>
    <w:rsid w:val="00474DD1"/>
    <w:rsid w:val="004751B5"/>
    <w:rsid w:val="0048097D"/>
    <w:rsid w:val="004816F7"/>
    <w:rsid w:val="0048175B"/>
    <w:rsid w:val="004829F2"/>
    <w:rsid w:val="004845CE"/>
    <w:rsid w:val="0049450A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1130"/>
    <w:rsid w:val="00595357"/>
    <w:rsid w:val="005A1930"/>
    <w:rsid w:val="005A3C9C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7702"/>
    <w:rsid w:val="005F33FC"/>
    <w:rsid w:val="00605F8E"/>
    <w:rsid w:val="00613954"/>
    <w:rsid w:val="006159E0"/>
    <w:rsid w:val="00622488"/>
    <w:rsid w:val="006350B8"/>
    <w:rsid w:val="006415E8"/>
    <w:rsid w:val="00650543"/>
    <w:rsid w:val="00654D8B"/>
    <w:rsid w:val="00661136"/>
    <w:rsid w:val="00672197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2E80"/>
    <w:rsid w:val="007E4AE6"/>
    <w:rsid w:val="007F776E"/>
    <w:rsid w:val="0081048A"/>
    <w:rsid w:val="00816563"/>
    <w:rsid w:val="00830C88"/>
    <w:rsid w:val="00845A72"/>
    <w:rsid w:val="00845AB5"/>
    <w:rsid w:val="00850813"/>
    <w:rsid w:val="00861B11"/>
    <w:rsid w:val="008829C2"/>
    <w:rsid w:val="008A54BE"/>
    <w:rsid w:val="008B2AB5"/>
    <w:rsid w:val="008C7B0A"/>
    <w:rsid w:val="008D0642"/>
    <w:rsid w:val="008E43C2"/>
    <w:rsid w:val="008E745B"/>
    <w:rsid w:val="008F4EA7"/>
    <w:rsid w:val="008F5A10"/>
    <w:rsid w:val="00905ED0"/>
    <w:rsid w:val="00931EAF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B4D3B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114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22A"/>
    <w:rsid w:val="00B914E6"/>
    <w:rsid w:val="00B95747"/>
    <w:rsid w:val="00BC4186"/>
    <w:rsid w:val="00BC5F25"/>
    <w:rsid w:val="00BD1450"/>
    <w:rsid w:val="00BD7714"/>
    <w:rsid w:val="00BD7C9B"/>
    <w:rsid w:val="00BE07C8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9345A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5D40"/>
    <w:rsid w:val="00DD6F5C"/>
    <w:rsid w:val="00DD7881"/>
    <w:rsid w:val="00DE6C87"/>
    <w:rsid w:val="00E06E11"/>
    <w:rsid w:val="00E14A1A"/>
    <w:rsid w:val="00E14E1F"/>
    <w:rsid w:val="00E2730E"/>
    <w:rsid w:val="00E4366A"/>
    <w:rsid w:val="00E438AC"/>
    <w:rsid w:val="00E51987"/>
    <w:rsid w:val="00E53FD2"/>
    <w:rsid w:val="00E5689E"/>
    <w:rsid w:val="00E60DF5"/>
    <w:rsid w:val="00E64DD3"/>
    <w:rsid w:val="00E80D33"/>
    <w:rsid w:val="00E9484C"/>
    <w:rsid w:val="00E95D8D"/>
    <w:rsid w:val="00EA6ED5"/>
    <w:rsid w:val="00EB7051"/>
    <w:rsid w:val="00EC2292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1EB6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20F7"/>
  <w15:chartTrackingRefBased/>
  <w15:docId w15:val="{66934E7B-2360-8E44-B8AB-92728ABC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4D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D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D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D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D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D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D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D3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D3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B4D3B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D3B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D3B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D3B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D3B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D3B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D3B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B4D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D3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D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D3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B4D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D3B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9B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D3B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B4D3B"/>
    <w:rPr>
      <w:b/>
      <w:bCs/>
      <w:smallCaps/>
      <w:color w:val="2F5496" w:themeColor="accent1" w:themeShade="BF"/>
      <w:spacing w:val="5"/>
    </w:rPr>
  </w:style>
  <w:style w:type="paragraph" w:customStyle="1" w:styleId="break-words">
    <w:name w:val="break-words"/>
    <w:basedOn w:val="Normal"/>
    <w:rsid w:val="00143ED5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Strong">
    <w:name w:val="Strong"/>
    <w:basedOn w:val="DefaultParagraphFont"/>
    <w:uiPriority w:val="22"/>
    <w:qFormat/>
    <w:rsid w:val="00143ED5"/>
    <w:rPr>
      <w:b/>
      <w:bCs/>
    </w:rPr>
  </w:style>
  <w:style w:type="character" w:styleId="Emphasis">
    <w:name w:val="Emphasis"/>
    <w:basedOn w:val="DefaultParagraphFont"/>
    <w:uiPriority w:val="20"/>
    <w:qFormat/>
    <w:rsid w:val="00143E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27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1104</Words>
  <Characters>6295</Characters>
  <Application>Microsoft Office Word</Application>
  <DocSecurity>0</DocSecurity>
  <Lines>52</Lines>
  <Paragraphs>14</Paragraphs>
  <ScaleCrop>false</ScaleCrop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2025-03-03T10:26:00Z</dcterms:created>
  <dcterms:modified xsi:type="dcterms:W3CDTF">2025-03-03T15:29:00Z</dcterms:modified>
</cp:coreProperties>
</file>